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6737B4" w14:textId="77777777" w:rsidR="00E71AC0" w:rsidRDefault="00667FA1">
      <w:pPr>
        <w:spacing w:line="360" w:lineRule="auto"/>
      </w:pPr>
      <w:r>
        <w:rPr>
          <w:rFonts w:ascii="Arial" w:hAnsi="Arial" w:cs="Arial"/>
          <w:color w:val="000000"/>
        </w:rPr>
        <w:t xml:space="preserve">Qualification: </w:t>
      </w:r>
      <w:r>
        <w:rPr>
          <w:rFonts w:ascii="Arial" w:hAnsi="Arial" w:cs="Arial"/>
        </w:rPr>
        <w:tab/>
      </w:r>
      <w:r>
        <w:rPr>
          <w:rFonts w:ascii="Arial" w:hAnsi="Arial" w:cs="Arial"/>
          <w:color w:val="000000"/>
        </w:rPr>
        <w:t xml:space="preserve">Master of Arts, Professional Practice (Level 7) </w:t>
      </w:r>
    </w:p>
    <w:p w14:paraId="786737B5" w14:textId="77777777" w:rsidR="00E71AC0" w:rsidRDefault="00667FA1">
      <w:pPr>
        <w:spacing w:line="360" w:lineRule="auto"/>
        <w:rPr>
          <w:rFonts w:ascii="Arial" w:hAnsi="Arial" w:cs="Arial"/>
          <w:color w:val="000000"/>
        </w:rPr>
      </w:pPr>
      <w:r>
        <w:rPr>
          <w:rFonts w:ascii="Arial" w:hAnsi="Arial" w:cs="Arial"/>
          <w:color w:val="000000"/>
        </w:rPr>
        <w:t>Module:                </w:t>
      </w:r>
      <w:r>
        <w:rPr>
          <w:rFonts w:ascii="Arial" w:hAnsi="Arial" w:cs="Arial"/>
          <w:color w:val="000000"/>
        </w:rPr>
        <w:tab/>
        <w:t>Independent Study Module (BMPF7012)</w:t>
      </w:r>
    </w:p>
    <w:p w14:paraId="786737B6" w14:textId="77777777" w:rsidR="00E71AC0" w:rsidRDefault="00667FA1">
      <w:pPr>
        <w:spacing w:line="360" w:lineRule="auto"/>
      </w:pPr>
      <w:r>
        <w:rPr>
          <w:rFonts w:ascii="Arial" w:hAnsi="Arial" w:cs="Arial"/>
          <w:color w:val="000000"/>
        </w:rPr>
        <w:t>Assignment:           </w:t>
      </w:r>
      <w:r>
        <w:rPr>
          <w:rFonts w:ascii="Arial" w:hAnsi="Arial" w:cs="Arial"/>
          <w:color w:val="000000"/>
        </w:rPr>
        <w:tab/>
        <w:t>Research Project</w:t>
      </w:r>
    </w:p>
    <w:p w14:paraId="786737B7" w14:textId="77777777" w:rsidR="00E71AC0" w:rsidRDefault="00E71AC0">
      <w:pPr>
        <w:spacing w:line="360" w:lineRule="auto"/>
        <w:rPr>
          <w:rFonts w:ascii="Arial" w:hAnsi="Arial" w:cs="Arial"/>
          <w:color w:val="000000"/>
        </w:rPr>
      </w:pPr>
    </w:p>
    <w:p w14:paraId="786737B8" w14:textId="77777777" w:rsidR="00E71AC0" w:rsidRDefault="00667FA1">
      <w:pPr>
        <w:spacing w:line="360" w:lineRule="auto"/>
        <w:rPr>
          <w:rFonts w:ascii="Arial" w:hAnsi="Arial" w:cs="Arial"/>
          <w:color w:val="000000"/>
        </w:rPr>
      </w:pPr>
      <w:r>
        <w:rPr>
          <w:rFonts w:ascii="Arial" w:hAnsi="Arial" w:cs="Arial"/>
          <w:color w:val="000000"/>
        </w:rPr>
        <w:t>Name:                      Shelley Dony</w:t>
      </w:r>
    </w:p>
    <w:p w14:paraId="786737B9" w14:textId="77777777" w:rsidR="00E71AC0" w:rsidRDefault="00667FA1">
      <w:pPr>
        <w:spacing w:line="360" w:lineRule="auto"/>
        <w:rPr>
          <w:rFonts w:ascii="Arial" w:hAnsi="Arial" w:cs="Arial"/>
          <w:color w:val="000000"/>
        </w:rPr>
      </w:pPr>
      <w:r>
        <w:rPr>
          <w:rFonts w:ascii="Arial" w:hAnsi="Arial" w:cs="Arial"/>
          <w:color w:val="000000"/>
        </w:rPr>
        <w:t>Student Number:     </w:t>
      </w:r>
      <w:r>
        <w:rPr>
          <w:rFonts w:ascii="Arial" w:hAnsi="Arial" w:cs="Arial"/>
          <w:color w:val="000000"/>
        </w:rPr>
        <w:tab/>
        <w:t xml:space="preserve">1810449 </w:t>
      </w:r>
    </w:p>
    <w:p w14:paraId="786737BA" w14:textId="77777777" w:rsidR="00E71AC0" w:rsidRDefault="00E71AC0">
      <w:pPr>
        <w:spacing w:line="360" w:lineRule="auto"/>
        <w:rPr>
          <w:rFonts w:ascii="Arial" w:hAnsi="Arial" w:cs="Arial"/>
          <w:color w:val="000000"/>
        </w:rPr>
      </w:pPr>
    </w:p>
    <w:p w14:paraId="786737BB" w14:textId="77777777" w:rsidR="00E71AC0" w:rsidRDefault="00667FA1">
      <w:pPr>
        <w:spacing w:line="360" w:lineRule="auto"/>
        <w:rPr>
          <w:rFonts w:ascii="Arial" w:hAnsi="Arial" w:cs="Arial"/>
          <w:i/>
          <w:iCs/>
          <w:color w:val="000000"/>
        </w:rPr>
      </w:pPr>
      <w:r>
        <w:rPr>
          <w:rFonts w:ascii="Arial" w:hAnsi="Arial" w:cs="Arial"/>
          <w:i/>
          <w:iCs/>
          <w:color w:val="000000"/>
        </w:rPr>
        <w:t>By signing below, I confirm that the work/evidence presented is my own, unaided work.  I understand the regulations pertaining to candidate malpractice and the action that may be taken as a result.</w:t>
      </w:r>
    </w:p>
    <w:p w14:paraId="786737BC" w14:textId="77777777" w:rsidR="00E71AC0" w:rsidRDefault="00E71AC0">
      <w:pPr>
        <w:spacing w:line="360" w:lineRule="auto"/>
        <w:rPr>
          <w:rFonts w:ascii="Arial" w:hAnsi="Arial" w:cs="Arial"/>
          <w:color w:val="000000"/>
        </w:rPr>
      </w:pPr>
    </w:p>
    <w:p w14:paraId="786737BD" w14:textId="77777777" w:rsidR="00E71AC0" w:rsidRDefault="00667FA1">
      <w:pPr>
        <w:spacing w:line="360" w:lineRule="auto"/>
      </w:pPr>
      <w:r>
        <w:rPr>
          <w:rFonts w:ascii="Arial" w:hAnsi="Arial" w:cs="Arial"/>
          <w:color w:val="000000"/>
        </w:rPr>
        <w:t xml:space="preserve">Signed:   </w:t>
      </w:r>
      <w:r>
        <w:rPr>
          <w:rFonts w:ascii="Arial" w:hAnsi="Arial" w:cs="Arial"/>
          <w:noProof/>
          <w:color w:val="000000"/>
        </w:rPr>
        <w:drawing>
          <wp:inline distT="0" distB="0" distL="0" distR="0" wp14:anchorId="786737B4" wp14:editId="786737B5">
            <wp:extent cx="520174" cy="693298"/>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20174" cy="693298"/>
                    </a:xfrm>
                    <a:prstGeom prst="rect">
                      <a:avLst/>
                    </a:prstGeom>
                    <a:noFill/>
                    <a:ln>
                      <a:noFill/>
                      <a:prstDash/>
                    </a:ln>
                  </pic:spPr>
                </pic:pic>
              </a:graphicData>
            </a:graphic>
          </wp:inline>
        </w:drawing>
      </w:r>
    </w:p>
    <w:p w14:paraId="786737BE" w14:textId="77777777" w:rsidR="00E71AC0" w:rsidRDefault="00E71AC0">
      <w:pPr>
        <w:spacing w:line="360" w:lineRule="auto"/>
        <w:rPr>
          <w:rFonts w:ascii="Arial" w:hAnsi="Arial" w:cs="Arial"/>
          <w:color w:val="000000"/>
        </w:rPr>
      </w:pPr>
    </w:p>
    <w:p w14:paraId="786737BF" w14:textId="77777777" w:rsidR="00E71AC0" w:rsidRDefault="00E71AC0">
      <w:pPr>
        <w:spacing w:line="360" w:lineRule="auto"/>
        <w:rPr>
          <w:rFonts w:ascii="Arial" w:hAnsi="Arial" w:cs="Arial"/>
          <w:color w:val="000000"/>
        </w:rPr>
      </w:pPr>
    </w:p>
    <w:p w14:paraId="786737C0" w14:textId="77777777" w:rsidR="00E71AC0" w:rsidRDefault="00E71AC0">
      <w:pPr>
        <w:spacing w:line="360" w:lineRule="auto"/>
        <w:rPr>
          <w:rFonts w:ascii="Arial" w:hAnsi="Arial" w:cs="Arial"/>
          <w:color w:val="000000"/>
        </w:rPr>
      </w:pPr>
    </w:p>
    <w:p w14:paraId="786737C1" w14:textId="77777777" w:rsidR="00E71AC0" w:rsidRDefault="00E71AC0">
      <w:pPr>
        <w:spacing w:line="360" w:lineRule="auto"/>
        <w:rPr>
          <w:rFonts w:ascii="Arial" w:hAnsi="Arial" w:cs="Arial"/>
          <w:color w:val="000000"/>
        </w:rPr>
      </w:pPr>
    </w:p>
    <w:p w14:paraId="786737C2" w14:textId="77777777" w:rsidR="00E71AC0" w:rsidRDefault="00E71AC0">
      <w:pPr>
        <w:spacing w:line="360" w:lineRule="auto"/>
        <w:rPr>
          <w:rFonts w:ascii="Arial" w:hAnsi="Arial" w:cs="Arial"/>
        </w:rPr>
      </w:pPr>
    </w:p>
    <w:p w14:paraId="786737C3" w14:textId="77777777" w:rsidR="00E71AC0" w:rsidRDefault="00E71AC0">
      <w:pPr>
        <w:pageBreakBefore/>
        <w:spacing w:line="360" w:lineRule="auto"/>
        <w:rPr>
          <w:rFonts w:ascii="Arial" w:hAnsi="Arial" w:cs="Arial"/>
        </w:rPr>
      </w:pPr>
    </w:p>
    <w:tbl>
      <w:tblPr>
        <w:tblW w:w="9016" w:type="dxa"/>
        <w:tblCellMar>
          <w:left w:w="10" w:type="dxa"/>
          <w:right w:w="10" w:type="dxa"/>
        </w:tblCellMar>
        <w:tblLook w:val="0000" w:firstRow="0" w:lastRow="0" w:firstColumn="0" w:lastColumn="0" w:noHBand="0" w:noVBand="0"/>
      </w:tblPr>
      <w:tblGrid>
        <w:gridCol w:w="6663"/>
        <w:gridCol w:w="850"/>
        <w:gridCol w:w="1503"/>
      </w:tblGrid>
      <w:tr w:rsidR="00E71AC0" w14:paraId="786737C7" w14:textId="77777777">
        <w:tc>
          <w:tcPr>
            <w:tcW w:w="6663" w:type="dxa"/>
            <w:shd w:val="clear" w:color="auto" w:fill="auto"/>
            <w:tcMar>
              <w:top w:w="0" w:type="dxa"/>
              <w:left w:w="108" w:type="dxa"/>
              <w:bottom w:w="0" w:type="dxa"/>
              <w:right w:w="108" w:type="dxa"/>
            </w:tcMar>
          </w:tcPr>
          <w:p w14:paraId="786737C4" w14:textId="77777777" w:rsidR="00E71AC0" w:rsidRDefault="00667FA1">
            <w:pPr>
              <w:spacing w:after="160" w:line="360" w:lineRule="auto"/>
              <w:rPr>
                <w:rFonts w:ascii="Arial" w:hAnsi="Arial" w:cs="Arial"/>
                <w:b/>
                <w:bCs/>
                <w:u w:val="single"/>
              </w:rPr>
            </w:pPr>
            <w:r>
              <w:rPr>
                <w:rFonts w:ascii="Arial" w:hAnsi="Arial" w:cs="Arial"/>
                <w:b/>
                <w:bCs/>
                <w:u w:val="single"/>
              </w:rPr>
              <w:t>Contents</w:t>
            </w:r>
          </w:p>
        </w:tc>
        <w:tc>
          <w:tcPr>
            <w:tcW w:w="850" w:type="dxa"/>
            <w:shd w:val="clear" w:color="auto" w:fill="auto"/>
            <w:tcMar>
              <w:top w:w="0" w:type="dxa"/>
              <w:left w:w="108" w:type="dxa"/>
              <w:bottom w:w="0" w:type="dxa"/>
              <w:right w:w="108" w:type="dxa"/>
            </w:tcMar>
          </w:tcPr>
          <w:p w14:paraId="786737C5"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C6" w14:textId="77777777" w:rsidR="00E71AC0" w:rsidRDefault="00667FA1">
            <w:pPr>
              <w:spacing w:after="160" w:line="360" w:lineRule="auto"/>
              <w:rPr>
                <w:rFonts w:ascii="Arial" w:hAnsi="Arial" w:cs="Arial"/>
                <w:b/>
                <w:bCs/>
                <w:u w:val="single"/>
              </w:rPr>
            </w:pPr>
            <w:r>
              <w:rPr>
                <w:rFonts w:ascii="Arial" w:hAnsi="Arial" w:cs="Arial"/>
                <w:b/>
                <w:bCs/>
                <w:u w:val="single"/>
              </w:rPr>
              <w:t>Page</w:t>
            </w:r>
          </w:p>
        </w:tc>
      </w:tr>
      <w:tr w:rsidR="00E71AC0" w14:paraId="786737CB" w14:textId="77777777">
        <w:tc>
          <w:tcPr>
            <w:tcW w:w="6663" w:type="dxa"/>
            <w:shd w:val="clear" w:color="auto" w:fill="auto"/>
            <w:tcMar>
              <w:top w:w="0" w:type="dxa"/>
              <w:left w:w="108" w:type="dxa"/>
              <w:bottom w:w="0" w:type="dxa"/>
              <w:right w:w="108" w:type="dxa"/>
            </w:tcMar>
          </w:tcPr>
          <w:p w14:paraId="786737C8" w14:textId="77777777" w:rsidR="00E71AC0" w:rsidRDefault="00667FA1">
            <w:pPr>
              <w:spacing w:after="160" w:line="360" w:lineRule="auto"/>
              <w:rPr>
                <w:rFonts w:ascii="Arial" w:hAnsi="Arial" w:cs="Arial"/>
              </w:rPr>
            </w:pPr>
            <w:r>
              <w:rPr>
                <w:rFonts w:ascii="Arial" w:hAnsi="Arial" w:cs="Arial"/>
              </w:rPr>
              <w:t xml:space="preserve">1. Summary </w:t>
            </w:r>
          </w:p>
        </w:tc>
        <w:tc>
          <w:tcPr>
            <w:tcW w:w="850" w:type="dxa"/>
            <w:shd w:val="clear" w:color="auto" w:fill="auto"/>
            <w:tcMar>
              <w:top w:w="0" w:type="dxa"/>
              <w:left w:w="108" w:type="dxa"/>
              <w:bottom w:w="0" w:type="dxa"/>
              <w:right w:w="108" w:type="dxa"/>
            </w:tcMar>
          </w:tcPr>
          <w:p w14:paraId="786737C9"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CA" w14:textId="77777777" w:rsidR="00E71AC0" w:rsidRDefault="00667FA1">
            <w:pPr>
              <w:spacing w:after="160" w:line="360" w:lineRule="auto"/>
              <w:rPr>
                <w:rFonts w:ascii="Arial" w:hAnsi="Arial" w:cs="Arial"/>
              </w:rPr>
            </w:pPr>
            <w:r>
              <w:rPr>
                <w:rFonts w:ascii="Arial" w:hAnsi="Arial" w:cs="Arial"/>
              </w:rPr>
              <w:t>3</w:t>
            </w:r>
          </w:p>
        </w:tc>
      </w:tr>
      <w:tr w:rsidR="00E71AC0" w14:paraId="786737CF" w14:textId="77777777">
        <w:tc>
          <w:tcPr>
            <w:tcW w:w="6663" w:type="dxa"/>
            <w:shd w:val="clear" w:color="auto" w:fill="auto"/>
            <w:tcMar>
              <w:top w:w="0" w:type="dxa"/>
              <w:left w:w="108" w:type="dxa"/>
              <w:bottom w:w="0" w:type="dxa"/>
              <w:right w:w="108" w:type="dxa"/>
            </w:tcMar>
          </w:tcPr>
          <w:p w14:paraId="786737CC" w14:textId="77777777" w:rsidR="00E71AC0" w:rsidRDefault="00667FA1">
            <w:pPr>
              <w:spacing w:after="160" w:line="360" w:lineRule="auto"/>
              <w:rPr>
                <w:rFonts w:ascii="Arial" w:hAnsi="Arial" w:cs="Arial"/>
              </w:rPr>
            </w:pPr>
            <w:r>
              <w:rPr>
                <w:rFonts w:ascii="Arial" w:hAnsi="Arial" w:cs="Arial"/>
              </w:rPr>
              <w:t>2. Rationale (933/1000)</w:t>
            </w:r>
          </w:p>
        </w:tc>
        <w:tc>
          <w:tcPr>
            <w:tcW w:w="850" w:type="dxa"/>
            <w:shd w:val="clear" w:color="auto" w:fill="auto"/>
            <w:tcMar>
              <w:top w:w="0" w:type="dxa"/>
              <w:left w:w="108" w:type="dxa"/>
              <w:bottom w:w="0" w:type="dxa"/>
              <w:right w:w="108" w:type="dxa"/>
            </w:tcMar>
          </w:tcPr>
          <w:p w14:paraId="786737CD"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CE" w14:textId="77777777" w:rsidR="00E71AC0" w:rsidRDefault="00667FA1">
            <w:pPr>
              <w:spacing w:after="160" w:line="360" w:lineRule="auto"/>
              <w:rPr>
                <w:rFonts w:ascii="Arial" w:hAnsi="Arial" w:cs="Arial"/>
              </w:rPr>
            </w:pPr>
            <w:r>
              <w:rPr>
                <w:rFonts w:ascii="Arial" w:hAnsi="Arial" w:cs="Arial"/>
              </w:rPr>
              <w:t>3</w:t>
            </w:r>
          </w:p>
        </w:tc>
      </w:tr>
      <w:tr w:rsidR="00E71AC0" w14:paraId="786737D3" w14:textId="77777777">
        <w:tc>
          <w:tcPr>
            <w:tcW w:w="6663" w:type="dxa"/>
            <w:shd w:val="clear" w:color="auto" w:fill="auto"/>
            <w:tcMar>
              <w:top w:w="0" w:type="dxa"/>
              <w:left w:w="108" w:type="dxa"/>
              <w:bottom w:w="0" w:type="dxa"/>
              <w:right w:w="108" w:type="dxa"/>
            </w:tcMar>
          </w:tcPr>
          <w:p w14:paraId="786737D0" w14:textId="77777777" w:rsidR="00E71AC0" w:rsidRPr="00CE29FA" w:rsidRDefault="00667FA1">
            <w:pPr>
              <w:spacing w:after="160" w:line="360" w:lineRule="auto"/>
              <w:rPr>
                <w:rFonts w:ascii="Arial" w:hAnsi="Arial" w:cs="Arial"/>
                <w:b/>
                <w:bCs/>
              </w:rPr>
            </w:pPr>
            <w:r w:rsidRPr="00CE29FA">
              <w:rPr>
                <w:rFonts w:ascii="Arial" w:hAnsi="Arial" w:cs="Arial"/>
                <w:b/>
                <w:bCs/>
              </w:rPr>
              <w:t>3. Literature Review (1095/1000)</w:t>
            </w:r>
          </w:p>
        </w:tc>
        <w:tc>
          <w:tcPr>
            <w:tcW w:w="850" w:type="dxa"/>
            <w:shd w:val="clear" w:color="auto" w:fill="auto"/>
            <w:tcMar>
              <w:top w:w="0" w:type="dxa"/>
              <w:left w:w="108" w:type="dxa"/>
              <w:bottom w:w="0" w:type="dxa"/>
              <w:right w:w="108" w:type="dxa"/>
            </w:tcMar>
          </w:tcPr>
          <w:p w14:paraId="786737D1" w14:textId="77777777" w:rsidR="00E71AC0" w:rsidRPr="00CE29FA" w:rsidRDefault="00E71AC0">
            <w:pPr>
              <w:spacing w:after="160" w:line="360" w:lineRule="auto"/>
              <w:rPr>
                <w:rFonts w:ascii="Arial" w:hAnsi="Arial" w:cs="Arial"/>
                <w:b/>
                <w:bCs/>
              </w:rPr>
            </w:pPr>
          </w:p>
        </w:tc>
        <w:tc>
          <w:tcPr>
            <w:tcW w:w="1503" w:type="dxa"/>
            <w:shd w:val="clear" w:color="auto" w:fill="auto"/>
            <w:tcMar>
              <w:top w:w="0" w:type="dxa"/>
              <w:left w:w="108" w:type="dxa"/>
              <w:bottom w:w="0" w:type="dxa"/>
              <w:right w:w="108" w:type="dxa"/>
            </w:tcMar>
          </w:tcPr>
          <w:p w14:paraId="786737D2" w14:textId="77777777" w:rsidR="00E71AC0" w:rsidRPr="00CE29FA" w:rsidRDefault="00667FA1">
            <w:pPr>
              <w:spacing w:after="160" w:line="360" w:lineRule="auto"/>
              <w:rPr>
                <w:rFonts w:ascii="Arial" w:hAnsi="Arial" w:cs="Arial"/>
                <w:b/>
                <w:bCs/>
              </w:rPr>
            </w:pPr>
            <w:r w:rsidRPr="00CE29FA">
              <w:rPr>
                <w:rFonts w:ascii="Arial" w:hAnsi="Arial" w:cs="Arial"/>
                <w:b/>
                <w:bCs/>
              </w:rPr>
              <w:t>6</w:t>
            </w:r>
          </w:p>
        </w:tc>
      </w:tr>
      <w:tr w:rsidR="00E71AC0" w14:paraId="786737D7" w14:textId="77777777">
        <w:tc>
          <w:tcPr>
            <w:tcW w:w="6663" w:type="dxa"/>
            <w:shd w:val="clear" w:color="auto" w:fill="auto"/>
            <w:tcMar>
              <w:top w:w="0" w:type="dxa"/>
              <w:left w:w="108" w:type="dxa"/>
              <w:bottom w:w="0" w:type="dxa"/>
              <w:right w:w="108" w:type="dxa"/>
            </w:tcMar>
          </w:tcPr>
          <w:p w14:paraId="786737D4" w14:textId="03050D8B" w:rsidR="00E71AC0" w:rsidRDefault="00667FA1">
            <w:pPr>
              <w:spacing w:after="160" w:line="360" w:lineRule="auto"/>
              <w:rPr>
                <w:rFonts w:ascii="Arial" w:hAnsi="Arial" w:cs="Arial"/>
              </w:rPr>
            </w:pPr>
            <w:r>
              <w:rPr>
                <w:rFonts w:ascii="Arial" w:hAnsi="Arial" w:cs="Arial"/>
              </w:rPr>
              <w:t>4. Methodology (9</w:t>
            </w:r>
            <w:r w:rsidR="00922A91">
              <w:rPr>
                <w:rFonts w:ascii="Arial" w:hAnsi="Arial" w:cs="Arial"/>
              </w:rPr>
              <w:t>87</w:t>
            </w:r>
            <w:r>
              <w:rPr>
                <w:rFonts w:ascii="Arial" w:hAnsi="Arial" w:cs="Arial"/>
              </w:rPr>
              <w:t>/1000)</w:t>
            </w:r>
          </w:p>
        </w:tc>
        <w:tc>
          <w:tcPr>
            <w:tcW w:w="850" w:type="dxa"/>
            <w:shd w:val="clear" w:color="auto" w:fill="auto"/>
            <w:tcMar>
              <w:top w:w="0" w:type="dxa"/>
              <w:left w:w="108" w:type="dxa"/>
              <w:bottom w:w="0" w:type="dxa"/>
              <w:right w:w="108" w:type="dxa"/>
            </w:tcMar>
          </w:tcPr>
          <w:p w14:paraId="786737D5"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D6" w14:textId="77777777" w:rsidR="00E71AC0" w:rsidRDefault="00667FA1">
            <w:pPr>
              <w:spacing w:after="160" w:line="360" w:lineRule="auto"/>
              <w:rPr>
                <w:rFonts w:ascii="Arial" w:hAnsi="Arial" w:cs="Arial"/>
              </w:rPr>
            </w:pPr>
            <w:r>
              <w:rPr>
                <w:rFonts w:ascii="Arial" w:hAnsi="Arial" w:cs="Arial"/>
              </w:rPr>
              <w:t>9</w:t>
            </w:r>
          </w:p>
        </w:tc>
      </w:tr>
      <w:tr w:rsidR="00E71AC0" w14:paraId="786737DB" w14:textId="77777777">
        <w:tc>
          <w:tcPr>
            <w:tcW w:w="6663" w:type="dxa"/>
            <w:shd w:val="clear" w:color="auto" w:fill="auto"/>
            <w:tcMar>
              <w:top w:w="0" w:type="dxa"/>
              <w:left w:w="108" w:type="dxa"/>
              <w:bottom w:w="0" w:type="dxa"/>
              <w:right w:w="108" w:type="dxa"/>
            </w:tcMar>
          </w:tcPr>
          <w:p w14:paraId="786737D8" w14:textId="74C5D274" w:rsidR="00E71AC0" w:rsidRDefault="00667FA1">
            <w:pPr>
              <w:spacing w:after="160" w:line="360" w:lineRule="auto"/>
              <w:rPr>
                <w:rFonts w:ascii="Arial" w:hAnsi="Arial" w:cs="Arial"/>
              </w:rPr>
            </w:pPr>
            <w:r>
              <w:rPr>
                <w:rFonts w:ascii="Arial" w:hAnsi="Arial" w:cs="Arial"/>
              </w:rPr>
              <w:t>5. Findings (2</w:t>
            </w:r>
            <w:r w:rsidR="00333D89">
              <w:rPr>
                <w:rFonts w:ascii="Arial" w:hAnsi="Arial" w:cs="Arial"/>
              </w:rPr>
              <w:t>441</w:t>
            </w:r>
            <w:r>
              <w:rPr>
                <w:rFonts w:ascii="Arial" w:hAnsi="Arial" w:cs="Arial"/>
              </w:rPr>
              <w:t>/2500)</w:t>
            </w:r>
          </w:p>
        </w:tc>
        <w:tc>
          <w:tcPr>
            <w:tcW w:w="850" w:type="dxa"/>
            <w:shd w:val="clear" w:color="auto" w:fill="auto"/>
            <w:tcMar>
              <w:top w:w="0" w:type="dxa"/>
              <w:left w:w="108" w:type="dxa"/>
              <w:bottom w:w="0" w:type="dxa"/>
              <w:right w:w="108" w:type="dxa"/>
            </w:tcMar>
          </w:tcPr>
          <w:p w14:paraId="786737D9"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DA" w14:textId="77777777" w:rsidR="00E71AC0" w:rsidRDefault="00667FA1">
            <w:pPr>
              <w:spacing w:after="160" w:line="360" w:lineRule="auto"/>
              <w:rPr>
                <w:rFonts w:ascii="Arial" w:hAnsi="Arial" w:cs="Arial"/>
              </w:rPr>
            </w:pPr>
            <w:r>
              <w:rPr>
                <w:rFonts w:ascii="Arial" w:hAnsi="Arial" w:cs="Arial"/>
              </w:rPr>
              <w:t>12</w:t>
            </w:r>
          </w:p>
        </w:tc>
      </w:tr>
      <w:tr w:rsidR="00E71AC0" w14:paraId="786737DF" w14:textId="77777777">
        <w:tc>
          <w:tcPr>
            <w:tcW w:w="6663" w:type="dxa"/>
            <w:shd w:val="clear" w:color="auto" w:fill="auto"/>
            <w:tcMar>
              <w:top w:w="0" w:type="dxa"/>
              <w:left w:w="108" w:type="dxa"/>
              <w:bottom w:w="0" w:type="dxa"/>
              <w:right w:w="108" w:type="dxa"/>
            </w:tcMar>
          </w:tcPr>
          <w:p w14:paraId="786737DC" w14:textId="6758082D" w:rsidR="00E71AC0" w:rsidRDefault="00667FA1">
            <w:pPr>
              <w:spacing w:after="160" w:line="360" w:lineRule="auto"/>
              <w:rPr>
                <w:rFonts w:ascii="Arial" w:hAnsi="Arial" w:cs="Arial"/>
              </w:rPr>
            </w:pPr>
            <w:r>
              <w:rPr>
                <w:rFonts w:ascii="Arial" w:hAnsi="Arial" w:cs="Arial"/>
              </w:rPr>
              <w:t>6. Conclusion (45</w:t>
            </w:r>
            <w:r w:rsidR="00427196">
              <w:rPr>
                <w:rFonts w:ascii="Arial" w:hAnsi="Arial" w:cs="Arial"/>
              </w:rPr>
              <w:t>8</w:t>
            </w:r>
            <w:r>
              <w:rPr>
                <w:rFonts w:ascii="Arial" w:hAnsi="Arial" w:cs="Arial"/>
              </w:rPr>
              <w:t>/500)</w:t>
            </w:r>
          </w:p>
        </w:tc>
        <w:tc>
          <w:tcPr>
            <w:tcW w:w="850" w:type="dxa"/>
            <w:shd w:val="clear" w:color="auto" w:fill="auto"/>
            <w:tcMar>
              <w:top w:w="0" w:type="dxa"/>
              <w:left w:w="108" w:type="dxa"/>
              <w:bottom w:w="0" w:type="dxa"/>
              <w:right w:w="108" w:type="dxa"/>
            </w:tcMar>
          </w:tcPr>
          <w:p w14:paraId="786737DD"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DE" w14:textId="77777777" w:rsidR="00E71AC0" w:rsidRDefault="00667FA1">
            <w:pPr>
              <w:spacing w:after="160" w:line="360" w:lineRule="auto"/>
              <w:rPr>
                <w:rFonts w:ascii="Arial" w:hAnsi="Arial" w:cs="Arial"/>
              </w:rPr>
            </w:pPr>
            <w:r>
              <w:rPr>
                <w:rFonts w:ascii="Arial" w:hAnsi="Arial" w:cs="Arial"/>
              </w:rPr>
              <w:t>21</w:t>
            </w:r>
          </w:p>
        </w:tc>
      </w:tr>
      <w:tr w:rsidR="00E71AC0" w14:paraId="786737E3" w14:textId="77777777">
        <w:trPr>
          <w:trHeight w:val="393"/>
        </w:trPr>
        <w:tc>
          <w:tcPr>
            <w:tcW w:w="6663" w:type="dxa"/>
            <w:shd w:val="clear" w:color="auto" w:fill="auto"/>
            <w:tcMar>
              <w:top w:w="0" w:type="dxa"/>
              <w:left w:w="108" w:type="dxa"/>
              <w:bottom w:w="0" w:type="dxa"/>
              <w:right w:w="108" w:type="dxa"/>
            </w:tcMar>
          </w:tcPr>
          <w:p w14:paraId="786737E0" w14:textId="77777777" w:rsidR="00E71AC0" w:rsidRDefault="00667FA1">
            <w:pPr>
              <w:spacing w:after="160" w:line="360" w:lineRule="auto"/>
              <w:rPr>
                <w:rFonts w:ascii="Arial" w:hAnsi="Arial" w:cs="Arial"/>
              </w:rPr>
            </w:pPr>
            <w:r>
              <w:rPr>
                <w:rFonts w:ascii="Arial" w:hAnsi="Arial" w:cs="Arial"/>
              </w:rPr>
              <w:t>7. Recommendations</w:t>
            </w:r>
          </w:p>
        </w:tc>
        <w:tc>
          <w:tcPr>
            <w:tcW w:w="850" w:type="dxa"/>
            <w:shd w:val="clear" w:color="auto" w:fill="auto"/>
            <w:tcMar>
              <w:top w:w="0" w:type="dxa"/>
              <w:left w:w="108" w:type="dxa"/>
              <w:bottom w:w="0" w:type="dxa"/>
              <w:right w:w="108" w:type="dxa"/>
            </w:tcMar>
          </w:tcPr>
          <w:p w14:paraId="786737E1"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E2" w14:textId="77777777" w:rsidR="00E71AC0" w:rsidRDefault="00667FA1">
            <w:pPr>
              <w:spacing w:after="160" w:line="360" w:lineRule="auto"/>
              <w:rPr>
                <w:rFonts w:ascii="Arial" w:hAnsi="Arial" w:cs="Arial"/>
              </w:rPr>
            </w:pPr>
            <w:r>
              <w:rPr>
                <w:rFonts w:ascii="Arial" w:hAnsi="Arial" w:cs="Arial"/>
              </w:rPr>
              <w:t>22</w:t>
            </w:r>
          </w:p>
        </w:tc>
      </w:tr>
      <w:tr w:rsidR="00E71AC0" w14:paraId="786737E9" w14:textId="77777777">
        <w:trPr>
          <w:trHeight w:val="826"/>
        </w:trPr>
        <w:tc>
          <w:tcPr>
            <w:tcW w:w="6663" w:type="dxa"/>
            <w:shd w:val="clear" w:color="auto" w:fill="auto"/>
            <w:tcMar>
              <w:top w:w="0" w:type="dxa"/>
              <w:left w:w="108" w:type="dxa"/>
              <w:bottom w:w="0" w:type="dxa"/>
              <w:right w:w="108" w:type="dxa"/>
            </w:tcMar>
          </w:tcPr>
          <w:p w14:paraId="786737E4" w14:textId="77777777" w:rsidR="00E71AC0" w:rsidRPr="00CE29FA" w:rsidRDefault="00667FA1">
            <w:pPr>
              <w:spacing w:after="160" w:line="360" w:lineRule="auto"/>
              <w:rPr>
                <w:rFonts w:ascii="Arial" w:hAnsi="Arial" w:cs="Arial"/>
                <w:b/>
                <w:bCs/>
              </w:rPr>
            </w:pPr>
            <w:r w:rsidRPr="00CE29FA">
              <w:rPr>
                <w:rFonts w:ascii="Arial" w:hAnsi="Arial" w:cs="Arial"/>
                <w:b/>
                <w:bCs/>
              </w:rPr>
              <w:t>8. Bibliography</w:t>
            </w:r>
          </w:p>
          <w:p w14:paraId="786737E5" w14:textId="77777777" w:rsidR="00E71AC0" w:rsidRPr="00CE29FA" w:rsidRDefault="00667FA1">
            <w:pPr>
              <w:spacing w:after="160" w:line="360" w:lineRule="auto"/>
              <w:rPr>
                <w:rFonts w:ascii="Arial" w:hAnsi="Arial" w:cs="Arial"/>
              </w:rPr>
            </w:pPr>
            <w:r w:rsidRPr="00CE29FA">
              <w:rPr>
                <w:rFonts w:ascii="Arial" w:hAnsi="Arial" w:cs="Arial"/>
              </w:rPr>
              <w:t>9. Appendices</w:t>
            </w:r>
          </w:p>
        </w:tc>
        <w:tc>
          <w:tcPr>
            <w:tcW w:w="850" w:type="dxa"/>
            <w:shd w:val="clear" w:color="auto" w:fill="auto"/>
            <w:tcMar>
              <w:top w:w="0" w:type="dxa"/>
              <w:left w:w="108" w:type="dxa"/>
              <w:bottom w:w="0" w:type="dxa"/>
              <w:right w:w="108" w:type="dxa"/>
            </w:tcMar>
          </w:tcPr>
          <w:p w14:paraId="786737E6" w14:textId="77777777" w:rsidR="00E71AC0" w:rsidRPr="00CE29FA" w:rsidRDefault="00E71AC0">
            <w:pPr>
              <w:spacing w:after="160" w:line="360" w:lineRule="auto"/>
              <w:rPr>
                <w:rFonts w:ascii="Arial" w:hAnsi="Arial" w:cs="Arial"/>
                <w:b/>
                <w:bCs/>
              </w:rPr>
            </w:pPr>
          </w:p>
        </w:tc>
        <w:tc>
          <w:tcPr>
            <w:tcW w:w="1503" w:type="dxa"/>
            <w:shd w:val="clear" w:color="auto" w:fill="auto"/>
            <w:tcMar>
              <w:top w:w="0" w:type="dxa"/>
              <w:left w:w="108" w:type="dxa"/>
              <w:bottom w:w="0" w:type="dxa"/>
              <w:right w:w="108" w:type="dxa"/>
            </w:tcMar>
          </w:tcPr>
          <w:p w14:paraId="786737E7" w14:textId="77777777" w:rsidR="00E71AC0" w:rsidRPr="00CE29FA" w:rsidRDefault="00667FA1">
            <w:pPr>
              <w:spacing w:after="160" w:line="360" w:lineRule="auto"/>
              <w:rPr>
                <w:rFonts w:ascii="Arial" w:hAnsi="Arial" w:cs="Arial"/>
                <w:b/>
                <w:bCs/>
              </w:rPr>
            </w:pPr>
            <w:r w:rsidRPr="00CE29FA">
              <w:rPr>
                <w:rFonts w:ascii="Arial" w:hAnsi="Arial" w:cs="Arial"/>
                <w:b/>
                <w:bCs/>
              </w:rPr>
              <w:t>23</w:t>
            </w:r>
          </w:p>
          <w:p w14:paraId="786737E8" w14:textId="77777777" w:rsidR="00E71AC0" w:rsidRPr="00CE29FA" w:rsidRDefault="00667FA1">
            <w:pPr>
              <w:spacing w:after="160" w:line="360" w:lineRule="auto"/>
              <w:rPr>
                <w:rFonts w:ascii="Arial" w:hAnsi="Arial" w:cs="Arial"/>
              </w:rPr>
            </w:pPr>
            <w:r w:rsidRPr="00CE29FA">
              <w:rPr>
                <w:rFonts w:ascii="Arial" w:hAnsi="Arial" w:cs="Arial"/>
              </w:rPr>
              <w:t>27</w:t>
            </w:r>
          </w:p>
        </w:tc>
      </w:tr>
      <w:tr w:rsidR="00E71AC0" w14:paraId="786737ED" w14:textId="77777777">
        <w:trPr>
          <w:trHeight w:val="826"/>
        </w:trPr>
        <w:tc>
          <w:tcPr>
            <w:tcW w:w="6663" w:type="dxa"/>
            <w:shd w:val="clear" w:color="auto" w:fill="auto"/>
            <w:tcMar>
              <w:top w:w="0" w:type="dxa"/>
              <w:left w:w="108" w:type="dxa"/>
              <w:bottom w:w="0" w:type="dxa"/>
              <w:right w:w="108" w:type="dxa"/>
            </w:tcMar>
          </w:tcPr>
          <w:p w14:paraId="786737EA" w14:textId="77777777" w:rsidR="00E71AC0" w:rsidRDefault="00E71AC0">
            <w:pPr>
              <w:spacing w:after="160" w:line="360" w:lineRule="auto"/>
              <w:rPr>
                <w:rFonts w:ascii="Arial" w:hAnsi="Arial" w:cs="Arial"/>
              </w:rPr>
            </w:pPr>
          </w:p>
        </w:tc>
        <w:tc>
          <w:tcPr>
            <w:tcW w:w="850" w:type="dxa"/>
            <w:shd w:val="clear" w:color="auto" w:fill="auto"/>
            <w:tcMar>
              <w:top w:w="0" w:type="dxa"/>
              <w:left w:w="108" w:type="dxa"/>
              <w:bottom w:w="0" w:type="dxa"/>
              <w:right w:w="108" w:type="dxa"/>
            </w:tcMar>
          </w:tcPr>
          <w:p w14:paraId="786737EB"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EC" w14:textId="77777777" w:rsidR="00E71AC0" w:rsidRDefault="00E71AC0">
            <w:pPr>
              <w:spacing w:after="160" w:line="360" w:lineRule="auto"/>
              <w:rPr>
                <w:rFonts w:ascii="Arial" w:hAnsi="Arial" w:cs="Arial"/>
              </w:rPr>
            </w:pPr>
          </w:p>
        </w:tc>
      </w:tr>
      <w:tr w:rsidR="00E71AC0" w14:paraId="786737F1" w14:textId="77777777">
        <w:tc>
          <w:tcPr>
            <w:tcW w:w="6663" w:type="dxa"/>
            <w:shd w:val="clear" w:color="auto" w:fill="auto"/>
            <w:tcMar>
              <w:top w:w="0" w:type="dxa"/>
              <w:left w:w="108" w:type="dxa"/>
              <w:bottom w:w="0" w:type="dxa"/>
              <w:right w:w="108" w:type="dxa"/>
            </w:tcMar>
          </w:tcPr>
          <w:p w14:paraId="786737EE" w14:textId="77777777" w:rsidR="00E71AC0" w:rsidRDefault="00E71AC0">
            <w:pPr>
              <w:spacing w:after="160" w:line="360" w:lineRule="auto"/>
              <w:ind w:left="720"/>
              <w:rPr>
                <w:rFonts w:ascii="Arial" w:hAnsi="Arial" w:cs="Arial"/>
              </w:rPr>
            </w:pPr>
          </w:p>
        </w:tc>
        <w:tc>
          <w:tcPr>
            <w:tcW w:w="850" w:type="dxa"/>
            <w:shd w:val="clear" w:color="auto" w:fill="auto"/>
            <w:tcMar>
              <w:top w:w="0" w:type="dxa"/>
              <w:left w:w="108" w:type="dxa"/>
              <w:bottom w:w="0" w:type="dxa"/>
              <w:right w:w="108" w:type="dxa"/>
            </w:tcMar>
          </w:tcPr>
          <w:p w14:paraId="786737EF"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F0" w14:textId="77777777" w:rsidR="00E71AC0" w:rsidRDefault="00E71AC0">
            <w:pPr>
              <w:spacing w:after="160" w:line="360" w:lineRule="auto"/>
              <w:rPr>
                <w:rFonts w:ascii="Arial" w:hAnsi="Arial" w:cs="Arial"/>
              </w:rPr>
            </w:pPr>
          </w:p>
        </w:tc>
      </w:tr>
      <w:tr w:rsidR="00E71AC0" w14:paraId="786737F5" w14:textId="77777777">
        <w:tc>
          <w:tcPr>
            <w:tcW w:w="6663" w:type="dxa"/>
            <w:shd w:val="clear" w:color="auto" w:fill="auto"/>
            <w:tcMar>
              <w:top w:w="0" w:type="dxa"/>
              <w:left w:w="108" w:type="dxa"/>
              <w:bottom w:w="0" w:type="dxa"/>
              <w:right w:w="108" w:type="dxa"/>
            </w:tcMar>
          </w:tcPr>
          <w:p w14:paraId="786737F2" w14:textId="77777777" w:rsidR="00E71AC0" w:rsidRDefault="00E71AC0">
            <w:pPr>
              <w:spacing w:after="160" w:line="360" w:lineRule="auto"/>
              <w:ind w:left="720"/>
              <w:rPr>
                <w:rFonts w:ascii="Arial" w:hAnsi="Arial" w:cs="Arial"/>
              </w:rPr>
            </w:pPr>
          </w:p>
        </w:tc>
        <w:tc>
          <w:tcPr>
            <w:tcW w:w="850" w:type="dxa"/>
            <w:shd w:val="clear" w:color="auto" w:fill="auto"/>
            <w:tcMar>
              <w:top w:w="0" w:type="dxa"/>
              <w:left w:w="108" w:type="dxa"/>
              <w:bottom w:w="0" w:type="dxa"/>
              <w:right w:w="108" w:type="dxa"/>
            </w:tcMar>
          </w:tcPr>
          <w:p w14:paraId="786737F3"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F4" w14:textId="77777777" w:rsidR="00E71AC0" w:rsidRDefault="00E71AC0">
            <w:pPr>
              <w:spacing w:after="160" w:line="360" w:lineRule="auto"/>
              <w:rPr>
                <w:rFonts w:ascii="Arial" w:hAnsi="Arial" w:cs="Arial"/>
              </w:rPr>
            </w:pPr>
          </w:p>
        </w:tc>
      </w:tr>
    </w:tbl>
    <w:p w14:paraId="786737F6" w14:textId="77777777" w:rsidR="00E71AC0" w:rsidRDefault="00E71AC0">
      <w:pPr>
        <w:spacing w:line="360" w:lineRule="auto"/>
        <w:rPr>
          <w:rFonts w:ascii="Arial" w:hAnsi="Arial" w:cs="Arial"/>
        </w:rPr>
      </w:pPr>
    </w:p>
    <w:p w14:paraId="786737F7" w14:textId="77777777" w:rsidR="00E71AC0" w:rsidRDefault="00E71AC0">
      <w:pPr>
        <w:spacing w:line="360" w:lineRule="auto"/>
        <w:rPr>
          <w:rFonts w:ascii="Arial" w:hAnsi="Arial" w:cs="Arial"/>
        </w:rPr>
      </w:pPr>
    </w:p>
    <w:p w14:paraId="786737F8" w14:textId="77777777" w:rsidR="00E71AC0" w:rsidRDefault="00E71AC0">
      <w:pPr>
        <w:spacing w:line="360" w:lineRule="auto"/>
        <w:rPr>
          <w:rFonts w:ascii="Arial" w:hAnsi="Arial" w:cs="Arial"/>
        </w:rPr>
      </w:pPr>
    </w:p>
    <w:p w14:paraId="786737F9" w14:textId="77777777" w:rsidR="00E71AC0" w:rsidRDefault="00E71AC0">
      <w:pPr>
        <w:spacing w:line="360" w:lineRule="auto"/>
        <w:rPr>
          <w:rFonts w:ascii="Arial" w:hAnsi="Arial" w:cs="Arial"/>
        </w:rPr>
      </w:pPr>
    </w:p>
    <w:p w14:paraId="786737FA" w14:textId="77777777" w:rsidR="00E71AC0" w:rsidRDefault="00E71AC0">
      <w:pPr>
        <w:spacing w:line="360" w:lineRule="auto"/>
        <w:rPr>
          <w:rFonts w:ascii="Arial" w:hAnsi="Arial" w:cs="Arial"/>
        </w:rPr>
      </w:pPr>
    </w:p>
    <w:p w14:paraId="786737FB" w14:textId="77777777" w:rsidR="00E71AC0" w:rsidRDefault="00E71AC0">
      <w:pPr>
        <w:spacing w:line="360" w:lineRule="auto"/>
        <w:rPr>
          <w:rFonts w:ascii="Arial" w:hAnsi="Arial" w:cs="Arial"/>
        </w:rPr>
      </w:pPr>
    </w:p>
    <w:p w14:paraId="786737FC" w14:textId="77777777" w:rsidR="00E71AC0" w:rsidRDefault="00E71AC0">
      <w:pPr>
        <w:spacing w:line="360" w:lineRule="auto"/>
        <w:rPr>
          <w:rFonts w:ascii="Arial" w:hAnsi="Arial" w:cs="Arial"/>
        </w:rPr>
      </w:pPr>
    </w:p>
    <w:p w14:paraId="786737FD" w14:textId="77777777" w:rsidR="00E71AC0" w:rsidRDefault="00E71AC0">
      <w:pPr>
        <w:spacing w:line="360" w:lineRule="auto"/>
        <w:rPr>
          <w:rFonts w:ascii="Arial" w:hAnsi="Arial" w:cs="Arial"/>
          <w:color w:val="00B050"/>
          <w:shd w:val="clear" w:color="auto" w:fill="FFFFFF"/>
        </w:rPr>
      </w:pPr>
    </w:p>
    <w:p w14:paraId="786737FE" w14:textId="77777777" w:rsidR="00E71AC0" w:rsidRDefault="00E71AC0">
      <w:pPr>
        <w:spacing w:line="360" w:lineRule="auto"/>
        <w:rPr>
          <w:rFonts w:ascii="Arial" w:hAnsi="Arial" w:cs="Arial"/>
          <w:b/>
          <w:bCs/>
          <w:u w:val="single"/>
        </w:rPr>
      </w:pPr>
    </w:p>
    <w:p w14:paraId="786737FF" w14:textId="77777777" w:rsidR="00E71AC0" w:rsidRDefault="00E71AC0">
      <w:pPr>
        <w:spacing w:line="360" w:lineRule="auto"/>
        <w:rPr>
          <w:rFonts w:ascii="Arial" w:hAnsi="Arial" w:cs="Arial"/>
          <w:b/>
          <w:bCs/>
          <w:u w:val="single"/>
        </w:rPr>
      </w:pPr>
    </w:p>
    <w:p w14:paraId="78673800" w14:textId="77777777" w:rsidR="00E71AC0" w:rsidRDefault="00E71AC0">
      <w:pPr>
        <w:spacing w:line="360" w:lineRule="auto"/>
        <w:rPr>
          <w:rFonts w:ascii="Arial" w:hAnsi="Arial" w:cs="Arial"/>
          <w:b/>
          <w:bCs/>
          <w:u w:val="single"/>
        </w:rPr>
      </w:pPr>
    </w:p>
    <w:p w14:paraId="78673801" w14:textId="77777777" w:rsidR="00E71AC0" w:rsidRDefault="00E71AC0">
      <w:pPr>
        <w:spacing w:line="360" w:lineRule="auto"/>
        <w:rPr>
          <w:rFonts w:ascii="Arial" w:hAnsi="Arial" w:cs="Arial"/>
          <w:b/>
          <w:bCs/>
          <w:u w:val="single"/>
        </w:rPr>
      </w:pPr>
    </w:p>
    <w:p w14:paraId="78673802" w14:textId="77777777" w:rsidR="00E71AC0" w:rsidRDefault="00E71AC0">
      <w:pPr>
        <w:spacing w:line="360" w:lineRule="auto"/>
        <w:rPr>
          <w:rFonts w:ascii="Arial" w:hAnsi="Arial" w:cs="Arial"/>
          <w:b/>
          <w:bCs/>
          <w:u w:val="single"/>
        </w:rPr>
      </w:pPr>
    </w:p>
    <w:p w14:paraId="78673803" w14:textId="77777777" w:rsidR="00E71AC0" w:rsidRDefault="00E71AC0">
      <w:pPr>
        <w:spacing w:line="360" w:lineRule="auto"/>
        <w:rPr>
          <w:rFonts w:ascii="Arial" w:hAnsi="Arial" w:cs="Arial"/>
          <w:b/>
          <w:bCs/>
          <w:u w:val="single"/>
        </w:rPr>
      </w:pPr>
    </w:p>
    <w:p w14:paraId="78673823" w14:textId="77777777" w:rsidR="00E71AC0" w:rsidRDefault="00667FA1">
      <w:pPr>
        <w:spacing w:line="360" w:lineRule="auto"/>
      </w:pPr>
      <w:r>
        <w:rPr>
          <w:rFonts w:ascii="Arial" w:hAnsi="Arial" w:cs="Arial"/>
          <w:b/>
          <w:bCs/>
          <w:u w:val="single"/>
        </w:rPr>
        <w:lastRenderedPageBreak/>
        <w:t>3. Literature Review</w:t>
      </w:r>
      <w:r>
        <w:rPr>
          <w:rFonts w:ascii="Arial" w:hAnsi="Arial" w:cs="Arial"/>
          <w:b/>
          <w:bCs/>
        </w:rPr>
        <w:t xml:space="preserve">      </w:t>
      </w:r>
    </w:p>
    <w:p w14:paraId="78673824" w14:textId="77777777" w:rsidR="00E71AC0" w:rsidRDefault="00667FA1">
      <w:pPr>
        <w:tabs>
          <w:tab w:val="left" w:pos="1377"/>
        </w:tabs>
        <w:spacing w:line="360" w:lineRule="auto"/>
      </w:pPr>
      <w:r>
        <w:rPr>
          <w:rFonts w:ascii="Arial" w:hAnsi="Arial" w:cs="Arial"/>
          <w:u w:val="single"/>
        </w:rPr>
        <w:t>Andragogy &amp; Continuous Professional Development</w:t>
      </w:r>
      <w:r>
        <w:rPr>
          <w:rFonts w:ascii="Arial" w:hAnsi="Arial" w:cs="Arial"/>
        </w:rPr>
        <w:tab/>
      </w:r>
    </w:p>
    <w:p w14:paraId="78673825" w14:textId="77777777" w:rsidR="00E71AC0" w:rsidRDefault="00667FA1">
      <w:pPr>
        <w:spacing w:line="360" w:lineRule="auto"/>
        <w:rPr>
          <w:rFonts w:ascii="Arial" w:hAnsi="Arial" w:cs="Arial"/>
        </w:rPr>
      </w:pPr>
      <w:r>
        <w:rPr>
          <w:rFonts w:ascii="Arial" w:hAnsi="Arial" w:cs="Arial"/>
        </w:rPr>
        <w:t>Hu (2024) stated that “education is a right” for all, though it is widely acknowledged that adults learn and experience differently to children, known as Andragogy (</w:t>
      </w:r>
      <w:proofErr w:type="spellStart"/>
      <w:r>
        <w:rPr>
          <w:rFonts w:ascii="Arial" w:hAnsi="Arial" w:cs="Arial"/>
        </w:rPr>
        <w:t>Magwenya</w:t>
      </w:r>
      <w:proofErr w:type="spellEnd"/>
      <w:r>
        <w:rPr>
          <w:rFonts w:ascii="Arial" w:hAnsi="Arial" w:cs="Arial"/>
        </w:rPr>
        <w:t xml:space="preserve"> et </w:t>
      </w:r>
      <w:proofErr w:type="gramStart"/>
      <w:r>
        <w:rPr>
          <w:rFonts w:ascii="Arial" w:hAnsi="Arial" w:cs="Arial"/>
        </w:rPr>
        <w:t>al,,</w:t>
      </w:r>
      <w:proofErr w:type="gramEnd"/>
      <w:r>
        <w:rPr>
          <w:rFonts w:ascii="Arial" w:hAnsi="Arial" w:cs="Arial"/>
        </w:rPr>
        <w:t xml:space="preserve"> 2022). While there are many andragogical theories, there is no evidence that one theory is better; however, many agree using a validated theory improves learning experiences and influences application (</w:t>
      </w:r>
      <w:proofErr w:type="spellStart"/>
      <w:r>
        <w:rPr>
          <w:rFonts w:ascii="Arial" w:hAnsi="Arial" w:cs="Arial"/>
        </w:rPr>
        <w:t>Magwenya</w:t>
      </w:r>
      <w:proofErr w:type="spellEnd"/>
      <w:r>
        <w:rPr>
          <w:rFonts w:ascii="Arial" w:hAnsi="Arial" w:cs="Arial"/>
        </w:rPr>
        <w:t xml:space="preserve"> et al., 2022). Methods of adult learning are vast; however, since the Covid-19 pandemic, virtual learning has increased, with growing evidence that returning to traditional learning is not realistic (Snelling, 2022). Recent studies suggest individuals require ‘on demand’ training and resources available anytime and anywhere, indicating that more training needs to be developed and delivered through virtual formats (</w:t>
      </w:r>
      <w:proofErr w:type="spellStart"/>
      <w:r>
        <w:rPr>
          <w:rFonts w:ascii="Arial" w:hAnsi="Arial" w:cs="Arial"/>
        </w:rPr>
        <w:t>Ordu</w:t>
      </w:r>
      <w:proofErr w:type="spellEnd"/>
      <w:r>
        <w:rPr>
          <w:rFonts w:ascii="Arial" w:hAnsi="Arial" w:cs="Arial"/>
        </w:rPr>
        <w:t>, 2021).</w:t>
      </w:r>
    </w:p>
    <w:p w14:paraId="78673826" w14:textId="77777777" w:rsidR="00E71AC0" w:rsidRDefault="00E71AC0">
      <w:pPr>
        <w:spacing w:line="360" w:lineRule="auto"/>
        <w:rPr>
          <w:rFonts w:ascii="Arial" w:hAnsi="Arial" w:cs="Arial"/>
        </w:rPr>
      </w:pPr>
    </w:p>
    <w:p w14:paraId="78673827" w14:textId="3620734E" w:rsidR="00E71AC0" w:rsidRDefault="00667FA1">
      <w:pPr>
        <w:spacing w:line="360" w:lineRule="auto"/>
      </w:pPr>
      <w:r>
        <w:rPr>
          <w:rFonts w:ascii="Arial" w:hAnsi="Arial" w:cs="Arial"/>
        </w:rPr>
        <w:t>Adult employees have additional considerations with continued development encouraged or necessitated (</w:t>
      </w:r>
      <w:proofErr w:type="spellStart"/>
      <w:r>
        <w:rPr>
          <w:rFonts w:ascii="Arial" w:hAnsi="Arial" w:cs="Arial"/>
        </w:rPr>
        <w:t>Magwenya</w:t>
      </w:r>
      <w:proofErr w:type="spellEnd"/>
      <w:r>
        <w:rPr>
          <w:rFonts w:ascii="Arial" w:hAnsi="Arial" w:cs="Arial"/>
        </w:rPr>
        <w:t xml:space="preserve"> et al., 2022). Also known as continuing professional development, or lifelong learning, professionals continue to develop to further their knowledge and skills, keeping abreast of any developments </w:t>
      </w:r>
      <w:r>
        <w:rPr>
          <w:rFonts w:ascii="Arial" w:hAnsi="Arial" w:cs="Arial"/>
          <w:shd w:val="clear" w:color="auto" w:fill="FFFFFF"/>
        </w:rPr>
        <w:t>(</w:t>
      </w:r>
      <w:proofErr w:type="spellStart"/>
      <w:r>
        <w:fldChar w:fldCharType="begin"/>
      </w:r>
      <w:r>
        <w:instrText xml:space="preserve"> HYPERLINK  "https://journals-sagepub-com.ezproxy.uwtsd.ac.uk/doi/full/10.1177/14779714221140925#bibr9-14779714221140925" </w:instrText>
      </w:r>
      <w:r>
        <w:fldChar w:fldCharType="separate"/>
      </w:r>
      <w:r>
        <w:rPr>
          <w:rStyle w:val="Hyperlink"/>
          <w:rFonts w:ascii="Arial" w:hAnsi="Arial" w:cs="Arial"/>
          <w:color w:val="auto"/>
          <w:u w:val="none"/>
          <w:shd w:val="clear" w:color="auto" w:fill="FFFFFF"/>
        </w:rPr>
        <w:t>Hegney</w:t>
      </w:r>
      <w:proofErr w:type="spellEnd"/>
      <w:r>
        <w:rPr>
          <w:rStyle w:val="Hyperlink"/>
          <w:rFonts w:ascii="Arial" w:hAnsi="Arial" w:cs="Arial"/>
          <w:color w:val="auto"/>
          <w:u w:val="none"/>
          <w:shd w:val="clear" w:color="auto" w:fill="FFFFFF"/>
        </w:rPr>
        <w:t xml:space="preserve"> et al., 2010</w:t>
      </w:r>
      <w:r>
        <w:rPr>
          <w:rStyle w:val="Hyperlink"/>
          <w:rFonts w:ascii="Arial" w:hAnsi="Arial" w:cs="Arial"/>
          <w:color w:val="auto"/>
          <w:u w:val="none"/>
          <w:shd w:val="clear" w:color="auto" w:fill="FFFFFF"/>
        </w:rPr>
        <w:fldChar w:fldCharType="end"/>
      </w:r>
      <w:r>
        <w:rPr>
          <w:rFonts w:ascii="Arial" w:hAnsi="Arial" w:cs="Arial"/>
          <w:shd w:val="clear" w:color="auto" w:fill="FFFFFF"/>
        </w:rPr>
        <w:t>; </w:t>
      </w:r>
      <w:proofErr w:type="spellStart"/>
      <w:r>
        <w:fldChar w:fldCharType="begin"/>
      </w:r>
      <w:r>
        <w:instrText xml:space="preserve"> HYPERLINK  "https://journals-sagepub-com.ezproxy.uwtsd.ac.uk/doi/full/10.1177/14779714221140925#bibr2-14779714221140925" </w:instrText>
      </w:r>
      <w:r>
        <w:fldChar w:fldCharType="separate"/>
      </w:r>
      <w:r>
        <w:rPr>
          <w:rStyle w:val="Hyperlink"/>
          <w:rFonts w:ascii="Arial" w:hAnsi="Arial" w:cs="Arial"/>
          <w:color w:val="auto"/>
          <w:u w:val="none"/>
          <w:shd w:val="clear" w:color="auto" w:fill="FFFFFF"/>
        </w:rPr>
        <w:t>Kourkouta</w:t>
      </w:r>
      <w:proofErr w:type="spellEnd"/>
      <w:r>
        <w:rPr>
          <w:rStyle w:val="Hyperlink"/>
          <w:rFonts w:ascii="Arial" w:hAnsi="Arial" w:cs="Arial"/>
          <w:color w:val="auto"/>
          <w:u w:val="none"/>
          <w:shd w:val="clear" w:color="auto" w:fill="FFFFFF"/>
        </w:rPr>
        <w:t xml:space="preserve"> et al., 2021</w:t>
      </w:r>
      <w:r>
        <w:rPr>
          <w:rStyle w:val="Hyperlink"/>
          <w:rFonts w:ascii="Arial" w:hAnsi="Arial" w:cs="Arial"/>
          <w:color w:val="auto"/>
          <w:u w:val="none"/>
          <w:shd w:val="clear" w:color="auto" w:fill="FFFFFF"/>
        </w:rPr>
        <w:fldChar w:fldCharType="end"/>
      </w:r>
      <w:r>
        <w:rPr>
          <w:rFonts w:ascii="Arial" w:hAnsi="Arial" w:cs="Arial"/>
          <w:shd w:val="clear" w:color="auto" w:fill="FFFFFF"/>
        </w:rPr>
        <w:t xml:space="preserve">; </w:t>
      </w:r>
      <w:hyperlink r:id="rId9" w:anchor="bibr20-14779714221140925" w:history="1">
        <w:r>
          <w:rPr>
            <w:rStyle w:val="Hyperlink"/>
            <w:rFonts w:ascii="Arial" w:hAnsi="Arial" w:cs="Arial"/>
            <w:color w:val="auto"/>
            <w:u w:val="none"/>
            <w:shd w:val="clear" w:color="auto" w:fill="FFFFFF"/>
          </w:rPr>
          <w:t xml:space="preserve">Ouellet &amp; </w:t>
        </w:r>
        <w:proofErr w:type="spellStart"/>
        <w:r>
          <w:rPr>
            <w:rStyle w:val="Hyperlink"/>
            <w:rFonts w:ascii="Arial" w:hAnsi="Arial" w:cs="Arial"/>
            <w:color w:val="auto"/>
            <w:u w:val="none"/>
            <w:shd w:val="clear" w:color="auto" w:fill="FFFFFF"/>
          </w:rPr>
          <w:t>Mukamurera</w:t>
        </w:r>
        <w:proofErr w:type="spellEnd"/>
        <w:r>
          <w:rPr>
            <w:rStyle w:val="Hyperlink"/>
            <w:rFonts w:ascii="Arial" w:hAnsi="Arial" w:cs="Arial"/>
            <w:color w:val="auto"/>
            <w:u w:val="none"/>
            <w:shd w:val="clear" w:color="auto" w:fill="FFFFFF"/>
          </w:rPr>
          <w:t>, 2017</w:t>
        </w:r>
      </w:hyperlink>
      <w:r>
        <w:rPr>
          <w:rFonts w:ascii="Arial" w:hAnsi="Arial" w:cs="Arial"/>
          <w:shd w:val="clear" w:color="auto" w:fill="FFFFFF"/>
        </w:rPr>
        <w:t>).</w:t>
      </w:r>
      <w:r>
        <w:rPr>
          <w:rFonts w:ascii="Arial" w:hAnsi="Arial" w:cs="Arial"/>
        </w:rPr>
        <w:t xml:space="preserve">   </w:t>
      </w:r>
      <w:proofErr w:type="spellStart"/>
      <w:r>
        <w:rPr>
          <w:rFonts w:ascii="Arial" w:hAnsi="Arial" w:cs="Arial"/>
        </w:rPr>
        <w:t>Hababa</w:t>
      </w:r>
      <w:proofErr w:type="spellEnd"/>
      <w:r>
        <w:rPr>
          <w:rFonts w:ascii="Arial" w:hAnsi="Arial" w:cs="Arial"/>
        </w:rPr>
        <w:t xml:space="preserve"> et al. (2020) asserted there is an “unequivocal global agreement” that employees in healthcare need continuing education to advance skills aligned to scientific advancements and to prepare for future population needs</w:t>
      </w:r>
      <w:r w:rsidR="003452E7">
        <w:rPr>
          <w:rFonts w:ascii="Arial" w:hAnsi="Arial" w:cs="Arial"/>
        </w:rPr>
        <w:t>.</w:t>
      </w:r>
      <w:r w:rsidR="004C6D64">
        <w:rPr>
          <w:rFonts w:ascii="Arial" w:hAnsi="Arial" w:cs="Arial"/>
        </w:rPr>
        <w:t xml:space="preserve"> </w:t>
      </w:r>
      <w:r>
        <w:rPr>
          <w:rFonts w:ascii="Arial" w:hAnsi="Arial" w:cs="Arial"/>
        </w:rPr>
        <w:t>There is further acknowledgement internationally</w:t>
      </w:r>
      <w:r w:rsidR="003452E7">
        <w:rPr>
          <w:rFonts w:ascii="Arial" w:hAnsi="Arial" w:cs="Arial"/>
        </w:rPr>
        <w:t xml:space="preserve">, particularly in </w:t>
      </w:r>
      <w:r w:rsidR="009F623E">
        <w:rPr>
          <w:rFonts w:ascii="Arial" w:hAnsi="Arial" w:cs="Arial"/>
        </w:rPr>
        <w:t>Africa and South/South East Asia,</w:t>
      </w:r>
      <w:r>
        <w:rPr>
          <w:rFonts w:ascii="Arial" w:hAnsi="Arial" w:cs="Arial"/>
        </w:rPr>
        <w:t xml:space="preserve"> that to enhance the quality of healthcare, professionals need strengthening via all levels of training to meet the unpredictable and highly-complex situations in </w:t>
      </w:r>
      <w:r w:rsidRPr="00B024A0">
        <w:rPr>
          <w:rFonts w:ascii="Arial" w:hAnsi="Arial" w:cs="Arial"/>
        </w:rPr>
        <w:t>healthcare</w:t>
      </w:r>
      <w:r w:rsidR="004C6D64" w:rsidRPr="00B024A0">
        <w:rPr>
          <w:rFonts w:ascii="Arial" w:hAnsi="Arial" w:cs="Arial"/>
        </w:rPr>
        <w:t xml:space="preserve"> (</w:t>
      </w:r>
      <w:proofErr w:type="spellStart"/>
      <w:r w:rsidR="004C6D64" w:rsidRPr="00B024A0">
        <w:fldChar w:fldCharType="begin"/>
      </w:r>
      <w:r w:rsidR="004C6D64" w:rsidRPr="00B024A0">
        <w:instrText xml:space="preserve"> HYPERLINK  "https://journals-sagepub-com.ezproxy.uwtsd.ac.uk/doi/full/10.1177/14779714221140925#bibr8-14779714221140925" </w:instrText>
      </w:r>
      <w:r w:rsidR="004C6D64" w:rsidRPr="00B024A0">
        <w:fldChar w:fldCharType="separate"/>
      </w:r>
      <w:r w:rsidR="004C6D64" w:rsidRPr="00B024A0">
        <w:rPr>
          <w:rStyle w:val="Hyperlink"/>
          <w:rFonts w:ascii="Arial" w:hAnsi="Arial" w:cs="Arial"/>
          <w:color w:val="auto"/>
          <w:u w:val="none"/>
        </w:rPr>
        <w:t>Hababa</w:t>
      </w:r>
      <w:proofErr w:type="spellEnd"/>
      <w:r w:rsidR="004C6D64" w:rsidRPr="00B024A0">
        <w:rPr>
          <w:rStyle w:val="Hyperlink"/>
          <w:rFonts w:ascii="Arial" w:hAnsi="Arial" w:cs="Arial"/>
          <w:color w:val="auto"/>
          <w:u w:val="none"/>
        </w:rPr>
        <w:t xml:space="preserve"> et al., 2020</w:t>
      </w:r>
      <w:r w:rsidR="004C6D64" w:rsidRPr="00B024A0">
        <w:rPr>
          <w:rStyle w:val="Hyperlink"/>
          <w:rFonts w:ascii="Arial" w:hAnsi="Arial" w:cs="Arial"/>
          <w:color w:val="auto"/>
          <w:u w:val="none"/>
        </w:rPr>
        <w:fldChar w:fldCharType="end"/>
      </w:r>
      <w:r w:rsidR="00B024A0" w:rsidRPr="00B024A0">
        <w:rPr>
          <w:rStyle w:val="Hyperlink"/>
          <w:rFonts w:ascii="Arial" w:hAnsi="Arial" w:cs="Arial"/>
          <w:color w:val="auto"/>
          <w:u w:val="none"/>
        </w:rPr>
        <w:t>;</w:t>
      </w:r>
      <w:r w:rsidR="00B024A0">
        <w:rPr>
          <w:rStyle w:val="Hyperlink"/>
          <w:rFonts w:ascii="Arial" w:hAnsi="Arial" w:cs="Arial"/>
          <w:color w:val="auto"/>
        </w:rPr>
        <w:t xml:space="preserve"> </w:t>
      </w:r>
      <w:proofErr w:type="spellStart"/>
      <w:r w:rsidR="00B024A0">
        <w:rPr>
          <w:rFonts w:ascii="Arial" w:hAnsi="Arial" w:cs="Arial"/>
        </w:rPr>
        <w:t>Magwenya</w:t>
      </w:r>
      <w:proofErr w:type="spellEnd"/>
      <w:r w:rsidR="00B024A0">
        <w:rPr>
          <w:rFonts w:ascii="Arial" w:hAnsi="Arial" w:cs="Arial"/>
        </w:rPr>
        <w:t xml:space="preserve"> et al., 2022</w:t>
      </w:r>
      <w:r w:rsidR="004C6D64">
        <w:rPr>
          <w:rFonts w:ascii="Arial" w:hAnsi="Arial" w:cs="Arial"/>
        </w:rPr>
        <w:t xml:space="preserve">).  </w:t>
      </w:r>
      <w:r>
        <w:rPr>
          <w:rFonts w:ascii="Arial" w:hAnsi="Arial" w:cs="Arial"/>
        </w:rPr>
        <w:t xml:space="preserve"> </w:t>
      </w:r>
    </w:p>
    <w:p w14:paraId="78673828" w14:textId="77777777" w:rsidR="00E71AC0" w:rsidRDefault="00E71AC0">
      <w:pPr>
        <w:spacing w:line="360" w:lineRule="auto"/>
        <w:rPr>
          <w:rFonts w:ascii="Arial" w:hAnsi="Arial" w:cs="Arial"/>
        </w:rPr>
      </w:pPr>
    </w:p>
    <w:p w14:paraId="78673829" w14:textId="77777777" w:rsidR="00E71AC0" w:rsidRDefault="00667FA1">
      <w:pPr>
        <w:spacing w:line="360" w:lineRule="auto"/>
        <w:rPr>
          <w:rFonts w:ascii="Arial" w:hAnsi="Arial" w:cs="Arial"/>
        </w:rPr>
      </w:pPr>
      <w:r>
        <w:rPr>
          <w:rFonts w:ascii="Arial" w:hAnsi="Arial" w:cs="Arial"/>
        </w:rPr>
        <w:t xml:space="preserve">In the United Kingdom, continuous education, known as continuous professional development, is mandatory for registered healthcare professionals and optional for non-registered (GMC, n.d.; RCN, 2024).  Studies conducted in the United Kingdom revealed that the outcomes to healthcare employees continuing in education include an increase in knowledge and confidence, and benefits to patient care, practice, resources, and support.  Additionally, studies reveal health professionals’ motivations in pursuing education includes the expectation to increase, maintain or </w:t>
      </w:r>
      <w:r>
        <w:rPr>
          <w:rFonts w:ascii="Arial" w:hAnsi="Arial" w:cs="Arial"/>
        </w:rPr>
        <w:lastRenderedPageBreak/>
        <w:t xml:space="preserve">achieve professional competence, and keeping </w:t>
      </w:r>
      <w:proofErr w:type="gramStart"/>
      <w:r>
        <w:rPr>
          <w:rFonts w:ascii="Arial" w:hAnsi="Arial" w:cs="Arial"/>
        </w:rPr>
        <w:t>up-to-date</w:t>
      </w:r>
      <w:proofErr w:type="gramEnd"/>
      <w:r>
        <w:rPr>
          <w:rFonts w:ascii="Arial" w:hAnsi="Arial" w:cs="Arial"/>
        </w:rPr>
        <w:t xml:space="preserve"> with clinical and technological advancements in medicine and care, all to deliver high quality patient care and service improvements (Ali, et al., 2022; King, et al., 2021; </w:t>
      </w:r>
      <w:proofErr w:type="spellStart"/>
      <w:r>
        <w:rPr>
          <w:rFonts w:ascii="Arial" w:hAnsi="Arial" w:cs="Arial"/>
        </w:rPr>
        <w:t>Kourkouta</w:t>
      </w:r>
      <w:proofErr w:type="spellEnd"/>
      <w:r>
        <w:rPr>
          <w:rFonts w:ascii="Arial" w:hAnsi="Arial" w:cs="Arial"/>
        </w:rPr>
        <w:t xml:space="preserve">, et al., 2021; </w:t>
      </w:r>
      <w:proofErr w:type="spellStart"/>
      <w:r>
        <w:rPr>
          <w:rFonts w:ascii="Arial" w:hAnsi="Arial" w:cs="Arial"/>
        </w:rPr>
        <w:t>Tachtsoglou</w:t>
      </w:r>
      <w:proofErr w:type="spellEnd"/>
      <w:r>
        <w:rPr>
          <w:rFonts w:ascii="Arial" w:hAnsi="Arial" w:cs="Arial"/>
        </w:rPr>
        <w:t xml:space="preserve">, et al., 2020; Wang, et al., 2018)).  </w:t>
      </w:r>
    </w:p>
    <w:p w14:paraId="7867382A" w14:textId="77777777" w:rsidR="00E71AC0" w:rsidRDefault="00E71AC0">
      <w:pPr>
        <w:shd w:val="clear" w:color="auto" w:fill="FFFFFF"/>
        <w:spacing w:line="360" w:lineRule="auto"/>
        <w:rPr>
          <w:rFonts w:ascii="Arial" w:hAnsi="Arial" w:cs="Arial"/>
        </w:rPr>
      </w:pPr>
    </w:p>
    <w:p w14:paraId="7867382B" w14:textId="77777777" w:rsidR="00E71AC0" w:rsidRDefault="00667FA1">
      <w:pPr>
        <w:spacing w:line="360" w:lineRule="auto"/>
        <w:rPr>
          <w:rFonts w:ascii="Arial" w:hAnsi="Arial" w:cs="Arial"/>
          <w:u w:val="single"/>
        </w:rPr>
      </w:pPr>
      <w:r>
        <w:rPr>
          <w:rFonts w:ascii="Arial" w:hAnsi="Arial" w:cs="Arial"/>
          <w:u w:val="single"/>
        </w:rPr>
        <w:t>Virtual Learning</w:t>
      </w:r>
    </w:p>
    <w:p w14:paraId="7867382C" w14:textId="77777777" w:rsidR="00E71AC0" w:rsidRDefault="00667FA1">
      <w:pPr>
        <w:spacing w:line="360" w:lineRule="auto"/>
        <w:rPr>
          <w:rFonts w:ascii="Arial" w:hAnsi="Arial" w:cs="Arial"/>
        </w:rPr>
      </w:pPr>
      <w:r>
        <w:rPr>
          <w:rFonts w:ascii="Arial" w:hAnsi="Arial" w:cs="Arial"/>
        </w:rPr>
        <w:t xml:space="preserve">Virtual learning has created new methods of learning, including a blend of virtual learning environments (or on-demand) and face-to-face learning.  Globally, organisations can deliver both live and on-demand learning, giving employees opportunities to catch up and learn when convenient (Seymour-Walsh et al., 2020b). </w:t>
      </w:r>
    </w:p>
    <w:p w14:paraId="7867382D" w14:textId="77777777" w:rsidR="00E71AC0" w:rsidRDefault="00E71AC0">
      <w:pPr>
        <w:spacing w:line="360" w:lineRule="auto"/>
        <w:rPr>
          <w:rFonts w:ascii="Arial" w:hAnsi="Arial" w:cs="Arial"/>
        </w:rPr>
      </w:pPr>
    </w:p>
    <w:p w14:paraId="7867382E" w14:textId="77777777" w:rsidR="00E71AC0" w:rsidRDefault="00667FA1">
      <w:pPr>
        <w:spacing w:line="360" w:lineRule="auto"/>
      </w:pPr>
      <w:r>
        <w:rPr>
          <w:rFonts w:ascii="Arial" w:hAnsi="Arial" w:cs="Arial"/>
        </w:rPr>
        <w:t>Virtual education provides autonomy so employees can control the pace of their studies; however, a scheduled programme could impede any benefits of flexibility (</w:t>
      </w:r>
      <w:proofErr w:type="spellStart"/>
      <w:r>
        <w:rPr>
          <w:rFonts w:ascii="Arial" w:hAnsi="Arial" w:cs="Arial"/>
        </w:rPr>
        <w:t>Akerfeldt</w:t>
      </w:r>
      <w:proofErr w:type="spellEnd"/>
      <w:r>
        <w:rPr>
          <w:rFonts w:ascii="Arial" w:hAnsi="Arial" w:cs="Arial"/>
        </w:rPr>
        <w:t xml:space="preserve"> et al., 2024). </w:t>
      </w:r>
    </w:p>
    <w:p w14:paraId="7867382F" w14:textId="77777777" w:rsidR="00E71AC0" w:rsidRDefault="00667FA1">
      <w:pPr>
        <w:spacing w:line="360" w:lineRule="auto"/>
        <w:rPr>
          <w:rFonts w:ascii="Arial" w:hAnsi="Arial" w:cs="Arial"/>
        </w:rPr>
      </w:pPr>
      <w:r>
        <w:rPr>
          <w:rFonts w:ascii="Arial" w:hAnsi="Arial" w:cs="Arial"/>
        </w:rPr>
        <w:t xml:space="preserve">With continuous advancements in technology and equipment, learning is more accessible and easier to navigate, potentially allowing for greater collaboration; however, accessibility can still be an issue, particularly in rural areas where Wi-Fi and broadband width is poor.  Usability of the software or hardware must be considered also; if employees are not inclined to use technology, they may prefer more traditional forms of learning (Hu, 2024). </w:t>
      </w:r>
    </w:p>
    <w:p w14:paraId="78673830" w14:textId="77777777" w:rsidR="00E71AC0" w:rsidRDefault="00667FA1">
      <w:pPr>
        <w:spacing w:line="360" w:lineRule="auto"/>
        <w:rPr>
          <w:rFonts w:ascii="Arial" w:hAnsi="Arial" w:cs="Arial"/>
        </w:rPr>
      </w:pPr>
      <w:r>
        <w:rPr>
          <w:rFonts w:ascii="Arial" w:hAnsi="Arial" w:cs="Arial"/>
        </w:rPr>
        <w:t>Technological advancements bring opportunities to meet different learning needs, though risks for those with low digital literacy levels exist and may desire a more traditional learning environment (Evans et al., 2017; Goodfellow &amp; Leo, 2013).</w:t>
      </w:r>
    </w:p>
    <w:p w14:paraId="78673831" w14:textId="77777777" w:rsidR="00E71AC0" w:rsidRDefault="00667FA1">
      <w:pPr>
        <w:spacing w:line="360" w:lineRule="auto"/>
        <w:rPr>
          <w:rFonts w:ascii="Arial" w:hAnsi="Arial" w:cs="Arial"/>
        </w:rPr>
      </w:pPr>
      <w:r>
        <w:rPr>
          <w:rFonts w:ascii="Arial" w:hAnsi="Arial" w:cs="Arial"/>
        </w:rPr>
        <w:t>It is suggested that adults’ experience and depth of learning is dependent on socialising whilst learning, group work and shared activities, which can be accomplished through face-to-face learning and some virtual learning environments (Duval et al., 2017; Stahl et al., 2014). If the facilitator creates a virtual community, a group of employees could continue the learning post session (Rennie &amp; Smyth, 2020). However, when learning is achieved through on-demand resources, the benefits from socialising in learning will be minimal and could restrict a more rounded learning experience and a chance for collaboration (</w:t>
      </w:r>
      <w:proofErr w:type="spellStart"/>
      <w:r>
        <w:rPr>
          <w:rFonts w:ascii="Arial" w:hAnsi="Arial" w:cs="Arial"/>
        </w:rPr>
        <w:t>Akerfeldt</w:t>
      </w:r>
      <w:proofErr w:type="spellEnd"/>
      <w:r>
        <w:rPr>
          <w:rFonts w:ascii="Arial" w:hAnsi="Arial" w:cs="Arial"/>
        </w:rPr>
        <w:t xml:space="preserve"> et al, 2024; Martin &amp; Borup, 2022). </w:t>
      </w:r>
    </w:p>
    <w:p w14:paraId="78673832" w14:textId="77777777" w:rsidR="00E71AC0" w:rsidRDefault="00667FA1">
      <w:pPr>
        <w:spacing w:line="360" w:lineRule="auto"/>
        <w:rPr>
          <w:rFonts w:ascii="Arial" w:hAnsi="Arial" w:cs="Arial"/>
        </w:rPr>
      </w:pPr>
      <w:r>
        <w:rPr>
          <w:rFonts w:ascii="Arial" w:hAnsi="Arial" w:cs="Arial"/>
        </w:rPr>
        <w:lastRenderedPageBreak/>
        <w:t xml:space="preserve">Rapid progress in technology means potentially frequent changes can make it difficult to keep updated or skills current (Hu, 2024). However, </w:t>
      </w:r>
      <w:proofErr w:type="spellStart"/>
      <w:r>
        <w:rPr>
          <w:rFonts w:ascii="Arial" w:hAnsi="Arial" w:cs="Arial"/>
        </w:rPr>
        <w:t>Melenas</w:t>
      </w:r>
      <w:proofErr w:type="spellEnd"/>
      <w:r>
        <w:rPr>
          <w:rFonts w:ascii="Arial" w:hAnsi="Arial" w:cs="Arial"/>
        </w:rPr>
        <w:t xml:space="preserve"> (2023) asserted the advantages to virtual learning outweigh the disadvantages. With concentration spans decreasing and capacity being limited, virtual learning can comprise short concise elements, known as bitesize learning, to ensure focus is maintained, information fully understood and applied (Seymour-Walsh et al., 2020a).     </w:t>
      </w:r>
    </w:p>
    <w:p w14:paraId="78673833" w14:textId="77777777" w:rsidR="00E71AC0" w:rsidRDefault="00667FA1">
      <w:pPr>
        <w:spacing w:line="360" w:lineRule="auto"/>
      </w:pPr>
      <w:r>
        <w:rPr>
          <w:rFonts w:ascii="Arial" w:hAnsi="Arial" w:cs="Arial"/>
        </w:rPr>
        <w:t xml:space="preserve">Overall, it is widely acknowledged, offering a choice of learning methods increases participation rate, with a higher chance in meeting the preferences of a learner (Steele, 2019; Veronica &amp; Lawrence, 2010; </w:t>
      </w:r>
      <w:r>
        <w:rPr>
          <w:rFonts w:ascii="Arial" w:hAnsi="Arial" w:cs="Arial"/>
          <w:lang w:val="en-US"/>
        </w:rPr>
        <w:t>Yusupova, 2022).</w:t>
      </w:r>
      <w:r>
        <w:rPr>
          <w:rFonts w:ascii="Arial" w:hAnsi="Arial" w:cs="Arial"/>
        </w:rPr>
        <w:t xml:space="preserve">    </w:t>
      </w:r>
    </w:p>
    <w:p w14:paraId="78673834" w14:textId="77777777" w:rsidR="00E71AC0" w:rsidRDefault="00E71AC0">
      <w:pPr>
        <w:spacing w:line="360" w:lineRule="auto"/>
        <w:rPr>
          <w:rFonts w:ascii="Arial" w:hAnsi="Arial" w:cs="Arial"/>
        </w:rPr>
      </w:pPr>
    </w:p>
    <w:p w14:paraId="78673835" w14:textId="77777777" w:rsidR="00E71AC0" w:rsidRDefault="00667FA1">
      <w:pPr>
        <w:spacing w:line="360" w:lineRule="auto"/>
        <w:rPr>
          <w:rFonts w:ascii="Arial" w:hAnsi="Arial" w:cs="Arial"/>
          <w:u w:val="single"/>
        </w:rPr>
      </w:pPr>
      <w:r>
        <w:rPr>
          <w:rFonts w:ascii="Arial" w:hAnsi="Arial" w:cs="Arial"/>
          <w:u w:val="single"/>
        </w:rPr>
        <w:t>Workforce Planning Training</w:t>
      </w:r>
    </w:p>
    <w:p w14:paraId="78673836" w14:textId="77777777" w:rsidR="00E71AC0" w:rsidRDefault="00667FA1">
      <w:pPr>
        <w:spacing w:line="360" w:lineRule="auto"/>
        <w:rPr>
          <w:rFonts w:ascii="Arial" w:hAnsi="Arial" w:cs="Arial"/>
        </w:rPr>
      </w:pPr>
      <w:r>
        <w:rPr>
          <w:rFonts w:ascii="Arial" w:hAnsi="Arial" w:cs="Arial"/>
        </w:rPr>
        <w:t>Though training on strategic workforce planning exists, they are relatively few in comparison to more common human resources training courses, with most programmes held online, and only a few via face-to-face methods (CIPD, 2024).  The common elements between most programmes include what workforce planning is and why it is needed, how to align workforce planning to organisational strategy and business goals, workforce data analytics, identifying the workforce gaps, the implementation of a workforce plan (</w:t>
      </w:r>
      <w:proofErr w:type="spellStart"/>
      <w:r>
        <w:rPr>
          <w:rFonts w:ascii="Arial" w:hAnsi="Arial" w:cs="Arial"/>
        </w:rPr>
        <w:t>Kithaka</w:t>
      </w:r>
      <w:proofErr w:type="spellEnd"/>
      <w:r>
        <w:rPr>
          <w:rFonts w:ascii="Arial" w:hAnsi="Arial" w:cs="Arial"/>
        </w:rPr>
        <w:t xml:space="preserve">, 2021; CIPD, n.d.; HCI, 2024; London Training for Excellence, 2024; My HR Future, 2024).  These courses either cover general workforce planning or strategic workforce planning; none appear to offer insights into how to bridge between the two. </w:t>
      </w:r>
    </w:p>
    <w:p w14:paraId="78673837" w14:textId="77777777" w:rsidR="00E71AC0" w:rsidRDefault="00667FA1">
      <w:pPr>
        <w:spacing w:line="360" w:lineRule="auto"/>
      </w:pPr>
      <w:r>
        <w:rPr>
          <w:rFonts w:ascii="Arial" w:hAnsi="Arial" w:cs="Arial"/>
        </w:rPr>
        <w:t xml:space="preserve">Research also revealed that all formal courses provided externally to the NHS has a cost attached, ranging from a monthly subscription or membership of an organisation to a one-off payment of thousands of pounds.  Due to financial pressures facing the NHS UK-wide, any additional cost is non-negotiable (Cookson &amp; Cameron-Chileshe, 2023; Appleby, Leng, &amp; Marshall, 2024). </w:t>
      </w:r>
    </w:p>
    <w:p w14:paraId="78673838" w14:textId="77777777" w:rsidR="00E71AC0" w:rsidRDefault="00667FA1">
      <w:pPr>
        <w:spacing w:line="360" w:lineRule="auto"/>
        <w:rPr>
          <w:rFonts w:ascii="Arial" w:hAnsi="Arial" w:cs="Arial"/>
        </w:rPr>
      </w:pPr>
      <w:r>
        <w:rPr>
          <w:rFonts w:ascii="Arial" w:hAnsi="Arial" w:cs="Arial"/>
        </w:rPr>
        <w:t>The method of delivery is varied; however, as workforce planning is not an activity governed by a professional body requiring registration, there is no requirement for educational programmes to meet specific requirements or meet quality assurance standards, other than their internal standards to the company.  This raises questions around the content of the programmes that cannot be fully realised until the learner is fully immersed into the study.</w:t>
      </w:r>
    </w:p>
    <w:p w14:paraId="78673839" w14:textId="77777777" w:rsidR="00E71AC0" w:rsidRDefault="00E71AC0">
      <w:pPr>
        <w:spacing w:line="360" w:lineRule="auto"/>
        <w:rPr>
          <w:rFonts w:ascii="Arial" w:hAnsi="Arial" w:cs="Arial"/>
        </w:rPr>
      </w:pPr>
    </w:p>
    <w:p w14:paraId="7867383A" w14:textId="77777777" w:rsidR="00E71AC0" w:rsidRDefault="00667FA1">
      <w:pPr>
        <w:spacing w:line="360" w:lineRule="auto"/>
      </w:pPr>
      <w:r>
        <w:rPr>
          <w:rFonts w:ascii="Arial" w:hAnsi="Arial" w:cs="Arial"/>
        </w:rPr>
        <w:lastRenderedPageBreak/>
        <w:t xml:space="preserve">Within the NHS across the United Kingdom, there are resources, toolkits and guides provided by various healthcare organisations; however, there is no facilitated or self-directed educational programme on workforce planning in the NHS UK-wide (Holden, 2023; NHS Improvement, 2021; NHS Improvement, 2021a).   </w:t>
      </w:r>
    </w:p>
    <w:p w14:paraId="7867383B" w14:textId="181B0F28" w:rsidR="00E71AC0" w:rsidRDefault="00667FA1">
      <w:pPr>
        <w:spacing w:line="360" w:lineRule="auto"/>
      </w:pPr>
      <w:r>
        <w:rPr>
          <w:rFonts w:ascii="Arial" w:hAnsi="Arial" w:cs="Arial"/>
        </w:rPr>
        <w:t xml:space="preserve">Within NHS Wales, four Health Boards offer workforce planning training either through virtual or face-to-face means, though all are presented live, based on the original HEIW Six Step Methodology training (Skills4Health, 2024).  While training allows for standardisation across NHS Wales, there is no flexibility in the formatting or content, potentially resulting in a low uptake of managers to undertake the training.  This is demonstrated in Hywel Dda’s attendee data on workforce planning training sessions, suggesting although there is a desire to attend, there is a barrier to attending, with only 45% of those booked attending. </w:t>
      </w:r>
      <w:r w:rsidR="001B65CD">
        <w:rPr>
          <w:rFonts w:ascii="Arial" w:hAnsi="Arial" w:cs="Arial"/>
        </w:rPr>
        <w:t>Anecdotally</w:t>
      </w:r>
      <w:r w:rsidR="00CB66DB">
        <w:rPr>
          <w:rFonts w:ascii="Arial" w:hAnsi="Arial" w:cs="Arial"/>
        </w:rPr>
        <w:t xml:space="preserve">, it is thought that capacity may be the key barrier to attending, </w:t>
      </w:r>
      <w:r w:rsidR="00EB56C9">
        <w:rPr>
          <w:rFonts w:ascii="Arial" w:hAnsi="Arial" w:cs="Arial"/>
        </w:rPr>
        <w:t>though there is no recorded evidence to support this.</w:t>
      </w:r>
      <w:r>
        <w:rPr>
          <w:rFonts w:ascii="Arial" w:hAnsi="Arial" w:cs="Arial"/>
        </w:rPr>
        <w:t xml:space="preserve"> </w:t>
      </w:r>
    </w:p>
    <w:p w14:paraId="7867383C" w14:textId="77777777" w:rsidR="00E71AC0" w:rsidRDefault="00667FA1">
      <w:pPr>
        <w:spacing w:line="360" w:lineRule="auto"/>
      </w:pPr>
      <w:r>
        <w:rPr>
          <w:rFonts w:ascii="Arial" w:hAnsi="Arial" w:cs="Arial"/>
          <w:noProof/>
        </w:rPr>
        <mc:AlternateContent>
          <mc:Choice Requires="wps">
            <w:drawing>
              <wp:anchor distT="0" distB="0" distL="114300" distR="114300" simplePos="0" relativeHeight="251671552" behindDoc="0" locked="0" layoutInCell="1" allowOverlap="1" wp14:anchorId="786737BA" wp14:editId="786737BB">
                <wp:simplePos x="0" y="0"/>
                <wp:positionH relativeFrom="margin">
                  <wp:posOffset>-596902</wp:posOffset>
                </wp:positionH>
                <wp:positionV relativeFrom="paragraph">
                  <wp:posOffset>220342</wp:posOffset>
                </wp:positionV>
                <wp:extent cx="6964042" cy="20959"/>
                <wp:effectExtent l="0" t="0" r="27308" b="36191"/>
                <wp:wrapNone/>
                <wp:docPr id="4" name="Straight Connector 12"/>
                <wp:cNvGraphicFramePr/>
                <a:graphic xmlns:a="http://schemas.openxmlformats.org/drawingml/2006/main">
                  <a:graphicData uri="http://schemas.microsoft.com/office/word/2010/wordprocessingShape">
                    <wps:wsp>
                      <wps:cNvCnPr/>
                      <wps:spPr>
                        <a:xfrm flipV="1">
                          <a:off x="0" y="0"/>
                          <a:ext cx="6964042" cy="20959"/>
                        </a:xfrm>
                        <a:prstGeom prst="straightConnector1">
                          <a:avLst/>
                        </a:prstGeom>
                        <a:noFill/>
                        <a:ln w="19046" cap="flat">
                          <a:solidFill>
                            <a:srgbClr val="000000"/>
                          </a:solidFill>
                          <a:prstDash val="solid"/>
                          <a:miter/>
                        </a:ln>
                      </wps:spPr>
                      <wps:bodyPr/>
                    </wps:wsp>
                  </a:graphicData>
                </a:graphic>
              </wp:anchor>
            </w:drawing>
          </mc:Choice>
          <mc:Fallback>
            <w:pict>
              <v:shape w14:anchorId="290A80D5" id="Straight Connector 12" o:spid="_x0000_s1026" type="#_x0000_t32" style="position:absolute;margin-left:-47pt;margin-top:17.35pt;width:548.35pt;height:1.65pt;flip:y;z-index:251671552;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" strokeweight=".52906mm">
                <v:stroke joinstyle="miter"/>
                <w10:wrap anchorx="margin"/>
              </v:shape>
            </w:pict>
          </mc:Fallback>
        </mc:AlternateContent>
      </w:r>
      <w:r>
        <w:rPr>
          <w:rFonts w:ascii="Arial" w:hAnsi="Arial" w:cs="Arial"/>
        </w:rPr>
        <w:t xml:space="preserve">  </w:t>
      </w:r>
    </w:p>
    <w:p w14:paraId="7867383D" w14:textId="77777777" w:rsidR="00E71AC0" w:rsidRDefault="00667FA1">
      <w:pPr>
        <w:spacing w:line="360" w:lineRule="auto"/>
      </w:pPr>
      <w:r>
        <w:rPr>
          <w:rFonts w:ascii="Arial" w:hAnsi="Arial" w:cs="Arial"/>
          <w:b/>
          <w:bCs/>
        </w:rPr>
        <w:t xml:space="preserve">  </w:t>
      </w:r>
    </w:p>
    <w:p w14:paraId="20AB243A" w14:textId="77777777" w:rsidR="00194F18" w:rsidRDefault="00194F18">
      <w:pPr>
        <w:suppressAutoHyphens w:val="0"/>
        <w:spacing w:after="160" w:line="247" w:lineRule="auto"/>
        <w:rPr>
          <w:rFonts w:ascii="Arial" w:hAnsi="Arial" w:cs="Arial"/>
          <w:b/>
          <w:bCs/>
          <w:u w:val="single"/>
        </w:rPr>
      </w:pPr>
      <w:r>
        <w:rPr>
          <w:rFonts w:ascii="Arial" w:hAnsi="Arial" w:cs="Arial"/>
          <w:b/>
          <w:bCs/>
          <w:u w:val="single"/>
        </w:rPr>
        <w:br w:type="page"/>
      </w:r>
    </w:p>
    <w:p w14:paraId="7867390C" w14:textId="18F240C2" w:rsidR="00E71AC0" w:rsidRDefault="00667FA1">
      <w:pPr>
        <w:spacing w:line="360" w:lineRule="auto"/>
        <w:rPr>
          <w:rFonts w:ascii="Arial" w:hAnsi="Arial" w:cs="Arial"/>
          <w:b/>
          <w:bCs/>
          <w:u w:val="single"/>
        </w:rPr>
      </w:pPr>
      <w:r>
        <w:rPr>
          <w:rFonts w:ascii="Arial" w:hAnsi="Arial" w:cs="Arial"/>
          <w:b/>
          <w:bCs/>
          <w:u w:val="single"/>
        </w:rPr>
        <w:lastRenderedPageBreak/>
        <w:t>Bibliography</w:t>
      </w:r>
    </w:p>
    <w:p w14:paraId="7867390D" w14:textId="77777777" w:rsidR="00E71AC0" w:rsidRDefault="00E71AC0">
      <w:pPr>
        <w:spacing w:line="360" w:lineRule="auto"/>
        <w:rPr>
          <w:rFonts w:ascii="Arial" w:hAnsi="Arial" w:cs="Arial"/>
          <w:b/>
          <w:bCs/>
          <w:u w:val="single"/>
        </w:rPr>
      </w:pPr>
    </w:p>
    <w:p w14:paraId="7867390E" w14:textId="77777777" w:rsidR="00E71AC0" w:rsidRDefault="00667FA1">
      <w:pPr>
        <w:pStyle w:val="Bibliography"/>
        <w:spacing w:line="360" w:lineRule="auto"/>
        <w:ind w:left="720" w:hanging="720"/>
      </w:pPr>
      <w:proofErr w:type="spellStart"/>
      <w:r>
        <w:rPr>
          <w:rFonts w:ascii="Arial" w:hAnsi="Arial" w:cs="Arial"/>
          <w:lang w:val="en-US"/>
        </w:rPr>
        <w:t>Akerfeldt</w:t>
      </w:r>
      <w:proofErr w:type="spellEnd"/>
      <w:r>
        <w:rPr>
          <w:rFonts w:ascii="Arial" w:hAnsi="Arial" w:cs="Arial"/>
          <w:lang w:val="en-US"/>
        </w:rPr>
        <w:t xml:space="preserve">, A., Bergdahl, N., &amp; </w:t>
      </w:r>
      <w:proofErr w:type="spellStart"/>
      <w:r>
        <w:rPr>
          <w:rFonts w:ascii="Arial" w:hAnsi="Arial" w:cs="Arial"/>
          <w:lang w:val="en-US"/>
        </w:rPr>
        <w:t>Hrastinkski</w:t>
      </w:r>
      <w:proofErr w:type="spellEnd"/>
      <w:r>
        <w:rPr>
          <w:rFonts w:ascii="Arial" w:hAnsi="Arial" w:cs="Arial"/>
          <w:lang w:val="en-US"/>
        </w:rPr>
        <w:t xml:space="preserve">, S. (2024). Adult learners’ perceptions of distance education. </w:t>
      </w:r>
      <w:r>
        <w:rPr>
          <w:rFonts w:ascii="Arial" w:hAnsi="Arial" w:cs="Arial"/>
          <w:i/>
          <w:iCs/>
          <w:lang w:val="en-US"/>
        </w:rPr>
        <w:t>Journal of Adult and Continuing Education</w:t>
      </w:r>
      <w:r>
        <w:rPr>
          <w:rFonts w:ascii="Arial" w:hAnsi="Arial" w:cs="Arial"/>
          <w:lang w:val="en-US"/>
        </w:rPr>
        <w:t>, Volume 30, Issue 1, Pages 248-266.</w:t>
      </w:r>
    </w:p>
    <w:p w14:paraId="7867390F" w14:textId="77777777" w:rsidR="00E71AC0" w:rsidRDefault="00667FA1">
      <w:pPr>
        <w:pStyle w:val="Bibliography"/>
        <w:spacing w:line="360" w:lineRule="auto"/>
        <w:ind w:left="720" w:hanging="720"/>
      </w:pPr>
      <w:r>
        <w:rPr>
          <w:rFonts w:ascii="Arial" w:hAnsi="Arial" w:cs="Arial"/>
          <w:lang w:val="en-US"/>
        </w:rPr>
        <w:t xml:space="preserve">Ali, D. A., </w:t>
      </w:r>
      <w:proofErr w:type="spellStart"/>
      <w:r>
        <w:rPr>
          <w:rFonts w:ascii="Arial" w:hAnsi="Arial" w:cs="Arial"/>
          <w:lang w:val="en-US"/>
        </w:rPr>
        <w:t>Fazaz</w:t>
      </w:r>
      <w:proofErr w:type="spellEnd"/>
      <w:r>
        <w:rPr>
          <w:rFonts w:ascii="Arial" w:hAnsi="Arial" w:cs="Arial"/>
          <w:lang w:val="en-US"/>
        </w:rPr>
        <w:t xml:space="preserve">, M., </w:t>
      </w:r>
      <w:proofErr w:type="spellStart"/>
      <w:r>
        <w:rPr>
          <w:rFonts w:ascii="Arial" w:hAnsi="Arial" w:cs="Arial"/>
          <w:lang w:val="en-US"/>
        </w:rPr>
        <w:t>Ounaceur</w:t>
      </w:r>
      <w:proofErr w:type="spellEnd"/>
      <w:r>
        <w:rPr>
          <w:rFonts w:ascii="Arial" w:hAnsi="Arial" w:cs="Arial"/>
          <w:lang w:val="en-US"/>
        </w:rPr>
        <w:t xml:space="preserve">, B., </w:t>
      </w:r>
      <w:proofErr w:type="spellStart"/>
      <w:r>
        <w:rPr>
          <w:rFonts w:ascii="Arial" w:hAnsi="Arial" w:cs="Arial"/>
          <w:lang w:val="en-US"/>
        </w:rPr>
        <w:t>Houate</w:t>
      </w:r>
      <w:proofErr w:type="spellEnd"/>
      <w:r>
        <w:rPr>
          <w:rFonts w:ascii="Arial" w:hAnsi="Arial" w:cs="Arial"/>
          <w:lang w:val="en-US"/>
        </w:rPr>
        <w:t xml:space="preserve">, B. E., </w:t>
      </w:r>
      <w:proofErr w:type="spellStart"/>
      <w:r>
        <w:rPr>
          <w:rFonts w:ascii="Arial" w:hAnsi="Arial" w:cs="Arial"/>
          <w:lang w:val="en-US"/>
        </w:rPr>
        <w:t>Koutbi</w:t>
      </w:r>
      <w:proofErr w:type="spellEnd"/>
      <w:r>
        <w:rPr>
          <w:rFonts w:ascii="Arial" w:hAnsi="Arial" w:cs="Arial"/>
          <w:lang w:val="en-US"/>
        </w:rPr>
        <w:t xml:space="preserve">, M. E., </w:t>
      </w:r>
      <w:proofErr w:type="spellStart"/>
      <w:r>
        <w:rPr>
          <w:rFonts w:ascii="Arial" w:hAnsi="Arial" w:cs="Arial"/>
          <w:lang w:val="en-US"/>
        </w:rPr>
        <w:t>Khiat</w:t>
      </w:r>
      <w:proofErr w:type="spellEnd"/>
      <w:r>
        <w:rPr>
          <w:rFonts w:ascii="Arial" w:hAnsi="Arial" w:cs="Arial"/>
          <w:lang w:val="en-US"/>
        </w:rPr>
        <w:t xml:space="preserve">, A. E., &amp; </w:t>
      </w:r>
      <w:proofErr w:type="spellStart"/>
      <w:r>
        <w:rPr>
          <w:rFonts w:ascii="Arial" w:hAnsi="Arial" w:cs="Arial"/>
          <w:lang w:val="en-US"/>
        </w:rPr>
        <w:t>Shenjazi</w:t>
      </w:r>
      <w:proofErr w:type="spellEnd"/>
      <w:r>
        <w:rPr>
          <w:rFonts w:ascii="Arial" w:hAnsi="Arial" w:cs="Arial"/>
          <w:lang w:val="en-US"/>
        </w:rPr>
        <w:t xml:space="preserve">, F. (2022). Motivational factors influencing nurses’ participation in continuing education sessions: A hospital-based study. </w:t>
      </w:r>
      <w:r>
        <w:rPr>
          <w:rFonts w:ascii="Arial" w:hAnsi="Arial" w:cs="Arial"/>
          <w:i/>
          <w:iCs/>
          <w:lang w:val="en-US"/>
        </w:rPr>
        <w:t>Journal of Adult and Continuing Education</w:t>
      </w:r>
      <w:r>
        <w:rPr>
          <w:rFonts w:ascii="Arial" w:hAnsi="Arial" w:cs="Arial"/>
          <w:lang w:val="en-US"/>
        </w:rPr>
        <w:t>, Volume 29, Issue 2, Pages 395-407.</w:t>
      </w:r>
    </w:p>
    <w:p w14:paraId="78673910" w14:textId="77777777" w:rsidR="00E71AC0" w:rsidRDefault="00667FA1">
      <w:pPr>
        <w:spacing w:line="360" w:lineRule="auto"/>
      </w:pPr>
      <w:r>
        <w:rPr>
          <w:rFonts w:ascii="Arial" w:hAnsi="Arial" w:cs="Arial"/>
          <w:lang w:val="en-US"/>
        </w:rPr>
        <w:t xml:space="preserve">Allen, Kate, &amp; Marquez, A. (2019). Teaching Vocabulary with Visual aids. </w:t>
      </w:r>
      <w:r>
        <w:rPr>
          <w:rFonts w:ascii="Arial" w:hAnsi="Arial" w:cs="Arial"/>
          <w:i/>
          <w:iCs/>
          <w:lang w:val="en-US"/>
        </w:rPr>
        <w:t xml:space="preserve">Journal of </w:t>
      </w:r>
    </w:p>
    <w:p w14:paraId="78673911" w14:textId="77777777" w:rsidR="00E71AC0" w:rsidRDefault="00667FA1">
      <w:pPr>
        <w:spacing w:line="360" w:lineRule="auto"/>
        <w:ind w:left="340" w:firstLine="340"/>
      </w:pPr>
      <w:r>
        <w:rPr>
          <w:rFonts w:ascii="Arial" w:hAnsi="Arial" w:cs="Arial"/>
          <w:i/>
          <w:iCs/>
          <w:lang w:val="en-US"/>
        </w:rPr>
        <w:t>Kao Ying Industrial &amp; Commercial Vocational High School</w:t>
      </w:r>
      <w:r>
        <w:rPr>
          <w:rFonts w:ascii="Arial" w:hAnsi="Arial" w:cs="Arial"/>
          <w:lang w:val="en-US"/>
        </w:rPr>
        <w:t>, 01-05</w:t>
      </w:r>
    </w:p>
    <w:p w14:paraId="78673912" w14:textId="77777777" w:rsidR="00E71AC0" w:rsidRDefault="00667FA1">
      <w:pPr>
        <w:pStyle w:val="Bibliography"/>
        <w:spacing w:line="360" w:lineRule="auto"/>
        <w:ind w:left="720" w:hanging="720"/>
      </w:pPr>
      <w:r>
        <w:rPr>
          <w:rFonts w:ascii="Arial" w:hAnsi="Arial" w:cs="Arial"/>
          <w:lang w:val="en-US"/>
        </w:rPr>
        <w:t xml:space="preserve">Appleby, J., Leng, G., &amp; Marshall, M. (2024, March 20). </w:t>
      </w:r>
      <w:r>
        <w:rPr>
          <w:rFonts w:ascii="Arial" w:hAnsi="Arial" w:cs="Arial"/>
          <w:i/>
          <w:iCs/>
          <w:lang w:val="en-US"/>
        </w:rPr>
        <w:t>NHS funding for a secure future</w:t>
      </w:r>
      <w:r>
        <w:rPr>
          <w:rFonts w:ascii="Arial" w:hAnsi="Arial" w:cs="Arial"/>
          <w:lang w:val="en-US"/>
        </w:rPr>
        <w:t>. Retrieved from BMJ: https://www.bmj.com/content/384/bmj-2024-079341</w:t>
      </w:r>
    </w:p>
    <w:p w14:paraId="78673913" w14:textId="77777777" w:rsidR="00E71AC0" w:rsidRDefault="00667FA1">
      <w:pPr>
        <w:pStyle w:val="Bibliography"/>
        <w:spacing w:line="360" w:lineRule="auto"/>
        <w:ind w:left="720" w:hanging="720"/>
      </w:pPr>
      <w:r>
        <w:rPr>
          <w:rFonts w:ascii="Arial" w:hAnsi="Arial" w:cs="Arial"/>
          <w:lang w:val="en-US"/>
        </w:rPr>
        <w:t xml:space="preserve">Broek, S., Linden, J. v., </w:t>
      </w:r>
      <w:proofErr w:type="spellStart"/>
      <w:r>
        <w:rPr>
          <w:rFonts w:ascii="Arial" w:hAnsi="Arial" w:cs="Arial"/>
          <w:lang w:val="en-US"/>
        </w:rPr>
        <w:t>Kuijpers</w:t>
      </w:r>
      <w:proofErr w:type="spellEnd"/>
      <w:r>
        <w:rPr>
          <w:rFonts w:ascii="Arial" w:hAnsi="Arial" w:cs="Arial"/>
          <w:lang w:val="en-US"/>
        </w:rPr>
        <w:t xml:space="preserve">, M. A., &amp; </w:t>
      </w:r>
      <w:proofErr w:type="spellStart"/>
      <w:r>
        <w:rPr>
          <w:rFonts w:ascii="Arial" w:hAnsi="Arial" w:cs="Arial"/>
          <w:lang w:val="en-US"/>
        </w:rPr>
        <w:t>Semeijn</w:t>
      </w:r>
      <w:proofErr w:type="spellEnd"/>
      <w:r>
        <w:rPr>
          <w:rFonts w:ascii="Arial" w:hAnsi="Arial" w:cs="Arial"/>
          <w:lang w:val="en-US"/>
        </w:rPr>
        <w:t xml:space="preserve">, J. H. (2023). What makes adults choose to learn: Factors that stimulate or prevent adults from learning. </w:t>
      </w:r>
      <w:r>
        <w:rPr>
          <w:rFonts w:ascii="Arial" w:hAnsi="Arial" w:cs="Arial"/>
          <w:i/>
          <w:iCs/>
          <w:lang w:val="en-US"/>
        </w:rPr>
        <w:t>Journal of Adult and Continuing Education</w:t>
      </w:r>
      <w:r>
        <w:rPr>
          <w:rFonts w:ascii="Arial" w:hAnsi="Arial" w:cs="Arial"/>
          <w:lang w:val="en-US"/>
        </w:rPr>
        <w:t>, Volume 29, Issue 2, Page 620-642.</w:t>
      </w:r>
    </w:p>
    <w:p w14:paraId="78673914" w14:textId="77777777" w:rsidR="00E71AC0" w:rsidRDefault="00667FA1">
      <w:pPr>
        <w:pStyle w:val="Bibliography"/>
        <w:spacing w:line="360" w:lineRule="auto"/>
        <w:ind w:left="720" w:hanging="720"/>
      </w:pPr>
      <w:proofErr w:type="spellStart"/>
      <w:r>
        <w:rPr>
          <w:rFonts w:ascii="Arial" w:hAnsi="Arial" w:cs="Arial"/>
          <w:lang w:val="en-US"/>
        </w:rPr>
        <w:t>Bušljeta</w:t>
      </w:r>
      <w:proofErr w:type="spellEnd"/>
      <w:r>
        <w:rPr>
          <w:rFonts w:ascii="Arial" w:hAnsi="Arial" w:cs="Arial"/>
          <w:lang w:val="en-US"/>
        </w:rPr>
        <w:t xml:space="preserve">, D. R. (2013). Effective Use of Teaching and Learning Resources. </w:t>
      </w:r>
      <w:r>
        <w:rPr>
          <w:rFonts w:ascii="Arial" w:hAnsi="Arial" w:cs="Arial"/>
          <w:i/>
          <w:iCs/>
          <w:lang w:val="en-US"/>
        </w:rPr>
        <w:t>Czech-Polish Historical and Pedagogical Journal</w:t>
      </w:r>
      <w:r>
        <w:rPr>
          <w:rFonts w:ascii="Arial" w:hAnsi="Arial" w:cs="Arial"/>
          <w:lang w:val="en-US"/>
        </w:rPr>
        <w:t xml:space="preserve">, Vol. 5; 2; </w:t>
      </w:r>
      <w:proofErr w:type="spellStart"/>
      <w:r>
        <w:rPr>
          <w:rFonts w:ascii="Arial" w:hAnsi="Arial" w:cs="Arial"/>
          <w:lang w:val="en-US"/>
        </w:rPr>
        <w:t>pg</w:t>
      </w:r>
      <w:proofErr w:type="spellEnd"/>
      <w:r>
        <w:rPr>
          <w:rFonts w:ascii="Arial" w:hAnsi="Arial" w:cs="Arial"/>
          <w:lang w:val="en-US"/>
        </w:rPr>
        <w:t xml:space="preserve"> 55-70. Retrieved from </w:t>
      </w:r>
      <w:proofErr w:type="spellStart"/>
      <w:r>
        <w:rPr>
          <w:rFonts w:ascii="Arial" w:hAnsi="Arial" w:cs="Arial"/>
          <w:lang w:val="en-US"/>
        </w:rPr>
        <w:t>Researchgate</w:t>
      </w:r>
      <w:proofErr w:type="spellEnd"/>
      <w:r>
        <w:rPr>
          <w:rFonts w:ascii="Arial" w:hAnsi="Arial" w:cs="Arial"/>
          <w:lang w:val="en-US"/>
        </w:rPr>
        <w:t>.</w:t>
      </w:r>
    </w:p>
    <w:p w14:paraId="78673915" w14:textId="77777777" w:rsidR="00E71AC0" w:rsidRDefault="00667FA1">
      <w:pPr>
        <w:pStyle w:val="Bibliography"/>
        <w:spacing w:line="360" w:lineRule="auto"/>
        <w:ind w:left="720" w:hanging="720"/>
      </w:pPr>
      <w:r>
        <w:rPr>
          <w:rFonts w:ascii="Arial" w:hAnsi="Arial" w:cs="Arial"/>
          <w:lang w:val="en-US"/>
        </w:rPr>
        <w:t xml:space="preserve">Cairns, A. (2023, September 22). Professionalism and Artist–Teachers in Adult Community Learning in the UK. </w:t>
      </w:r>
      <w:r>
        <w:rPr>
          <w:rFonts w:ascii="Arial" w:hAnsi="Arial" w:cs="Arial"/>
          <w:i/>
          <w:iCs/>
          <w:lang w:val="en-US"/>
        </w:rPr>
        <w:t xml:space="preserve">The </w:t>
      </w:r>
      <w:proofErr w:type="gramStart"/>
      <w:r>
        <w:rPr>
          <w:rFonts w:ascii="Arial" w:hAnsi="Arial" w:cs="Arial"/>
          <w:i/>
          <w:iCs/>
          <w:lang w:val="en-US"/>
        </w:rPr>
        <w:t xml:space="preserve">International </w:t>
      </w:r>
      <w:r>
        <w:rPr>
          <w:rFonts w:ascii="Arial" w:hAnsi="Arial" w:cs="Arial"/>
          <w:lang w:val="en-US"/>
        </w:rPr>
        <w:t>,</w:t>
      </w:r>
      <w:proofErr w:type="gramEnd"/>
      <w:r>
        <w:rPr>
          <w:rFonts w:ascii="Arial" w:hAnsi="Arial" w:cs="Arial"/>
          <w:lang w:val="en-US"/>
        </w:rPr>
        <w:t xml:space="preserve"> Vol 43, Issue 1, </w:t>
      </w:r>
      <w:proofErr w:type="spellStart"/>
      <w:r>
        <w:rPr>
          <w:rFonts w:ascii="Arial" w:hAnsi="Arial" w:cs="Arial"/>
          <w:lang w:val="en-US"/>
        </w:rPr>
        <w:t>pg</w:t>
      </w:r>
      <w:proofErr w:type="spellEnd"/>
      <w:r>
        <w:rPr>
          <w:rFonts w:ascii="Arial" w:hAnsi="Arial" w:cs="Arial"/>
          <w:lang w:val="en-US"/>
        </w:rPr>
        <w:t xml:space="preserve"> 4-17. Retrieved from </w:t>
      </w:r>
      <w:hyperlink r:id="rId10" w:history="1">
        <w:r>
          <w:rPr>
            <w:rStyle w:val="Hyperlink"/>
            <w:rFonts w:ascii="Arial" w:hAnsi="Arial" w:cs="Arial"/>
            <w:lang w:val="en-US"/>
          </w:rPr>
          <w:t>https://onlinelibrary-wiley-com.ezproxy.uwtsd.ac.uk/doi/full/10.1111/jade.12473</w:t>
        </w:r>
      </w:hyperlink>
      <w:r>
        <w:rPr>
          <w:rFonts w:ascii="Arial" w:hAnsi="Arial" w:cs="Arial"/>
          <w:lang w:val="en-US"/>
        </w:rPr>
        <w:t xml:space="preserve"> (Accessed on 4th July 2024)</w:t>
      </w:r>
    </w:p>
    <w:p w14:paraId="78673916" w14:textId="77777777" w:rsidR="00E71AC0" w:rsidRDefault="00667FA1">
      <w:pPr>
        <w:spacing w:line="360" w:lineRule="auto"/>
        <w:rPr>
          <w:rFonts w:ascii="Arial" w:hAnsi="Arial" w:cs="Arial"/>
          <w:shd w:val="clear" w:color="auto" w:fill="FFFFFF"/>
        </w:rPr>
      </w:pPr>
      <w:r>
        <w:rPr>
          <w:rFonts w:ascii="Arial" w:hAnsi="Arial" w:cs="Arial"/>
          <w:shd w:val="clear" w:color="auto" w:fill="FFFFFF"/>
        </w:rPr>
        <w:t xml:space="preserve">CHOY, S. and LE, A.H., 2023/11//. Workplace practices that support learning across </w:t>
      </w:r>
    </w:p>
    <w:p w14:paraId="78673917" w14:textId="77777777" w:rsidR="00E71AC0" w:rsidRDefault="00667FA1">
      <w:pPr>
        <w:spacing w:line="360" w:lineRule="auto"/>
        <w:ind w:left="340" w:firstLine="340"/>
      </w:pPr>
      <w:r>
        <w:rPr>
          <w:rFonts w:ascii="Arial" w:hAnsi="Arial" w:cs="Arial"/>
          <w:shd w:val="clear" w:color="auto" w:fill="FFFFFF"/>
        </w:rPr>
        <w:t>working life. </w:t>
      </w:r>
      <w:r>
        <w:rPr>
          <w:rFonts w:ascii="Arial" w:hAnsi="Arial" w:cs="Arial"/>
          <w:i/>
          <w:iCs/>
          <w:shd w:val="clear" w:color="auto" w:fill="FFFFFF"/>
        </w:rPr>
        <w:t>Australian Journal of Adult Learning, </w:t>
      </w:r>
      <w:r>
        <w:rPr>
          <w:rFonts w:ascii="Arial" w:hAnsi="Arial" w:cs="Arial"/>
          <w:b/>
          <w:bCs/>
          <w:shd w:val="clear" w:color="auto" w:fill="FFFFFF"/>
        </w:rPr>
        <w:t>63</w:t>
      </w:r>
      <w:r>
        <w:rPr>
          <w:rFonts w:ascii="Arial" w:hAnsi="Arial" w:cs="Arial"/>
          <w:shd w:val="clear" w:color="auto" w:fill="FFFFFF"/>
        </w:rPr>
        <w:t>(3), pp. 320-342.</w:t>
      </w:r>
    </w:p>
    <w:p w14:paraId="78673918" w14:textId="77777777" w:rsidR="00E71AC0" w:rsidRDefault="00667FA1">
      <w:pPr>
        <w:pStyle w:val="Bibliography"/>
        <w:spacing w:line="360" w:lineRule="auto"/>
        <w:ind w:left="720" w:hanging="720"/>
      </w:pPr>
      <w:r>
        <w:rPr>
          <w:rFonts w:ascii="Arial" w:hAnsi="Arial" w:cs="Arial"/>
          <w:lang w:val="en-US"/>
        </w:rPr>
        <w:t xml:space="preserve">CIPD. (n.d.). </w:t>
      </w:r>
      <w:r>
        <w:rPr>
          <w:rFonts w:ascii="Arial" w:hAnsi="Arial" w:cs="Arial"/>
          <w:i/>
          <w:iCs/>
          <w:lang w:val="en-US"/>
        </w:rPr>
        <w:t xml:space="preserve">Strategic workforce planning </w:t>
      </w:r>
      <w:proofErr w:type="spellStart"/>
      <w:r>
        <w:rPr>
          <w:rFonts w:ascii="Arial" w:hAnsi="Arial" w:cs="Arial"/>
          <w:i/>
          <w:iCs/>
          <w:lang w:val="en-US"/>
        </w:rPr>
        <w:t>programme</w:t>
      </w:r>
      <w:proofErr w:type="spellEnd"/>
      <w:r>
        <w:rPr>
          <w:rFonts w:ascii="Arial" w:hAnsi="Arial" w:cs="Arial"/>
          <w:lang w:val="en-US"/>
        </w:rPr>
        <w:t>. Retrieved from CIPD: https://shop.cipd.org/product?catalog=Strategic-Workforce-Planning</w:t>
      </w:r>
    </w:p>
    <w:p w14:paraId="78673919" w14:textId="77777777" w:rsidR="00E71AC0" w:rsidRDefault="00667FA1">
      <w:pPr>
        <w:pStyle w:val="Bibliography"/>
        <w:spacing w:line="360" w:lineRule="auto"/>
        <w:ind w:left="720" w:hanging="720"/>
      </w:pPr>
      <w:r>
        <w:rPr>
          <w:rFonts w:ascii="Arial" w:hAnsi="Arial" w:cs="Arial"/>
          <w:lang w:val="en-US"/>
        </w:rPr>
        <w:t xml:space="preserve">Cookson, C., &amp; Cameron-Chileshe, J. (2023, January 3). </w:t>
      </w:r>
      <w:r>
        <w:rPr>
          <w:rFonts w:ascii="Arial" w:hAnsi="Arial" w:cs="Arial"/>
          <w:i/>
          <w:iCs/>
          <w:lang w:val="en-US"/>
        </w:rPr>
        <w:t>Why is the NHS in its worst ever crisis?</w:t>
      </w:r>
      <w:r>
        <w:rPr>
          <w:rFonts w:ascii="Arial" w:hAnsi="Arial" w:cs="Arial"/>
          <w:lang w:val="en-US"/>
        </w:rPr>
        <w:t xml:space="preserve"> Retrieved from Financial Times: </w:t>
      </w:r>
      <w:hyperlink r:id="rId11" w:history="1">
        <w:r>
          <w:rPr>
            <w:rStyle w:val="Hyperlink"/>
            <w:rFonts w:ascii="Arial" w:hAnsi="Arial" w:cs="Arial"/>
            <w:lang w:val="en-US"/>
          </w:rPr>
          <w:t>https://www.ft.com/content/b593116d-f948-4757-b2fa-c74adadc8b42</w:t>
        </w:r>
      </w:hyperlink>
      <w:r>
        <w:rPr>
          <w:rStyle w:val="Hyperlink"/>
          <w:rFonts w:ascii="Arial" w:hAnsi="Arial" w:cs="Arial"/>
          <w:color w:val="auto"/>
          <w:u w:val="none"/>
          <w:lang w:val="en-US"/>
        </w:rPr>
        <w:t xml:space="preserve"> (21</w:t>
      </w:r>
      <w:r>
        <w:rPr>
          <w:rStyle w:val="Hyperlink"/>
          <w:rFonts w:ascii="Arial" w:hAnsi="Arial" w:cs="Arial"/>
          <w:color w:val="auto"/>
          <w:u w:val="none"/>
          <w:vertAlign w:val="superscript"/>
          <w:lang w:val="en-US"/>
        </w:rPr>
        <w:t>st</w:t>
      </w:r>
      <w:r>
        <w:rPr>
          <w:rStyle w:val="Hyperlink"/>
          <w:rFonts w:ascii="Arial" w:hAnsi="Arial" w:cs="Arial"/>
          <w:color w:val="auto"/>
          <w:u w:val="none"/>
          <w:lang w:val="en-US"/>
        </w:rPr>
        <w:t xml:space="preserve"> September 2023)</w:t>
      </w:r>
    </w:p>
    <w:p w14:paraId="7867391A" w14:textId="77777777" w:rsidR="00E71AC0" w:rsidRDefault="00667FA1">
      <w:pPr>
        <w:pStyle w:val="Bibliography"/>
        <w:spacing w:line="360" w:lineRule="auto"/>
        <w:ind w:left="720" w:hanging="720"/>
      </w:pPr>
      <w:r>
        <w:rPr>
          <w:rFonts w:ascii="Arial" w:hAnsi="Arial" w:cs="Arial"/>
          <w:lang w:val="en-US"/>
        </w:rPr>
        <w:t xml:space="preserve">Denscombe, M. (2008, July). Communities of Practice: A Research Paradigm for the Mixed Methods Approach. </w:t>
      </w:r>
      <w:r>
        <w:rPr>
          <w:rFonts w:ascii="Arial" w:hAnsi="Arial" w:cs="Arial"/>
          <w:i/>
          <w:iCs/>
          <w:lang w:val="en-US"/>
        </w:rPr>
        <w:t>Journal of Mixed Method Research</w:t>
      </w:r>
      <w:r>
        <w:rPr>
          <w:rFonts w:ascii="Arial" w:hAnsi="Arial" w:cs="Arial"/>
          <w:lang w:val="en-US"/>
        </w:rPr>
        <w:t>, pp. Volume 2, Number 3, Pages 270-283.</w:t>
      </w:r>
    </w:p>
    <w:p w14:paraId="7867391B" w14:textId="77777777" w:rsidR="00E71AC0" w:rsidRDefault="00667FA1">
      <w:pPr>
        <w:pStyle w:val="Bibliography"/>
        <w:spacing w:line="360" w:lineRule="auto"/>
        <w:ind w:left="720" w:hanging="720"/>
      </w:pPr>
      <w:proofErr w:type="spellStart"/>
      <w:r>
        <w:rPr>
          <w:rFonts w:ascii="Arial" w:hAnsi="Arial" w:cs="Arial"/>
          <w:lang w:val="en-US"/>
        </w:rPr>
        <w:t>Derera</w:t>
      </w:r>
      <w:proofErr w:type="spellEnd"/>
      <w:r>
        <w:rPr>
          <w:rFonts w:ascii="Arial" w:hAnsi="Arial" w:cs="Arial"/>
          <w:lang w:val="en-US"/>
        </w:rPr>
        <w:t xml:space="preserve">, K. (n.d.). </w:t>
      </w:r>
      <w:r>
        <w:rPr>
          <w:rFonts w:ascii="Arial" w:hAnsi="Arial" w:cs="Arial"/>
          <w:i/>
          <w:iCs/>
          <w:lang w:val="en-US"/>
        </w:rPr>
        <w:t>Toolkits: A guide to developing toolkits that work</w:t>
      </w:r>
      <w:r>
        <w:rPr>
          <w:rFonts w:ascii="Arial" w:hAnsi="Arial" w:cs="Arial"/>
          <w:lang w:val="en-US"/>
        </w:rPr>
        <w:t xml:space="preserve">. Retrieved from The Human Capital Hub: </w:t>
      </w:r>
      <w:hyperlink r:id="rId12" w:history="1">
        <w:r>
          <w:rPr>
            <w:rStyle w:val="Hyperlink"/>
            <w:rFonts w:ascii="Arial" w:hAnsi="Arial" w:cs="Arial"/>
            <w:lang w:val="en-US"/>
          </w:rPr>
          <w:t>https://www.thehumancapitalhub.com/articles/Toolkits-A-Guide-To-Developing-Toolkits-That-Work</w:t>
        </w:r>
      </w:hyperlink>
      <w:r>
        <w:rPr>
          <w:rFonts w:ascii="Arial" w:hAnsi="Arial" w:cs="Arial"/>
          <w:lang w:val="en-US"/>
        </w:rPr>
        <w:t xml:space="preserve"> (</w:t>
      </w:r>
      <w:r>
        <w:rPr>
          <w:rFonts w:ascii="Arial" w:hAnsi="Arial" w:cs="Arial"/>
        </w:rPr>
        <w:t>Accessed on 23</w:t>
      </w:r>
      <w:r>
        <w:rPr>
          <w:rFonts w:ascii="Arial" w:hAnsi="Arial" w:cs="Arial"/>
          <w:vertAlign w:val="superscript"/>
        </w:rPr>
        <w:t>rd</w:t>
      </w:r>
      <w:r>
        <w:rPr>
          <w:rFonts w:ascii="Arial" w:hAnsi="Arial" w:cs="Arial"/>
        </w:rPr>
        <w:t xml:space="preserve"> October 2024)</w:t>
      </w:r>
    </w:p>
    <w:p w14:paraId="7867391C" w14:textId="77777777" w:rsidR="00E71AC0" w:rsidRDefault="00667FA1">
      <w:pPr>
        <w:spacing w:line="360" w:lineRule="auto"/>
      </w:pPr>
      <w:proofErr w:type="spellStart"/>
      <w:r>
        <w:rPr>
          <w:rFonts w:ascii="Arial" w:hAnsi="Arial" w:cs="Arial"/>
          <w:lang w:val="en-US"/>
        </w:rPr>
        <w:t>DiLeornado</w:t>
      </w:r>
      <w:proofErr w:type="spellEnd"/>
      <w:r>
        <w:rPr>
          <w:rFonts w:ascii="Arial" w:hAnsi="Arial" w:cs="Arial"/>
          <w:lang w:val="en-US"/>
        </w:rPr>
        <w:t xml:space="preserve">, Alexander; </w:t>
      </w:r>
      <w:proofErr w:type="spellStart"/>
      <w:r>
        <w:rPr>
          <w:rFonts w:ascii="Arial" w:hAnsi="Arial" w:cs="Arial"/>
          <w:lang w:val="en-US"/>
        </w:rPr>
        <w:t>Lauricella</w:t>
      </w:r>
      <w:proofErr w:type="spellEnd"/>
      <w:r>
        <w:rPr>
          <w:rFonts w:ascii="Arial" w:hAnsi="Arial" w:cs="Arial"/>
          <w:lang w:val="en-US"/>
        </w:rPr>
        <w:t xml:space="preserve">, Taylor; </w:t>
      </w:r>
      <w:proofErr w:type="spellStart"/>
      <w:r>
        <w:rPr>
          <w:rFonts w:ascii="Arial" w:hAnsi="Arial" w:cs="Arial"/>
          <w:lang w:val="en-US"/>
        </w:rPr>
        <w:t>Schaninger</w:t>
      </w:r>
      <w:proofErr w:type="spellEnd"/>
      <w:r>
        <w:rPr>
          <w:rFonts w:ascii="Arial" w:hAnsi="Arial" w:cs="Arial"/>
          <w:lang w:val="en-US"/>
        </w:rPr>
        <w:t xml:space="preserve">, Bill (2021, May 11). </w:t>
      </w:r>
      <w:r>
        <w:rPr>
          <w:rFonts w:ascii="Arial" w:hAnsi="Arial" w:cs="Arial"/>
          <w:i/>
          <w:iCs/>
          <w:color w:val="000000"/>
          <w:shd w:val="clear" w:color="auto" w:fill="FFFFFF"/>
        </w:rPr>
        <w:t xml:space="preserve">Survey </w:t>
      </w:r>
    </w:p>
    <w:p w14:paraId="7867391D" w14:textId="77777777" w:rsidR="00E71AC0" w:rsidRDefault="00667FA1">
      <w:pPr>
        <w:spacing w:line="360" w:lineRule="auto"/>
        <w:ind w:left="720"/>
      </w:pPr>
      <w:r>
        <w:rPr>
          <w:rFonts w:ascii="Arial" w:hAnsi="Arial" w:cs="Arial"/>
          <w:i/>
          <w:iCs/>
          <w:color w:val="000000"/>
          <w:shd w:val="clear" w:color="auto" w:fill="FFFFFF"/>
        </w:rPr>
        <w:t xml:space="preserve">fatigue? Blame the leader, not the question. </w:t>
      </w:r>
      <w:r>
        <w:rPr>
          <w:rFonts w:ascii="Arial" w:hAnsi="Arial" w:cs="Arial"/>
          <w:color w:val="000000"/>
          <w:shd w:val="clear" w:color="auto" w:fill="FFFFFF"/>
        </w:rPr>
        <w:t xml:space="preserve">Retrieved from McKinsey &amp; Company: </w:t>
      </w:r>
      <w:hyperlink r:id="rId13" w:history="1">
        <w:r>
          <w:rPr>
            <w:rStyle w:val="Hyperlink"/>
            <w:rFonts w:ascii="Arial" w:hAnsi="Arial" w:cs="Arial"/>
          </w:rPr>
          <w:t>Survey fatigue? Blame the leader, not the question (mckinsey.com)</w:t>
        </w:r>
      </w:hyperlink>
      <w:r>
        <w:rPr>
          <w:rFonts w:ascii="Arial" w:hAnsi="Arial" w:cs="Arial"/>
        </w:rPr>
        <w:t xml:space="preserve"> (Accessed on 9</w:t>
      </w:r>
      <w:r>
        <w:rPr>
          <w:rFonts w:ascii="Arial" w:hAnsi="Arial" w:cs="Arial"/>
          <w:vertAlign w:val="superscript"/>
        </w:rPr>
        <w:t>th</w:t>
      </w:r>
      <w:r>
        <w:rPr>
          <w:rFonts w:ascii="Arial" w:hAnsi="Arial" w:cs="Arial"/>
        </w:rPr>
        <w:t xml:space="preserve"> October 2024)</w:t>
      </w:r>
    </w:p>
    <w:p w14:paraId="7867391E" w14:textId="77777777" w:rsidR="00E71AC0" w:rsidRDefault="00667FA1">
      <w:pPr>
        <w:pStyle w:val="Bibliography"/>
        <w:spacing w:line="360" w:lineRule="auto"/>
        <w:ind w:left="720" w:hanging="720"/>
      </w:pPr>
      <w:r>
        <w:rPr>
          <w:rFonts w:ascii="Arial" w:hAnsi="Arial" w:cs="Arial"/>
          <w:lang w:val="en-US"/>
        </w:rPr>
        <w:t xml:space="preserve">HCI. (2024). </w:t>
      </w:r>
      <w:r>
        <w:rPr>
          <w:rFonts w:ascii="Arial" w:hAnsi="Arial" w:cs="Arial"/>
          <w:i/>
          <w:iCs/>
          <w:lang w:val="en-US"/>
        </w:rPr>
        <w:t>Strategic Workforce Planning (SWP) Certification</w:t>
      </w:r>
      <w:r>
        <w:rPr>
          <w:rFonts w:ascii="Arial" w:hAnsi="Arial" w:cs="Arial"/>
          <w:lang w:val="en-US"/>
        </w:rPr>
        <w:t>. Retrieved from Human Capital Institute: https://www.hci.org/SWP</w:t>
      </w:r>
    </w:p>
    <w:p w14:paraId="7867391F" w14:textId="77777777" w:rsidR="00E71AC0" w:rsidRDefault="00667FA1">
      <w:pPr>
        <w:pStyle w:val="Bibliography"/>
        <w:spacing w:line="360" w:lineRule="auto"/>
        <w:ind w:left="720" w:hanging="720"/>
      </w:pPr>
      <w:r>
        <w:rPr>
          <w:rFonts w:ascii="Arial" w:hAnsi="Arial" w:cs="Arial"/>
          <w:lang w:val="en-US"/>
        </w:rPr>
        <w:t xml:space="preserve">Hu, H.-M. (2024). A Qualitative Study on Why Older Adults May Be Reluctant to Participate in Learning Activities. </w:t>
      </w:r>
      <w:r>
        <w:rPr>
          <w:rFonts w:ascii="Arial" w:hAnsi="Arial" w:cs="Arial"/>
          <w:i/>
          <w:iCs/>
          <w:lang w:val="en-US"/>
        </w:rPr>
        <w:t>Journal of Adult and Continuing Education</w:t>
      </w:r>
      <w:r>
        <w:rPr>
          <w:rFonts w:ascii="Arial" w:hAnsi="Arial" w:cs="Arial"/>
          <w:lang w:val="en-US"/>
        </w:rPr>
        <w:t>, Volume 30, Issue 1, Pages 39-55.</w:t>
      </w:r>
    </w:p>
    <w:p w14:paraId="78673920" w14:textId="77777777" w:rsidR="00E71AC0" w:rsidRDefault="00667FA1">
      <w:pPr>
        <w:spacing w:line="360" w:lineRule="auto"/>
      </w:pPr>
      <w:r>
        <w:rPr>
          <w:rFonts w:ascii="Arial" w:hAnsi="Arial" w:cs="Arial"/>
          <w:lang w:val="en-US"/>
        </w:rPr>
        <w:t xml:space="preserve">Hywel Dda UHB. (2024, February 23). </w:t>
      </w:r>
      <w:r>
        <w:rPr>
          <w:rFonts w:ascii="Arial" w:hAnsi="Arial" w:cs="Arial"/>
          <w:i/>
          <w:iCs/>
          <w:lang w:val="en-US"/>
        </w:rPr>
        <w:t>Staff Survey Dashboard - Hywel Dda UHB</w:t>
      </w:r>
      <w:r>
        <w:rPr>
          <w:rFonts w:ascii="Arial" w:hAnsi="Arial" w:cs="Arial"/>
          <w:lang w:val="en-US"/>
        </w:rPr>
        <w:t xml:space="preserve">. </w:t>
      </w:r>
    </w:p>
    <w:p w14:paraId="78673921" w14:textId="77777777" w:rsidR="00E71AC0" w:rsidRDefault="00667FA1">
      <w:pPr>
        <w:spacing w:line="360" w:lineRule="auto"/>
        <w:ind w:left="340"/>
      </w:pPr>
      <w:r>
        <w:rPr>
          <w:rFonts w:ascii="Arial" w:hAnsi="Arial" w:cs="Arial"/>
          <w:lang w:val="en-US"/>
        </w:rPr>
        <w:t xml:space="preserve">Retrieved from Hywel Dda University Health Board: </w:t>
      </w:r>
      <w:hyperlink r:id="rId14" w:history="1">
        <w:r>
          <w:rPr>
            <w:rStyle w:val="Hyperlink"/>
            <w:rFonts w:ascii="Arial" w:hAnsi="Arial" w:cs="Arial"/>
            <w:lang w:val="en-US"/>
          </w:rPr>
          <w:t>https://nhswales365.sharepoint.com/:p:/s/HDD_OD_Team-CultureandWorkforceExperience/EZsFzb_ud2JLmP2RbNgx2XsBXCJBGL31x6Ntjk-gtXLiWg</w:t>
        </w:r>
      </w:hyperlink>
      <w:r>
        <w:rPr>
          <w:rFonts w:ascii="Arial" w:hAnsi="Arial" w:cs="Arial"/>
          <w:lang w:val="en-US"/>
        </w:rPr>
        <w:t xml:space="preserve"> (accessed 1st October 2024)</w:t>
      </w:r>
    </w:p>
    <w:p w14:paraId="78673922" w14:textId="77777777" w:rsidR="00E71AC0" w:rsidRDefault="00667FA1">
      <w:pPr>
        <w:pStyle w:val="Bibliography"/>
        <w:spacing w:line="360" w:lineRule="auto"/>
        <w:ind w:left="720" w:hanging="720"/>
      </w:pPr>
      <w:proofErr w:type="spellStart"/>
      <w:r>
        <w:rPr>
          <w:rFonts w:ascii="Arial" w:hAnsi="Arial" w:cs="Arial"/>
          <w:lang w:val="en-US"/>
        </w:rPr>
        <w:t>Kithaka</w:t>
      </w:r>
      <w:proofErr w:type="spellEnd"/>
      <w:r>
        <w:rPr>
          <w:rFonts w:ascii="Arial" w:hAnsi="Arial" w:cs="Arial"/>
          <w:lang w:val="en-US"/>
        </w:rPr>
        <w:t xml:space="preserve">, S. (2021, January). </w:t>
      </w:r>
      <w:r>
        <w:rPr>
          <w:rFonts w:ascii="Arial" w:hAnsi="Arial" w:cs="Arial"/>
          <w:i/>
          <w:iCs/>
          <w:lang w:val="en-US"/>
        </w:rPr>
        <w:t>Strategic Workforce Planning</w:t>
      </w:r>
      <w:r>
        <w:rPr>
          <w:rFonts w:ascii="Arial" w:hAnsi="Arial" w:cs="Arial"/>
          <w:lang w:val="en-US"/>
        </w:rPr>
        <w:t xml:space="preserve">. Retrieved from Udemy: </w:t>
      </w:r>
      <w:hyperlink r:id="rId15" w:history="1">
        <w:r>
          <w:rPr>
            <w:rStyle w:val="Hyperlink"/>
            <w:rFonts w:ascii="Arial" w:hAnsi="Arial" w:cs="Arial"/>
            <w:lang w:val="en-US"/>
          </w:rPr>
          <w:t>https://www.udemy.com/course/strategic-workforce-planning/?couponCode=THANKSLEARNER24</w:t>
        </w:r>
      </w:hyperlink>
      <w:r>
        <w:rPr>
          <w:rFonts w:ascii="Arial" w:hAnsi="Arial" w:cs="Arial"/>
          <w:lang w:val="en-US"/>
        </w:rPr>
        <w:t xml:space="preserve"> (</w:t>
      </w:r>
      <w:r>
        <w:rPr>
          <w:rFonts w:ascii="Arial" w:hAnsi="Arial" w:cs="Arial"/>
        </w:rPr>
        <w:t>Accessed on 4</w:t>
      </w:r>
      <w:r>
        <w:rPr>
          <w:rFonts w:ascii="Arial" w:hAnsi="Arial" w:cs="Arial"/>
          <w:vertAlign w:val="superscript"/>
        </w:rPr>
        <w:t>th</w:t>
      </w:r>
      <w:r>
        <w:rPr>
          <w:rFonts w:ascii="Arial" w:hAnsi="Arial" w:cs="Arial"/>
        </w:rPr>
        <w:t xml:space="preserve"> August 2024).</w:t>
      </w:r>
    </w:p>
    <w:p w14:paraId="78673923" w14:textId="77777777" w:rsidR="00E71AC0" w:rsidRDefault="00667FA1">
      <w:pPr>
        <w:pStyle w:val="Bibliography"/>
        <w:spacing w:line="360" w:lineRule="auto"/>
        <w:ind w:left="720" w:hanging="720"/>
      </w:pPr>
      <w:proofErr w:type="spellStart"/>
      <w:r>
        <w:rPr>
          <w:rFonts w:ascii="Arial" w:hAnsi="Arial" w:cs="Arial"/>
          <w:lang w:val="en-US"/>
        </w:rPr>
        <w:t>Kwapong</w:t>
      </w:r>
      <w:proofErr w:type="spellEnd"/>
      <w:r>
        <w:rPr>
          <w:rFonts w:ascii="Arial" w:hAnsi="Arial" w:cs="Arial"/>
          <w:lang w:val="en-US"/>
        </w:rPr>
        <w:t xml:space="preserve">, O. A. (2022). E-learning experiences of adults during Covid-19 outbreak: The moderating effect of gender. </w:t>
      </w:r>
      <w:r>
        <w:rPr>
          <w:rFonts w:ascii="Arial" w:hAnsi="Arial" w:cs="Arial"/>
          <w:i/>
          <w:iCs/>
          <w:lang w:val="en-US"/>
        </w:rPr>
        <w:t>Journal of Adult and Continuing Education</w:t>
      </w:r>
      <w:r>
        <w:rPr>
          <w:rFonts w:ascii="Arial" w:hAnsi="Arial" w:cs="Arial"/>
          <w:lang w:val="en-US"/>
        </w:rPr>
        <w:t>, Volume 28, Issue 2, Pages 312-332.</w:t>
      </w:r>
    </w:p>
    <w:p w14:paraId="78673924" w14:textId="77777777" w:rsidR="00E71AC0" w:rsidRDefault="00667FA1">
      <w:pPr>
        <w:pStyle w:val="Bibliography"/>
        <w:spacing w:line="360" w:lineRule="auto"/>
        <w:ind w:left="720" w:hanging="720"/>
      </w:pPr>
      <w:r>
        <w:rPr>
          <w:rFonts w:ascii="Arial" w:hAnsi="Arial" w:cs="Arial"/>
          <w:lang w:val="en-US"/>
        </w:rPr>
        <w:t xml:space="preserve">Kumar, S. (2017, May). </w:t>
      </w:r>
      <w:r>
        <w:rPr>
          <w:rFonts w:ascii="Arial" w:hAnsi="Arial" w:cs="Arial"/>
          <w:i/>
          <w:iCs/>
          <w:lang w:val="en-US"/>
        </w:rPr>
        <w:t>Teaching Materials and Teaching Aids</w:t>
      </w:r>
      <w:r>
        <w:rPr>
          <w:rFonts w:ascii="Arial" w:hAnsi="Arial" w:cs="Arial"/>
          <w:lang w:val="en-US"/>
        </w:rPr>
        <w:t xml:space="preserve">. Retrieved from Research Gate: </w:t>
      </w:r>
      <w:hyperlink r:id="rId16" w:history="1">
        <w:r>
          <w:rPr>
            <w:rStyle w:val="Hyperlink"/>
            <w:rFonts w:ascii="Arial" w:hAnsi="Arial" w:cs="Arial"/>
            <w:lang w:val="en-US"/>
          </w:rPr>
          <w:t>https://www.researchgate.net/publication/318215081_Teaching_materials_and_teaching_aids_-_1_teaching_material</w:t>
        </w:r>
      </w:hyperlink>
      <w:r>
        <w:rPr>
          <w:rFonts w:ascii="Arial" w:hAnsi="Arial" w:cs="Arial"/>
          <w:lang w:val="en-US"/>
        </w:rPr>
        <w:t xml:space="preserve"> (</w:t>
      </w:r>
      <w:r>
        <w:rPr>
          <w:rFonts w:ascii="Arial" w:hAnsi="Arial" w:cs="Arial"/>
        </w:rPr>
        <w:t>Accessed on 23</w:t>
      </w:r>
      <w:r>
        <w:rPr>
          <w:rFonts w:ascii="Arial" w:hAnsi="Arial" w:cs="Arial"/>
          <w:vertAlign w:val="superscript"/>
        </w:rPr>
        <w:t>rd</w:t>
      </w:r>
      <w:r>
        <w:rPr>
          <w:rFonts w:ascii="Arial" w:hAnsi="Arial" w:cs="Arial"/>
        </w:rPr>
        <w:t xml:space="preserve"> October 2023).</w:t>
      </w:r>
    </w:p>
    <w:p w14:paraId="78673925" w14:textId="77777777" w:rsidR="00E71AC0" w:rsidRDefault="00667FA1">
      <w:pPr>
        <w:pStyle w:val="Bibliography"/>
        <w:spacing w:line="360" w:lineRule="auto"/>
        <w:ind w:left="720" w:hanging="720"/>
      </w:pPr>
      <w:r>
        <w:rPr>
          <w:rFonts w:ascii="Arial" w:hAnsi="Arial" w:cs="Arial"/>
          <w:lang w:val="en-US"/>
        </w:rPr>
        <w:t xml:space="preserve">London Training for Excellence. (2024). </w:t>
      </w:r>
      <w:r>
        <w:rPr>
          <w:rFonts w:ascii="Arial" w:hAnsi="Arial" w:cs="Arial"/>
          <w:i/>
          <w:iCs/>
          <w:lang w:val="en-US"/>
        </w:rPr>
        <w:t>Workforce Planning</w:t>
      </w:r>
      <w:r>
        <w:rPr>
          <w:rFonts w:ascii="Arial" w:hAnsi="Arial" w:cs="Arial"/>
          <w:lang w:val="en-US"/>
        </w:rPr>
        <w:t xml:space="preserve">. Retrieved from London Training for Excellence: </w:t>
      </w:r>
      <w:hyperlink r:id="rId17" w:history="1">
        <w:r>
          <w:rPr>
            <w:rStyle w:val="Hyperlink"/>
            <w:rFonts w:ascii="Arial" w:hAnsi="Arial" w:cs="Arial"/>
            <w:lang w:val="en-US"/>
          </w:rPr>
          <w:t>https://www.londontfe.com/course/human-resources-and-talent-development/Workforce-Planning/2749</w:t>
        </w:r>
      </w:hyperlink>
      <w:r>
        <w:rPr>
          <w:rFonts w:ascii="Arial" w:hAnsi="Arial" w:cs="Arial"/>
          <w:lang w:val="en-US"/>
        </w:rPr>
        <w:t xml:space="preserve"> (</w:t>
      </w:r>
      <w:r>
        <w:rPr>
          <w:rFonts w:ascii="Arial" w:hAnsi="Arial" w:cs="Arial"/>
        </w:rPr>
        <w:t>Accessed on 13</w:t>
      </w:r>
      <w:r>
        <w:rPr>
          <w:rFonts w:ascii="Arial" w:hAnsi="Arial" w:cs="Arial"/>
          <w:vertAlign w:val="superscript"/>
        </w:rPr>
        <w:t>th</w:t>
      </w:r>
      <w:r>
        <w:rPr>
          <w:rFonts w:ascii="Arial" w:hAnsi="Arial" w:cs="Arial"/>
        </w:rPr>
        <w:t xml:space="preserve"> July 2024).</w:t>
      </w:r>
    </w:p>
    <w:p w14:paraId="78673926" w14:textId="77777777" w:rsidR="00E71AC0" w:rsidRDefault="00667FA1">
      <w:pPr>
        <w:pStyle w:val="Bibliography"/>
        <w:spacing w:line="360" w:lineRule="auto"/>
        <w:ind w:left="720" w:hanging="720"/>
      </w:pPr>
      <w:proofErr w:type="spellStart"/>
      <w:r>
        <w:rPr>
          <w:rFonts w:ascii="Arial" w:hAnsi="Arial" w:cs="Arial"/>
          <w:lang w:val="en-US"/>
        </w:rPr>
        <w:t>Magwenya</w:t>
      </w:r>
      <w:proofErr w:type="spellEnd"/>
      <w:r>
        <w:rPr>
          <w:rFonts w:ascii="Arial" w:hAnsi="Arial" w:cs="Arial"/>
          <w:lang w:val="en-US"/>
        </w:rPr>
        <w:t xml:space="preserve">, R. H., Ross, A. J., &amp; </w:t>
      </w:r>
      <w:proofErr w:type="spellStart"/>
      <w:r>
        <w:rPr>
          <w:rFonts w:ascii="Arial" w:hAnsi="Arial" w:cs="Arial"/>
          <w:lang w:val="en-US"/>
        </w:rPr>
        <w:t>Ngatiane</w:t>
      </w:r>
      <w:proofErr w:type="spellEnd"/>
      <w:r>
        <w:rPr>
          <w:rFonts w:ascii="Arial" w:hAnsi="Arial" w:cs="Arial"/>
          <w:lang w:val="en-US"/>
        </w:rPr>
        <w:t xml:space="preserve">, L. S. (2022). Continuing professional development in the last decade – A scoping review. </w:t>
      </w:r>
      <w:r>
        <w:rPr>
          <w:rFonts w:ascii="Arial" w:hAnsi="Arial" w:cs="Arial"/>
          <w:i/>
          <w:iCs/>
          <w:lang w:val="en-US"/>
        </w:rPr>
        <w:t>Journal of Adult and Continuing Education</w:t>
      </w:r>
      <w:r>
        <w:rPr>
          <w:rFonts w:ascii="Arial" w:hAnsi="Arial" w:cs="Arial"/>
          <w:lang w:val="en-US"/>
        </w:rPr>
        <w:t>, Volume 29, Issue 2, Pages 408-437.</w:t>
      </w:r>
    </w:p>
    <w:p w14:paraId="78673927" w14:textId="77777777" w:rsidR="00E71AC0" w:rsidRDefault="00667FA1">
      <w:pPr>
        <w:pStyle w:val="Bibliography"/>
        <w:spacing w:line="360" w:lineRule="auto"/>
        <w:ind w:left="720" w:hanging="720"/>
      </w:pPr>
      <w:r>
        <w:rPr>
          <w:rFonts w:ascii="Arial" w:hAnsi="Arial" w:cs="Arial"/>
          <w:lang w:val="en-US"/>
        </w:rPr>
        <w:t xml:space="preserve">Malamed, C. (n.d.). </w:t>
      </w:r>
      <w:r>
        <w:rPr>
          <w:rFonts w:ascii="Arial" w:hAnsi="Arial" w:cs="Arial"/>
          <w:i/>
          <w:iCs/>
          <w:lang w:val="en-US"/>
        </w:rPr>
        <w:t>Writing and Formatting Voiceover Scripts</w:t>
      </w:r>
      <w:r>
        <w:rPr>
          <w:rFonts w:ascii="Arial" w:hAnsi="Arial" w:cs="Arial"/>
          <w:lang w:val="en-US"/>
        </w:rPr>
        <w:t xml:space="preserve">. Retrieved from eLearning Coach: </w:t>
      </w:r>
      <w:hyperlink r:id="rId18" w:history="1">
        <w:r>
          <w:rPr>
            <w:rStyle w:val="Hyperlink"/>
            <w:rFonts w:ascii="Arial" w:hAnsi="Arial" w:cs="Arial"/>
            <w:lang w:val="en-US"/>
          </w:rPr>
          <w:t>https://www.bing.com/search?q=what+to+bear+in+mind+when+recording+teaching&amp;qs=n&amp;form=QBRE&amp;sp=-1&amp;lq=0&amp;pq=what+to+bear+in+mind+when+recording+&amp;sc=6-36&amp;sk=&amp;cvid=D4E29E8A7B8045DC86ADDF1AD8448FB8&amp;ghsh=0&amp;ghacc=0&amp;ghpl=</w:t>
        </w:r>
      </w:hyperlink>
      <w:r>
        <w:rPr>
          <w:rFonts w:ascii="Arial" w:hAnsi="Arial" w:cs="Arial"/>
          <w:lang w:val="en-US"/>
        </w:rPr>
        <w:t xml:space="preserve"> (</w:t>
      </w:r>
      <w:r>
        <w:rPr>
          <w:rFonts w:ascii="Arial" w:hAnsi="Arial" w:cs="Arial"/>
        </w:rPr>
        <w:t>Accessed on 23</w:t>
      </w:r>
      <w:r>
        <w:rPr>
          <w:rFonts w:ascii="Arial" w:hAnsi="Arial" w:cs="Arial"/>
          <w:vertAlign w:val="superscript"/>
        </w:rPr>
        <w:t>rd</w:t>
      </w:r>
      <w:r>
        <w:rPr>
          <w:rFonts w:ascii="Arial" w:hAnsi="Arial" w:cs="Arial"/>
        </w:rPr>
        <w:t xml:space="preserve"> October 2023).</w:t>
      </w:r>
    </w:p>
    <w:p w14:paraId="24277DB5" w14:textId="3AB0378D" w:rsidR="00562AC1" w:rsidRPr="00686A05" w:rsidRDefault="00562AC1" w:rsidP="00686A05">
      <w:pPr>
        <w:pStyle w:val="Bibliography"/>
        <w:spacing w:line="360" w:lineRule="auto"/>
        <w:ind w:left="720" w:hanging="720"/>
        <w:rPr>
          <w:rFonts w:ascii="Arial" w:hAnsi="Arial" w:cs="Arial"/>
          <w:noProof/>
          <w:lang w:val="en-US"/>
        </w:rPr>
      </w:pPr>
      <w:r w:rsidRPr="00686A05">
        <w:rPr>
          <w:rFonts w:ascii="Arial" w:hAnsi="Arial" w:cs="Arial"/>
          <w:noProof/>
          <w:lang w:val="en-US"/>
        </w:rPr>
        <w:t xml:space="preserve">Marcy, V. (2001). Adult Learning Styles: How the VARK Learning Style Inventory Can Be Used to Improve Student Learning. </w:t>
      </w:r>
      <w:r w:rsidRPr="00686A05">
        <w:rPr>
          <w:rFonts w:ascii="Arial" w:hAnsi="Arial" w:cs="Arial"/>
          <w:i/>
          <w:iCs/>
          <w:noProof/>
          <w:lang w:val="en-US"/>
        </w:rPr>
        <w:t>Journal of the Association of Physician Assistant Programs</w:t>
      </w:r>
      <w:r w:rsidRPr="00686A05">
        <w:rPr>
          <w:rFonts w:ascii="Arial" w:hAnsi="Arial" w:cs="Arial"/>
          <w:noProof/>
          <w:lang w:val="en-US"/>
        </w:rPr>
        <w:t>, p. 12.</w:t>
      </w:r>
    </w:p>
    <w:p w14:paraId="78673928" w14:textId="648A2E85" w:rsidR="00E71AC0" w:rsidRDefault="00667FA1">
      <w:pPr>
        <w:pStyle w:val="Bibliography"/>
        <w:spacing w:line="360" w:lineRule="auto"/>
        <w:ind w:left="720" w:hanging="720"/>
      </w:pPr>
      <w:r>
        <w:rPr>
          <w:rFonts w:ascii="Arial" w:hAnsi="Arial" w:cs="Arial"/>
          <w:lang w:val="en-US"/>
        </w:rPr>
        <w:t xml:space="preserve">Morton, D., Fulton, S., Harris, M., </w:t>
      </w:r>
      <w:proofErr w:type="spellStart"/>
      <w:r>
        <w:rPr>
          <w:rFonts w:ascii="Arial" w:hAnsi="Arial" w:cs="Arial"/>
          <w:lang w:val="en-US"/>
        </w:rPr>
        <w:t>Domalewski</w:t>
      </w:r>
      <w:proofErr w:type="spellEnd"/>
      <w:r>
        <w:rPr>
          <w:rFonts w:ascii="Arial" w:hAnsi="Arial" w:cs="Arial"/>
          <w:lang w:val="en-US"/>
        </w:rPr>
        <w:t xml:space="preserve">, R., Scolari, N., Wishart, L., . . . Hale, K. (2023). Development and implementation of a training package to improve the confidence, skills and knowledge of multi-disciplinary clinicians in the use of </w:t>
      </w:r>
      <w:proofErr w:type="spellStart"/>
      <w:r>
        <w:rPr>
          <w:rFonts w:ascii="Arial" w:hAnsi="Arial" w:cs="Arial"/>
          <w:lang w:val="en-US"/>
        </w:rPr>
        <w:t>telepractice</w:t>
      </w:r>
      <w:proofErr w:type="spellEnd"/>
      <w:r>
        <w:rPr>
          <w:rFonts w:ascii="Arial" w:hAnsi="Arial" w:cs="Arial"/>
          <w:lang w:val="en-US"/>
        </w:rPr>
        <w:t xml:space="preserve"> for outpatient services. </w:t>
      </w:r>
      <w:r>
        <w:rPr>
          <w:rFonts w:ascii="Arial" w:hAnsi="Arial" w:cs="Arial"/>
          <w:i/>
          <w:iCs/>
          <w:lang w:val="en-US"/>
        </w:rPr>
        <w:t>Journal of Adult and Continuing Education</w:t>
      </w:r>
      <w:r>
        <w:rPr>
          <w:rFonts w:ascii="Arial" w:hAnsi="Arial" w:cs="Arial"/>
          <w:lang w:val="en-US"/>
        </w:rPr>
        <w:t>, Volume 29, Issue 2, Pages 379-394.</w:t>
      </w:r>
    </w:p>
    <w:p w14:paraId="78673929" w14:textId="77777777" w:rsidR="00E71AC0" w:rsidRDefault="00667FA1">
      <w:pPr>
        <w:pStyle w:val="Bibliography"/>
        <w:spacing w:line="360" w:lineRule="auto"/>
        <w:ind w:left="720" w:hanging="720"/>
      </w:pPr>
      <w:r>
        <w:rPr>
          <w:rFonts w:ascii="Arial" w:hAnsi="Arial" w:cs="Arial"/>
          <w:lang w:val="en-US"/>
        </w:rPr>
        <w:t xml:space="preserve">My HR Future. (2024). </w:t>
      </w:r>
      <w:r>
        <w:rPr>
          <w:rFonts w:ascii="Arial" w:hAnsi="Arial" w:cs="Arial"/>
          <w:i/>
          <w:iCs/>
          <w:lang w:val="en-US"/>
        </w:rPr>
        <w:t>Online Workforce Planning Courses</w:t>
      </w:r>
      <w:r>
        <w:rPr>
          <w:rFonts w:ascii="Arial" w:hAnsi="Arial" w:cs="Arial"/>
          <w:lang w:val="en-US"/>
        </w:rPr>
        <w:t xml:space="preserve">. Retrieved from My HR Future: </w:t>
      </w:r>
      <w:hyperlink r:id="rId19" w:history="1">
        <w:r>
          <w:rPr>
            <w:rStyle w:val="Hyperlink"/>
            <w:rFonts w:ascii="Arial" w:hAnsi="Arial" w:cs="Arial"/>
            <w:lang w:val="en-US"/>
          </w:rPr>
          <w:t>https://www.myhrfuture.com/online-workforce-planning-training</w:t>
        </w:r>
      </w:hyperlink>
      <w:r>
        <w:rPr>
          <w:rFonts w:ascii="Arial" w:hAnsi="Arial" w:cs="Arial"/>
          <w:lang w:val="en-US"/>
        </w:rPr>
        <w:t>. (</w:t>
      </w:r>
      <w:r>
        <w:rPr>
          <w:rFonts w:ascii="Arial" w:hAnsi="Arial" w:cs="Arial"/>
        </w:rPr>
        <w:t>Accessed on 4</w:t>
      </w:r>
      <w:r>
        <w:rPr>
          <w:rFonts w:ascii="Arial" w:hAnsi="Arial" w:cs="Arial"/>
          <w:vertAlign w:val="superscript"/>
        </w:rPr>
        <w:t>th</w:t>
      </w:r>
      <w:r>
        <w:rPr>
          <w:rFonts w:ascii="Arial" w:hAnsi="Arial" w:cs="Arial"/>
        </w:rPr>
        <w:t xml:space="preserve"> August 2024).</w:t>
      </w:r>
    </w:p>
    <w:p w14:paraId="7867392A" w14:textId="77777777" w:rsidR="00E71AC0" w:rsidRDefault="00667FA1">
      <w:pPr>
        <w:pStyle w:val="Bibliography"/>
        <w:spacing w:line="360" w:lineRule="auto"/>
        <w:rPr>
          <w:rFonts w:ascii="Arial" w:hAnsi="Arial" w:cs="Arial"/>
          <w:lang w:val="en-US"/>
        </w:rPr>
      </w:pPr>
      <w:proofErr w:type="spellStart"/>
      <w:r>
        <w:rPr>
          <w:rFonts w:ascii="Arial" w:hAnsi="Arial" w:cs="Arial"/>
          <w:lang w:val="en-US"/>
        </w:rPr>
        <w:t>Ordu</w:t>
      </w:r>
      <w:proofErr w:type="spellEnd"/>
      <w:r>
        <w:rPr>
          <w:rFonts w:ascii="Arial" w:hAnsi="Arial" w:cs="Arial"/>
          <w:lang w:val="en-US"/>
        </w:rPr>
        <w:t xml:space="preserve">, U. B.-A. (2021). The Role of Teaching and Learning Aids/Methods in a </w:t>
      </w:r>
    </w:p>
    <w:p w14:paraId="7867392B" w14:textId="77777777" w:rsidR="00E71AC0" w:rsidRDefault="00667FA1">
      <w:pPr>
        <w:pStyle w:val="Bibliography"/>
        <w:spacing w:line="360" w:lineRule="auto"/>
        <w:ind w:left="680"/>
      </w:pPr>
      <w:r>
        <w:rPr>
          <w:rFonts w:ascii="Arial" w:hAnsi="Arial" w:cs="Arial"/>
          <w:lang w:val="en-US"/>
        </w:rPr>
        <w:t xml:space="preserve">Changing World. </w:t>
      </w:r>
      <w:r>
        <w:rPr>
          <w:rFonts w:ascii="Arial" w:hAnsi="Arial" w:cs="Arial"/>
          <w:i/>
          <w:iCs/>
          <w:lang w:val="en-US"/>
        </w:rPr>
        <w:t>New Challenges to Education: Lessons from Around the World</w:t>
      </w:r>
      <w:r>
        <w:rPr>
          <w:rFonts w:ascii="Arial" w:hAnsi="Arial" w:cs="Arial"/>
          <w:lang w:val="en-US"/>
        </w:rPr>
        <w:t xml:space="preserve">, Vol. 19; </w:t>
      </w:r>
      <w:proofErr w:type="spellStart"/>
      <w:r>
        <w:rPr>
          <w:rFonts w:ascii="Arial" w:hAnsi="Arial" w:cs="Arial"/>
          <w:lang w:val="en-US"/>
        </w:rPr>
        <w:t>pg</w:t>
      </w:r>
      <w:proofErr w:type="spellEnd"/>
      <w:r>
        <w:rPr>
          <w:rFonts w:ascii="Arial" w:hAnsi="Arial" w:cs="Arial"/>
          <w:lang w:val="en-US"/>
        </w:rPr>
        <w:t xml:space="preserve"> 210-216.</w:t>
      </w:r>
    </w:p>
    <w:p w14:paraId="7867392C" w14:textId="77777777" w:rsidR="00E71AC0" w:rsidRDefault="00667FA1">
      <w:pPr>
        <w:pStyle w:val="Bibliography"/>
        <w:spacing w:line="360" w:lineRule="auto"/>
        <w:ind w:left="720" w:hanging="720"/>
      </w:pPr>
      <w:r>
        <w:rPr>
          <w:rFonts w:ascii="Arial" w:hAnsi="Arial" w:cs="Arial"/>
          <w:lang w:val="en-US"/>
        </w:rPr>
        <w:t xml:space="preserve">Rehman, A. A., &amp; </w:t>
      </w:r>
      <w:proofErr w:type="spellStart"/>
      <w:r>
        <w:rPr>
          <w:rFonts w:ascii="Arial" w:hAnsi="Arial" w:cs="Arial"/>
          <w:lang w:val="en-US"/>
        </w:rPr>
        <w:t>Alharthi</w:t>
      </w:r>
      <w:proofErr w:type="spellEnd"/>
      <w:r>
        <w:rPr>
          <w:rFonts w:ascii="Arial" w:hAnsi="Arial" w:cs="Arial"/>
          <w:lang w:val="en-US"/>
        </w:rPr>
        <w:t xml:space="preserve">, K. (2016). Introduction to Research Paradigms. </w:t>
      </w:r>
      <w:r>
        <w:rPr>
          <w:rFonts w:ascii="Arial" w:hAnsi="Arial" w:cs="Arial"/>
          <w:i/>
          <w:iCs/>
          <w:lang w:val="en-US"/>
        </w:rPr>
        <w:t>International Journal of Educational Investigations</w:t>
      </w:r>
      <w:r>
        <w:rPr>
          <w:rFonts w:ascii="Arial" w:hAnsi="Arial" w:cs="Arial"/>
          <w:lang w:val="en-US"/>
        </w:rPr>
        <w:t>, Volume 3; Number 8; pp. 51-59.</w:t>
      </w:r>
    </w:p>
    <w:p w14:paraId="7867392D" w14:textId="77777777" w:rsidR="00E71AC0" w:rsidRDefault="00667FA1">
      <w:pPr>
        <w:pStyle w:val="Bibliography"/>
        <w:spacing w:line="360" w:lineRule="auto"/>
        <w:ind w:left="720" w:hanging="720"/>
      </w:pPr>
      <w:r>
        <w:rPr>
          <w:rFonts w:ascii="Arial" w:hAnsi="Arial" w:cs="Arial"/>
        </w:rPr>
        <w:lastRenderedPageBreak/>
        <w:t xml:space="preserve">Skills 4 Health. (2023). </w:t>
      </w:r>
      <w:r>
        <w:rPr>
          <w:rFonts w:ascii="Arial" w:hAnsi="Arial" w:cs="Arial"/>
          <w:i/>
          <w:iCs/>
        </w:rPr>
        <w:t>Six Steps Methodology to Integrated Workforce Planning</w:t>
      </w:r>
      <w:r>
        <w:rPr>
          <w:rFonts w:ascii="Arial" w:hAnsi="Arial" w:cs="Arial"/>
        </w:rPr>
        <w:t xml:space="preserve">. Retrieved from Skills 4 Health: </w:t>
      </w:r>
      <w:hyperlink r:id="rId20" w:anchor=":~:text=The%20Six%20Steps%20Methodology%20offers%3A%201%20a%20systematic,care%2C%20where%20the%20same%20approach%20has%20been%20adopted" w:history="1">
        <w:r>
          <w:rPr>
            <w:rStyle w:val="Hyperlink"/>
            <w:rFonts w:ascii="Arial" w:hAnsi="Arial" w:cs="Arial"/>
          </w:rPr>
          <w:t>https://www.skillsforhealth.org.uk/resources/six-steps-methodology-to-integrated-workforce-planning/#:~:text=The%20Six%20Steps%20Methodology%20offers%3A%201%20a%20systematic,care%2C%20where%20the%20same%20approach%20has%20been%20adopted</w:t>
        </w:r>
      </w:hyperlink>
      <w:r>
        <w:rPr>
          <w:rFonts w:ascii="Arial" w:hAnsi="Arial" w:cs="Arial"/>
        </w:rPr>
        <w:t>. (Accessed on 4</w:t>
      </w:r>
      <w:r>
        <w:rPr>
          <w:rFonts w:ascii="Arial" w:hAnsi="Arial" w:cs="Arial"/>
          <w:vertAlign w:val="superscript"/>
        </w:rPr>
        <w:t>th</w:t>
      </w:r>
      <w:r>
        <w:rPr>
          <w:rFonts w:ascii="Arial" w:hAnsi="Arial" w:cs="Arial"/>
        </w:rPr>
        <w:t xml:space="preserve"> August 2024).</w:t>
      </w:r>
    </w:p>
    <w:p w14:paraId="7867392E" w14:textId="77777777" w:rsidR="00E71AC0" w:rsidRDefault="00667FA1">
      <w:pPr>
        <w:pStyle w:val="Bibliography"/>
        <w:spacing w:line="360" w:lineRule="auto"/>
      </w:pPr>
      <w:r>
        <w:rPr>
          <w:rFonts w:ascii="Arial" w:hAnsi="Arial" w:cs="Arial"/>
          <w:lang w:val="en-US"/>
        </w:rPr>
        <w:t xml:space="preserve">Snelling, C. (2022, December 20). </w:t>
      </w:r>
      <w:r>
        <w:rPr>
          <w:rFonts w:ascii="Arial" w:hAnsi="Arial" w:cs="Arial"/>
          <w:i/>
          <w:iCs/>
          <w:lang w:val="en-US"/>
        </w:rPr>
        <w:t>Lessons from the pandemic: making the most of technologies in teaching</w:t>
      </w:r>
      <w:r>
        <w:rPr>
          <w:rFonts w:ascii="Arial" w:hAnsi="Arial" w:cs="Arial"/>
          <w:lang w:val="en-US"/>
        </w:rPr>
        <w:t xml:space="preserve">. Retrieved from Universities UK: </w:t>
      </w:r>
      <w:hyperlink r:id="rId21" w:history="1">
        <w:r>
          <w:rPr>
            <w:rStyle w:val="Hyperlink"/>
            <w:rFonts w:ascii="Arial" w:hAnsi="Arial" w:cs="Arial"/>
            <w:lang w:val="en-US"/>
          </w:rPr>
          <w:t>https://www.universitiesuk.ac.uk/what-we-do/policy-and-research/publications/lessons-pandemic-making-most</w:t>
        </w:r>
      </w:hyperlink>
      <w:r>
        <w:rPr>
          <w:rStyle w:val="Hyperlink"/>
          <w:rFonts w:ascii="Arial" w:hAnsi="Arial" w:cs="Arial"/>
          <w:lang w:val="en-US"/>
        </w:rPr>
        <w:t>.</w:t>
      </w:r>
      <w:r>
        <w:rPr>
          <w:rStyle w:val="Hyperlink"/>
          <w:rFonts w:ascii="Arial" w:hAnsi="Arial" w:cs="Arial"/>
          <w:u w:val="none"/>
          <w:lang w:val="en-US"/>
        </w:rPr>
        <w:t xml:space="preserve"> (</w:t>
      </w:r>
      <w:r>
        <w:rPr>
          <w:rFonts w:ascii="Arial" w:hAnsi="Arial" w:cs="Arial"/>
        </w:rPr>
        <w:t>Accessed on 23</w:t>
      </w:r>
      <w:r>
        <w:rPr>
          <w:rFonts w:ascii="Arial" w:hAnsi="Arial" w:cs="Arial"/>
          <w:vertAlign w:val="superscript"/>
        </w:rPr>
        <w:t>rd</w:t>
      </w:r>
      <w:r>
        <w:rPr>
          <w:rFonts w:ascii="Arial" w:hAnsi="Arial" w:cs="Arial"/>
        </w:rPr>
        <w:t xml:space="preserve"> October 2023).</w:t>
      </w:r>
    </w:p>
    <w:p w14:paraId="7867392F" w14:textId="77777777" w:rsidR="00E71AC0" w:rsidRDefault="00667FA1">
      <w:pPr>
        <w:pStyle w:val="Bibliography"/>
        <w:spacing w:line="360" w:lineRule="auto"/>
        <w:ind w:left="720" w:hanging="720"/>
      </w:pPr>
      <w:r>
        <w:rPr>
          <w:rFonts w:ascii="Arial" w:hAnsi="Arial" w:cs="Arial"/>
          <w:lang w:val="en-US"/>
        </w:rPr>
        <w:t xml:space="preserve">Steele, A. (2019, June 25). </w:t>
      </w:r>
      <w:r>
        <w:rPr>
          <w:rFonts w:ascii="Arial" w:hAnsi="Arial" w:cs="Arial"/>
          <w:i/>
          <w:iCs/>
          <w:lang w:val="en-US"/>
        </w:rPr>
        <w:t>What is active learning and what are the benefits?</w:t>
      </w:r>
      <w:r>
        <w:rPr>
          <w:rFonts w:ascii="Arial" w:hAnsi="Arial" w:cs="Arial"/>
          <w:lang w:val="en-US"/>
        </w:rPr>
        <w:t xml:space="preserve"> Retrieved from Cambridge University Press: </w:t>
      </w:r>
      <w:hyperlink r:id="rId22" w:history="1">
        <w:r>
          <w:rPr>
            <w:rStyle w:val="Hyperlink"/>
            <w:rFonts w:ascii="Arial" w:hAnsi="Arial" w:cs="Arial"/>
            <w:lang w:val="en-US"/>
          </w:rPr>
          <w:t>https://www.cambridge.org/us/education/blog/2019/06/25/what-active-learning-and-what-are-benefits/</w:t>
        </w:r>
      </w:hyperlink>
      <w:r>
        <w:rPr>
          <w:rStyle w:val="Hyperlink"/>
          <w:rFonts w:ascii="Arial" w:hAnsi="Arial" w:cs="Arial"/>
          <w:u w:val="none"/>
          <w:lang w:val="en-US"/>
        </w:rPr>
        <w:t xml:space="preserve"> </w:t>
      </w:r>
      <w:r>
        <w:rPr>
          <w:rStyle w:val="Hyperlink"/>
          <w:rFonts w:ascii="Arial" w:hAnsi="Arial" w:cs="Arial"/>
          <w:color w:val="auto"/>
          <w:u w:val="none"/>
          <w:lang w:val="en-US"/>
        </w:rPr>
        <w:t>(</w:t>
      </w:r>
      <w:r>
        <w:rPr>
          <w:rFonts w:ascii="Arial" w:hAnsi="Arial" w:cs="Arial"/>
        </w:rPr>
        <w:t>Accessed on 4</w:t>
      </w:r>
      <w:r>
        <w:rPr>
          <w:rFonts w:ascii="Arial" w:hAnsi="Arial" w:cs="Arial"/>
          <w:vertAlign w:val="superscript"/>
        </w:rPr>
        <w:t>th</w:t>
      </w:r>
      <w:r>
        <w:rPr>
          <w:rFonts w:ascii="Arial" w:hAnsi="Arial" w:cs="Arial"/>
        </w:rPr>
        <w:t xml:space="preserve"> August 2024).</w:t>
      </w:r>
    </w:p>
    <w:p w14:paraId="78673930" w14:textId="77777777" w:rsidR="00E71AC0" w:rsidRDefault="00667FA1">
      <w:pPr>
        <w:pStyle w:val="Bibliography"/>
        <w:spacing w:line="360" w:lineRule="auto"/>
        <w:ind w:left="720" w:hanging="720"/>
      </w:pPr>
      <w:proofErr w:type="spellStart"/>
      <w:r>
        <w:rPr>
          <w:rFonts w:ascii="Arial" w:hAnsi="Arial" w:cs="Arial"/>
          <w:lang w:val="en-US"/>
        </w:rPr>
        <w:t>Tymms</w:t>
      </w:r>
      <w:proofErr w:type="spellEnd"/>
      <w:r>
        <w:rPr>
          <w:rFonts w:ascii="Arial" w:hAnsi="Arial" w:cs="Arial"/>
          <w:lang w:val="en-US"/>
        </w:rPr>
        <w:t xml:space="preserve">, P. (2021). Interventions: Experiments. In R. Coe, M. Waring, L. V. Hedges, &amp; L. D. Ashley, </w:t>
      </w:r>
      <w:r>
        <w:rPr>
          <w:rFonts w:ascii="Arial" w:hAnsi="Arial" w:cs="Arial"/>
          <w:i/>
          <w:iCs/>
          <w:lang w:val="en-US"/>
        </w:rPr>
        <w:t>Research Methods &amp; Methodologies in Education</w:t>
      </w:r>
      <w:r>
        <w:rPr>
          <w:rFonts w:ascii="Arial" w:hAnsi="Arial" w:cs="Arial"/>
          <w:lang w:val="en-US"/>
        </w:rPr>
        <w:t xml:space="preserve"> (pp. 179-185). London: Sage.</w:t>
      </w:r>
    </w:p>
    <w:p w14:paraId="78673931" w14:textId="77777777" w:rsidR="00E71AC0" w:rsidRDefault="00667FA1">
      <w:pPr>
        <w:pStyle w:val="Bibliography"/>
        <w:spacing w:line="360" w:lineRule="auto"/>
        <w:ind w:left="720" w:hanging="720"/>
      </w:pPr>
      <w:r>
        <w:rPr>
          <w:rFonts w:ascii="Arial" w:hAnsi="Arial" w:cs="Arial"/>
          <w:lang w:val="en-US"/>
        </w:rPr>
        <w:t xml:space="preserve">Veronica, M., &amp; Lawrence, M. (2010, November 25). Secondary School Teachers and Learning Style Preferences: action or watching in the classroom? </w:t>
      </w:r>
      <w:r>
        <w:rPr>
          <w:rFonts w:ascii="Arial" w:hAnsi="Arial" w:cs="Arial"/>
          <w:i/>
          <w:iCs/>
          <w:lang w:val="en-US"/>
        </w:rPr>
        <w:t>Educational Psychology</w:t>
      </w:r>
      <w:r>
        <w:rPr>
          <w:rFonts w:ascii="Arial" w:hAnsi="Arial" w:cs="Arial"/>
          <w:lang w:val="en-US"/>
        </w:rPr>
        <w:t xml:space="preserve">, pp. Vol. 17:1-2, </w:t>
      </w:r>
      <w:proofErr w:type="spellStart"/>
      <w:r>
        <w:rPr>
          <w:rFonts w:ascii="Arial" w:hAnsi="Arial" w:cs="Arial"/>
          <w:lang w:val="en-US"/>
        </w:rPr>
        <w:t>pg</w:t>
      </w:r>
      <w:proofErr w:type="spellEnd"/>
      <w:r>
        <w:rPr>
          <w:rFonts w:ascii="Arial" w:hAnsi="Arial" w:cs="Arial"/>
          <w:lang w:val="en-US"/>
        </w:rPr>
        <w:t xml:space="preserve"> 157-170.</w:t>
      </w:r>
    </w:p>
    <w:p w14:paraId="78673932" w14:textId="77777777" w:rsidR="00E71AC0" w:rsidRDefault="00667FA1">
      <w:pPr>
        <w:pStyle w:val="Bibliography"/>
        <w:spacing w:line="360" w:lineRule="auto"/>
        <w:ind w:left="720" w:hanging="720"/>
      </w:pPr>
      <w:r>
        <w:rPr>
          <w:rFonts w:ascii="Arial" w:hAnsi="Arial" w:cs="Arial"/>
        </w:rPr>
        <w:t xml:space="preserve">Welsh Government. (2023, February 1). </w:t>
      </w:r>
      <w:r>
        <w:rPr>
          <w:rFonts w:ascii="Arial" w:hAnsi="Arial" w:cs="Arial"/>
          <w:i/>
          <w:iCs/>
        </w:rPr>
        <w:t>Plan to address NHS workforce challenges</w:t>
      </w:r>
      <w:r>
        <w:rPr>
          <w:rFonts w:ascii="Arial" w:hAnsi="Arial" w:cs="Arial"/>
        </w:rPr>
        <w:t xml:space="preserve">. Retrieved from Welsh Government: </w:t>
      </w:r>
      <w:hyperlink r:id="rId23" w:history="1">
        <w:r>
          <w:rPr>
            <w:rStyle w:val="Hyperlink"/>
            <w:rFonts w:ascii="Arial" w:hAnsi="Arial" w:cs="Arial"/>
          </w:rPr>
          <w:t>https://www.gov.wales/plan-address-nhs-workforce-challenges</w:t>
        </w:r>
      </w:hyperlink>
      <w:r>
        <w:rPr>
          <w:rFonts w:ascii="Arial" w:hAnsi="Arial" w:cs="Arial"/>
        </w:rPr>
        <w:t xml:space="preserve"> (Accessed on 29</w:t>
      </w:r>
      <w:r>
        <w:rPr>
          <w:rFonts w:ascii="Arial" w:hAnsi="Arial" w:cs="Arial"/>
          <w:vertAlign w:val="superscript"/>
        </w:rPr>
        <w:t>th</w:t>
      </w:r>
      <w:r>
        <w:rPr>
          <w:rFonts w:ascii="Arial" w:hAnsi="Arial" w:cs="Arial"/>
        </w:rPr>
        <w:t xml:space="preserve"> September 2024).</w:t>
      </w:r>
    </w:p>
    <w:p w14:paraId="78673933" w14:textId="77777777" w:rsidR="00E71AC0" w:rsidRDefault="00667FA1">
      <w:pPr>
        <w:pStyle w:val="Bibliography"/>
        <w:spacing w:line="360" w:lineRule="auto"/>
        <w:ind w:left="720" w:hanging="720"/>
      </w:pPr>
      <w:r>
        <w:rPr>
          <w:rFonts w:ascii="Arial" w:hAnsi="Arial" w:cs="Arial"/>
          <w:lang w:val="en-US"/>
        </w:rPr>
        <w:t xml:space="preserve">Yusupova, N., </w:t>
      </w:r>
      <w:proofErr w:type="spellStart"/>
      <w:r>
        <w:rPr>
          <w:rFonts w:ascii="Arial" w:hAnsi="Arial" w:cs="Arial"/>
          <w:lang w:val="en-US"/>
        </w:rPr>
        <w:t>Azamatjon</w:t>
      </w:r>
      <w:proofErr w:type="spellEnd"/>
      <w:r>
        <w:rPr>
          <w:rFonts w:ascii="Arial" w:hAnsi="Arial" w:cs="Arial"/>
          <w:lang w:val="en-US"/>
        </w:rPr>
        <w:t xml:space="preserve">, Q., &amp; </w:t>
      </w:r>
      <w:proofErr w:type="spellStart"/>
      <w:r>
        <w:rPr>
          <w:rFonts w:ascii="Arial" w:hAnsi="Arial" w:cs="Arial"/>
          <w:lang w:val="en-US"/>
        </w:rPr>
        <w:t>Adilova</w:t>
      </w:r>
      <w:proofErr w:type="spellEnd"/>
      <w:r>
        <w:rPr>
          <w:rFonts w:ascii="Arial" w:hAnsi="Arial" w:cs="Arial"/>
          <w:lang w:val="en-US"/>
        </w:rPr>
        <w:t xml:space="preserve"> </w:t>
      </w:r>
      <w:proofErr w:type="spellStart"/>
      <w:r>
        <w:rPr>
          <w:rFonts w:ascii="Arial" w:hAnsi="Arial" w:cs="Arial"/>
          <w:lang w:val="en-US"/>
        </w:rPr>
        <w:t>Fotima</w:t>
      </w:r>
      <w:proofErr w:type="spellEnd"/>
      <w:r>
        <w:rPr>
          <w:rFonts w:ascii="Arial" w:hAnsi="Arial" w:cs="Arial"/>
          <w:lang w:val="en-US"/>
        </w:rPr>
        <w:t xml:space="preserve">, M. (2022, April 3454-3462). Learning Styles and their Different Features. </w:t>
      </w:r>
      <w:r>
        <w:rPr>
          <w:rFonts w:ascii="Arial" w:hAnsi="Arial" w:cs="Arial"/>
          <w:i/>
          <w:iCs/>
          <w:lang w:val="en-US"/>
        </w:rPr>
        <w:t>International Journal of Innovative Research in Science, Engineering and Technology</w:t>
      </w:r>
      <w:r>
        <w:rPr>
          <w:rFonts w:ascii="Arial" w:hAnsi="Arial" w:cs="Arial"/>
          <w:lang w:val="en-US"/>
        </w:rPr>
        <w:t>, pp. Volume 11, Issue 4.</w:t>
      </w:r>
    </w:p>
    <w:p w14:paraId="78673934" w14:textId="77777777" w:rsidR="00E71AC0" w:rsidRDefault="00E71AC0">
      <w:pPr>
        <w:spacing w:line="360" w:lineRule="auto"/>
        <w:rPr>
          <w:rFonts w:ascii="Arial" w:hAnsi="Arial" w:cs="Arial"/>
        </w:rPr>
      </w:pPr>
    </w:p>
    <w:p w14:paraId="78673935" w14:textId="77777777" w:rsidR="00E71AC0" w:rsidRDefault="00E71AC0">
      <w:pPr>
        <w:spacing w:line="360" w:lineRule="auto"/>
        <w:rPr>
          <w:rFonts w:ascii="Arial" w:hAnsi="Arial" w:cs="Arial"/>
        </w:rPr>
      </w:pPr>
    </w:p>
    <w:p w14:paraId="78673936" w14:textId="77777777" w:rsidR="00E71AC0" w:rsidRDefault="00E71AC0">
      <w:pPr>
        <w:spacing w:line="360" w:lineRule="auto"/>
        <w:rPr>
          <w:rFonts w:ascii="Arial" w:hAnsi="Arial" w:cs="Arial"/>
        </w:rPr>
      </w:pPr>
    </w:p>
    <w:p w14:paraId="78673937" w14:textId="77777777" w:rsidR="00E71AC0" w:rsidRDefault="00E71AC0"/>
    <w:p w14:paraId="7867393D" w14:textId="77777777" w:rsidR="00E71AC0" w:rsidRDefault="00E71AC0"/>
    <w:sectPr w:rsidR="00E71AC0">
      <w:headerReference w:type="default" r:id="rId24"/>
      <w:footerReference w:type="default" r:id="rId2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1B0DE" w14:textId="77777777" w:rsidR="00D43B03" w:rsidRDefault="00D43B03">
      <w:r>
        <w:separator/>
      </w:r>
    </w:p>
  </w:endnote>
  <w:endnote w:type="continuationSeparator" w:id="0">
    <w:p w14:paraId="0B437DEA" w14:textId="77777777" w:rsidR="00D43B03" w:rsidRDefault="00D43B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737DB" w14:textId="77777777" w:rsidR="004846F1" w:rsidRDefault="00667FA1">
    <w:pPr>
      <w:pStyle w:val="Footer"/>
      <w:jc w:val="right"/>
    </w:pPr>
    <w:r>
      <w:fldChar w:fldCharType="begin"/>
    </w:r>
    <w:r>
      <w:instrText xml:space="preserve"> PAGE </w:instrText>
    </w:r>
    <w:r>
      <w:fldChar w:fldCharType="separate"/>
    </w:r>
    <w:r>
      <w:t>2</w:t>
    </w:r>
    <w:r>
      <w:fldChar w:fldCharType="end"/>
    </w:r>
  </w:p>
  <w:p w14:paraId="786737DC" w14:textId="77777777" w:rsidR="004846F1" w:rsidRDefault="00667FA1">
    <w:pPr>
      <w:pStyle w:val="Footer"/>
    </w:pPr>
    <w:r>
      <w:t>Shelley Dony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B64F6" w14:textId="77777777" w:rsidR="00D43B03" w:rsidRDefault="00D43B03">
      <w:r>
        <w:rPr>
          <w:color w:val="000000"/>
        </w:rPr>
        <w:separator/>
      </w:r>
    </w:p>
  </w:footnote>
  <w:footnote w:type="continuationSeparator" w:id="0">
    <w:p w14:paraId="133EDBBD" w14:textId="77777777" w:rsidR="00D43B03" w:rsidRDefault="00D43B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737D8" w14:textId="77777777" w:rsidR="004846F1" w:rsidRDefault="00667FA1">
    <w:pPr>
      <w:pStyle w:val="Header"/>
    </w:pPr>
    <w:r>
      <w:rPr>
        <w:rFonts w:ascii="Arial" w:hAnsi="Arial" w:cs="Arial"/>
        <w:i/>
        <w:iCs/>
      </w:rPr>
      <w:t>How would the delivery of workforce planning education need to look to enable greater accessibility and participation?</w:t>
    </w:r>
  </w:p>
  <w:p w14:paraId="786737D9" w14:textId="77777777" w:rsidR="004846F1" w:rsidRDefault="004846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3360C"/>
    <w:multiLevelType w:val="multilevel"/>
    <w:tmpl w:val="4D868CA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7F844DA7"/>
    <w:multiLevelType w:val="multilevel"/>
    <w:tmpl w:val="A09E6314"/>
    <w:lvl w:ilvl="0">
      <w:numFmt w:val="bullet"/>
      <w:lvlText w:val=""/>
      <w:lvlJc w:val="left"/>
      <w:pPr>
        <w:ind w:left="720" w:hanging="360"/>
      </w:pPr>
      <w:rPr>
        <w:rFonts w:ascii="Symbol" w:hAnsi="Symbol" w:cs="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197813010">
    <w:abstractNumId w:val="1"/>
  </w:num>
  <w:num w:numId="2" w16cid:durableId="457262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1AC0"/>
    <w:rsid w:val="0002077C"/>
    <w:rsid w:val="0004094C"/>
    <w:rsid w:val="00072EE9"/>
    <w:rsid w:val="00081A69"/>
    <w:rsid w:val="00194F18"/>
    <w:rsid w:val="001B65CD"/>
    <w:rsid w:val="002B0B10"/>
    <w:rsid w:val="00333D89"/>
    <w:rsid w:val="003452E7"/>
    <w:rsid w:val="00345E63"/>
    <w:rsid w:val="00427196"/>
    <w:rsid w:val="00467CD4"/>
    <w:rsid w:val="004846F1"/>
    <w:rsid w:val="004C6D64"/>
    <w:rsid w:val="00562AC1"/>
    <w:rsid w:val="005A17D9"/>
    <w:rsid w:val="006214EF"/>
    <w:rsid w:val="006431E4"/>
    <w:rsid w:val="00667FA1"/>
    <w:rsid w:val="00686A05"/>
    <w:rsid w:val="006C346B"/>
    <w:rsid w:val="006D5E5F"/>
    <w:rsid w:val="008064C8"/>
    <w:rsid w:val="0084172A"/>
    <w:rsid w:val="00891D0B"/>
    <w:rsid w:val="008B57D6"/>
    <w:rsid w:val="008D1211"/>
    <w:rsid w:val="00922A91"/>
    <w:rsid w:val="009E3A1F"/>
    <w:rsid w:val="009F623E"/>
    <w:rsid w:val="00A108C1"/>
    <w:rsid w:val="00A473AA"/>
    <w:rsid w:val="00B024A0"/>
    <w:rsid w:val="00C647EB"/>
    <w:rsid w:val="00CA5340"/>
    <w:rsid w:val="00CB66DB"/>
    <w:rsid w:val="00CE29FA"/>
    <w:rsid w:val="00D43B03"/>
    <w:rsid w:val="00D441D3"/>
    <w:rsid w:val="00E41EA3"/>
    <w:rsid w:val="00E71AC0"/>
    <w:rsid w:val="00E834C8"/>
    <w:rsid w:val="00EA02E1"/>
    <w:rsid w:val="00EB56C9"/>
    <w:rsid w:val="00EF49E7"/>
    <w:rsid w:val="00F07B0A"/>
    <w:rsid w:val="00FD3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737B4"/>
  <w15:docId w15:val="{7468B5E6-455F-4D9E-8DF0-B9246CA55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40" w:lineRule="auto"/>
    </w:pPr>
    <w:rPr>
      <w:rFonts w:ascii="Times New Roman" w:eastAsia="Times New Roman" w:hAnsi="Times New Roman"/>
      <w:sz w:val="24"/>
      <w:szCs w:val="24"/>
      <w:lang w:eastAsia="en-GB"/>
    </w:rPr>
  </w:style>
  <w:style w:type="paragraph" w:styleId="Heading1">
    <w:name w:val="heading 1"/>
    <w:basedOn w:val="Normal"/>
    <w:next w:val="Normal"/>
    <w:uiPriority w:val="9"/>
    <w:qFormat/>
    <w:pPr>
      <w:keepNext/>
      <w:keepLines/>
      <w:spacing w:before="240"/>
      <w:outlineLvl w:val="0"/>
    </w:pPr>
    <w:rPr>
      <w:rFonts w:ascii="Calibri Light" w:hAnsi="Calibri Light"/>
      <w:color w:val="2F5496"/>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lang w:val="en-US"/>
    </w:rPr>
  </w:style>
  <w:style w:type="paragraph" w:styleId="Header">
    <w:name w:val="header"/>
    <w:basedOn w:val="Normal"/>
    <w:pPr>
      <w:tabs>
        <w:tab w:val="center" w:pos="4513"/>
        <w:tab w:val="right" w:pos="9026"/>
      </w:tabs>
    </w:pPr>
  </w:style>
  <w:style w:type="character" w:customStyle="1" w:styleId="HeaderChar">
    <w:name w:val="Header Char"/>
    <w:basedOn w:val="DefaultParagraphFont"/>
    <w:rPr>
      <w:rFonts w:ascii="Times New Roman" w:eastAsia="Times New Roman" w:hAnsi="Times New Roman" w:cs="Times New Roman"/>
      <w:sz w:val="24"/>
      <w:szCs w:val="24"/>
      <w:lang w:eastAsia="en-GB"/>
    </w:rPr>
  </w:style>
  <w:style w:type="paragraph" w:styleId="Footer">
    <w:name w:val="footer"/>
    <w:basedOn w:val="Normal"/>
    <w:pPr>
      <w:tabs>
        <w:tab w:val="center" w:pos="4513"/>
        <w:tab w:val="right" w:pos="9026"/>
      </w:tabs>
    </w:pPr>
  </w:style>
  <w:style w:type="character" w:customStyle="1" w:styleId="FooterChar">
    <w:name w:val="Footer Char"/>
    <w:basedOn w:val="DefaultParagraphFont"/>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style>
  <w:style w:type="paragraph" w:styleId="ListParagraph">
    <w:name w:val="List Paragraph"/>
    <w:basedOn w:val="Normal"/>
    <w:pPr>
      <w:ind w:left="720"/>
      <w:contextualSpacing/>
    </w:pPr>
  </w:style>
  <w:style w:type="character" w:styleId="Emphasis">
    <w:name w:val="Emphasis"/>
    <w:basedOn w:val="DefaultParagraphFont"/>
    <w:rPr>
      <w:i/>
      <w:iCs/>
    </w:rPr>
  </w:style>
  <w:style w:type="paragraph" w:customStyle="1" w:styleId="nova-legacy-e-listitem">
    <w:name w:val="nova-legacy-e-list__item"/>
    <w:basedOn w:val="Normal"/>
    <w:pPr>
      <w:spacing w:before="100" w:after="100"/>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CommentReference">
    <w:name w:val="annotation reference"/>
    <w:rPr>
      <w:sz w:val="16"/>
      <w:szCs w:val="16"/>
    </w:rPr>
  </w:style>
  <w:style w:type="paragraph" w:styleId="CommentText">
    <w:name w:val="annotation text"/>
    <w:basedOn w:val="Normal"/>
    <w:rPr>
      <w:sz w:val="20"/>
      <w:szCs w:val="20"/>
      <w:lang w:eastAsia="en-US"/>
    </w:rPr>
  </w:style>
  <w:style w:type="character" w:customStyle="1" w:styleId="CommentTextChar">
    <w:name w:val="Comment Text Char"/>
    <w:basedOn w:val="DefaultParagraphFont"/>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rPr>
      <w:b/>
      <w:bCs/>
      <w:lang w:eastAsia="en-GB"/>
    </w:rPr>
  </w:style>
  <w:style w:type="character" w:customStyle="1" w:styleId="CommentSubjectChar">
    <w:name w:val="Comment Subject Char"/>
    <w:basedOn w:val="CommentTextChar"/>
    <w:rPr>
      <w:rFonts w:ascii="Times New Roman" w:eastAsia="Times New Roman" w:hAnsi="Times New Roman" w:cs="Times New Roman"/>
      <w:b/>
      <w:bCs/>
      <w:sz w:val="20"/>
      <w:szCs w:val="20"/>
      <w:lang w:eastAsia="en-GB"/>
    </w:rPr>
  </w:style>
  <w:style w:type="character" w:customStyle="1" w:styleId="CommentTextChar1">
    <w:name w:val="Comment Text Char1"/>
    <w:basedOn w:val="DefaultParagraphFont"/>
    <w:rPr>
      <w:rFonts w:ascii="Times New Roman" w:eastAsia="Times New Roman" w:hAnsi="Times New Roman" w:cs="Times New Roman"/>
      <w:sz w:val="20"/>
      <w:szCs w:val="20"/>
    </w:rPr>
  </w:style>
  <w:style w:type="paragraph" w:styleId="Caption">
    <w:name w:val="caption"/>
    <w:basedOn w:val="Normal"/>
    <w:next w:val="Normal"/>
    <w:pPr>
      <w:spacing w:after="200"/>
    </w:pPr>
    <w:rPr>
      <w:i/>
      <w:iCs/>
      <w:color w:val="44546A"/>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ckinsey.com/capabilities/people-and-organizational-performance/our-insights/the-organization-blog/survey-fatigue-blame-the-leader-not-the-question" TargetMode="External"/><Relationship Id="rId18" Type="http://schemas.openxmlformats.org/officeDocument/2006/relationships/hyperlink" Target="https://www.bing.com/search?q=what+to+bear+in+mind+when+recording+teaching&amp;qs=n&amp;form=QBRE&amp;sp=-1&amp;lq=0&amp;pq=what+to+bear+in+mind+when+recording+&amp;sc=6-36&amp;sk=&amp;cvid=D4E29E8A7B8045DC86ADDF1AD8448FB8&amp;ghsh=0&amp;ghacc=0&amp;ghp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universitiesuk.ac.uk/what-we-do/policy-and-research/publications/lessons-pandemic-making-most" TargetMode="External"/><Relationship Id="rId7" Type="http://schemas.openxmlformats.org/officeDocument/2006/relationships/endnotes" Target="endnotes.xml"/><Relationship Id="rId12" Type="http://schemas.openxmlformats.org/officeDocument/2006/relationships/hyperlink" Target="https://www.thehumancapitalhub.com/articles/Toolkits-A-Guide-To-Developing-Toolkits-That-Work" TargetMode="External"/><Relationship Id="rId17" Type="http://schemas.openxmlformats.org/officeDocument/2006/relationships/hyperlink" Target="https://www.londontfe.com/course/human-resources-and-talent-development/Workforce-Planning/2749"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esearchgate.net/publication/318215081_Teaching_materials_and_teaching_aids_-_1_teaching_material" TargetMode="External"/><Relationship Id="rId20" Type="http://schemas.openxmlformats.org/officeDocument/2006/relationships/hyperlink" Target="https://www.skillsforhealth.org.uk/resources/six-steps-methodology-to-integrated-workforce-plann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t.com/content/b593116d-f948-4757-b2fa-c74adadc8b42"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udemy.com/course/strategic-workforce-planning/?couponCode=THANKSLEARNER24" TargetMode="External"/><Relationship Id="rId23" Type="http://schemas.openxmlformats.org/officeDocument/2006/relationships/hyperlink" Target="https://www.gov.wales/plan-address-nhs-workforce-challenges" TargetMode="External"/><Relationship Id="rId10" Type="http://schemas.openxmlformats.org/officeDocument/2006/relationships/hyperlink" Target="https://onlinelibrary-wiley-com.ezproxy.uwtsd.ac.uk/doi/full/10.1111/jade.12473" TargetMode="External"/><Relationship Id="rId19" Type="http://schemas.openxmlformats.org/officeDocument/2006/relationships/hyperlink" Target="https://www.myhrfuture.com/online-workforce-planning-training" TargetMode="External"/><Relationship Id="rId4" Type="http://schemas.openxmlformats.org/officeDocument/2006/relationships/settings" Target="settings.xml"/><Relationship Id="rId9" Type="http://schemas.openxmlformats.org/officeDocument/2006/relationships/hyperlink" Target="https://journals-sagepub-com.ezproxy.uwtsd.ac.uk/doi/full/10.1177/14779714221140925" TargetMode="External"/><Relationship Id="rId14" Type="http://schemas.openxmlformats.org/officeDocument/2006/relationships/hyperlink" Target="https://nhswales365.sharepoint.com/:p:/s/HDD_OD_Team-CultureandWorkforceExperience/EZsFzb_ud2JLmP2RbNgx2XsBXCJBGL31x6Ntjk-gtXLiWg" TargetMode="External"/><Relationship Id="rId22" Type="http://schemas.openxmlformats.org/officeDocument/2006/relationships/hyperlink" Target="https://www.cambridge.org/us/education/blog/2019/06/25/what-active-learning-and-what-are-benefit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3B56FF-8732-4E3D-9FAF-5014F33BCE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2763</Words>
  <Characters>15751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18478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Dony (Hywel Dda UHB - Project Manager - Workforce Planning)</dc:creator>
  <dc:description/>
  <cp:lastModifiedBy>Shelley Dony (Hywel Dda UHB - Project Manager - Workforce Planning)</cp:lastModifiedBy>
  <cp:revision>5</cp:revision>
  <dcterms:created xsi:type="dcterms:W3CDTF">2024-11-12T11:05:00Z</dcterms:created>
  <dcterms:modified xsi:type="dcterms:W3CDTF">2024-11-12T11:20:00Z</dcterms:modified>
</cp:coreProperties>
</file>