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64DB91" w14:textId="77777777" w:rsidR="00B47326" w:rsidRDefault="00B47326" w:rsidP="00B47326">
      <w:pPr>
        <w:pStyle w:val="NormalWeb"/>
        <w:spacing w:before="0" w:beforeAutospacing="0" w:after="0" w:afterAutospacing="0"/>
        <w:ind w:left="-180" w:right="-334"/>
        <w:rPr>
          <w:rFonts w:ascii="Trebuchet MS" w:hAnsi="Trebuchet MS" w:cs="Tahoma"/>
        </w:rPr>
      </w:pPr>
      <w:r>
        <w:rPr>
          <w:noProof/>
          <w:lang w:val="en-GB" w:eastAsia="en-GB"/>
        </w:rPr>
        <w:drawing>
          <wp:inline distT="0" distB="0" distL="0" distR="0" wp14:anchorId="3CFAF14D" wp14:editId="0207FB75">
            <wp:extent cx="2876550" cy="1047750"/>
            <wp:effectExtent l="19050" t="19050" r="19050" b="1905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348349A" w14:textId="77777777" w:rsidR="00B47326" w:rsidRDefault="00B47326" w:rsidP="00B47326">
      <w:pPr>
        <w:pStyle w:val="Heading1"/>
        <w:jc w:val="center"/>
        <w:rPr>
          <w:lang w:val="cy-GB"/>
        </w:rPr>
      </w:pPr>
      <w:r>
        <w:rPr>
          <w:lang w:val="cy-GB"/>
        </w:rPr>
        <w:t>Undergraduate a</w:t>
      </w:r>
      <w:r w:rsidRPr="0065654E">
        <w:rPr>
          <w:lang w:val="cy-GB"/>
        </w:rPr>
        <w:t>ssignment</w:t>
      </w:r>
      <w:r>
        <w:rPr>
          <w:lang w:val="cy-GB"/>
        </w:rPr>
        <w:t xml:space="preserve"> </w:t>
      </w:r>
      <w:r w:rsidRPr="0065654E">
        <w:rPr>
          <w:lang w:val="cy-GB"/>
        </w:rPr>
        <w:t>feedback form</w:t>
      </w:r>
    </w:p>
    <w:p w14:paraId="2416B324" w14:textId="77777777" w:rsidR="00B47326" w:rsidRPr="001E50BB" w:rsidRDefault="00B47326" w:rsidP="00B47326">
      <w:pPr>
        <w:jc w:val="center"/>
        <w:rPr>
          <w:rFonts w:ascii="Arial" w:hAnsi="Arial" w:cs="Arial"/>
          <w:b/>
          <w:lang w:val="cy-GB"/>
        </w:rPr>
      </w:pPr>
      <w:r w:rsidRPr="001E50BB">
        <w:rPr>
          <w:rFonts w:ascii="Arial" w:hAnsi="Arial" w:cs="Arial"/>
          <w:b/>
          <w:lang w:val="cy-GB"/>
        </w:rPr>
        <w:t>(to be completed by marker)</w:t>
      </w:r>
    </w:p>
    <w:p w14:paraId="15E33297" w14:textId="77777777" w:rsidR="00B47326" w:rsidRDefault="00B47326" w:rsidP="00B47326">
      <w:pPr>
        <w:pStyle w:val="Heading3"/>
        <w:rPr>
          <w:rFonts w:ascii="Trebuchet MS"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664"/>
        <w:gridCol w:w="1930"/>
        <w:gridCol w:w="1935"/>
      </w:tblGrid>
      <w:tr w:rsidR="00B47326" w:rsidRPr="0065654E" w14:paraId="24055CE1" w14:textId="77777777" w:rsidTr="004F6556">
        <w:trPr>
          <w:trHeight w:val="585"/>
        </w:trPr>
        <w:tc>
          <w:tcPr>
            <w:tcW w:w="8529" w:type="dxa"/>
            <w:gridSpan w:val="3"/>
            <w:tcBorders>
              <w:top w:val="single" w:sz="4" w:space="0" w:color="auto"/>
              <w:left w:val="single" w:sz="4" w:space="0" w:color="auto"/>
              <w:bottom w:val="single" w:sz="4" w:space="0" w:color="auto"/>
              <w:right w:val="single" w:sz="4" w:space="0" w:color="auto"/>
            </w:tcBorders>
            <w:vAlign w:val="center"/>
          </w:tcPr>
          <w:p w14:paraId="48187B69" w14:textId="77777777" w:rsidR="00B47326" w:rsidRDefault="00B47326" w:rsidP="0022690D">
            <w:pPr>
              <w:pStyle w:val="NormalWeb"/>
              <w:spacing w:before="0" w:beforeAutospacing="0" w:after="0" w:afterAutospacing="0"/>
              <w:ind w:right="34"/>
              <w:rPr>
                <w:rFonts w:ascii="Calibri" w:hAnsi="Calibri" w:cs="Tahoma"/>
                <w:i/>
              </w:rPr>
            </w:pPr>
            <w:r w:rsidRPr="0065654E">
              <w:rPr>
                <w:rFonts w:ascii="Calibri" w:hAnsi="Calibri" w:cs="Tahoma"/>
                <w:i/>
              </w:rPr>
              <w:t>Student Na</w:t>
            </w:r>
            <w:r>
              <w:rPr>
                <w:rFonts w:ascii="Calibri" w:hAnsi="Calibri" w:cs="Tahoma"/>
                <w:i/>
              </w:rPr>
              <w:t>me:</w:t>
            </w:r>
            <w:r w:rsidR="004F6556">
              <w:rPr>
                <w:rFonts w:ascii="Calibri" w:hAnsi="Calibri" w:cs="Tahoma"/>
                <w:i/>
              </w:rPr>
              <w:t xml:space="preserve"> Jordanne Gray</w:t>
            </w:r>
          </w:p>
          <w:p w14:paraId="6E433998" w14:textId="77777777" w:rsidR="00B47326" w:rsidRPr="0065654E" w:rsidRDefault="00B47326" w:rsidP="0022690D">
            <w:pPr>
              <w:pStyle w:val="NormalWeb"/>
              <w:spacing w:before="0" w:beforeAutospacing="0" w:after="0" w:afterAutospacing="0"/>
              <w:ind w:right="34"/>
              <w:rPr>
                <w:rFonts w:ascii="Calibri" w:hAnsi="Calibri" w:cs="Tahoma"/>
                <w:i/>
              </w:rPr>
            </w:pPr>
          </w:p>
        </w:tc>
      </w:tr>
      <w:tr w:rsidR="00B47326" w:rsidRPr="0065654E" w14:paraId="07D513FD" w14:textId="77777777" w:rsidTr="004F6556">
        <w:trPr>
          <w:trHeight w:val="692"/>
        </w:trPr>
        <w:tc>
          <w:tcPr>
            <w:tcW w:w="4664" w:type="dxa"/>
            <w:tcBorders>
              <w:top w:val="single" w:sz="4" w:space="0" w:color="auto"/>
              <w:left w:val="single" w:sz="4" w:space="0" w:color="auto"/>
              <w:bottom w:val="single" w:sz="4" w:space="0" w:color="auto"/>
              <w:right w:val="single" w:sz="4" w:space="0" w:color="auto"/>
            </w:tcBorders>
            <w:vAlign w:val="center"/>
          </w:tcPr>
          <w:p w14:paraId="7CC8E380" w14:textId="77777777" w:rsidR="00B47326" w:rsidRDefault="00B47326" w:rsidP="0022690D">
            <w:pPr>
              <w:pStyle w:val="NormalWeb"/>
              <w:spacing w:before="0" w:beforeAutospacing="0" w:after="0" w:afterAutospacing="0"/>
              <w:ind w:right="34"/>
              <w:rPr>
                <w:rFonts w:ascii="Calibri" w:hAnsi="Calibri" w:cs="Tahoma"/>
                <w:i/>
              </w:rPr>
            </w:pPr>
            <w:r>
              <w:rPr>
                <w:rFonts w:ascii="Calibri" w:hAnsi="Calibri" w:cs="Tahoma"/>
                <w:i/>
              </w:rPr>
              <w:t xml:space="preserve">Module Code: </w:t>
            </w:r>
            <w:r w:rsidR="004F6556">
              <w:rPr>
                <w:rFonts w:ascii="Calibri" w:hAnsi="Calibri" w:cs="Tahoma"/>
                <w:i/>
              </w:rPr>
              <w:t>AHMS5005</w:t>
            </w:r>
          </w:p>
          <w:p w14:paraId="41CC9571" w14:textId="77777777" w:rsidR="00B47326" w:rsidRDefault="00B47326" w:rsidP="0022690D">
            <w:pPr>
              <w:pStyle w:val="NormalWeb"/>
              <w:spacing w:before="0" w:beforeAutospacing="0" w:after="0" w:afterAutospacing="0"/>
              <w:ind w:right="34"/>
              <w:rPr>
                <w:rFonts w:ascii="Calibri" w:hAnsi="Calibri" w:cs="Tahoma"/>
                <w:i/>
              </w:rPr>
            </w:pPr>
          </w:p>
          <w:p w14:paraId="608DF846" w14:textId="77777777" w:rsidR="00B47326" w:rsidRDefault="00B47326" w:rsidP="0022690D">
            <w:pPr>
              <w:pStyle w:val="NormalWeb"/>
              <w:spacing w:before="0" w:beforeAutospacing="0" w:after="0" w:afterAutospacing="0"/>
              <w:ind w:right="34"/>
              <w:rPr>
                <w:rFonts w:ascii="Calibri" w:hAnsi="Calibri" w:cs="Tahoma"/>
                <w:i/>
              </w:rPr>
            </w:pPr>
            <w:r>
              <w:rPr>
                <w:rFonts w:ascii="Calibri" w:hAnsi="Calibri" w:cs="Tahoma"/>
                <w:i/>
              </w:rPr>
              <w:t xml:space="preserve">Module </w:t>
            </w:r>
            <w:r w:rsidRPr="0065654E">
              <w:rPr>
                <w:rFonts w:ascii="Calibri" w:hAnsi="Calibri" w:cs="Tahoma"/>
                <w:i/>
              </w:rPr>
              <w:t>title</w:t>
            </w:r>
            <w:r>
              <w:rPr>
                <w:rFonts w:ascii="Calibri" w:hAnsi="Calibri" w:cs="Tahoma"/>
                <w:i/>
              </w:rPr>
              <w:t xml:space="preserve">: </w:t>
            </w:r>
            <w:r w:rsidR="004F6556">
              <w:rPr>
                <w:rFonts w:ascii="Calibri" w:hAnsi="Calibri" w:cs="Tahoma"/>
                <w:i/>
              </w:rPr>
              <w:t>Medieval Manuscript Studies</w:t>
            </w:r>
          </w:p>
          <w:p w14:paraId="417A88AB" w14:textId="77777777" w:rsidR="00B47326" w:rsidRPr="0065654E" w:rsidRDefault="00B47326" w:rsidP="0022690D">
            <w:pPr>
              <w:pStyle w:val="NormalWeb"/>
              <w:spacing w:before="0" w:beforeAutospacing="0" w:after="0" w:afterAutospacing="0"/>
              <w:ind w:right="34"/>
              <w:rPr>
                <w:rFonts w:ascii="Calibri" w:hAnsi="Calibri" w:cs="Tahoma"/>
                <w:i/>
              </w:rPr>
            </w:pPr>
          </w:p>
        </w:tc>
        <w:tc>
          <w:tcPr>
            <w:tcW w:w="3865" w:type="dxa"/>
            <w:gridSpan w:val="2"/>
            <w:tcBorders>
              <w:top w:val="single" w:sz="4" w:space="0" w:color="auto"/>
              <w:left w:val="single" w:sz="4" w:space="0" w:color="auto"/>
              <w:bottom w:val="single" w:sz="4" w:space="0" w:color="auto"/>
              <w:right w:val="single" w:sz="4" w:space="0" w:color="auto"/>
            </w:tcBorders>
          </w:tcPr>
          <w:p w14:paraId="14D9EFE6" w14:textId="77777777" w:rsidR="00B47326" w:rsidRPr="0065654E" w:rsidRDefault="00B47326" w:rsidP="0022690D">
            <w:pPr>
              <w:pStyle w:val="NormalWeb"/>
              <w:spacing w:before="0" w:beforeAutospacing="0" w:after="0" w:afterAutospacing="0"/>
              <w:ind w:right="34"/>
              <w:rPr>
                <w:rFonts w:ascii="Calibri" w:hAnsi="Calibri" w:cs="Tahoma"/>
                <w:i/>
              </w:rPr>
            </w:pPr>
            <w:r>
              <w:rPr>
                <w:rFonts w:ascii="Calibri" w:hAnsi="Calibri" w:cs="Tahoma"/>
                <w:i/>
              </w:rPr>
              <w:t xml:space="preserve">Student </w:t>
            </w:r>
            <w:r w:rsidRPr="0065654E">
              <w:rPr>
                <w:rFonts w:ascii="Calibri" w:hAnsi="Calibri" w:cs="Tahoma"/>
                <w:i/>
              </w:rPr>
              <w:t>number:</w:t>
            </w:r>
            <w:r w:rsidR="004F6556">
              <w:rPr>
                <w:rFonts w:ascii="Calibri" w:hAnsi="Calibri" w:cs="Tahoma"/>
                <w:i/>
              </w:rPr>
              <w:t xml:space="preserve"> 1501246</w:t>
            </w:r>
          </w:p>
        </w:tc>
      </w:tr>
      <w:tr w:rsidR="00B47326" w:rsidRPr="0065654E" w14:paraId="50162168" w14:textId="77777777" w:rsidTr="004F6556">
        <w:trPr>
          <w:trHeight w:val="6791"/>
        </w:trPr>
        <w:tc>
          <w:tcPr>
            <w:tcW w:w="8529" w:type="dxa"/>
            <w:gridSpan w:val="3"/>
            <w:tcBorders>
              <w:top w:val="single" w:sz="4" w:space="0" w:color="auto"/>
              <w:left w:val="single" w:sz="4" w:space="0" w:color="auto"/>
              <w:bottom w:val="single" w:sz="4" w:space="0" w:color="auto"/>
              <w:right w:val="single" w:sz="4" w:space="0" w:color="auto"/>
            </w:tcBorders>
          </w:tcPr>
          <w:p w14:paraId="146C84B0" w14:textId="77777777" w:rsidR="00B47326" w:rsidRPr="0065654E" w:rsidRDefault="00B47326" w:rsidP="0022690D">
            <w:pPr>
              <w:pStyle w:val="NormalWeb"/>
              <w:spacing w:before="0" w:beforeAutospacing="0" w:after="0" w:afterAutospacing="0"/>
              <w:rPr>
                <w:rFonts w:ascii="Calibri" w:hAnsi="Calibri" w:cs="Tahoma"/>
                <w:i/>
              </w:rPr>
            </w:pPr>
            <w:r w:rsidRPr="0065654E">
              <w:rPr>
                <w:rFonts w:ascii="Calibri" w:hAnsi="Calibri" w:cs="Tahoma"/>
                <w:i/>
              </w:rPr>
              <w:t>For completion by marker:</w:t>
            </w:r>
          </w:p>
          <w:p w14:paraId="222B1B1F" w14:textId="77777777" w:rsidR="00B47326" w:rsidRDefault="00B47326" w:rsidP="0022690D">
            <w:pPr>
              <w:pStyle w:val="NormalWeb"/>
              <w:rPr>
                <w:rFonts w:ascii="Calibri" w:hAnsi="Calibri" w:cs="Tahoma"/>
                <w:i/>
              </w:rPr>
            </w:pPr>
            <w:r w:rsidRPr="0065654E">
              <w:rPr>
                <w:rFonts w:ascii="Calibri" w:hAnsi="Calibri" w:cs="Tahoma"/>
                <w:i/>
              </w:rPr>
              <w:t>Comments:</w:t>
            </w:r>
          </w:p>
          <w:p w14:paraId="6ABC3D2A" w14:textId="77777777" w:rsidR="00B47326" w:rsidRDefault="00B47326" w:rsidP="0022690D">
            <w:pPr>
              <w:pStyle w:val="NormalWeb"/>
              <w:rPr>
                <w:rFonts w:ascii="Calibri" w:hAnsi="Calibri" w:cs="Tahoma"/>
                <w:i/>
              </w:rPr>
            </w:pPr>
          </w:p>
          <w:p w14:paraId="52836A58" w14:textId="77777777" w:rsidR="00B47326" w:rsidRDefault="00B47326" w:rsidP="0022690D">
            <w:pPr>
              <w:pStyle w:val="NormalWeb"/>
              <w:rPr>
                <w:rFonts w:ascii="Calibri" w:hAnsi="Calibri" w:cs="Tahoma"/>
                <w:i/>
              </w:rPr>
            </w:pPr>
          </w:p>
          <w:p w14:paraId="16939600" w14:textId="77777777" w:rsidR="00B47326" w:rsidRDefault="00B47326" w:rsidP="0022690D">
            <w:pPr>
              <w:pStyle w:val="NormalWeb"/>
              <w:rPr>
                <w:rFonts w:ascii="Calibri" w:hAnsi="Calibri" w:cs="Tahoma"/>
                <w:i/>
              </w:rPr>
            </w:pPr>
          </w:p>
          <w:p w14:paraId="36EE4449" w14:textId="77777777" w:rsidR="00B47326" w:rsidRDefault="00B47326" w:rsidP="0022690D">
            <w:pPr>
              <w:pStyle w:val="NormalWeb"/>
              <w:rPr>
                <w:rFonts w:ascii="Calibri" w:hAnsi="Calibri" w:cs="Tahoma"/>
                <w:i/>
              </w:rPr>
            </w:pPr>
          </w:p>
          <w:p w14:paraId="6DBE6687" w14:textId="77777777" w:rsidR="00B47326" w:rsidRDefault="00B47326" w:rsidP="0022690D">
            <w:pPr>
              <w:pStyle w:val="NormalWeb"/>
              <w:rPr>
                <w:rFonts w:ascii="Calibri" w:hAnsi="Calibri" w:cs="Tahoma"/>
                <w:i/>
              </w:rPr>
            </w:pPr>
          </w:p>
          <w:p w14:paraId="3C704A38" w14:textId="77777777" w:rsidR="00B47326" w:rsidRDefault="00B47326" w:rsidP="0022690D">
            <w:pPr>
              <w:pStyle w:val="NormalWeb"/>
              <w:rPr>
                <w:rFonts w:ascii="Calibri" w:hAnsi="Calibri" w:cs="Tahoma"/>
                <w:i/>
              </w:rPr>
            </w:pPr>
          </w:p>
          <w:p w14:paraId="3ADC25E1" w14:textId="77777777" w:rsidR="00B47326" w:rsidRDefault="00B47326" w:rsidP="0022690D">
            <w:pPr>
              <w:pStyle w:val="NormalWeb"/>
              <w:rPr>
                <w:rFonts w:ascii="Calibri" w:hAnsi="Calibri" w:cs="Tahoma"/>
                <w:i/>
              </w:rPr>
            </w:pPr>
          </w:p>
          <w:p w14:paraId="2AA5F2EB" w14:textId="77777777" w:rsidR="00B47326" w:rsidRDefault="00B47326" w:rsidP="0022690D">
            <w:pPr>
              <w:pStyle w:val="NormalWeb"/>
              <w:rPr>
                <w:rFonts w:ascii="Calibri" w:hAnsi="Calibri" w:cs="Tahoma"/>
                <w:i/>
              </w:rPr>
            </w:pPr>
          </w:p>
          <w:p w14:paraId="3B64F478" w14:textId="77777777" w:rsidR="00B47326" w:rsidRDefault="00B47326" w:rsidP="0022690D">
            <w:pPr>
              <w:pStyle w:val="NormalWeb"/>
              <w:rPr>
                <w:rFonts w:ascii="Calibri" w:hAnsi="Calibri" w:cs="Tahoma"/>
                <w:i/>
              </w:rPr>
            </w:pPr>
          </w:p>
          <w:p w14:paraId="2B0363EE" w14:textId="77777777" w:rsidR="00B47326" w:rsidRDefault="00B47326" w:rsidP="0022690D">
            <w:pPr>
              <w:pStyle w:val="NormalWeb"/>
              <w:rPr>
                <w:rFonts w:ascii="Calibri" w:hAnsi="Calibri" w:cs="Tahoma"/>
                <w:i/>
              </w:rPr>
            </w:pPr>
          </w:p>
          <w:p w14:paraId="3C1D6E1D" w14:textId="77777777" w:rsidR="00B47326" w:rsidRPr="0065654E" w:rsidRDefault="00B47326" w:rsidP="0022690D">
            <w:pPr>
              <w:pStyle w:val="NormalWeb"/>
              <w:rPr>
                <w:rFonts w:ascii="Calibri" w:hAnsi="Calibri" w:cs="Tahoma"/>
                <w:i/>
              </w:rPr>
            </w:pPr>
          </w:p>
        </w:tc>
      </w:tr>
      <w:tr w:rsidR="00B47326" w:rsidRPr="0065654E" w14:paraId="4A8DE29E" w14:textId="77777777" w:rsidTr="004F6556">
        <w:trPr>
          <w:trHeight w:val="401"/>
        </w:trPr>
        <w:tc>
          <w:tcPr>
            <w:tcW w:w="6594" w:type="dxa"/>
            <w:gridSpan w:val="2"/>
            <w:tcBorders>
              <w:top w:val="single" w:sz="4" w:space="0" w:color="auto"/>
            </w:tcBorders>
            <w:vAlign w:val="center"/>
          </w:tcPr>
          <w:p w14:paraId="7C0C6892" w14:textId="77777777" w:rsidR="00B47326" w:rsidRPr="0065654E" w:rsidRDefault="00B47326" w:rsidP="0022690D">
            <w:pPr>
              <w:pStyle w:val="NormalWeb"/>
              <w:ind w:left="142" w:right="34"/>
              <w:rPr>
                <w:rFonts w:ascii="Calibri" w:hAnsi="Calibri" w:cs="Tahoma"/>
                <w:i/>
              </w:rPr>
            </w:pPr>
            <w:r w:rsidRPr="0065654E">
              <w:rPr>
                <w:rFonts w:ascii="Calibri" w:hAnsi="Calibri" w:cs="Tahoma"/>
                <w:i/>
              </w:rPr>
              <w:t>Marker</w:t>
            </w:r>
            <w:r>
              <w:rPr>
                <w:rFonts w:ascii="Calibri" w:hAnsi="Calibri" w:cs="Tahoma"/>
                <w:i/>
              </w:rPr>
              <w:t xml:space="preserve">’s </w:t>
            </w:r>
            <w:r w:rsidRPr="0065654E">
              <w:rPr>
                <w:rFonts w:ascii="Calibri" w:hAnsi="Calibri" w:cs="Tahoma"/>
                <w:i/>
              </w:rPr>
              <w:t>signature:</w:t>
            </w:r>
          </w:p>
        </w:tc>
        <w:tc>
          <w:tcPr>
            <w:tcW w:w="1935" w:type="dxa"/>
            <w:tcBorders>
              <w:top w:val="single" w:sz="4" w:space="0" w:color="auto"/>
            </w:tcBorders>
            <w:vAlign w:val="center"/>
          </w:tcPr>
          <w:p w14:paraId="0314A86C" w14:textId="77777777" w:rsidR="00B47326" w:rsidRPr="0065654E" w:rsidRDefault="00B47326" w:rsidP="0022690D">
            <w:pPr>
              <w:pStyle w:val="NormalWeb"/>
              <w:spacing w:after="0"/>
              <w:ind w:left="142" w:right="34"/>
              <w:rPr>
                <w:rFonts w:ascii="Calibri" w:hAnsi="Calibri" w:cs="Tahoma"/>
                <w:i/>
              </w:rPr>
            </w:pPr>
            <w:r>
              <w:rPr>
                <w:rFonts w:ascii="Calibri" w:hAnsi="Calibri" w:cs="Tahoma"/>
                <w:i/>
              </w:rPr>
              <w:t>D</w:t>
            </w:r>
            <w:r w:rsidRPr="0065654E">
              <w:rPr>
                <w:rFonts w:ascii="Calibri" w:hAnsi="Calibri" w:cs="Tahoma"/>
                <w:i/>
              </w:rPr>
              <w:t>ate</w:t>
            </w:r>
            <w:r>
              <w:rPr>
                <w:rFonts w:ascii="Calibri" w:hAnsi="Calibri" w:cs="Tahoma"/>
                <w:i/>
              </w:rPr>
              <w:t>:</w:t>
            </w:r>
          </w:p>
        </w:tc>
      </w:tr>
      <w:tr w:rsidR="00B47326" w:rsidRPr="0065654E" w14:paraId="4B9F9E95" w14:textId="77777777" w:rsidTr="004F6556">
        <w:trPr>
          <w:trHeight w:val="85"/>
        </w:trPr>
        <w:tc>
          <w:tcPr>
            <w:tcW w:w="8529" w:type="dxa"/>
            <w:gridSpan w:val="3"/>
            <w:vAlign w:val="center"/>
          </w:tcPr>
          <w:p w14:paraId="403BA7C2" w14:textId="77777777" w:rsidR="00B47326" w:rsidRPr="0065654E" w:rsidRDefault="00B47326" w:rsidP="004F6556">
            <w:pPr>
              <w:pStyle w:val="NormalWeb"/>
              <w:spacing w:before="0" w:beforeAutospacing="0" w:after="0" w:afterAutospacing="0"/>
              <w:ind w:left="142" w:right="34"/>
              <w:rPr>
                <w:rFonts w:ascii="Calibri" w:hAnsi="Calibri" w:cs="Tahoma"/>
                <w:i/>
              </w:rPr>
            </w:pPr>
            <w:r w:rsidRPr="0065654E">
              <w:rPr>
                <w:rFonts w:ascii="Calibri" w:hAnsi="Calibri" w:cs="Tahoma"/>
                <w:i/>
              </w:rPr>
              <w:t>Provisional mark:</w:t>
            </w:r>
          </w:p>
        </w:tc>
      </w:tr>
    </w:tbl>
    <w:p w14:paraId="4593A38E" w14:textId="77777777" w:rsidR="006A21F7" w:rsidRPr="00B47326" w:rsidRDefault="006A21F7" w:rsidP="00B47326">
      <w:pPr>
        <w:spacing w:line="480" w:lineRule="auto"/>
        <w:jc w:val="both"/>
        <w:rPr>
          <w:rFonts w:ascii="Times New Roman" w:hAnsi="Times New Roman" w:cs="Times New Roman"/>
          <w:b/>
          <w:sz w:val="24"/>
          <w:szCs w:val="24"/>
        </w:rPr>
      </w:pPr>
    </w:p>
    <w:p w14:paraId="4BF647DE"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Features of Medieval Books of Hours Which Explains Their Popularity in The Middle Ages</w:t>
      </w:r>
    </w:p>
    <w:p w14:paraId="422FDBDA" w14:textId="77777777" w:rsidR="006A21F7" w:rsidRPr="00B47326" w:rsidRDefault="006A21F7" w:rsidP="00B47326">
      <w:pPr>
        <w:spacing w:line="480" w:lineRule="auto"/>
        <w:jc w:val="both"/>
        <w:rPr>
          <w:rFonts w:ascii="Times New Roman" w:hAnsi="Times New Roman" w:cs="Times New Roman"/>
          <w:b/>
          <w:sz w:val="24"/>
          <w:szCs w:val="24"/>
        </w:rPr>
      </w:pPr>
    </w:p>
    <w:p w14:paraId="4112099F"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Introduction</w:t>
      </w:r>
    </w:p>
    <w:p w14:paraId="6C07E0EA"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 xml:space="preserve">Several medieval manuscripts survive from the Middle Ages as compared to </w:t>
      </w:r>
      <w:r w:rsidRPr="00B47326">
        <w:rPr>
          <w:rFonts w:ascii="Times New Roman" w:hAnsi="Times New Roman" w:cs="Times New Roman"/>
          <w:sz w:val="24"/>
          <w:szCs w:val="24"/>
        </w:rPr>
        <w:t>other artistic medium, these</w:t>
      </w:r>
      <w:r w:rsidRPr="00B47326">
        <w:rPr>
          <w:rFonts w:ascii="Times New Roman" w:hAnsi="Times New Roman" w:cs="Times New Roman"/>
          <w:sz w:val="24"/>
          <w:szCs w:val="24"/>
        </w:rPr>
        <w:t xml:space="preserve"> handmade books of the middle ages are known by scholars as manuscripts. Those</w:t>
      </w:r>
      <w:r w:rsidRPr="00B47326">
        <w:rPr>
          <w:rFonts w:ascii="Times New Roman" w:hAnsi="Times New Roman" w:cs="Times New Roman"/>
          <w:sz w:val="24"/>
          <w:szCs w:val="24"/>
        </w:rPr>
        <w:t xml:space="preserve"> with artistic decoration are known as illuminated manuscripts</w:t>
      </w:r>
      <w:r w:rsidR="009007F6" w:rsidRPr="00B47326">
        <w:rPr>
          <w:rStyle w:val="FootnoteReference"/>
          <w:rFonts w:ascii="Times New Roman" w:hAnsi="Times New Roman" w:cs="Times New Roman"/>
          <w:sz w:val="24"/>
          <w:szCs w:val="24"/>
        </w:rPr>
        <w:footnoteReference w:id="1"/>
      </w:r>
      <w:r w:rsidR="009007F6" w:rsidRPr="00B47326">
        <w:rPr>
          <w:rFonts w:ascii="Times New Roman" w:hAnsi="Times New Roman" w:cs="Times New Roman"/>
          <w:sz w:val="24"/>
          <w:szCs w:val="24"/>
        </w:rPr>
        <w:t xml:space="preserve">. </w:t>
      </w:r>
      <w:r w:rsidRPr="00B47326">
        <w:rPr>
          <w:rFonts w:ascii="Times New Roman" w:hAnsi="Times New Roman" w:cs="Times New Roman"/>
          <w:sz w:val="24"/>
          <w:szCs w:val="24"/>
        </w:rPr>
        <w:t>The manuscripts that survived from the European middle age are comm</w:t>
      </w:r>
      <w:r w:rsidRPr="00B47326">
        <w:rPr>
          <w:rFonts w:ascii="Times New Roman" w:hAnsi="Times New Roman" w:cs="Times New Roman"/>
          <w:sz w:val="24"/>
          <w:szCs w:val="24"/>
        </w:rPr>
        <w:t>only referred as religious books. They reflect the doctrine, canon and Christianity practices, though there were Muslim and Jewish books plus other types of books wh</w:t>
      </w:r>
      <w:r w:rsidR="009007F6" w:rsidRPr="00B47326">
        <w:rPr>
          <w:rFonts w:ascii="Times New Roman" w:hAnsi="Times New Roman" w:cs="Times New Roman"/>
          <w:sz w:val="24"/>
          <w:szCs w:val="24"/>
        </w:rPr>
        <w:t>ich existed during that period</w:t>
      </w:r>
      <w:r w:rsidR="009007F6" w:rsidRPr="00B47326">
        <w:rPr>
          <w:rStyle w:val="FootnoteReference"/>
          <w:rFonts w:ascii="Times New Roman" w:hAnsi="Times New Roman" w:cs="Times New Roman"/>
          <w:sz w:val="24"/>
          <w:szCs w:val="24"/>
        </w:rPr>
        <w:footnoteReference w:id="2"/>
      </w:r>
      <w:r w:rsidRPr="00B47326">
        <w:rPr>
          <w:rFonts w:ascii="Times New Roman" w:hAnsi="Times New Roman" w:cs="Times New Roman"/>
          <w:sz w:val="24"/>
          <w:szCs w:val="24"/>
        </w:rPr>
        <w:t>. Some of the most recognized drawings and</w:t>
      </w:r>
      <w:r w:rsidRPr="00B47326">
        <w:rPr>
          <w:rFonts w:ascii="Times New Roman" w:hAnsi="Times New Roman" w:cs="Times New Roman"/>
          <w:sz w:val="24"/>
          <w:szCs w:val="24"/>
        </w:rPr>
        <w:t xml:space="preserve"> paintings of the early Renaissance and the late middle ages are not shown on the museum walls and churches. Instead, they are found in the bright pages of books. Most of them accompany a religious text of a type which is originally chanted in the monaster</w:t>
      </w:r>
      <w:r w:rsidRPr="00B47326">
        <w:rPr>
          <w:rFonts w:ascii="Times New Roman" w:hAnsi="Times New Roman" w:cs="Times New Roman"/>
          <w:sz w:val="24"/>
          <w:szCs w:val="24"/>
        </w:rPr>
        <w:t>ies that</w:t>
      </w:r>
      <w:r w:rsidR="009007F6" w:rsidRPr="00B47326">
        <w:rPr>
          <w:rFonts w:ascii="Times New Roman" w:hAnsi="Times New Roman" w:cs="Times New Roman"/>
          <w:sz w:val="24"/>
          <w:szCs w:val="24"/>
        </w:rPr>
        <w:t xml:space="preserve"> the lay people adopted for use.</w:t>
      </w:r>
      <w:r w:rsidR="009007F6" w:rsidRPr="00B47326">
        <w:rPr>
          <w:rStyle w:val="FootnoteReference"/>
          <w:rFonts w:ascii="Times New Roman" w:hAnsi="Times New Roman" w:cs="Times New Roman"/>
          <w:sz w:val="24"/>
          <w:szCs w:val="24"/>
        </w:rPr>
        <w:footnoteReference w:id="3"/>
      </w:r>
      <w:r w:rsidR="009007F6" w:rsidRPr="00B47326">
        <w:rPr>
          <w:rFonts w:ascii="Times New Roman" w:hAnsi="Times New Roman" w:cs="Times New Roman"/>
          <w:sz w:val="24"/>
          <w:szCs w:val="24"/>
        </w:rPr>
        <w:t xml:space="preserve"> </w:t>
      </w:r>
      <w:r w:rsidRPr="00B47326">
        <w:rPr>
          <w:rFonts w:ascii="Times New Roman" w:hAnsi="Times New Roman" w:cs="Times New Roman"/>
          <w:sz w:val="24"/>
          <w:szCs w:val="24"/>
        </w:rPr>
        <w:t>These were what is known as the books of hours, the useful prayer books that were made for people who did not hold the status of a priest or minister.  The paintings and drawings were intended to foste</w:t>
      </w:r>
      <w:r w:rsidR="00B47326">
        <w:rPr>
          <w:rFonts w:ascii="Times New Roman" w:hAnsi="Times New Roman" w:cs="Times New Roman"/>
          <w:sz w:val="24"/>
          <w:szCs w:val="24"/>
        </w:rPr>
        <w:t>r devotion and reflection.</w:t>
      </w:r>
    </w:p>
    <w:p w14:paraId="054C6E24" w14:textId="77777777" w:rsidR="006A21F7"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noProof/>
          <w:sz w:val="24"/>
          <w:szCs w:val="24"/>
          <w:lang w:val="en-GB" w:eastAsia="en-GB"/>
        </w:rPr>
        <w:lastRenderedPageBreak/>
        <w:drawing>
          <wp:inline distT="0" distB="0" distL="0" distR="0" wp14:anchorId="5AFC7788" wp14:editId="22827726">
            <wp:extent cx="3212596" cy="2386940"/>
            <wp:effectExtent l="19050" t="0" r="6853" b="0"/>
            <wp:docPr id="1026" name="Image1" descr="Image result for what features of medieval books of hours might explain their popularity in the middle 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8" cstate="print">
                      <a:extLst>
                        <a:ext uri="{28A0092B-C50C-407E-A947-70E740481C1C}">
                          <a14:useLocalDpi xmlns:a14="http://schemas.microsoft.com/office/drawing/2010/main" val="0"/>
                        </a:ext>
                      </a:extLst>
                    </a:blip>
                    <a:srcRect/>
                    <a:stretch>
                      <a:fillRect/>
                    </a:stretch>
                  </pic:blipFill>
                  <pic:spPr>
                    <a:xfrm>
                      <a:off x="0" y="0"/>
                      <a:ext cx="3212596" cy="2386940"/>
                    </a:xfrm>
                    <a:prstGeom prst="rect">
                      <a:avLst/>
                    </a:prstGeom>
                  </pic:spPr>
                </pic:pic>
              </a:graphicData>
            </a:graphic>
          </wp:inline>
        </w:drawing>
      </w:r>
      <w:r w:rsidR="009007F6" w:rsidRPr="00B47326">
        <w:rPr>
          <w:rStyle w:val="FootnoteReference"/>
          <w:rFonts w:ascii="Times New Roman" w:hAnsi="Times New Roman" w:cs="Times New Roman"/>
          <w:sz w:val="24"/>
          <w:szCs w:val="24"/>
        </w:rPr>
        <w:footnoteReference w:id="4"/>
      </w:r>
      <w:r w:rsidRPr="00B47326">
        <w:rPr>
          <w:rFonts w:ascii="Times New Roman" w:hAnsi="Times New Roman" w:cs="Times New Roman"/>
          <w:sz w:val="24"/>
          <w:szCs w:val="24"/>
        </w:rPr>
        <w:t xml:space="preserve">       </w:t>
      </w:r>
    </w:p>
    <w:p w14:paraId="602A1BBD" w14:textId="77777777" w:rsidR="00B47326" w:rsidRPr="00B47326" w:rsidRDefault="00B47326" w:rsidP="00B47326">
      <w:pPr>
        <w:spacing w:line="480" w:lineRule="auto"/>
        <w:ind w:firstLine="720"/>
        <w:jc w:val="both"/>
        <w:rPr>
          <w:rFonts w:ascii="Times New Roman" w:hAnsi="Times New Roman" w:cs="Times New Roman"/>
          <w:sz w:val="24"/>
          <w:szCs w:val="24"/>
        </w:rPr>
      </w:pPr>
    </w:p>
    <w:p w14:paraId="4A77187F"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 xml:space="preserve">Drawings and Paintings of the Early Renaissance                </w:t>
      </w:r>
    </w:p>
    <w:p w14:paraId="55F39D1F"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 xml:space="preserve">Several books of hours were made between 1250 and 1700. </w:t>
      </w:r>
      <w:r w:rsidRPr="00B47326">
        <w:rPr>
          <w:rFonts w:ascii="Times New Roman" w:hAnsi="Times New Roman" w:cs="Times New Roman"/>
          <w:sz w:val="24"/>
          <w:szCs w:val="24"/>
        </w:rPr>
        <w:t>Such books currently exist in the museums and libr</w:t>
      </w:r>
      <w:r w:rsidRPr="00B47326">
        <w:rPr>
          <w:rFonts w:ascii="Times New Roman" w:hAnsi="Times New Roman" w:cs="Times New Roman"/>
          <w:sz w:val="24"/>
          <w:szCs w:val="24"/>
        </w:rPr>
        <w:t>aries.  Most of these books were made mor</w:t>
      </w:r>
      <w:r w:rsidR="009007F6" w:rsidRPr="00B47326">
        <w:rPr>
          <w:rFonts w:ascii="Times New Roman" w:hAnsi="Times New Roman" w:cs="Times New Roman"/>
          <w:sz w:val="24"/>
          <w:szCs w:val="24"/>
        </w:rPr>
        <w:t>e than any other type of book</w:t>
      </w:r>
      <w:r w:rsidR="009007F6" w:rsidRPr="00B47326">
        <w:rPr>
          <w:rStyle w:val="FootnoteReference"/>
          <w:rFonts w:ascii="Times New Roman" w:hAnsi="Times New Roman" w:cs="Times New Roman"/>
          <w:sz w:val="24"/>
          <w:szCs w:val="24"/>
        </w:rPr>
        <w:footnoteReference w:id="5"/>
      </w:r>
      <w:r w:rsidRPr="00B47326">
        <w:rPr>
          <w:rFonts w:ascii="Times New Roman" w:hAnsi="Times New Roman" w:cs="Times New Roman"/>
          <w:sz w:val="24"/>
          <w:szCs w:val="24"/>
        </w:rPr>
        <w:t>. There were no two books that were identical, but did</w:t>
      </w:r>
      <w:r w:rsidRPr="00B47326">
        <w:rPr>
          <w:rFonts w:ascii="Times New Roman" w:hAnsi="Times New Roman" w:cs="Times New Roman"/>
          <w:sz w:val="24"/>
          <w:szCs w:val="24"/>
        </w:rPr>
        <w:t xml:space="preserve"> they have a shared collection of observances. With the text a set of prayers in eight pieces</w:t>
      </w:r>
      <w:r w:rsidRPr="00B47326">
        <w:rPr>
          <w:rFonts w:ascii="Times New Roman" w:hAnsi="Times New Roman" w:cs="Times New Roman"/>
          <w:sz w:val="24"/>
          <w:szCs w:val="24"/>
        </w:rPr>
        <w:t xml:space="preserve"> were meant to be said at constant intervals throughout the 24-hour day</w:t>
      </w:r>
      <w:r w:rsidRPr="00B47326">
        <w:rPr>
          <w:rFonts w:ascii="Times New Roman" w:hAnsi="Times New Roman" w:cs="Times New Roman"/>
          <w:sz w:val="24"/>
          <w:szCs w:val="24"/>
        </w:rPr>
        <w:t>.</w:t>
      </w:r>
      <w:r w:rsidR="009007F6" w:rsidRPr="00B47326">
        <w:rPr>
          <w:rStyle w:val="FootnoteReference"/>
          <w:rFonts w:ascii="Times New Roman" w:hAnsi="Times New Roman" w:cs="Times New Roman"/>
          <w:sz w:val="24"/>
          <w:szCs w:val="24"/>
        </w:rPr>
        <w:footnoteReference w:id="6"/>
      </w:r>
    </w:p>
    <w:p w14:paraId="7DDF980F" w14:textId="542E74EB" w:rsidR="006A21F7"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 xml:space="preserve"> Additionally, this is referred to as the hours of the virgin which cre</w:t>
      </w:r>
      <w:r w:rsidR="00FB4707">
        <w:rPr>
          <w:rFonts w:ascii="Times New Roman" w:hAnsi="Times New Roman" w:cs="Times New Roman"/>
          <w:sz w:val="24"/>
          <w:szCs w:val="24"/>
        </w:rPr>
        <w:t>ates the basis of the term the ‘book of hours.’</w:t>
      </w:r>
      <w:r w:rsidRPr="00B47326">
        <w:rPr>
          <w:rFonts w:ascii="Times New Roman" w:hAnsi="Times New Roman" w:cs="Times New Roman"/>
          <w:sz w:val="24"/>
          <w:szCs w:val="24"/>
        </w:rPr>
        <w:t xml:space="preserve"> The practice of praying several time</w:t>
      </w:r>
      <w:r w:rsidRPr="00B47326">
        <w:rPr>
          <w:rFonts w:ascii="Times New Roman" w:hAnsi="Times New Roman" w:cs="Times New Roman"/>
          <w:sz w:val="24"/>
          <w:szCs w:val="24"/>
        </w:rPr>
        <w:t xml:space="preserve">s in the night and days was based on the divine office. There was a chanted liturgy in the religious communities who assembled for prayers at Matins (earlier to daybreak), tierce, prime, lauds, sext (by noon), vespers, none and </w:t>
      </w:r>
      <w:r w:rsidRPr="00B47326">
        <w:rPr>
          <w:rFonts w:ascii="Times New Roman" w:hAnsi="Times New Roman" w:cs="Times New Roman"/>
          <w:sz w:val="24"/>
          <w:szCs w:val="24"/>
        </w:rPr>
        <w:lastRenderedPageBreak/>
        <w:t>Compline (in the evening). T</w:t>
      </w:r>
      <w:r w:rsidRPr="00B47326">
        <w:rPr>
          <w:rFonts w:ascii="Times New Roman" w:hAnsi="Times New Roman" w:cs="Times New Roman"/>
          <w:sz w:val="24"/>
          <w:szCs w:val="24"/>
        </w:rPr>
        <w:t>he office of the virgin was very basic, therefore accessible to the greater masses and public interest in taking some of the activities of the clergy as well as those in the religious orders. This involved a series of prayers and praise for the Virgin Mary</w:t>
      </w:r>
      <w:r w:rsidRPr="00B47326">
        <w:rPr>
          <w:rFonts w:ascii="Times New Roman" w:hAnsi="Times New Roman" w:cs="Times New Roman"/>
          <w:sz w:val="24"/>
          <w:szCs w:val="24"/>
        </w:rPr>
        <w:t xml:space="preserve"> as Jesus’ mother and was meant to be recited w</w:t>
      </w:r>
      <w:r w:rsidR="009007F6" w:rsidRPr="00B47326">
        <w:rPr>
          <w:rFonts w:ascii="Times New Roman" w:hAnsi="Times New Roman" w:cs="Times New Roman"/>
          <w:sz w:val="24"/>
          <w:szCs w:val="24"/>
        </w:rPr>
        <w:t>ithin the eight canonical hours.</w:t>
      </w:r>
      <w:r w:rsidR="009007F6" w:rsidRPr="00B47326">
        <w:rPr>
          <w:rStyle w:val="FootnoteReference"/>
          <w:rFonts w:ascii="Times New Roman" w:hAnsi="Times New Roman" w:cs="Times New Roman"/>
          <w:sz w:val="24"/>
          <w:szCs w:val="24"/>
        </w:rPr>
        <w:footnoteReference w:id="7"/>
      </w:r>
    </w:p>
    <w:p w14:paraId="05D96393" w14:textId="77777777" w:rsidR="00B47326" w:rsidRPr="00B47326" w:rsidRDefault="00B47326" w:rsidP="00B47326">
      <w:pPr>
        <w:spacing w:line="480" w:lineRule="auto"/>
        <w:ind w:firstLine="720"/>
        <w:jc w:val="both"/>
        <w:rPr>
          <w:rFonts w:ascii="Times New Roman" w:hAnsi="Times New Roman" w:cs="Times New Roman"/>
          <w:sz w:val="24"/>
          <w:szCs w:val="24"/>
        </w:rPr>
      </w:pPr>
    </w:p>
    <w:p w14:paraId="7FCDB612"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Features of Medieval Books of Hours</w:t>
      </w:r>
    </w:p>
    <w:p w14:paraId="11CECF2C" w14:textId="77777777" w:rsidR="006A21F7"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In addition to the hours of the virgin, the books of hours also have 5 to 25 further elements. Some of the most com</w:t>
      </w:r>
      <w:r w:rsidRPr="00B47326">
        <w:rPr>
          <w:rFonts w:ascii="Times New Roman" w:hAnsi="Times New Roman" w:cs="Times New Roman"/>
          <w:sz w:val="24"/>
          <w:szCs w:val="24"/>
        </w:rPr>
        <w:t>mon elements are a set of gospel lessons, a calendar, hours which focuses</w:t>
      </w:r>
      <w:r w:rsidRPr="00B47326">
        <w:rPr>
          <w:rFonts w:ascii="Times New Roman" w:hAnsi="Times New Roman" w:cs="Times New Roman"/>
          <w:sz w:val="24"/>
          <w:szCs w:val="24"/>
        </w:rPr>
        <w:t xml:space="preserve"> on the cross, a group of the psalm which expresses regret or penitence as well as prayers to the </w:t>
      </w:r>
      <w:r w:rsidR="009007F6" w:rsidRPr="00B47326">
        <w:rPr>
          <w:rFonts w:ascii="Times New Roman" w:hAnsi="Times New Roman" w:cs="Times New Roman"/>
          <w:sz w:val="24"/>
          <w:szCs w:val="24"/>
        </w:rPr>
        <w:t>saints referred to as Suffrages.</w:t>
      </w:r>
      <w:r w:rsidR="009007F6" w:rsidRPr="00B47326">
        <w:rPr>
          <w:rStyle w:val="FootnoteReference"/>
          <w:rFonts w:ascii="Times New Roman" w:hAnsi="Times New Roman" w:cs="Times New Roman"/>
          <w:sz w:val="24"/>
          <w:szCs w:val="24"/>
        </w:rPr>
        <w:footnoteReference w:id="8"/>
      </w:r>
      <w:r w:rsidR="009007F6" w:rsidRPr="00B47326">
        <w:rPr>
          <w:rFonts w:ascii="Times New Roman" w:hAnsi="Times New Roman" w:cs="Times New Roman"/>
          <w:sz w:val="24"/>
          <w:szCs w:val="24"/>
        </w:rPr>
        <w:t xml:space="preserve"> </w:t>
      </w:r>
      <w:r w:rsidRPr="00B47326">
        <w:rPr>
          <w:rFonts w:ascii="Times New Roman" w:hAnsi="Times New Roman" w:cs="Times New Roman"/>
          <w:sz w:val="24"/>
          <w:szCs w:val="24"/>
        </w:rPr>
        <w:t>A patron could select the numbe</w:t>
      </w:r>
      <w:r w:rsidRPr="00B47326">
        <w:rPr>
          <w:rFonts w:ascii="Times New Roman" w:hAnsi="Times New Roman" w:cs="Times New Roman"/>
          <w:sz w:val="24"/>
          <w:szCs w:val="24"/>
        </w:rPr>
        <w:t>r of extra texts to be used. This flexibility allowed for personalization of the highest degree which contributed to the type's popularity. Despite the flexibility of the books of hours in a variety and number of prayers, they could also had</w:t>
      </w:r>
      <w:r w:rsidRPr="00B47326">
        <w:rPr>
          <w:rFonts w:ascii="Times New Roman" w:hAnsi="Times New Roman" w:cs="Times New Roman"/>
          <w:sz w:val="24"/>
          <w:szCs w:val="24"/>
        </w:rPr>
        <w:t xml:space="preserve"> varied deco</w:t>
      </w:r>
      <w:r w:rsidRPr="00B47326">
        <w:rPr>
          <w:rFonts w:ascii="Times New Roman" w:hAnsi="Times New Roman" w:cs="Times New Roman"/>
          <w:sz w:val="24"/>
          <w:szCs w:val="24"/>
        </w:rPr>
        <w:t>rations. The decorations varied in a few painted initials smothering books with fully illuminated borders and various full-page images. The buyer could specify the number of painted initials to be included before paying for the initials</w:t>
      </w:r>
      <w:r w:rsidR="009007F6" w:rsidRPr="00B47326">
        <w:rPr>
          <w:rFonts w:ascii="Times New Roman" w:hAnsi="Times New Roman" w:cs="Times New Roman"/>
          <w:sz w:val="24"/>
          <w:szCs w:val="24"/>
        </w:rPr>
        <w:t>.</w:t>
      </w:r>
      <w:r w:rsidR="009007F6" w:rsidRPr="00B47326">
        <w:rPr>
          <w:rStyle w:val="FootnoteReference"/>
          <w:rFonts w:ascii="Times New Roman" w:hAnsi="Times New Roman" w:cs="Times New Roman"/>
          <w:sz w:val="24"/>
          <w:szCs w:val="24"/>
        </w:rPr>
        <w:footnoteReference w:id="9"/>
      </w:r>
    </w:p>
    <w:p w14:paraId="45EE7D90" w14:textId="77777777" w:rsidR="00B47326" w:rsidRPr="00B47326" w:rsidRDefault="00B47326" w:rsidP="00B47326">
      <w:pPr>
        <w:spacing w:line="480" w:lineRule="auto"/>
        <w:ind w:firstLine="720"/>
        <w:jc w:val="both"/>
        <w:rPr>
          <w:rFonts w:ascii="Times New Roman" w:hAnsi="Times New Roman" w:cs="Times New Roman"/>
          <w:b/>
          <w:sz w:val="24"/>
          <w:szCs w:val="24"/>
        </w:rPr>
      </w:pPr>
    </w:p>
    <w:p w14:paraId="6953C817"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Art of the Middle Ages Book</w:t>
      </w:r>
    </w:p>
    <w:p w14:paraId="4E2FFED5"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lastRenderedPageBreak/>
        <w:t xml:space="preserve">Before the invention of the mechanical printer, books were handmade and treasured as works of art as well as symbols of enduring </w:t>
      </w:r>
      <w:r w:rsidR="009007F6" w:rsidRPr="00B47326">
        <w:rPr>
          <w:rFonts w:ascii="Times New Roman" w:hAnsi="Times New Roman" w:cs="Times New Roman"/>
          <w:sz w:val="24"/>
          <w:szCs w:val="24"/>
        </w:rPr>
        <w:t>knowledge.</w:t>
      </w:r>
      <w:r w:rsidR="009007F6" w:rsidRPr="00B47326">
        <w:rPr>
          <w:rStyle w:val="FootnoteReference"/>
          <w:rFonts w:ascii="Times New Roman" w:hAnsi="Times New Roman" w:cs="Times New Roman"/>
          <w:sz w:val="24"/>
          <w:szCs w:val="24"/>
        </w:rPr>
        <w:footnoteReference w:id="10"/>
      </w:r>
      <w:r w:rsidRPr="00B47326">
        <w:rPr>
          <w:rFonts w:ascii="Times New Roman" w:hAnsi="Times New Roman" w:cs="Times New Roman"/>
          <w:sz w:val="24"/>
          <w:szCs w:val="24"/>
        </w:rPr>
        <w:t xml:space="preserve"> The books became God</w:t>
      </w:r>
      <w:r w:rsidR="009007F6" w:rsidRPr="00B47326">
        <w:rPr>
          <w:rFonts w:ascii="Times New Roman" w:hAnsi="Times New Roman" w:cs="Times New Roman"/>
          <w:sz w:val="24"/>
          <w:szCs w:val="24"/>
        </w:rPr>
        <w:t>'s attribute in the middle-ages.</w:t>
      </w:r>
      <w:r w:rsidR="009007F6" w:rsidRPr="00B47326">
        <w:rPr>
          <w:rStyle w:val="FootnoteReference"/>
          <w:rFonts w:ascii="Times New Roman" w:hAnsi="Times New Roman" w:cs="Times New Roman"/>
          <w:sz w:val="24"/>
          <w:szCs w:val="24"/>
        </w:rPr>
        <w:footnoteReference w:id="11"/>
      </w:r>
      <w:r w:rsidR="009007F6" w:rsidRPr="00B47326">
        <w:rPr>
          <w:rFonts w:ascii="Times New Roman" w:hAnsi="Times New Roman" w:cs="Times New Roman"/>
          <w:sz w:val="24"/>
          <w:szCs w:val="24"/>
        </w:rPr>
        <w:t xml:space="preserve"> </w:t>
      </w:r>
      <w:r w:rsidRPr="00B47326">
        <w:rPr>
          <w:rFonts w:ascii="Times New Roman" w:hAnsi="Times New Roman" w:cs="Times New Roman"/>
          <w:sz w:val="24"/>
          <w:szCs w:val="24"/>
        </w:rPr>
        <w:t xml:space="preserve">Every step in the old book creation required intensive labor, </w:t>
      </w:r>
      <w:r w:rsidRPr="00B47326">
        <w:rPr>
          <w:rFonts w:ascii="Times New Roman" w:hAnsi="Times New Roman" w:cs="Times New Roman"/>
          <w:sz w:val="24"/>
          <w:szCs w:val="24"/>
        </w:rPr>
        <w:t xml:space="preserve">sometimes it involved the entire workshop collaboration. The pages parchments were made from </w:t>
      </w:r>
      <w:r w:rsidR="009007F6" w:rsidRPr="00B47326">
        <w:rPr>
          <w:rFonts w:ascii="Times New Roman" w:hAnsi="Times New Roman" w:cs="Times New Roman"/>
          <w:sz w:val="24"/>
          <w:szCs w:val="24"/>
        </w:rPr>
        <w:t>vellum</w:t>
      </w:r>
      <w:r w:rsidRPr="00B47326">
        <w:rPr>
          <w:rFonts w:ascii="Times New Roman" w:hAnsi="Times New Roman" w:cs="Times New Roman"/>
          <w:sz w:val="24"/>
          <w:szCs w:val="24"/>
        </w:rPr>
        <w:t>, cut into the</w:t>
      </w:r>
      <w:r w:rsidRPr="00B47326">
        <w:rPr>
          <w:rFonts w:ascii="Times New Roman" w:hAnsi="Times New Roman" w:cs="Times New Roman"/>
          <w:sz w:val="24"/>
          <w:szCs w:val="24"/>
        </w:rPr>
        <w:t xml:space="preserve"> size and sewn into choirs. The ink</w:t>
      </w:r>
      <w:r w:rsidRPr="00B47326">
        <w:rPr>
          <w:rFonts w:ascii="Times New Roman" w:hAnsi="Times New Roman" w:cs="Times New Roman"/>
          <w:sz w:val="24"/>
          <w:szCs w:val="24"/>
        </w:rPr>
        <w:t>s were mixed and pens prepared as the pages ruled for lettering. A scribe copied the text from a well-known edition as the artist would then embellish it with illustration ornament and dec</w:t>
      </w:r>
      <w:r w:rsidR="009007F6" w:rsidRPr="00B47326">
        <w:rPr>
          <w:rFonts w:ascii="Times New Roman" w:hAnsi="Times New Roman" w:cs="Times New Roman"/>
          <w:sz w:val="24"/>
          <w:szCs w:val="24"/>
        </w:rPr>
        <w:t>orated initials in the margins</w:t>
      </w:r>
      <w:r w:rsidRPr="00B47326">
        <w:rPr>
          <w:rFonts w:ascii="Times New Roman" w:hAnsi="Times New Roman" w:cs="Times New Roman"/>
          <w:sz w:val="24"/>
          <w:szCs w:val="24"/>
        </w:rPr>
        <w:t>.</w:t>
      </w:r>
      <w:r w:rsidR="009007F6" w:rsidRPr="00B47326">
        <w:rPr>
          <w:rStyle w:val="FootnoteReference"/>
          <w:rFonts w:ascii="Times New Roman" w:hAnsi="Times New Roman" w:cs="Times New Roman"/>
          <w:sz w:val="24"/>
          <w:szCs w:val="24"/>
        </w:rPr>
        <w:footnoteReference w:id="12"/>
      </w:r>
      <w:r w:rsidRPr="00B47326">
        <w:rPr>
          <w:rFonts w:ascii="Times New Roman" w:hAnsi="Times New Roman" w:cs="Times New Roman"/>
          <w:sz w:val="24"/>
          <w:szCs w:val="24"/>
        </w:rPr>
        <w:t xml:space="preserve"> The highly lavish medie</w:t>
      </w:r>
      <w:r w:rsidRPr="00B47326">
        <w:rPr>
          <w:rFonts w:ascii="Times New Roman" w:hAnsi="Times New Roman" w:cs="Times New Roman"/>
          <w:sz w:val="24"/>
          <w:szCs w:val="24"/>
        </w:rPr>
        <w:t>val books were bound in a cover set having ivory carvings, jewels and coatings</w:t>
      </w:r>
      <w:r w:rsidR="009007F6" w:rsidRPr="00B47326">
        <w:rPr>
          <w:rFonts w:ascii="Times New Roman" w:hAnsi="Times New Roman" w:cs="Times New Roman"/>
          <w:sz w:val="24"/>
          <w:szCs w:val="24"/>
        </w:rPr>
        <w:t>.</w:t>
      </w:r>
      <w:r w:rsidR="009007F6" w:rsidRPr="00B47326">
        <w:rPr>
          <w:rStyle w:val="FootnoteReference"/>
          <w:rFonts w:ascii="Times New Roman" w:hAnsi="Times New Roman" w:cs="Times New Roman"/>
          <w:sz w:val="24"/>
          <w:szCs w:val="24"/>
        </w:rPr>
        <w:footnoteReference w:id="13"/>
      </w:r>
    </w:p>
    <w:p w14:paraId="22502179" w14:textId="77777777" w:rsidR="00B47326"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early books of hour’s patrons were all members of the nobility. The stability of that high-end support</w:t>
      </w:r>
      <w:r w:rsidRPr="00B47326">
        <w:rPr>
          <w:rFonts w:ascii="Times New Roman" w:hAnsi="Times New Roman" w:cs="Times New Roman"/>
          <w:sz w:val="24"/>
          <w:szCs w:val="24"/>
        </w:rPr>
        <w:t xml:space="preserve"> with the growth in the cities and development of the wealthy bourgeoisie, several ordinary citizens owned their books.</w:t>
      </w:r>
      <w:r w:rsidRPr="00B47326">
        <w:rPr>
          <w:rFonts w:ascii="Times New Roman" w:hAnsi="Times New Roman" w:cs="Times New Roman"/>
          <w:sz w:val="24"/>
          <w:szCs w:val="24"/>
        </w:rPr>
        <w:t xml:space="preserve"> Various factors heightened the</w:t>
      </w:r>
      <w:r w:rsidR="008664E7" w:rsidRPr="00B47326">
        <w:rPr>
          <w:rFonts w:ascii="Times New Roman" w:hAnsi="Times New Roman" w:cs="Times New Roman"/>
          <w:sz w:val="24"/>
          <w:szCs w:val="24"/>
        </w:rPr>
        <w:t xml:space="preserve"> demand for the books of hours. </w:t>
      </w:r>
      <w:r w:rsidR="008664E7" w:rsidRPr="00B47326">
        <w:rPr>
          <w:rStyle w:val="FootnoteReference"/>
          <w:rFonts w:ascii="Times New Roman" w:hAnsi="Times New Roman" w:cs="Times New Roman"/>
          <w:sz w:val="24"/>
          <w:szCs w:val="24"/>
        </w:rPr>
        <w:footnoteReference w:id="14"/>
      </w:r>
      <w:r w:rsidRPr="00B47326">
        <w:rPr>
          <w:rFonts w:ascii="Times New Roman" w:hAnsi="Times New Roman" w:cs="Times New Roman"/>
          <w:sz w:val="24"/>
          <w:szCs w:val="24"/>
        </w:rPr>
        <w:t>The developing literacy plus the wider cycle o</w:t>
      </w:r>
      <w:r w:rsidRPr="00B47326">
        <w:rPr>
          <w:rFonts w:ascii="Times New Roman" w:hAnsi="Times New Roman" w:cs="Times New Roman"/>
          <w:sz w:val="24"/>
          <w:szCs w:val="24"/>
        </w:rPr>
        <w:t>f the population including women and men expanded the general market for the books. The manuscript manufacture changed from the administrative control to the booksellers, artists and professional scribes. The Virgin Mary devotion was the major focus of the</w:t>
      </w:r>
      <w:r w:rsidR="009007F6" w:rsidRPr="00B47326">
        <w:rPr>
          <w:rFonts w:ascii="Times New Roman" w:hAnsi="Times New Roman" w:cs="Times New Roman"/>
          <w:sz w:val="24"/>
          <w:szCs w:val="24"/>
        </w:rPr>
        <w:t xml:space="preserve"> Christianity within the period</w:t>
      </w:r>
      <w:r w:rsidRPr="00B47326">
        <w:rPr>
          <w:rFonts w:ascii="Times New Roman" w:hAnsi="Times New Roman" w:cs="Times New Roman"/>
          <w:sz w:val="24"/>
          <w:szCs w:val="24"/>
        </w:rPr>
        <w:t>.</w:t>
      </w:r>
      <w:r w:rsidR="009007F6" w:rsidRPr="00B47326">
        <w:rPr>
          <w:rStyle w:val="FootnoteReference"/>
          <w:rFonts w:ascii="Times New Roman" w:hAnsi="Times New Roman" w:cs="Times New Roman"/>
          <w:sz w:val="24"/>
          <w:szCs w:val="24"/>
        </w:rPr>
        <w:footnoteReference w:id="15"/>
      </w:r>
      <w:r w:rsidRPr="00B47326">
        <w:rPr>
          <w:rFonts w:ascii="Times New Roman" w:hAnsi="Times New Roman" w:cs="Times New Roman"/>
          <w:sz w:val="24"/>
          <w:szCs w:val="24"/>
        </w:rPr>
        <w:t xml:space="preserve"> A devotional practice shifts </w:t>
      </w:r>
      <w:r w:rsidRPr="00B47326">
        <w:rPr>
          <w:rFonts w:ascii="Times New Roman" w:hAnsi="Times New Roman" w:cs="Times New Roman"/>
          <w:sz w:val="24"/>
          <w:szCs w:val="24"/>
        </w:rPr>
        <w:lastRenderedPageBreak/>
        <w:t>towards more personal devoutness developed an interest in artwork; this cultivated individual engagement and reflection. The customized books were appropriate for the</w:t>
      </w:r>
      <w:r w:rsidRPr="00B47326">
        <w:rPr>
          <w:rFonts w:ascii="Times New Roman" w:hAnsi="Times New Roman" w:cs="Times New Roman"/>
          <w:sz w:val="24"/>
          <w:szCs w:val="24"/>
        </w:rPr>
        <w:t xml:space="preserve"> task as shown in the painting of a woman with her book of </w:t>
      </w:r>
      <w:r w:rsidR="008664E7" w:rsidRPr="00B47326">
        <w:rPr>
          <w:rFonts w:ascii="Times New Roman" w:hAnsi="Times New Roman" w:cs="Times New Roman"/>
          <w:sz w:val="24"/>
          <w:szCs w:val="24"/>
        </w:rPr>
        <w:t>hours.</w:t>
      </w:r>
      <w:r w:rsidR="008664E7" w:rsidRPr="00B47326">
        <w:rPr>
          <w:rStyle w:val="FootnoteReference"/>
          <w:rFonts w:ascii="Times New Roman" w:hAnsi="Times New Roman" w:cs="Times New Roman"/>
          <w:sz w:val="24"/>
          <w:szCs w:val="24"/>
        </w:rPr>
        <w:footnoteReference w:id="16"/>
      </w:r>
    </w:p>
    <w:p w14:paraId="7720EE9A" w14:textId="77777777" w:rsidR="00B47326" w:rsidRDefault="00B47326" w:rsidP="00B47326">
      <w:pPr>
        <w:spacing w:line="480" w:lineRule="auto"/>
        <w:jc w:val="both"/>
        <w:rPr>
          <w:rFonts w:ascii="Times New Roman" w:hAnsi="Times New Roman" w:cs="Times New Roman"/>
          <w:b/>
          <w:sz w:val="24"/>
          <w:szCs w:val="24"/>
        </w:rPr>
      </w:pPr>
    </w:p>
    <w:p w14:paraId="456E8D5F"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pictures</w:t>
      </w:r>
    </w:p>
    <w:p w14:paraId="3D324011"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 xml:space="preserve">The pictures in the books of hours had painted prayers; they also worked as text markers. When the page numbers, indices and tables of context were not </w:t>
      </w:r>
      <w:r w:rsidRPr="00B47326">
        <w:rPr>
          <w:rFonts w:ascii="Times New Roman" w:hAnsi="Times New Roman" w:cs="Times New Roman"/>
          <w:sz w:val="24"/>
          <w:szCs w:val="24"/>
        </w:rPr>
        <w:t xml:space="preserve">used, the images provided an easy technique for the user to get the Suffrages beginning as illuminations served to separate the manuscript sections. Despite the uniqueness of the books of hours, common illustration patterns occur across various </w:t>
      </w:r>
      <w:r w:rsidR="008664E7" w:rsidRPr="00B47326">
        <w:rPr>
          <w:rFonts w:ascii="Times New Roman" w:hAnsi="Times New Roman" w:cs="Times New Roman"/>
          <w:sz w:val="24"/>
          <w:szCs w:val="24"/>
        </w:rPr>
        <w:t>books.</w:t>
      </w:r>
      <w:r w:rsidR="008664E7" w:rsidRPr="00B47326">
        <w:rPr>
          <w:rStyle w:val="FootnoteReference"/>
          <w:rFonts w:ascii="Times New Roman" w:hAnsi="Times New Roman" w:cs="Times New Roman"/>
          <w:sz w:val="24"/>
          <w:szCs w:val="24"/>
        </w:rPr>
        <w:footnoteReference w:id="17"/>
      </w:r>
    </w:p>
    <w:p w14:paraId="4BD09BC0" w14:textId="77777777" w:rsidR="006A21F7" w:rsidRPr="00B47326" w:rsidRDefault="006A21F7" w:rsidP="00B47326">
      <w:pPr>
        <w:spacing w:line="480" w:lineRule="auto"/>
        <w:ind w:firstLine="720"/>
        <w:jc w:val="both"/>
        <w:rPr>
          <w:rFonts w:ascii="Times New Roman" w:hAnsi="Times New Roman" w:cs="Times New Roman"/>
          <w:b/>
          <w:sz w:val="24"/>
          <w:szCs w:val="24"/>
        </w:rPr>
      </w:pPr>
    </w:p>
    <w:p w14:paraId="1CF3EAD8"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Calendar</w:t>
      </w:r>
    </w:p>
    <w:p w14:paraId="54852EFE" w14:textId="77777777" w:rsidR="006A21F7" w:rsidRPr="00B47326" w:rsidRDefault="008F4E7A" w:rsidP="00B47326">
      <w:pPr>
        <w:spacing w:line="480" w:lineRule="auto"/>
        <w:ind w:firstLine="720"/>
        <w:jc w:val="both"/>
        <w:rPr>
          <w:rFonts w:ascii="Times New Roman" w:hAnsi="Times New Roman" w:cs="Times New Roman"/>
          <w:b/>
          <w:sz w:val="24"/>
          <w:szCs w:val="24"/>
        </w:rPr>
      </w:pPr>
      <w:r w:rsidRPr="00B47326">
        <w:rPr>
          <w:rFonts w:ascii="Times New Roman" w:hAnsi="Times New Roman" w:cs="Times New Roman"/>
          <w:sz w:val="24"/>
          <w:szCs w:val="24"/>
        </w:rPr>
        <w:t xml:space="preserve">Many books of hour’s starts with a calendar, </w:t>
      </w:r>
      <w:r w:rsidRPr="00B47326">
        <w:rPr>
          <w:rFonts w:ascii="Times New Roman" w:hAnsi="Times New Roman" w:cs="Times New Roman"/>
          <w:sz w:val="24"/>
          <w:szCs w:val="24"/>
        </w:rPr>
        <w:t xml:space="preserve">the calendar helped the owner to keep track of the saint’s days along with other feasts. Every month was on its own page </w:t>
      </w:r>
      <w:r w:rsidRPr="00B47326">
        <w:rPr>
          <w:rFonts w:ascii="Times New Roman" w:hAnsi="Times New Roman" w:cs="Times New Roman"/>
          <w:sz w:val="24"/>
          <w:szCs w:val="24"/>
        </w:rPr>
        <w:t>with listed days and significant holidays were</w:t>
      </w:r>
      <w:r w:rsidRPr="00B47326">
        <w:rPr>
          <w:rFonts w:ascii="Times New Roman" w:hAnsi="Times New Roman" w:cs="Times New Roman"/>
          <w:sz w:val="24"/>
          <w:szCs w:val="24"/>
        </w:rPr>
        <w:t xml:space="preserve"> written in red (this is the origin of the term “red letter day”). In the luxury books, important days of feast as well</w:t>
      </w:r>
      <w:r w:rsidRPr="00B47326">
        <w:rPr>
          <w:rFonts w:ascii="Times New Roman" w:hAnsi="Times New Roman" w:cs="Times New Roman"/>
          <w:sz w:val="24"/>
          <w:szCs w:val="24"/>
        </w:rPr>
        <w:t xml:space="preserve"> often appear in gold letters. This section’s decoration is normally limited to margi</w:t>
      </w:r>
      <w:r w:rsidR="008664E7" w:rsidRPr="00B47326">
        <w:rPr>
          <w:rFonts w:ascii="Times New Roman" w:hAnsi="Times New Roman" w:cs="Times New Roman"/>
          <w:sz w:val="24"/>
          <w:szCs w:val="24"/>
        </w:rPr>
        <w:t>nal pictures</w:t>
      </w:r>
      <w:r w:rsidRPr="00B47326">
        <w:rPr>
          <w:rFonts w:ascii="Times New Roman" w:hAnsi="Times New Roman" w:cs="Times New Roman"/>
          <w:sz w:val="24"/>
          <w:szCs w:val="24"/>
        </w:rPr>
        <w:t>.</w:t>
      </w:r>
      <w:r w:rsidR="008664E7" w:rsidRPr="00B47326">
        <w:rPr>
          <w:rStyle w:val="FootnoteReference"/>
          <w:rFonts w:ascii="Times New Roman" w:hAnsi="Times New Roman" w:cs="Times New Roman"/>
          <w:sz w:val="24"/>
          <w:szCs w:val="24"/>
        </w:rPr>
        <w:footnoteReference w:id="18"/>
      </w:r>
      <w:r w:rsidRPr="00B47326">
        <w:rPr>
          <w:rFonts w:ascii="Times New Roman" w:hAnsi="Times New Roman" w:cs="Times New Roman"/>
          <w:sz w:val="24"/>
          <w:szCs w:val="24"/>
        </w:rPr>
        <w:t xml:space="preserve"> They may show the relevant sign of the zodiac or activities </w:t>
      </w:r>
      <w:r w:rsidRPr="00B47326">
        <w:rPr>
          <w:rFonts w:ascii="Times New Roman" w:hAnsi="Times New Roman" w:cs="Times New Roman"/>
          <w:sz w:val="24"/>
          <w:szCs w:val="24"/>
        </w:rPr>
        <w:lastRenderedPageBreak/>
        <w:t>linked to that month or both. The inclusion and the tabular layout of these elements are linked to the Psalters’ examples and proceeds for centuries</w:t>
      </w:r>
      <w:r w:rsidR="008664E7" w:rsidRPr="00B47326">
        <w:rPr>
          <w:rFonts w:ascii="Times New Roman" w:hAnsi="Times New Roman" w:cs="Times New Roman"/>
          <w:sz w:val="24"/>
          <w:szCs w:val="24"/>
        </w:rPr>
        <w:t>.</w:t>
      </w:r>
      <w:r w:rsidR="008664E7" w:rsidRPr="00B47326">
        <w:rPr>
          <w:rStyle w:val="FootnoteReference"/>
          <w:rFonts w:ascii="Times New Roman" w:hAnsi="Times New Roman" w:cs="Times New Roman"/>
          <w:sz w:val="24"/>
          <w:szCs w:val="24"/>
        </w:rPr>
        <w:footnoteReference w:id="19"/>
      </w:r>
      <w:r w:rsidRPr="00B47326">
        <w:rPr>
          <w:rFonts w:ascii="Times New Roman" w:hAnsi="Times New Roman" w:cs="Times New Roman"/>
          <w:sz w:val="24"/>
          <w:szCs w:val="24"/>
        </w:rPr>
        <w:t xml:space="preserve"> </w:t>
      </w:r>
    </w:p>
    <w:p w14:paraId="1468ADE7" w14:textId="77777777" w:rsidR="008664E7" w:rsidRPr="00B47326" w:rsidRDefault="008664E7" w:rsidP="00B47326">
      <w:pPr>
        <w:spacing w:line="480" w:lineRule="auto"/>
        <w:jc w:val="both"/>
        <w:rPr>
          <w:rFonts w:ascii="Times New Roman" w:hAnsi="Times New Roman" w:cs="Times New Roman"/>
          <w:b/>
          <w:sz w:val="24"/>
          <w:szCs w:val="24"/>
        </w:rPr>
      </w:pPr>
    </w:p>
    <w:p w14:paraId="0EE4326A"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Hours of the Virgin</w:t>
      </w:r>
    </w:p>
    <w:p w14:paraId="00DB5B7A" w14:textId="669885AF" w:rsidR="00576899" w:rsidRPr="00576899" w:rsidRDefault="008F4E7A" w:rsidP="00576899">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hours of the virgin are considered the heart of any book of hours.</w:t>
      </w:r>
      <w:r w:rsidR="00576899">
        <w:rPr>
          <w:rFonts w:ascii="Times New Roman" w:hAnsi="Times New Roman" w:cs="Times New Roman"/>
          <w:sz w:val="24"/>
          <w:szCs w:val="24"/>
        </w:rPr>
        <w:t xml:space="preserve"> It was the most important part of any book of hours.</w:t>
      </w:r>
      <w:r w:rsidRPr="00B47326">
        <w:rPr>
          <w:rFonts w:ascii="Times New Roman" w:hAnsi="Times New Roman" w:cs="Times New Roman"/>
          <w:sz w:val="24"/>
          <w:szCs w:val="24"/>
        </w:rPr>
        <w:t xml:space="preserve"> Looking at the most current examples, the beginning of the first hour; Martin has been given a mark with some decoration. It has a border or a pai</w:t>
      </w:r>
      <w:r w:rsidRPr="00B47326">
        <w:rPr>
          <w:rFonts w:ascii="Times New Roman" w:hAnsi="Times New Roman" w:cs="Times New Roman"/>
          <w:sz w:val="24"/>
          <w:szCs w:val="24"/>
        </w:rPr>
        <w:t xml:space="preserve">nted initial.  Considering the more expensive books, Martin has been marked with a painted scene. There is </w:t>
      </w:r>
      <w:r w:rsidRPr="00576899">
        <w:rPr>
          <w:rFonts w:ascii="Times New Roman" w:hAnsi="Times New Roman" w:cs="Times New Roman"/>
          <w:sz w:val="24"/>
          <w:szCs w:val="24"/>
        </w:rPr>
        <w:t>whole page picture for every hour of the e</w:t>
      </w:r>
      <w:r w:rsidR="008664E7" w:rsidRPr="00576899">
        <w:rPr>
          <w:rFonts w:ascii="Times New Roman" w:hAnsi="Times New Roman" w:cs="Times New Roman"/>
          <w:sz w:val="24"/>
          <w:szCs w:val="24"/>
        </w:rPr>
        <w:t>ight hours in the richest books.</w:t>
      </w:r>
      <w:r w:rsidR="008664E7" w:rsidRPr="00576899">
        <w:rPr>
          <w:rStyle w:val="FootnoteReference"/>
          <w:rFonts w:ascii="Times New Roman" w:hAnsi="Times New Roman" w:cs="Times New Roman"/>
          <w:sz w:val="24"/>
          <w:szCs w:val="24"/>
        </w:rPr>
        <w:footnoteReference w:id="20"/>
      </w:r>
      <w:r w:rsidR="00576899" w:rsidRPr="00576899">
        <w:rPr>
          <w:rFonts w:ascii="Times New Roman" w:hAnsi="Times New Roman" w:cs="Times New Roman"/>
          <w:sz w:val="24"/>
          <w:szCs w:val="24"/>
        </w:rPr>
        <w:t xml:space="preserve"> </w:t>
      </w:r>
      <w:r w:rsidR="00576899" w:rsidRPr="00576899">
        <w:rPr>
          <w:sz w:val="24"/>
          <w:szCs w:val="24"/>
        </w:rPr>
        <w:t>The Virgin was seen as more approachable than God or Christ, and worship of her grew with the expectation that she would be an ideal advocate on behalf of the faithful. The text of the Hours of the Virgin repeatedly praises her and asks for her intercession.</w:t>
      </w:r>
      <w:r w:rsidR="00576899" w:rsidRPr="00576899">
        <w:rPr>
          <w:rStyle w:val="FootnoteReference"/>
          <w:sz w:val="24"/>
          <w:szCs w:val="24"/>
        </w:rPr>
        <w:footnoteReference w:id="21"/>
      </w:r>
    </w:p>
    <w:p w14:paraId="2C0FA97A" w14:textId="77777777" w:rsidR="00B47326" w:rsidRPr="00B47326" w:rsidRDefault="00B47326" w:rsidP="00B47326">
      <w:pPr>
        <w:spacing w:line="480" w:lineRule="auto"/>
        <w:ind w:firstLine="720"/>
        <w:jc w:val="both"/>
        <w:rPr>
          <w:rFonts w:ascii="Times New Roman" w:hAnsi="Times New Roman" w:cs="Times New Roman"/>
          <w:sz w:val="24"/>
          <w:szCs w:val="24"/>
          <w:lang w:val="en-GB"/>
        </w:rPr>
      </w:pPr>
    </w:p>
    <w:p w14:paraId="6FE57D44"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Latin Texts</w:t>
      </w:r>
    </w:p>
    <w:p w14:paraId="520392A3" w14:textId="77777777" w:rsidR="006A21F7"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These are devotions which invoke praise for the Virgin and God's supplication. The illuminations do not illustrate the words, though they depict</w:t>
      </w:r>
      <w:r w:rsidR="008664E7" w:rsidRPr="00B47326">
        <w:rPr>
          <w:rFonts w:ascii="Times New Roman" w:hAnsi="Times New Roman" w:cs="Times New Roman"/>
          <w:sz w:val="24"/>
          <w:szCs w:val="24"/>
        </w:rPr>
        <w:t xml:space="preserve"> the key moments in Mary's life.</w:t>
      </w:r>
      <w:r w:rsidR="008664E7" w:rsidRPr="00B47326">
        <w:rPr>
          <w:rStyle w:val="FootnoteReference"/>
          <w:rFonts w:ascii="Times New Roman" w:hAnsi="Times New Roman" w:cs="Times New Roman"/>
          <w:sz w:val="24"/>
          <w:szCs w:val="24"/>
        </w:rPr>
        <w:footnoteReference w:id="22"/>
      </w:r>
      <w:r w:rsidR="008664E7" w:rsidRPr="00B47326">
        <w:rPr>
          <w:rFonts w:ascii="Times New Roman" w:hAnsi="Times New Roman" w:cs="Times New Roman"/>
          <w:sz w:val="24"/>
          <w:szCs w:val="24"/>
        </w:rPr>
        <w:t xml:space="preserve"> </w:t>
      </w:r>
      <w:r w:rsidRPr="00B47326">
        <w:rPr>
          <w:rFonts w:ascii="Times New Roman" w:hAnsi="Times New Roman" w:cs="Times New Roman"/>
          <w:sz w:val="24"/>
          <w:szCs w:val="24"/>
        </w:rPr>
        <w:t>Matins</w:t>
      </w:r>
      <w:r w:rsidRPr="00B47326">
        <w:rPr>
          <w:rFonts w:ascii="Times New Roman" w:hAnsi="Times New Roman" w:cs="Times New Roman"/>
          <w:sz w:val="24"/>
          <w:szCs w:val="24"/>
        </w:rPr>
        <w:t xml:space="preserve"> starts with annunciation illustration, the time</w:t>
      </w:r>
      <w:r w:rsidRPr="00B47326">
        <w:rPr>
          <w:rFonts w:ascii="Times New Roman" w:hAnsi="Times New Roman" w:cs="Times New Roman"/>
          <w:sz w:val="24"/>
          <w:szCs w:val="24"/>
        </w:rPr>
        <w:t xml:space="preserve"> when Archangel Gabriel told Mary about her bearing the son of God. The manuscript having the full set of the illumination often adhere to an </w:t>
      </w:r>
      <w:r w:rsidRPr="00B47326">
        <w:rPr>
          <w:rFonts w:ascii="Times New Roman" w:hAnsi="Times New Roman" w:cs="Times New Roman"/>
          <w:sz w:val="24"/>
          <w:szCs w:val="24"/>
        </w:rPr>
        <w:lastRenderedPageBreak/>
        <w:t>established subject program for each of following hours, like the Nativity at prime, the Shepherds' annunciation a</w:t>
      </w:r>
      <w:r w:rsidRPr="00B47326">
        <w:rPr>
          <w:rFonts w:ascii="Times New Roman" w:hAnsi="Times New Roman" w:cs="Times New Roman"/>
          <w:sz w:val="24"/>
          <w:szCs w:val="24"/>
        </w:rPr>
        <w:t>t Tierce and other scenes which are familiar from the Christian story</w:t>
      </w:r>
      <w:r w:rsidR="008664E7" w:rsidRPr="00B47326">
        <w:rPr>
          <w:rFonts w:ascii="Times New Roman" w:hAnsi="Times New Roman" w:cs="Times New Roman"/>
          <w:sz w:val="24"/>
          <w:szCs w:val="24"/>
        </w:rPr>
        <w:t>.</w:t>
      </w:r>
      <w:r w:rsidR="008664E7" w:rsidRPr="00B47326">
        <w:rPr>
          <w:rStyle w:val="FootnoteReference"/>
          <w:rFonts w:ascii="Times New Roman" w:hAnsi="Times New Roman" w:cs="Times New Roman"/>
          <w:sz w:val="24"/>
          <w:szCs w:val="24"/>
        </w:rPr>
        <w:footnoteReference w:id="23"/>
      </w:r>
    </w:p>
    <w:p w14:paraId="6E1D57A5" w14:textId="77777777" w:rsidR="00B47326" w:rsidRPr="00B47326" w:rsidRDefault="00B47326" w:rsidP="00B47326">
      <w:pPr>
        <w:spacing w:line="480" w:lineRule="auto"/>
        <w:ind w:firstLine="720"/>
        <w:jc w:val="both"/>
        <w:rPr>
          <w:rFonts w:ascii="Times New Roman" w:hAnsi="Times New Roman" w:cs="Times New Roman"/>
          <w:sz w:val="24"/>
          <w:szCs w:val="24"/>
        </w:rPr>
      </w:pPr>
    </w:p>
    <w:p w14:paraId="76B84C60"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Hours of the Cross</w:t>
      </w:r>
    </w:p>
    <w:p w14:paraId="1756ED66" w14:textId="77777777" w:rsidR="006A21F7"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hours of the cross go with the textual pattern of the hours of the virgin. It creates important divisions of the day</w:t>
      </w:r>
      <w:r w:rsidRPr="00B47326">
        <w:rPr>
          <w:rFonts w:ascii="Times New Roman" w:hAnsi="Times New Roman" w:cs="Times New Roman"/>
          <w:sz w:val="24"/>
          <w:szCs w:val="24"/>
        </w:rPr>
        <w:t>, with each set of antiphons, hymns and prayers. The number of scenes and the exact sequence accorded to this section differ in various manuscripts. They all present the drama changing to the crucifixion. Thi</w:t>
      </w:r>
      <w:r w:rsidR="008664E7" w:rsidRPr="00B47326">
        <w:rPr>
          <w:rFonts w:ascii="Times New Roman" w:hAnsi="Times New Roman" w:cs="Times New Roman"/>
          <w:sz w:val="24"/>
          <w:szCs w:val="24"/>
        </w:rPr>
        <w:t>s is referred to as the passion</w:t>
      </w:r>
      <w:r w:rsidRPr="00B47326">
        <w:rPr>
          <w:rFonts w:ascii="Times New Roman" w:hAnsi="Times New Roman" w:cs="Times New Roman"/>
          <w:sz w:val="24"/>
          <w:szCs w:val="24"/>
        </w:rPr>
        <w:t>.</w:t>
      </w:r>
      <w:r w:rsidR="008664E7" w:rsidRPr="00B47326">
        <w:rPr>
          <w:rStyle w:val="FootnoteReference"/>
          <w:rFonts w:ascii="Times New Roman" w:hAnsi="Times New Roman" w:cs="Times New Roman"/>
          <w:sz w:val="24"/>
          <w:szCs w:val="24"/>
        </w:rPr>
        <w:footnoteReference w:id="24"/>
      </w:r>
      <w:r w:rsidRPr="00B47326">
        <w:rPr>
          <w:rFonts w:ascii="Times New Roman" w:hAnsi="Times New Roman" w:cs="Times New Roman"/>
          <w:sz w:val="24"/>
          <w:szCs w:val="24"/>
        </w:rPr>
        <w:t xml:space="preserve"> Th</w:t>
      </w:r>
      <w:r w:rsidRPr="00B47326">
        <w:rPr>
          <w:rFonts w:ascii="Times New Roman" w:hAnsi="Times New Roman" w:cs="Times New Roman"/>
          <w:sz w:val="24"/>
          <w:szCs w:val="24"/>
        </w:rPr>
        <w:t>e most current manuscript like the one from which there is a preservation of a single leaf</w:t>
      </w:r>
      <w:r w:rsidRPr="00B47326">
        <w:rPr>
          <w:rFonts w:ascii="Times New Roman" w:hAnsi="Times New Roman" w:cs="Times New Roman"/>
          <w:sz w:val="24"/>
          <w:szCs w:val="24"/>
        </w:rPr>
        <w:t xml:space="preserve"> has a small crucifixion painted within the D initial opening at the start of the text. The luxurious Belles Hearse has three distinct full pages of the crucifixio</w:t>
      </w:r>
      <w:r w:rsidR="008664E7" w:rsidRPr="00B47326">
        <w:rPr>
          <w:rFonts w:ascii="Times New Roman" w:hAnsi="Times New Roman" w:cs="Times New Roman"/>
          <w:sz w:val="24"/>
          <w:szCs w:val="24"/>
        </w:rPr>
        <w:t>n.</w:t>
      </w:r>
      <w:r w:rsidR="008664E7" w:rsidRPr="00B47326">
        <w:rPr>
          <w:rStyle w:val="FootnoteReference"/>
          <w:rFonts w:ascii="Times New Roman" w:hAnsi="Times New Roman" w:cs="Times New Roman"/>
          <w:sz w:val="24"/>
          <w:szCs w:val="24"/>
        </w:rPr>
        <w:footnoteReference w:id="25"/>
      </w:r>
    </w:p>
    <w:p w14:paraId="7CDE1288" w14:textId="77777777" w:rsidR="00B47326" w:rsidRPr="00B47326" w:rsidRDefault="00B47326" w:rsidP="00B47326">
      <w:pPr>
        <w:spacing w:line="480" w:lineRule="auto"/>
        <w:ind w:firstLine="720"/>
        <w:jc w:val="both"/>
        <w:rPr>
          <w:rFonts w:ascii="Times New Roman" w:hAnsi="Times New Roman" w:cs="Times New Roman"/>
          <w:sz w:val="24"/>
          <w:szCs w:val="24"/>
        </w:rPr>
      </w:pPr>
    </w:p>
    <w:p w14:paraId="6E79D940"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Suffrages of The Saints</w:t>
      </w:r>
    </w:p>
    <w:p w14:paraId="5390512D"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saints' suffrages in this section that probably vary from one book of hours to another book of hours. It can be customized with the favorite</w:t>
      </w:r>
      <w:r w:rsidRPr="00B47326">
        <w:rPr>
          <w:rFonts w:ascii="Times New Roman" w:hAnsi="Times New Roman" w:cs="Times New Roman"/>
          <w:sz w:val="24"/>
          <w:szCs w:val="24"/>
        </w:rPr>
        <w:t xml:space="preserve"> saints of the patrons or those linked with a certain </w:t>
      </w:r>
      <w:r w:rsidRPr="00B47326">
        <w:rPr>
          <w:rFonts w:ascii="Times New Roman" w:hAnsi="Times New Roman" w:cs="Times New Roman"/>
          <w:sz w:val="24"/>
          <w:szCs w:val="24"/>
        </w:rPr>
        <w:t>locality. The textual variety is accompanied by various options for decoration, from no pictures to the portrait of the saints depicted within an initial to mul</w:t>
      </w:r>
      <w:r w:rsidR="008664E7" w:rsidRPr="00B47326">
        <w:rPr>
          <w:rFonts w:ascii="Times New Roman" w:hAnsi="Times New Roman" w:cs="Times New Roman"/>
          <w:sz w:val="24"/>
          <w:szCs w:val="24"/>
        </w:rPr>
        <w:t>tipage and full-page treatment.</w:t>
      </w:r>
      <w:r w:rsidR="008664E7" w:rsidRPr="00B47326">
        <w:rPr>
          <w:rStyle w:val="FootnoteReference"/>
          <w:rFonts w:ascii="Times New Roman" w:hAnsi="Times New Roman" w:cs="Times New Roman"/>
          <w:sz w:val="24"/>
          <w:szCs w:val="24"/>
        </w:rPr>
        <w:footnoteReference w:id="26"/>
      </w:r>
      <w:r w:rsidRPr="00B47326">
        <w:rPr>
          <w:rFonts w:ascii="Times New Roman" w:hAnsi="Times New Roman" w:cs="Times New Roman"/>
          <w:sz w:val="24"/>
          <w:szCs w:val="24"/>
        </w:rPr>
        <w:t xml:space="preserve"> In a single leaf, Saint James the gr</w:t>
      </w:r>
      <w:r w:rsidRPr="00B47326">
        <w:rPr>
          <w:rFonts w:ascii="Times New Roman" w:hAnsi="Times New Roman" w:cs="Times New Roman"/>
          <w:sz w:val="24"/>
          <w:szCs w:val="24"/>
        </w:rPr>
        <w:t xml:space="preserve">eat is defined particularly by the elements within the painted border of the page. The walking stick, satchel of a medieval pilgrim and the scallop shells linked </w:t>
      </w:r>
      <w:r w:rsidRPr="00B47326">
        <w:rPr>
          <w:rFonts w:ascii="Times New Roman" w:hAnsi="Times New Roman" w:cs="Times New Roman"/>
          <w:sz w:val="24"/>
          <w:szCs w:val="24"/>
        </w:rPr>
        <w:lastRenderedPageBreak/>
        <w:t>to the shrine of Saint James at Santiago de Compostela, the key pilgrimage site in northwest S</w:t>
      </w:r>
      <w:r w:rsidR="008664E7" w:rsidRPr="00B47326">
        <w:rPr>
          <w:rFonts w:ascii="Times New Roman" w:hAnsi="Times New Roman" w:cs="Times New Roman"/>
          <w:sz w:val="24"/>
          <w:szCs w:val="24"/>
        </w:rPr>
        <w:t>pain.</w:t>
      </w:r>
      <w:r w:rsidR="008664E7" w:rsidRPr="00B47326">
        <w:rPr>
          <w:rStyle w:val="FootnoteReference"/>
          <w:rFonts w:ascii="Times New Roman" w:hAnsi="Times New Roman" w:cs="Times New Roman"/>
          <w:sz w:val="24"/>
          <w:szCs w:val="24"/>
        </w:rPr>
        <w:footnoteReference w:id="27"/>
      </w:r>
    </w:p>
    <w:p w14:paraId="62871EF6"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Additional</w:t>
      </w:r>
      <w:r w:rsidRPr="00B47326">
        <w:rPr>
          <w:rFonts w:ascii="Times New Roman" w:hAnsi="Times New Roman" w:cs="Times New Roman"/>
          <w:sz w:val="24"/>
          <w:szCs w:val="24"/>
        </w:rPr>
        <w:t xml:space="preserve"> to the single leaves, the metropolitan museum also owns three well-known examples of books of hours, </w:t>
      </w:r>
      <w:r w:rsidRPr="00B47326">
        <w:rPr>
          <w:rFonts w:ascii="Times New Roman" w:hAnsi="Times New Roman" w:cs="Times New Roman"/>
          <w:sz w:val="24"/>
          <w:szCs w:val="24"/>
        </w:rPr>
        <w:t xml:space="preserve">these include the </w:t>
      </w:r>
      <w:r w:rsidRPr="00B47326">
        <w:rPr>
          <w:rFonts w:ascii="Times New Roman" w:hAnsi="Times New Roman" w:cs="Times New Roman"/>
          <w:i/>
          <w:sz w:val="24"/>
          <w:szCs w:val="24"/>
        </w:rPr>
        <w:t>Belles Heure of Jean De France</w:t>
      </w:r>
      <w:r w:rsidRPr="00B47326">
        <w:rPr>
          <w:rFonts w:ascii="Times New Roman" w:hAnsi="Times New Roman" w:cs="Times New Roman"/>
          <w:sz w:val="24"/>
          <w:szCs w:val="24"/>
        </w:rPr>
        <w:t xml:space="preserve">, the </w:t>
      </w:r>
      <w:r w:rsidRPr="00B47326">
        <w:rPr>
          <w:rFonts w:ascii="Times New Roman" w:hAnsi="Times New Roman" w:cs="Times New Roman"/>
          <w:i/>
          <w:sz w:val="24"/>
          <w:szCs w:val="24"/>
        </w:rPr>
        <w:t>Hours of Jeanne d'Evreux, Duc de Berry</w:t>
      </w:r>
      <w:r w:rsidRPr="00B47326">
        <w:rPr>
          <w:rFonts w:ascii="Times New Roman" w:hAnsi="Times New Roman" w:cs="Times New Roman"/>
          <w:sz w:val="24"/>
          <w:szCs w:val="24"/>
        </w:rPr>
        <w:t xml:space="preserve"> and the Simon Bennin</w:t>
      </w:r>
      <w:r w:rsidRPr="00B47326">
        <w:rPr>
          <w:rFonts w:ascii="Times New Roman" w:hAnsi="Times New Roman" w:cs="Times New Roman"/>
          <w:sz w:val="24"/>
          <w:szCs w:val="24"/>
        </w:rPr>
        <w:t xml:space="preserve">g’s diminutive manuscript. These fine books from the three different centuries are not just of the majority of existing examples of the type, rather are masterworks, every touchstone of its period, every book with a decoration designed by artists renowned </w:t>
      </w:r>
      <w:r w:rsidR="008664E7" w:rsidRPr="00B47326">
        <w:rPr>
          <w:rFonts w:ascii="Times New Roman" w:hAnsi="Times New Roman" w:cs="Times New Roman"/>
          <w:sz w:val="24"/>
          <w:szCs w:val="24"/>
        </w:rPr>
        <w:t>within their own time.</w:t>
      </w:r>
      <w:r w:rsidR="008664E7" w:rsidRPr="00B47326">
        <w:rPr>
          <w:rStyle w:val="FootnoteReference"/>
          <w:rFonts w:ascii="Times New Roman" w:hAnsi="Times New Roman" w:cs="Times New Roman"/>
          <w:sz w:val="24"/>
          <w:szCs w:val="24"/>
        </w:rPr>
        <w:footnoteReference w:id="28"/>
      </w:r>
      <w:r w:rsidR="008664E7" w:rsidRPr="00B47326">
        <w:rPr>
          <w:rFonts w:ascii="Times New Roman" w:hAnsi="Times New Roman" w:cs="Times New Roman"/>
          <w:sz w:val="24"/>
          <w:szCs w:val="24"/>
        </w:rPr>
        <w:t xml:space="preserve"> </w:t>
      </w:r>
      <w:r w:rsidRPr="00B47326">
        <w:rPr>
          <w:rFonts w:ascii="Times New Roman" w:hAnsi="Times New Roman" w:cs="Times New Roman"/>
          <w:sz w:val="24"/>
          <w:szCs w:val="24"/>
        </w:rPr>
        <w:t>Nevertheless, the paintings demonstrate major themes and stories that can be discovered in several other lesser ambition</w:t>
      </w:r>
      <w:r w:rsidRPr="00B47326">
        <w:rPr>
          <w:rFonts w:ascii="Times New Roman" w:hAnsi="Times New Roman" w:cs="Times New Roman"/>
          <w:sz w:val="24"/>
          <w:szCs w:val="24"/>
        </w:rPr>
        <w:t xml:space="preserve"> works. It can demonstrate the way by which the books of hours give a template for the artists </w:t>
      </w:r>
      <w:r w:rsidRPr="00B47326">
        <w:rPr>
          <w:rFonts w:ascii="Times New Roman" w:hAnsi="Times New Roman" w:cs="Times New Roman"/>
          <w:sz w:val="24"/>
          <w:szCs w:val="24"/>
        </w:rPr>
        <w:t xml:space="preserve">over centuries. </w:t>
      </w:r>
      <w:r w:rsidRPr="00B47326">
        <w:rPr>
          <w:rFonts w:ascii="Times New Roman" w:hAnsi="Times New Roman" w:cs="Times New Roman"/>
          <w:sz w:val="24"/>
          <w:szCs w:val="24"/>
        </w:rPr>
        <w:t>They display the possible diversity within the type that</w:t>
      </w:r>
      <w:r w:rsidR="008664E7" w:rsidRPr="00B47326">
        <w:rPr>
          <w:rFonts w:ascii="Times New Roman" w:hAnsi="Times New Roman" w:cs="Times New Roman"/>
          <w:sz w:val="24"/>
          <w:szCs w:val="24"/>
        </w:rPr>
        <w:t xml:space="preserve"> helped them to gain popularity.</w:t>
      </w:r>
      <w:r w:rsidR="008664E7" w:rsidRPr="00B47326">
        <w:rPr>
          <w:rStyle w:val="FootnoteReference"/>
          <w:rFonts w:ascii="Times New Roman" w:hAnsi="Times New Roman" w:cs="Times New Roman"/>
          <w:sz w:val="24"/>
          <w:szCs w:val="24"/>
        </w:rPr>
        <w:footnoteReference w:id="29"/>
      </w:r>
    </w:p>
    <w:p w14:paraId="74BBA79E" w14:textId="77777777" w:rsidR="006A21F7" w:rsidRPr="00B47326" w:rsidRDefault="006A21F7" w:rsidP="00B47326">
      <w:pPr>
        <w:spacing w:line="480" w:lineRule="auto"/>
        <w:jc w:val="both"/>
        <w:rPr>
          <w:rFonts w:ascii="Times New Roman" w:hAnsi="Times New Roman" w:cs="Times New Roman"/>
          <w:b/>
          <w:sz w:val="24"/>
          <w:szCs w:val="24"/>
        </w:rPr>
      </w:pPr>
    </w:p>
    <w:p w14:paraId="5E1A59F3"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Hours of Jeanne d’Evreux</w:t>
      </w:r>
    </w:p>
    <w:p w14:paraId="33F99B5E" w14:textId="4B38BCF9"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These were made for the France queen</w:t>
      </w:r>
      <w:r w:rsidRPr="00B47326">
        <w:rPr>
          <w:rFonts w:ascii="Times New Roman" w:hAnsi="Times New Roman" w:cs="Times New Roman"/>
          <w:sz w:val="24"/>
          <w:szCs w:val="24"/>
        </w:rPr>
        <w:t xml:space="preserve"> of the 14</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 xml:space="preserve"> century. It has</w:t>
      </w:r>
      <w:r w:rsidRPr="00B47326">
        <w:rPr>
          <w:rFonts w:ascii="Times New Roman" w:hAnsi="Times New Roman" w:cs="Times New Roman"/>
          <w:sz w:val="24"/>
          <w:szCs w:val="24"/>
        </w:rPr>
        <w:t xml:space="preserve"> diminutive size, a delicate painting made by Jean Pucelle and the thin gossamer parchment that le</w:t>
      </w:r>
      <w:r w:rsidR="008664E7" w:rsidRPr="00B47326">
        <w:rPr>
          <w:rFonts w:ascii="Times New Roman" w:hAnsi="Times New Roman" w:cs="Times New Roman"/>
          <w:sz w:val="24"/>
          <w:szCs w:val="24"/>
        </w:rPr>
        <w:t>ads to its exquisite femininity.</w:t>
      </w:r>
      <w:r w:rsidR="008664E7" w:rsidRPr="00B47326">
        <w:rPr>
          <w:rStyle w:val="FootnoteReference"/>
          <w:rFonts w:ascii="Times New Roman" w:hAnsi="Times New Roman" w:cs="Times New Roman"/>
          <w:sz w:val="24"/>
          <w:szCs w:val="24"/>
        </w:rPr>
        <w:footnoteReference w:id="30"/>
      </w:r>
      <w:r w:rsidR="008664E7" w:rsidRPr="00B47326">
        <w:rPr>
          <w:rFonts w:ascii="Times New Roman" w:hAnsi="Times New Roman" w:cs="Times New Roman"/>
          <w:sz w:val="24"/>
          <w:szCs w:val="24"/>
        </w:rPr>
        <w:t xml:space="preserve"> </w:t>
      </w:r>
      <w:r w:rsidRPr="00B47326">
        <w:rPr>
          <w:rFonts w:ascii="Times New Roman" w:hAnsi="Times New Roman" w:cs="Times New Roman"/>
          <w:sz w:val="24"/>
          <w:szCs w:val="24"/>
        </w:rPr>
        <w:t>These includes</w:t>
      </w:r>
      <w:r w:rsidR="00354F62">
        <w:rPr>
          <w:rFonts w:ascii="Times New Roman" w:hAnsi="Times New Roman" w:cs="Times New Roman"/>
          <w:sz w:val="24"/>
          <w:szCs w:val="24"/>
        </w:rPr>
        <w:t xml:space="preserve"> Saint Louis life, the Fre</w:t>
      </w:r>
      <w:r w:rsidRPr="00B47326">
        <w:rPr>
          <w:rFonts w:ascii="Times New Roman" w:hAnsi="Times New Roman" w:cs="Times New Roman"/>
          <w:sz w:val="24"/>
          <w:szCs w:val="24"/>
        </w:rPr>
        <w:t>nce</w:t>
      </w:r>
      <w:r w:rsidRPr="00B47326">
        <w:rPr>
          <w:rFonts w:ascii="Times New Roman" w:hAnsi="Times New Roman" w:cs="Times New Roman"/>
          <w:sz w:val="24"/>
          <w:szCs w:val="24"/>
        </w:rPr>
        <w:t xml:space="preserve"> king who was the great-grandfather to Jeanne d'Evreux. E</w:t>
      </w:r>
      <w:r w:rsidRPr="00B47326">
        <w:rPr>
          <w:rFonts w:ascii="Times New Roman" w:hAnsi="Times New Roman" w:cs="Times New Roman"/>
          <w:sz w:val="24"/>
          <w:szCs w:val="24"/>
        </w:rPr>
        <w:t xml:space="preserve">very hour of the virgin was introduced with Jesus' infancy traditional scene and </w:t>
      </w:r>
      <w:r w:rsidRPr="00B47326">
        <w:rPr>
          <w:rFonts w:ascii="Times New Roman" w:hAnsi="Times New Roman" w:cs="Times New Roman"/>
          <w:sz w:val="24"/>
          <w:szCs w:val="24"/>
        </w:rPr>
        <w:lastRenderedPageBreak/>
        <w:t>dramatic scenes from his life's final days. This was referred to as the passion. All these are rendered in grisaille, white and black drawings having a lightly tinted backgrou</w:t>
      </w:r>
      <w:r w:rsidR="008664E7" w:rsidRPr="00B47326">
        <w:rPr>
          <w:rFonts w:ascii="Times New Roman" w:hAnsi="Times New Roman" w:cs="Times New Roman"/>
          <w:sz w:val="24"/>
          <w:szCs w:val="24"/>
        </w:rPr>
        <w:t>nd as well as other areas.</w:t>
      </w:r>
      <w:r w:rsidR="008664E7" w:rsidRPr="00B47326">
        <w:rPr>
          <w:rStyle w:val="FootnoteReference"/>
          <w:rFonts w:ascii="Times New Roman" w:hAnsi="Times New Roman" w:cs="Times New Roman"/>
          <w:sz w:val="24"/>
          <w:szCs w:val="24"/>
        </w:rPr>
        <w:footnoteReference w:id="31"/>
      </w:r>
    </w:p>
    <w:p w14:paraId="09CA21B2" w14:textId="5AB672FF"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largest Belles Heures is one of the fifteen books of hours which was once owned by the acquisitive Duke of Berry, who was t</w:t>
      </w:r>
      <w:r w:rsidRPr="00B47326">
        <w:rPr>
          <w:rFonts w:ascii="Times New Roman" w:hAnsi="Times New Roman" w:cs="Times New Roman"/>
          <w:sz w:val="24"/>
          <w:szCs w:val="24"/>
        </w:rPr>
        <w:t>he king's brother, rapacious col</w:t>
      </w:r>
      <w:r w:rsidRPr="00B47326">
        <w:rPr>
          <w:rFonts w:ascii="Times New Roman" w:hAnsi="Times New Roman" w:cs="Times New Roman"/>
          <w:sz w:val="24"/>
          <w:szCs w:val="24"/>
        </w:rPr>
        <w:t xml:space="preserve">lector and a connoisseur. It is </w:t>
      </w:r>
      <w:r w:rsidRPr="00B47326">
        <w:rPr>
          <w:rFonts w:ascii="Times New Roman" w:hAnsi="Times New Roman" w:cs="Times New Roman"/>
          <w:sz w:val="24"/>
          <w:szCs w:val="24"/>
        </w:rPr>
        <w:t>sparklingl</w:t>
      </w:r>
      <w:r w:rsidRPr="00B47326">
        <w:rPr>
          <w:rFonts w:ascii="Times New Roman" w:hAnsi="Times New Roman" w:cs="Times New Roman"/>
          <w:sz w:val="24"/>
          <w:szCs w:val="24"/>
        </w:rPr>
        <w:t>y</w:t>
      </w:r>
      <w:r w:rsidRPr="00B47326">
        <w:rPr>
          <w:rFonts w:ascii="Times New Roman" w:hAnsi="Times New Roman" w:cs="Times New Roman"/>
          <w:sz w:val="24"/>
          <w:szCs w:val="24"/>
        </w:rPr>
        <w:t xml:space="preserve"> colo</w:t>
      </w:r>
      <w:r w:rsidR="00354F62">
        <w:rPr>
          <w:rFonts w:ascii="Times New Roman" w:hAnsi="Times New Roman" w:cs="Times New Roman"/>
          <w:sz w:val="24"/>
          <w:szCs w:val="24"/>
        </w:rPr>
        <w:t>u</w:t>
      </w:r>
      <w:r w:rsidRPr="00B47326">
        <w:rPr>
          <w:rFonts w:ascii="Times New Roman" w:hAnsi="Times New Roman" w:cs="Times New Roman"/>
          <w:sz w:val="24"/>
          <w:szCs w:val="24"/>
        </w:rPr>
        <w:t>red</w:t>
      </w:r>
      <w:r w:rsidRPr="00B47326">
        <w:rPr>
          <w:rFonts w:ascii="Times New Roman" w:hAnsi="Times New Roman" w:cs="Times New Roman"/>
          <w:sz w:val="24"/>
          <w:szCs w:val="24"/>
        </w:rPr>
        <w:t>, and normatively rich paintings which were designed at the start of the 15</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 xml:space="preserve"> century by the three exceptionally talented artists, the Limburg brothers or the teenage </w:t>
      </w:r>
      <w:r w:rsidR="00826F82" w:rsidRPr="00B47326">
        <w:rPr>
          <w:rFonts w:ascii="Times New Roman" w:hAnsi="Times New Roman" w:cs="Times New Roman"/>
          <w:sz w:val="24"/>
          <w:szCs w:val="24"/>
        </w:rPr>
        <w:t>prodigies</w:t>
      </w:r>
      <w:r w:rsidRPr="00B47326">
        <w:rPr>
          <w:rFonts w:ascii="Times New Roman" w:hAnsi="Times New Roman" w:cs="Times New Roman"/>
          <w:sz w:val="24"/>
          <w:szCs w:val="24"/>
        </w:rPr>
        <w:t>.</w:t>
      </w:r>
      <w:r w:rsidR="00826F82" w:rsidRPr="00B47326">
        <w:rPr>
          <w:rStyle w:val="FootnoteReference"/>
          <w:rFonts w:ascii="Times New Roman" w:hAnsi="Times New Roman" w:cs="Times New Roman"/>
          <w:sz w:val="24"/>
          <w:szCs w:val="24"/>
        </w:rPr>
        <w:footnoteReference w:id="32"/>
      </w:r>
      <w:r w:rsidRPr="00B47326">
        <w:rPr>
          <w:rFonts w:ascii="Times New Roman" w:hAnsi="Times New Roman" w:cs="Times New Roman"/>
          <w:sz w:val="24"/>
          <w:szCs w:val="24"/>
        </w:rPr>
        <w:t xml:space="preserve"> Additional</w:t>
      </w:r>
      <w:r w:rsidRPr="00B47326">
        <w:rPr>
          <w:rFonts w:ascii="Times New Roman" w:hAnsi="Times New Roman" w:cs="Times New Roman"/>
          <w:sz w:val="24"/>
          <w:szCs w:val="24"/>
        </w:rPr>
        <w:t xml:space="preserve"> to the fully painted pages’ cycles </w:t>
      </w:r>
      <w:r w:rsidRPr="00B47326">
        <w:rPr>
          <w:rFonts w:ascii="Times New Roman" w:hAnsi="Times New Roman" w:cs="Times New Roman"/>
          <w:sz w:val="24"/>
          <w:szCs w:val="24"/>
        </w:rPr>
        <w:t>for the typical devotional areas, it includes 7 picture book sequences, using the full page paintings. This tells the stories of various saints with humor and pathos.  Over 150 extraordinary miniatures exhibit a tasted mar</w:t>
      </w:r>
      <w:r w:rsidR="00826F82" w:rsidRPr="00B47326">
        <w:rPr>
          <w:rFonts w:ascii="Times New Roman" w:hAnsi="Times New Roman" w:cs="Times New Roman"/>
          <w:sz w:val="24"/>
          <w:szCs w:val="24"/>
        </w:rPr>
        <w:t>ked for bloodshed and violence.</w:t>
      </w:r>
      <w:r w:rsidR="00826F82" w:rsidRPr="00B47326">
        <w:rPr>
          <w:rStyle w:val="FootnoteReference"/>
          <w:rFonts w:ascii="Times New Roman" w:hAnsi="Times New Roman" w:cs="Times New Roman"/>
          <w:sz w:val="24"/>
          <w:szCs w:val="24"/>
        </w:rPr>
        <w:footnoteReference w:id="33"/>
      </w:r>
    </w:p>
    <w:p w14:paraId="2A7B5426"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start of the hours is a small masterpiece that is composed of charming details and emotionally resonant pictures created by an unknown 16</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-century</w:t>
      </w:r>
      <w:r w:rsidR="00826F82" w:rsidRPr="00B47326">
        <w:rPr>
          <w:rFonts w:ascii="Times New Roman" w:hAnsi="Times New Roman" w:cs="Times New Roman"/>
          <w:sz w:val="24"/>
          <w:szCs w:val="24"/>
        </w:rPr>
        <w:t xml:space="preserve"> patron.</w:t>
      </w:r>
      <w:r w:rsidR="00826F82" w:rsidRPr="00B47326">
        <w:rPr>
          <w:rStyle w:val="FootnoteReference"/>
          <w:rFonts w:ascii="Times New Roman" w:hAnsi="Times New Roman" w:cs="Times New Roman"/>
          <w:sz w:val="24"/>
          <w:szCs w:val="24"/>
        </w:rPr>
        <w:footnoteReference w:id="34"/>
      </w:r>
      <w:r w:rsidR="00826F82" w:rsidRPr="00B47326">
        <w:rPr>
          <w:rFonts w:ascii="Times New Roman" w:hAnsi="Times New Roman" w:cs="Times New Roman"/>
          <w:sz w:val="24"/>
          <w:szCs w:val="24"/>
        </w:rPr>
        <w:t xml:space="preserve"> </w:t>
      </w:r>
      <w:r w:rsidRPr="00B47326">
        <w:rPr>
          <w:rFonts w:ascii="Times New Roman" w:hAnsi="Times New Roman" w:cs="Times New Roman"/>
          <w:sz w:val="24"/>
          <w:szCs w:val="24"/>
        </w:rPr>
        <w:t>Simon Bening was recognized</w:t>
      </w:r>
      <w:r w:rsidRPr="00B47326">
        <w:rPr>
          <w:rFonts w:ascii="Times New Roman" w:hAnsi="Times New Roman" w:cs="Times New Roman"/>
          <w:sz w:val="24"/>
          <w:szCs w:val="24"/>
        </w:rPr>
        <w:t xml:space="preserve"> in his lifetime as the well-known renaissance illuminator, not just in his homeland, but also Giorgio Vasari, the well-known historiographer and Florentine artist. The manuscript is quite small and would have been treasured and even worn like jewelry</w:t>
      </w:r>
      <w:r w:rsidRPr="00B47326">
        <w:rPr>
          <w:rFonts w:ascii="Times New Roman" w:hAnsi="Times New Roman" w:cs="Times New Roman"/>
          <w:sz w:val="24"/>
          <w:szCs w:val="24"/>
        </w:rPr>
        <w:t xml:space="preserve"> b</w:t>
      </w:r>
      <w:r w:rsidR="00826F82" w:rsidRPr="00B47326">
        <w:rPr>
          <w:rFonts w:ascii="Times New Roman" w:hAnsi="Times New Roman" w:cs="Times New Roman"/>
          <w:sz w:val="24"/>
          <w:szCs w:val="24"/>
        </w:rPr>
        <w:t>y the owner</w:t>
      </w:r>
      <w:r w:rsidRPr="00B47326">
        <w:rPr>
          <w:rFonts w:ascii="Times New Roman" w:hAnsi="Times New Roman" w:cs="Times New Roman"/>
          <w:sz w:val="24"/>
          <w:szCs w:val="24"/>
        </w:rPr>
        <w:t>.</w:t>
      </w:r>
      <w:r w:rsidR="00826F82" w:rsidRPr="00B47326">
        <w:rPr>
          <w:rStyle w:val="FootnoteReference"/>
          <w:rFonts w:ascii="Times New Roman" w:hAnsi="Times New Roman" w:cs="Times New Roman"/>
          <w:sz w:val="24"/>
          <w:szCs w:val="24"/>
        </w:rPr>
        <w:footnoteReference w:id="35"/>
      </w:r>
      <w:r w:rsidRPr="00B47326">
        <w:rPr>
          <w:rFonts w:ascii="Times New Roman" w:hAnsi="Times New Roman" w:cs="Times New Roman"/>
          <w:sz w:val="24"/>
          <w:szCs w:val="24"/>
        </w:rPr>
        <w:t xml:space="preserve"> In comparison to the three manuscript art masterpieces, there is a more typical page from the 15</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-c</w:t>
      </w:r>
      <w:r w:rsidRPr="00B47326">
        <w:rPr>
          <w:rFonts w:ascii="Times New Roman" w:hAnsi="Times New Roman" w:cs="Times New Roman"/>
          <w:sz w:val="24"/>
          <w:szCs w:val="24"/>
        </w:rPr>
        <w:t xml:space="preserve">entury book of hours. The script of the book is a more informal cursive, with decoration limited to a mixed border </w:t>
      </w:r>
      <w:r w:rsidRPr="00B47326">
        <w:rPr>
          <w:rFonts w:ascii="Times New Roman" w:hAnsi="Times New Roman" w:cs="Times New Roman"/>
          <w:sz w:val="24"/>
          <w:szCs w:val="24"/>
        </w:rPr>
        <w:lastRenderedPageBreak/>
        <w:t>and so</w:t>
      </w:r>
      <w:r w:rsidR="00826F82" w:rsidRPr="00B47326">
        <w:rPr>
          <w:rFonts w:ascii="Times New Roman" w:hAnsi="Times New Roman" w:cs="Times New Roman"/>
          <w:sz w:val="24"/>
          <w:szCs w:val="24"/>
        </w:rPr>
        <w:t>me of the colored initials.</w:t>
      </w:r>
      <w:r w:rsidR="00826F82" w:rsidRPr="00B47326">
        <w:rPr>
          <w:rStyle w:val="FootnoteReference"/>
          <w:rFonts w:ascii="Times New Roman" w:hAnsi="Times New Roman" w:cs="Times New Roman"/>
          <w:sz w:val="24"/>
          <w:szCs w:val="24"/>
        </w:rPr>
        <w:footnoteReference w:id="36"/>
      </w:r>
      <w:r w:rsidRPr="00B47326">
        <w:rPr>
          <w:rFonts w:ascii="Times New Roman" w:hAnsi="Times New Roman" w:cs="Times New Roman"/>
          <w:sz w:val="24"/>
          <w:szCs w:val="24"/>
        </w:rPr>
        <w:t xml:space="preserve"> The book could have been owned by a member of the freshly developing bourgeoisie. In the later century, the adoption and invention of the printing made the book of hours to be</w:t>
      </w:r>
      <w:r w:rsidRPr="00B47326">
        <w:rPr>
          <w:rFonts w:ascii="Times New Roman" w:hAnsi="Times New Roman" w:cs="Times New Roman"/>
          <w:sz w:val="24"/>
          <w:szCs w:val="24"/>
        </w:rPr>
        <w:t xml:space="preserve"> accessible to the</w:t>
      </w:r>
      <w:r w:rsidRPr="00B47326">
        <w:rPr>
          <w:rFonts w:ascii="Times New Roman" w:hAnsi="Times New Roman" w:cs="Times New Roman"/>
          <w:sz w:val="24"/>
          <w:szCs w:val="24"/>
        </w:rPr>
        <w:t xml:space="preserve"> wider aud</w:t>
      </w:r>
      <w:r w:rsidRPr="00B47326">
        <w:rPr>
          <w:rFonts w:ascii="Times New Roman" w:hAnsi="Times New Roman" w:cs="Times New Roman"/>
          <w:sz w:val="24"/>
          <w:szCs w:val="24"/>
        </w:rPr>
        <w:t>ience and a press like that of the Hardouyn family. It developed several copies. The production of the popular printed books of hours didn't attain the appeal of the best handmade copies of the manuscript. Each one of them was a functional prayer and a uni</w:t>
      </w:r>
      <w:r w:rsidR="00826F82" w:rsidRPr="00B47326">
        <w:rPr>
          <w:rFonts w:ascii="Times New Roman" w:hAnsi="Times New Roman" w:cs="Times New Roman"/>
          <w:sz w:val="24"/>
          <w:szCs w:val="24"/>
        </w:rPr>
        <w:t>que work of art.</w:t>
      </w:r>
      <w:r w:rsidR="00826F82" w:rsidRPr="00B47326">
        <w:rPr>
          <w:rStyle w:val="FootnoteReference"/>
          <w:rFonts w:ascii="Times New Roman" w:hAnsi="Times New Roman" w:cs="Times New Roman"/>
          <w:sz w:val="24"/>
          <w:szCs w:val="24"/>
        </w:rPr>
        <w:footnoteReference w:id="37"/>
      </w:r>
    </w:p>
    <w:p w14:paraId="58580F45"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Bookmarkers</w:t>
      </w:r>
    </w:p>
    <w:p w14:paraId="454E9F43"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 xml:space="preserve">Most of the bookmakers in the middle ages were monks, and the monasteries. </w:t>
      </w:r>
      <w:r w:rsidRPr="00B47326">
        <w:rPr>
          <w:rFonts w:ascii="Times New Roman" w:hAnsi="Times New Roman" w:cs="Times New Roman"/>
          <w:sz w:val="24"/>
          <w:szCs w:val="24"/>
        </w:rPr>
        <w:t>They kept the libraries to be</w:t>
      </w:r>
      <w:r w:rsidRPr="00B47326">
        <w:rPr>
          <w:rFonts w:ascii="Times New Roman" w:hAnsi="Times New Roman" w:cs="Times New Roman"/>
          <w:sz w:val="24"/>
          <w:szCs w:val="24"/>
        </w:rPr>
        <w:t xml:space="preserve"> filled</w:t>
      </w:r>
      <w:r w:rsidRPr="00B47326">
        <w:rPr>
          <w:rFonts w:ascii="Times New Roman" w:hAnsi="Times New Roman" w:cs="Times New Roman"/>
          <w:sz w:val="24"/>
          <w:szCs w:val="24"/>
        </w:rPr>
        <w:t xml:space="preserve"> not just with the sacred text but also with philosophical, scientific and literary works of the Roman and Greek authors. The large liturgical books and the multivolume bibles were housed and used in </w:t>
      </w:r>
      <w:r w:rsidR="00826F82" w:rsidRPr="00B47326">
        <w:rPr>
          <w:rFonts w:ascii="Times New Roman" w:hAnsi="Times New Roman" w:cs="Times New Roman"/>
          <w:sz w:val="24"/>
          <w:szCs w:val="24"/>
        </w:rPr>
        <w:t>churches.</w:t>
      </w:r>
      <w:r w:rsidR="00826F82" w:rsidRPr="00B47326">
        <w:rPr>
          <w:rStyle w:val="FootnoteReference"/>
          <w:rFonts w:ascii="Times New Roman" w:hAnsi="Times New Roman" w:cs="Times New Roman"/>
          <w:sz w:val="24"/>
          <w:szCs w:val="24"/>
        </w:rPr>
        <w:footnoteReference w:id="38"/>
      </w:r>
      <w:r w:rsidRPr="00B47326">
        <w:rPr>
          <w:rFonts w:ascii="Times New Roman" w:hAnsi="Times New Roman" w:cs="Times New Roman"/>
          <w:sz w:val="24"/>
          <w:szCs w:val="24"/>
        </w:rPr>
        <w:t xml:space="preserve"> Emperors and prices</w:t>
      </w:r>
      <w:r w:rsidRPr="00B47326">
        <w:rPr>
          <w:rFonts w:ascii="Times New Roman" w:hAnsi="Times New Roman" w:cs="Times New Roman"/>
          <w:sz w:val="24"/>
          <w:szCs w:val="24"/>
        </w:rPr>
        <w:t xml:space="preserve"> commissioned gospel books with various colored illustration and gold letterings as well as silver ink. Amongst all, the most ambitious was the large books which the monastic communities </w:t>
      </w:r>
      <w:r w:rsidR="00826F82" w:rsidRPr="00B47326">
        <w:rPr>
          <w:rFonts w:ascii="Times New Roman" w:hAnsi="Times New Roman" w:cs="Times New Roman"/>
          <w:sz w:val="24"/>
          <w:szCs w:val="24"/>
        </w:rPr>
        <w:t>used for singing on daily basis.</w:t>
      </w:r>
      <w:r w:rsidR="00826F82" w:rsidRPr="00B47326">
        <w:rPr>
          <w:rStyle w:val="FootnoteReference"/>
          <w:rFonts w:ascii="Times New Roman" w:hAnsi="Times New Roman" w:cs="Times New Roman"/>
          <w:sz w:val="24"/>
          <w:szCs w:val="24"/>
        </w:rPr>
        <w:footnoteReference w:id="39"/>
      </w:r>
    </w:p>
    <w:p w14:paraId="744094F8"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development of the</w:t>
      </w:r>
      <w:r w:rsidRPr="00B47326">
        <w:rPr>
          <w:rFonts w:ascii="Times New Roman" w:hAnsi="Times New Roman" w:cs="Times New Roman"/>
          <w:sz w:val="24"/>
          <w:szCs w:val="24"/>
        </w:rPr>
        <w:t xml:space="preserve"> universities within Europe created a demand for single volume bibles, books of law as well as other texts copied on pages with wide margins for commentary and notes. In the 13</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 xml:space="preserve"> and 14</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 xml:space="preserve"> centuries, private persons bought and also</w:t>
      </w:r>
      <w:r w:rsidRPr="00B47326">
        <w:rPr>
          <w:rFonts w:ascii="Times New Roman" w:hAnsi="Times New Roman" w:cs="Times New Roman"/>
          <w:sz w:val="24"/>
          <w:szCs w:val="24"/>
        </w:rPr>
        <w:t xml:space="preserve"> used the books of h</w:t>
      </w:r>
      <w:r w:rsidRPr="00B47326">
        <w:rPr>
          <w:rFonts w:ascii="Times New Roman" w:hAnsi="Times New Roman" w:cs="Times New Roman"/>
          <w:sz w:val="24"/>
          <w:szCs w:val="24"/>
        </w:rPr>
        <w:t>ours, which had prayers to be recited along the</w:t>
      </w:r>
      <w:r w:rsidR="00826F82" w:rsidRPr="00B47326">
        <w:rPr>
          <w:rFonts w:ascii="Times New Roman" w:hAnsi="Times New Roman" w:cs="Times New Roman"/>
          <w:sz w:val="24"/>
          <w:szCs w:val="24"/>
        </w:rPr>
        <w:t xml:space="preserve"> day</w:t>
      </w:r>
      <w:r w:rsidRPr="00B47326">
        <w:rPr>
          <w:rFonts w:ascii="Times New Roman" w:hAnsi="Times New Roman" w:cs="Times New Roman"/>
          <w:sz w:val="24"/>
          <w:szCs w:val="24"/>
        </w:rPr>
        <w:t>.</w:t>
      </w:r>
      <w:r w:rsidR="00826F82" w:rsidRPr="00B47326">
        <w:rPr>
          <w:rStyle w:val="FootnoteReference"/>
          <w:rFonts w:ascii="Times New Roman" w:hAnsi="Times New Roman" w:cs="Times New Roman"/>
          <w:sz w:val="24"/>
          <w:szCs w:val="24"/>
        </w:rPr>
        <w:footnoteReference w:id="40"/>
      </w:r>
      <w:r w:rsidRPr="00B47326">
        <w:rPr>
          <w:rFonts w:ascii="Times New Roman" w:hAnsi="Times New Roman" w:cs="Times New Roman"/>
          <w:sz w:val="24"/>
          <w:szCs w:val="24"/>
        </w:rPr>
        <w:t xml:space="preserve"> The most important texts were translated into French as </w:t>
      </w:r>
      <w:r w:rsidRPr="00B47326">
        <w:rPr>
          <w:rFonts w:ascii="Times New Roman" w:hAnsi="Times New Roman" w:cs="Times New Roman"/>
          <w:sz w:val="24"/>
          <w:szCs w:val="24"/>
        </w:rPr>
        <w:lastRenderedPageBreak/>
        <w:t>well as other vernacular languages from the Latin language. Some of the manuscripts’ illustrations</w:t>
      </w:r>
      <w:r w:rsidRPr="00B47326">
        <w:rPr>
          <w:rFonts w:ascii="Times New Roman" w:hAnsi="Times New Roman" w:cs="Times New Roman"/>
          <w:sz w:val="24"/>
          <w:szCs w:val="24"/>
        </w:rPr>
        <w:t xml:space="preserve"> notable for their</w:t>
      </w:r>
      <w:r w:rsidRPr="00B47326">
        <w:rPr>
          <w:rFonts w:ascii="Times New Roman" w:hAnsi="Times New Roman" w:cs="Times New Roman"/>
          <w:sz w:val="24"/>
          <w:szCs w:val="24"/>
        </w:rPr>
        <w:t xml:space="preserve"> originality and equality</w:t>
      </w:r>
      <w:r w:rsidRPr="00B47326">
        <w:rPr>
          <w:rFonts w:ascii="Times New Roman" w:hAnsi="Times New Roman" w:cs="Times New Roman"/>
          <w:sz w:val="24"/>
          <w:szCs w:val="24"/>
        </w:rPr>
        <w:t xml:space="preserve"> were executed by the first-rate artists. Some of them had the gra</w:t>
      </w:r>
      <w:r w:rsidR="00826F82" w:rsidRPr="00B47326">
        <w:rPr>
          <w:rFonts w:ascii="Times New Roman" w:hAnsi="Times New Roman" w:cs="Times New Roman"/>
          <w:sz w:val="24"/>
          <w:szCs w:val="24"/>
        </w:rPr>
        <w:t>nd elegance of the larger works.</w:t>
      </w:r>
      <w:r w:rsidR="00826F82" w:rsidRPr="00B47326">
        <w:rPr>
          <w:rStyle w:val="FootnoteReference"/>
          <w:rFonts w:ascii="Times New Roman" w:hAnsi="Times New Roman" w:cs="Times New Roman"/>
          <w:sz w:val="24"/>
          <w:szCs w:val="24"/>
        </w:rPr>
        <w:footnoteReference w:id="41"/>
      </w:r>
    </w:p>
    <w:p w14:paraId="6C9FE0CE"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The Byzantine Books</w:t>
      </w:r>
    </w:p>
    <w:p w14:paraId="4C8042A2" w14:textId="5FF012DE" w:rsidR="006A21F7"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texts in the books of hours were also held in special regard within the Byzantiu</w:t>
      </w:r>
      <w:r w:rsidRPr="00B47326">
        <w:rPr>
          <w:rFonts w:ascii="Times New Roman" w:hAnsi="Times New Roman" w:cs="Times New Roman"/>
          <w:sz w:val="24"/>
          <w:szCs w:val="24"/>
        </w:rPr>
        <w:t>m. People rated literacy as a goal that was quite desirable</w:t>
      </w:r>
      <w:r w:rsidRPr="00B47326">
        <w:rPr>
          <w:rFonts w:ascii="Times New Roman" w:hAnsi="Times New Roman" w:cs="Times New Roman"/>
          <w:sz w:val="24"/>
          <w:szCs w:val="24"/>
        </w:rPr>
        <w:t>. There were about fo</w:t>
      </w:r>
      <w:r w:rsidR="00354F62">
        <w:rPr>
          <w:rFonts w:ascii="Times New Roman" w:hAnsi="Times New Roman" w:cs="Times New Roman"/>
          <w:sz w:val="24"/>
          <w:szCs w:val="24"/>
        </w:rPr>
        <w:t>u</w:t>
      </w:r>
      <w:r w:rsidRPr="00B47326">
        <w:rPr>
          <w:rFonts w:ascii="Times New Roman" w:hAnsi="Times New Roman" w:cs="Times New Roman"/>
          <w:sz w:val="24"/>
          <w:szCs w:val="24"/>
        </w:rPr>
        <w:t>rty</w:t>
      </w:r>
      <w:r w:rsidRPr="00B47326">
        <w:rPr>
          <w:rFonts w:ascii="Times New Roman" w:hAnsi="Times New Roman" w:cs="Times New Roman"/>
          <w:sz w:val="24"/>
          <w:szCs w:val="24"/>
        </w:rPr>
        <w:t xml:space="preserve"> thousand preserved Byzantine manuscripts with a great number considered as </w:t>
      </w:r>
      <w:r w:rsidR="00826F82" w:rsidRPr="00B47326">
        <w:rPr>
          <w:rFonts w:ascii="Times New Roman" w:hAnsi="Times New Roman" w:cs="Times New Roman"/>
          <w:sz w:val="24"/>
          <w:szCs w:val="24"/>
        </w:rPr>
        <w:t>the expense of their production</w:t>
      </w:r>
      <w:r w:rsidRPr="00B47326">
        <w:rPr>
          <w:rFonts w:ascii="Times New Roman" w:hAnsi="Times New Roman" w:cs="Times New Roman"/>
          <w:sz w:val="24"/>
          <w:szCs w:val="24"/>
        </w:rPr>
        <w:t>.</w:t>
      </w:r>
      <w:r w:rsidR="00826F82" w:rsidRPr="00B47326">
        <w:rPr>
          <w:rStyle w:val="FootnoteReference"/>
          <w:rFonts w:ascii="Times New Roman" w:hAnsi="Times New Roman" w:cs="Times New Roman"/>
          <w:sz w:val="24"/>
          <w:szCs w:val="24"/>
        </w:rPr>
        <w:footnoteReference w:id="42"/>
      </w:r>
      <w:r w:rsidRPr="00B47326">
        <w:rPr>
          <w:rFonts w:ascii="Times New Roman" w:hAnsi="Times New Roman" w:cs="Times New Roman"/>
          <w:sz w:val="24"/>
          <w:szCs w:val="24"/>
        </w:rPr>
        <w:t xml:space="preserve"> The monastic libraries had the largest collec</w:t>
      </w:r>
      <w:r w:rsidRPr="00B47326">
        <w:rPr>
          <w:rFonts w:ascii="Times New Roman" w:hAnsi="Times New Roman" w:cs="Times New Roman"/>
          <w:sz w:val="24"/>
          <w:szCs w:val="24"/>
        </w:rPr>
        <w:t xml:space="preserve">tions. For instance, Patmos monastery had about 330 books and Lavra Monastery situated on Mount </w:t>
      </w:r>
      <w:r w:rsidR="00826F82" w:rsidRPr="00B47326">
        <w:rPr>
          <w:rFonts w:ascii="Times New Roman" w:hAnsi="Times New Roman" w:cs="Times New Roman"/>
          <w:sz w:val="24"/>
          <w:szCs w:val="24"/>
        </w:rPr>
        <w:t>Athos had about 960 manuscripts.</w:t>
      </w:r>
      <w:r w:rsidR="00826F82" w:rsidRPr="00B47326">
        <w:rPr>
          <w:rStyle w:val="FootnoteReference"/>
          <w:rFonts w:ascii="Times New Roman" w:hAnsi="Times New Roman" w:cs="Times New Roman"/>
          <w:sz w:val="24"/>
          <w:szCs w:val="24"/>
        </w:rPr>
        <w:footnoteReference w:id="43"/>
      </w:r>
      <w:r w:rsidRPr="00B47326">
        <w:rPr>
          <w:rFonts w:ascii="Times New Roman" w:hAnsi="Times New Roman" w:cs="Times New Roman"/>
          <w:sz w:val="24"/>
          <w:szCs w:val="24"/>
        </w:rPr>
        <w:t xml:space="preserve"> The private libraries generally had more than 25 volumes of the books. Within the 1204 and 1261 per</w:t>
      </w:r>
      <w:r w:rsidRPr="00B47326">
        <w:rPr>
          <w:rFonts w:ascii="Times New Roman" w:hAnsi="Times New Roman" w:cs="Times New Roman"/>
          <w:sz w:val="24"/>
          <w:szCs w:val="24"/>
        </w:rPr>
        <w:t>iod, when the Constantinople was under the rule of the Latin. The</w:t>
      </w:r>
      <w:r w:rsidRPr="00B47326">
        <w:rPr>
          <w:rFonts w:ascii="Times New Roman" w:hAnsi="Times New Roman" w:cs="Times New Roman"/>
          <w:sz w:val="24"/>
          <w:szCs w:val="24"/>
        </w:rPr>
        <w:t xml:space="preserve"> production of the books was limited. Financial issues made it difficult to afford the labor and materials requ</w:t>
      </w:r>
      <w:r w:rsidR="00826F82" w:rsidRPr="00B47326">
        <w:rPr>
          <w:rFonts w:ascii="Times New Roman" w:hAnsi="Times New Roman" w:cs="Times New Roman"/>
          <w:sz w:val="24"/>
          <w:szCs w:val="24"/>
        </w:rPr>
        <w:t>ired to produce the manuscripts.</w:t>
      </w:r>
      <w:r w:rsidR="00826F82" w:rsidRPr="00B47326">
        <w:rPr>
          <w:rStyle w:val="FootnoteReference"/>
          <w:rFonts w:ascii="Times New Roman" w:hAnsi="Times New Roman" w:cs="Times New Roman"/>
          <w:sz w:val="24"/>
          <w:szCs w:val="24"/>
        </w:rPr>
        <w:footnoteReference w:id="44"/>
      </w:r>
    </w:p>
    <w:p w14:paraId="6F892E2B" w14:textId="77777777" w:rsidR="00B47326" w:rsidRDefault="00B47326" w:rsidP="00B47326">
      <w:pPr>
        <w:spacing w:line="480" w:lineRule="auto"/>
        <w:jc w:val="both"/>
        <w:rPr>
          <w:rFonts w:ascii="Times New Roman" w:hAnsi="Times New Roman" w:cs="Times New Roman"/>
          <w:sz w:val="24"/>
          <w:szCs w:val="24"/>
        </w:rPr>
      </w:pPr>
    </w:p>
    <w:p w14:paraId="7CBD2858" w14:textId="77777777" w:rsidR="006A21F7" w:rsidRPr="00B47326" w:rsidRDefault="008F4E7A" w:rsidP="00B47326">
      <w:pPr>
        <w:spacing w:line="480" w:lineRule="auto"/>
        <w:jc w:val="both"/>
        <w:rPr>
          <w:rFonts w:ascii="Times New Roman" w:hAnsi="Times New Roman" w:cs="Times New Roman"/>
          <w:b/>
          <w:sz w:val="24"/>
          <w:szCs w:val="24"/>
        </w:rPr>
      </w:pPr>
      <w:r w:rsidRPr="00B47326">
        <w:rPr>
          <w:rFonts w:ascii="Times New Roman" w:hAnsi="Times New Roman" w:cs="Times New Roman"/>
          <w:b/>
          <w:sz w:val="24"/>
          <w:szCs w:val="24"/>
        </w:rPr>
        <w:t>Conclusion</w:t>
      </w:r>
    </w:p>
    <w:p w14:paraId="7FC1BA91" w14:textId="77777777" w:rsidR="006A21F7" w:rsidRPr="00B47326" w:rsidRDefault="008F4E7A" w:rsidP="00B47326">
      <w:pPr>
        <w:spacing w:line="480" w:lineRule="auto"/>
        <w:ind w:firstLine="720"/>
        <w:jc w:val="both"/>
        <w:rPr>
          <w:rFonts w:ascii="Times New Roman" w:hAnsi="Times New Roman" w:cs="Times New Roman"/>
          <w:b/>
          <w:sz w:val="24"/>
          <w:szCs w:val="24"/>
        </w:rPr>
      </w:pPr>
      <w:r w:rsidRPr="00B47326">
        <w:rPr>
          <w:rFonts w:ascii="Times New Roman" w:hAnsi="Times New Roman" w:cs="Times New Roman"/>
          <w:sz w:val="24"/>
          <w:szCs w:val="24"/>
        </w:rPr>
        <w:t>The early books of hours’ patrons consisted of nobility members.  The continuity of that high-end patronage with the growth in the cities and development of the prosperous bourgeoisie, several ordinary citizens, owned their books</w:t>
      </w:r>
      <w:bookmarkStart w:id="0" w:name="_GoBack"/>
      <w:bookmarkEnd w:id="0"/>
      <w:r w:rsidR="00826F82" w:rsidRPr="00B47326">
        <w:rPr>
          <w:rFonts w:ascii="Times New Roman" w:hAnsi="Times New Roman" w:cs="Times New Roman"/>
          <w:sz w:val="24"/>
          <w:szCs w:val="24"/>
        </w:rPr>
        <w:t>.</w:t>
      </w:r>
      <w:r w:rsidR="00826F82" w:rsidRPr="00B47326">
        <w:rPr>
          <w:rStyle w:val="FootnoteReference"/>
          <w:rFonts w:ascii="Times New Roman" w:hAnsi="Times New Roman" w:cs="Times New Roman"/>
          <w:sz w:val="24"/>
          <w:szCs w:val="24"/>
        </w:rPr>
        <w:footnoteReference w:id="45"/>
      </w:r>
      <w:r w:rsidRPr="00B47326">
        <w:rPr>
          <w:rFonts w:ascii="Times New Roman" w:hAnsi="Times New Roman" w:cs="Times New Roman"/>
          <w:sz w:val="24"/>
          <w:szCs w:val="24"/>
        </w:rPr>
        <w:t xml:space="preserve"> Various factors enhanced the demand for the books </w:t>
      </w:r>
      <w:r w:rsidRPr="00B47326">
        <w:rPr>
          <w:rFonts w:ascii="Times New Roman" w:hAnsi="Times New Roman" w:cs="Times New Roman"/>
          <w:sz w:val="24"/>
          <w:szCs w:val="24"/>
        </w:rPr>
        <w:lastRenderedPageBreak/>
        <w:t>of hours. The developing literacy plus the wider cycle of the population including women and men expanded the general market for the books. The manuscript manufacture changed from the administrative c</w:t>
      </w:r>
      <w:r w:rsidRPr="00B47326">
        <w:rPr>
          <w:rFonts w:ascii="Times New Roman" w:hAnsi="Times New Roman" w:cs="Times New Roman"/>
          <w:sz w:val="24"/>
          <w:szCs w:val="24"/>
        </w:rPr>
        <w:t>ontrol to the booksellers, artists a</w:t>
      </w:r>
      <w:r w:rsidR="00826F82" w:rsidRPr="00B47326">
        <w:rPr>
          <w:rFonts w:ascii="Times New Roman" w:hAnsi="Times New Roman" w:cs="Times New Roman"/>
          <w:sz w:val="24"/>
          <w:szCs w:val="24"/>
        </w:rPr>
        <w:t>nd professional scribes. The Vir</w:t>
      </w:r>
      <w:r w:rsidRPr="00B47326">
        <w:rPr>
          <w:rFonts w:ascii="Times New Roman" w:hAnsi="Times New Roman" w:cs="Times New Roman"/>
          <w:sz w:val="24"/>
          <w:szCs w:val="24"/>
        </w:rPr>
        <w:t>gin Mary devotion was the major focus of the</w:t>
      </w:r>
      <w:r w:rsidR="00826F82" w:rsidRPr="00B47326">
        <w:rPr>
          <w:rFonts w:ascii="Times New Roman" w:hAnsi="Times New Roman" w:cs="Times New Roman"/>
          <w:sz w:val="24"/>
          <w:szCs w:val="24"/>
        </w:rPr>
        <w:t xml:space="preserve"> Christianity within the period.</w:t>
      </w:r>
      <w:r w:rsidR="00826F82" w:rsidRPr="00B47326">
        <w:rPr>
          <w:rStyle w:val="FootnoteReference"/>
          <w:rFonts w:ascii="Times New Roman" w:hAnsi="Times New Roman" w:cs="Times New Roman"/>
          <w:sz w:val="24"/>
          <w:szCs w:val="24"/>
        </w:rPr>
        <w:footnoteReference w:id="46"/>
      </w:r>
    </w:p>
    <w:p w14:paraId="461F3D98"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The return of the rule of the Greek under Michael VIII lasted for a period of renewed growth in th</w:t>
      </w:r>
      <w:r w:rsidRPr="00B47326">
        <w:rPr>
          <w:rFonts w:ascii="Times New Roman" w:hAnsi="Times New Roman" w:cs="Times New Roman"/>
          <w:sz w:val="24"/>
          <w:szCs w:val="24"/>
        </w:rPr>
        <w:t>e production of the manuscripts. Researchers looked for the classical writings which they copied and annotated. For instance, Maximos Planudes rediscovered the geography of the Ptolemy, edited the Plutarch and also rewrote the epigrams anthology of the Gre</w:t>
      </w:r>
      <w:r w:rsidR="00826F82" w:rsidRPr="00B47326">
        <w:rPr>
          <w:rFonts w:ascii="Times New Roman" w:hAnsi="Times New Roman" w:cs="Times New Roman"/>
          <w:sz w:val="24"/>
          <w:szCs w:val="24"/>
        </w:rPr>
        <w:t>ek.</w:t>
      </w:r>
      <w:r w:rsidR="00826F82" w:rsidRPr="00B47326">
        <w:rPr>
          <w:rStyle w:val="FootnoteReference"/>
          <w:rFonts w:ascii="Times New Roman" w:hAnsi="Times New Roman" w:cs="Times New Roman"/>
          <w:sz w:val="24"/>
          <w:szCs w:val="24"/>
        </w:rPr>
        <w:footnoteReference w:id="47"/>
      </w:r>
      <w:r w:rsidRPr="00B47326">
        <w:rPr>
          <w:rFonts w:ascii="Times New Roman" w:hAnsi="Times New Roman" w:cs="Times New Roman"/>
          <w:sz w:val="24"/>
          <w:szCs w:val="24"/>
        </w:rPr>
        <w:t xml:space="preserve"> The manuscripts that survived from the European middle age are generally referred to as religious books reflecting the doctrine, canon and Christianity practices. There are Muslim and Jewish books plus other types of books which also su</w:t>
      </w:r>
      <w:r w:rsidRPr="00B47326">
        <w:rPr>
          <w:rFonts w:ascii="Times New Roman" w:hAnsi="Times New Roman" w:cs="Times New Roman"/>
          <w:sz w:val="24"/>
          <w:szCs w:val="24"/>
        </w:rPr>
        <w:t>rvived from this period. Some of the most recognized drawings and paintings of the early Renaissance and the late middle ages are not shown on</w:t>
      </w:r>
      <w:r w:rsidR="00826F82" w:rsidRPr="00B47326">
        <w:rPr>
          <w:rFonts w:ascii="Times New Roman" w:hAnsi="Times New Roman" w:cs="Times New Roman"/>
          <w:sz w:val="24"/>
          <w:szCs w:val="24"/>
        </w:rPr>
        <w:t xml:space="preserve"> the museum walls and churches.</w:t>
      </w:r>
      <w:r w:rsidR="00826F82" w:rsidRPr="00B47326">
        <w:rPr>
          <w:rStyle w:val="FootnoteReference"/>
          <w:rFonts w:ascii="Times New Roman" w:hAnsi="Times New Roman" w:cs="Times New Roman"/>
          <w:sz w:val="24"/>
          <w:szCs w:val="24"/>
        </w:rPr>
        <w:footnoteReference w:id="48"/>
      </w:r>
    </w:p>
    <w:p w14:paraId="378ABFDE" w14:textId="77777777" w:rsidR="006A21F7" w:rsidRPr="00B47326" w:rsidRDefault="008F4E7A" w:rsidP="00B47326">
      <w:pPr>
        <w:spacing w:line="480" w:lineRule="auto"/>
        <w:ind w:firstLine="720"/>
        <w:jc w:val="both"/>
        <w:rPr>
          <w:rFonts w:ascii="Times New Roman" w:hAnsi="Times New Roman" w:cs="Times New Roman"/>
          <w:sz w:val="24"/>
          <w:szCs w:val="24"/>
        </w:rPr>
      </w:pPr>
      <w:r w:rsidRPr="00B47326">
        <w:rPr>
          <w:rFonts w:ascii="Times New Roman" w:hAnsi="Times New Roman" w:cs="Times New Roman"/>
          <w:sz w:val="24"/>
          <w:szCs w:val="24"/>
        </w:rPr>
        <w:t>Contact with the west launched various Latin texts whi</w:t>
      </w:r>
      <w:r w:rsidRPr="00B47326">
        <w:rPr>
          <w:rFonts w:ascii="Times New Roman" w:hAnsi="Times New Roman" w:cs="Times New Roman"/>
          <w:sz w:val="24"/>
          <w:szCs w:val="24"/>
        </w:rPr>
        <w:t>ch the scholars of the Greek translated into Greek from the Cicero and Ovid to the Thomas Aquinas and Saint Augustine. Towards the mid-14</w:t>
      </w:r>
      <w:r w:rsidRPr="00B47326">
        <w:rPr>
          <w:rFonts w:ascii="Times New Roman" w:hAnsi="Times New Roman" w:cs="Times New Roman"/>
          <w:sz w:val="24"/>
          <w:szCs w:val="24"/>
          <w:vertAlign w:val="superscript"/>
        </w:rPr>
        <w:t>th</w:t>
      </w:r>
      <w:r w:rsidRPr="00B47326">
        <w:rPr>
          <w:rFonts w:ascii="Times New Roman" w:hAnsi="Times New Roman" w:cs="Times New Roman"/>
          <w:sz w:val="24"/>
          <w:szCs w:val="24"/>
        </w:rPr>
        <w:t xml:space="preserve"> century, the financial patronage present to these valued scholars started to dwindle. Rapidly, Byzantine intellectua</w:t>
      </w:r>
      <w:r w:rsidRPr="00B47326">
        <w:rPr>
          <w:rFonts w:ascii="Times New Roman" w:hAnsi="Times New Roman" w:cs="Times New Roman"/>
          <w:sz w:val="24"/>
          <w:szCs w:val="24"/>
        </w:rPr>
        <w:t>l like Cardinal Bessarion took their knowledge and expe</w:t>
      </w:r>
      <w:r w:rsidR="00826F82" w:rsidRPr="00B47326">
        <w:rPr>
          <w:rFonts w:ascii="Times New Roman" w:hAnsi="Times New Roman" w:cs="Times New Roman"/>
          <w:sz w:val="24"/>
          <w:szCs w:val="24"/>
        </w:rPr>
        <w:t>rtise of ancient texts to Italy.</w:t>
      </w:r>
      <w:r w:rsidR="00826F82" w:rsidRPr="00B47326">
        <w:rPr>
          <w:rStyle w:val="FootnoteReference"/>
          <w:rFonts w:ascii="Times New Roman" w:hAnsi="Times New Roman" w:cs="Times New Roman"/>
          <w:sz w:val="24"/>
          <w:szCs w:val="24"/>
        </w:rPr>
        <w:footnoteReference w:id="49"/>
      </w:r>
    </w:p>
    <w:p w14:paraId="60EF84B5" w14:textId="77777777" w:rsidR="006A21F7" w:rsidRPr="00B47326" w:rsidRDefault="008F4E7A" w:rsidP="00B47326">
      <w:pPr>
        <w:spacing w:line="480" w:lineRule="auto"/>
        <w:jc w:val="both"/>
        <w:rPr>
          <w:rFonts w:ascii="Times New Roman" w:hAnsi="Times New Roman" w:cs="Times New Roman"/>
          <w:sz w:val="24"/>
          <w:szCs w:val="24"/>
        </w:rPr>
      </w:pPr>
      <w:r w:rsidRPr="00B47326">
        <w:rPr>
          <w:rFonts w:ascii="Times New Roman" w:hAnsi="Times New Roman" w:cs="Times New Roman"/>
          <w:sz w:val="24"/>
          <w:szCs w:val="24"/>
        </w:rPr>
        <w:br w:type="page"/>
      </w:r>
    </w:p>
    <w:p w14:paraId="5FC30485" w14:textId="77777777" w:rsidR="006A21F7" w:rsidRPr="00B47326" w:rsidRDefault="008F4E7A" w:rsidP="00B47326">
      <w:pPr>
        <w:spacing w:line="480" w:lineRule="auto"/>
        <w:ind w:firstLine="720"/>
        <w:jc w:val="both"/>
        <w:rPr>
          <w:rFonts w:ascii="Times New Roman" w:hAnsi="Times New Roman" w:cs="Times New Roman"/>
          <w:b/>
          <w:sz w:val="24"/>
          <w:szCs w:val="24"/>
        </w:rPr>
      </w:pPr>
      <w:r w:rsidRPr="00B47326">
        <w:rPr>
          <w:rFonts w:ascii="Times New Roman" w:hAnsi="Times New Roman" w:cs="Times New Roman"/>
          <w:b/>
          <w:sz w:val="24"/>
          <w:szCs w:val="24"/>
        </w:rPr>
        <w:lastRenderedPageBreak/>
        <w:t xml:space="preserve">References </w:t>
      </w:r>
    </w:p>
    <w:p w14:paraId="57914A51"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Backhouse, J. (2001). </w:t>
      </w:r>
      <w:r w:rsidRPr="00B47326">
        <w:rPr>
          <w:rFonts w:ascii="Times New Roman" w:hAnsi="Times New Roman" w:cs="Times New Roman"/>
          <w:i/>
          <w:iCs/>
          <w:color w:val="222222"/>
          <w:sz w:val="24"/>
          <w:szCs w:val="24"/>
          <w:shd w:val="clear" w:color="auto" w:fill="FFFFFF"/>
        </w:rPr>
        <w:t>Medieval birds in the Sherborne Missal</w:t>
      </w:r>
      <w:r w:rsidRPr="00B47326">
        <w:rPr>
          <w:rFonts w:ascii="Times New Roman" w:hAnsi="Times New Roman" w:cs="Times New Roman"/>
          <w:color w:val="222222"/>
          <w:sz w:val="24"/>
          <w:szCs w:val="24"/>
          <w:shd w:val="clear" w:color="auto" w:fill="FFFFFF"/>
        </w:rPr>
        <w:t>. University of Toronto Press.</w:t>
      </w:r>
    </w:p>
    <w:p w14:paraId="7BDCE3C2"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Backhouse, J., Turner, D. H., &amp;</w:t>
      </w:r>
      <w:r w:rsidRPr="00B47326">
        <w:rPr>
          <w:rFonts w:ascii="Times New Roman" w:hAnsi="Times New Roman" w:cs="Times New Roman"/>
          <w:color w:val="222222"/>
          <w:sz w:val="24"/>
          <w:szCs w:val="24"/>
          <w:shd w:val="clear" w:color="auto" w:fill="FFFFFF"/>
        </w:rPr>
        <w:t xml:space="preserve"> Webster, L. (Eds.). (1984). </w:t>
      </w:r>
      <w:r w:rsidRPr="00B47326">
        <w:rPr>
          <w:rFonts w:ascii="Times New Roman" w:hAnsi="Times New Roman" w:cs="Times New Roman"/>
          <w:i/>
          <w:iCs/>
          <w:color w:val="222222"/>
          <w:sz w:val="24"/>
          <w:szCs w:val="24"/>
          <w:shd w:val="clear" w:color="auto" w:fill="FFFFFF"/>
        </w:rPr>
        <w:t>The Golden Age of Anglo-Saxon Art, 966-1066</w:t>
      </w:r>
      <w:r w:rsidRPr="00B47326">
        <w:rPr>
          <w:rFonts w:ascii="Times New Roman" w:hAnsi="Times New Roman" w:cs="Times New Roman"/>
          <w:color w:val="222222"/>
          <w:sz w:val="24"/>
          <w:szCs w:val="24"/>
          <w:shd w:val="clear" w:color="auto" w:fill="FFFFFF"/>
        </w:rPr>
        <w:t xml:space="preserve">. Indiana University Press.        </w:t>
      </w:r>
    </w:p>
    <w:p w14:paraId="641A7D9D"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Brown, G. (2004). The Lindisfarne Gospels: society, spirituality and the scribe.</w:t>
      </w:r>
    </w:p>
    <w:p w14:paraId="6751DEDA"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Cahn, W. (1982). </w:t>
      </w:r>
      <w:r w:rsidRPr="00B47326">
        <w:rPr>
          <w:rFonts w:ascii="Times New Roman" w:hAnsi="Times New Roman" w:cs="Times New Roman"/>
          <w:i/>
          <w:iCs/>
          <w:color w:val="222222"/>
          <w:sz w:val="24"/>
          <w:szCs w:val="24"/>
          <w:shd w:val="clear" w:color="auto" w:fill="FFFFFF"/>
        </w:rPr>
        <w:t>Romanesque Bible Illumination</w:t>
      </w:r>
      <w:r w:rsidRPr="00B47326">
        <w:rPr>
          <w:rFonts w:ascii="Times New Roman" w:hAnsi="Times New Roman" w:cs="Times New Roman"/>
          <w:color w:val="222222"/>
          <w:sz w:val="24"/>
          <w:szCs w:val="24"/>
          <w:shd w:val="clear" w:color="auto" w:fill="FFFFFF"/>
        </w:rPr>
        <w:t xml:space="preserve">. New York: Cornell </w:t>
      </w:r>
      <w:r w:rsidRPr="00B47326">
        <w:rPr>
          <w:rFonts w:ascii="Times New Roman" w:hAnsi="Times New Roman" w:cs="Times New Roman"/>
          <w:color w:val="222222"/>
          <w:sz w:val="24"/>
          <w:szCs w:val="24"/>
          <w:shd w:val="clear" w:color="auto" w:fill="FFFFFF"/>
        </w:rPr>
        <w:t>University Press.</w:t>
      </w:r>
    </w:p>
    <w:p w14:paraId="4ADF43D6"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Monks, P. R. (1990). Time Sanctified: the book of hours in medieval art and life. </w:t>
      </w:r>
      <w:r w:rsidRPr="00B47326">
        <w:rPr>
          <w:rFonts w:ascii="Times New Roman" w:hAnsi="Times New Roman" w:cs="Times New Roman"/>
          <w:i/>
          <w:iCs/>
          <w:color w:val="222222"/>
          <w:sz w:val="24"/>
          <w:szCs w:val="24"/>
          <w:shd w:val="clear" w:color="auto" w:fill="FFFFFF"/>
        </w:rPr>
        <w:t>Parergon</w:t>
      </w:r>
      <w:r w:rsidRPr="00B47326">
        <w:rPr>
          <w:rFonts w:ascii="Times New Roman" w:hAnsi="Times New Roman" w:cs="Times New Roman"/>
          <w:color w:val="222222"/>
          <w:sz w:val="24"/>
          <w:szCs w:val="24"/>
          <w:shd w:val="clear" w:color="auto" w:fill="FFFFFF"/>
        </w:rPr>
        <w:t>, </w:t>
      </w:r>
      <w:r w:rsidRPr="00B47326">
        <w:rPr>
          <w:rFonts w:ascii="Times New Roman" w:hAnsi="Times New Roman" w:cs="Times New Roman"/>
          <w:i/>
          <w:iCs/>
          <w:color w:val="222222"/>
          <w:sz w:val="24"/>
          <w:szCs w:val="24"/>
          <w:shd w:val="clear" w:color="auto" w:fill="FFFFFF"/>
        </w:rPr>
        <w:t>8</w:t>
      </w:r>
      <w:r w:rsidRPr="00B47326">
        <w:rPr>
          <w:rFonts w:ascii="Times New Roman" w:hAnsi="Times New Roman" w:cs="Times New Roman"/>
          <w:color w:val="222222"/>
          <w:sz w:val="24"/>
          <w:szCs w:val="24"/>
          <w:shd w:val="clear" w:color="auto" w:fill="FFFFFF"/>
        </w:rPr>
        <w:t>(1), 185-187.</w:t>
      </w:r>
    </w:p>
    <w:p w14:paraId="723A3F22"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Nordenfalk, C. A. J. (1977). </w:t>
      </w:r>
      <w:r w:rsidRPr="00B47326">
        <w:rPr>
          <w:rFonts w:ascii="Times New Roman" w:hAnsi="Times New Roman" w:cs="Times New Roman"/>
          <w:i/>
          <w:iCs/>
          <w:color w:val="222222"/>
          <w:sz w:val="24"/>
          <w:szCs w:val="24"/>
          <w:shd w:val="clear" w:color="auto" w:fill="FFFFFF"/>
        </w:rPr>
        <w:t>Celtic and Anglo-Saxon painting: book illumination in the British Isles 600-800</w:t>
      </w:r>
      <w:r w:rsidRPr="00B47326">
        <w:rPr>
          <w:rFonts w:ascii="Times New Roman" w:hAnsi="Times New Roman" w:cs="Times New Roman"/>
          <w:color w:val="222222"/>
          <w:sz w:val="24"/>
          <w:szCs w:val="24"/>
          <w:shd w:val="clear" w:color="auto" w:fill="FFFFFF"/>
        </w:rPr>
        <w:t>. G. Braziller.</w:t>
      </w:r>
    </w:p>
    <w:p w14:paraId="3F94E5C0"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Pulsian</w:t>
      </w:r>
      <w:r w:rsidRPr="00B47326">
        <w:rPr>
          <w:rFonts w:ascii="Times New Roman" w:hAnsi="Times New Roman" w:cs="Times New Roman"/>
          <w:color w:val="222222"/>
          <w:sz w:val="24"/>
          <w:szCs w:val="24"/>
          <w:shd w:val="clear" w:color="auto" w:fill="FFFFFF"/>
        </w:rPr>
        <w:t>o, P., &amp; Treharne, E. M. (Eds.). (1998). </w:t>
      </w:r>
      <w:r w:rsidRPr="00B47326">
        <w:rPr>
          <w:rFonts w:ascii="Times New Roman" w:hAnsi="Times New Roman" w:cs="Times New Roman"/>
          <w:i/>
          <w:iCs/>
          <w:color w:val="222222"/>
          <w:sz w:val="24"/>
          <w:szCs w:val="24"/>
          <w:shd w:val="clear" w:color="auto" w:fill="FFFFFF"/>
        </w:rPr>
        <w:t>Anglo-Saxon manuscripts and their heritage</w:t>
      </w:r>
      <w:r w:rsidRPr="00B47326">
        <w:rPr>
          <w:rFonts w:ascii="Times New Roman" w:hAnsi="Times New Roman" w:cs="Times New Roman"/>
          <w:color w:val="222222"/>
          <w:sz w:val="24"/>
          <w:szCs w:val="24"/>
          <w:shd w:val="clear" w:color="auto" w:fill="FFFFFF"/>
        </w:rPr>
        <w:t>. Ashgate.</w:t>
      </w:r>
    </w:p>
    <w:p w14:paraId="4E3ECDE4"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Pearsall, D. A. (Ed.). (1983). </w:t>
      </w:r>
      <w:r w:rsidRPr="00B47326">
        <w:rPr>
          <w:rFonts w:ascii="Times New Roman" w:hAnsi="Times New Roman" w:cs="Times New Roman"/>
          <w:i/>
          <w:iCs/>
          <w:color w:val="222222"/>
          <w:sz w:val="24"/>
          <w:szCs w:val="24"/>
          <w:shd w:val="clear" w:color="auto" w:fill="FFFFFF"/>
        </w:rPr>
        <w:t>Manuscripts and readers in fifteenth-century England: the literary implications of manuscript study; essays from the 1981 conferenc</w:t>
      </w:r>
      <w:r w:rsidRPr="00B47326">
        <w:rPr>
          <w:rFonts w:ascii="Times New Roman" w:hAnsi="Times New Roman" w:cs="Times New Roman"/>
          <w:i/>
          <w:iCs/>
          <w:color w:val="222222"/>
          <w:sz w:val="24"/>
          <w:szCs w:val="24"/>
          <w:shd w:val="clear" w:color="auto" w:fill="FFFFFF"/>
        </w:rPr>
        <w:t>e at the University of York</w:t>
      </w:r>
      <w:r w:rsidRPr="00B47326">
        <w:rPr>
          <w:rFonts w:ascii="Times New Roman" w:hAnsi="Times New Roman" w:cs="Times New Roman"/>
          <w:color w:val="222222"/>
          <w:sz w:val="24"/>
          <w:szCs w:val="24"/>
          <w:shd w:val="clear" w:color="auto" w:fill="FFFFFF"/>
        </w:rPr>
        <w:t>. Brewer.</w:t>
      </w:r>
    </w:p>
    <w:p w14:paraId="5A6D872F"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Pollard, A. W. (1893). </w:t>
      </w:r>
      <w:r w:rsidRPr="00B47326">
        <w:rPr>
          <w:rFonts w:ascii="Times New Roman" w:hAnsi="Times New Roman" w:cs="Times New Roman"/>
          <w:i/>
          <w:iCs/>
          <w:color w:val="222222"/>
          <w:sz w:val="24"/>
          <w:szCs w:val="24"/>
          <w:shd w:val="clear" w:color="auto" w:fill="FFFFFF"/>
        </w:rPr>
        <w:t>Early Illustrated Books: a History of the Decoration and Illustration of Books in the 15th and 16th Centuries</w:t>
      </w:r>
      <w:r w:rsidRPr="00B47326">
        <w:rPr>
          <w:rFonts w:ascii="Times New Roman" w:hAnsi="Times New Roman" w:cs="Times New Roman"/>
          <w:color w:val="222222"/>
          <w:sz w:val="24"/>
          <w:szCs w:val="24"/>
          <w:shd w:val="clear" w:color="auto" w:fill="FFFFFF"/>
        </w:rPr>
        <w:t>. London: K. Paul, Trench, Trübner.</w:t>
      </w:r>
    </w:p>
    <w:p w14:paraId="36E7EA5F" w14:textId="77777777" w:rsidR="006A21F7"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Shaw, H. (1866). </w:t>
      </w:r>
      <w:r w:rsidRPr="00B47326">
        <w:rPr>
          <w:rFonts w:ascii="Times New Roman" w:hAnsi="Times New Roman" w:cs="Times New Roman"/>
          <w:i/>
          <w:iCs/>
          <w:color w:val="222222"/>
          <w:sz w:val="24"/>
          <w:szCs w:val="24"/>
          <w:shd w:val="clear" w:color="auto" w:fill="FFFFFF"/>
        </w:rPr>
        <w:t>A Handbook of the Art of Illuminat</w:t>
      </w:r>
      <w:r w:rsidRPr="00B47326">
        <w:rPr>
          <w:rFonts w:ascii="Times New Roman" w:hAnsi="Times New Roman" w:cs="Times New Roman"/>
          <w:i/>
          <w:iCs/>
          <w:color w:val="222222"/>
          <w:sz w:val="24"/>
          <w:szCs w:val="24"/>
          <w:shd w:val="clear" w:color="auto" w:fill="FFFFFF"/>
        </w:rPr>
        <w:t>ion as Practised During the Middle Ages: With a Description of the Metals, Pigments, and Processes Employed by the Artists at Different Periods</w:t>
      </w:r>
      <w:r w:rsidRPr="00B47326">
        <w:rPr>
          <w:rFonts w:ascii="Times New Roman" w:hAnsi="Times New Roman" w:cs="Times New Roman"/>
          <w:color w:val="222222"/>
          <w:sz w:val="24"/>
          <w:szCs w:val="24"/>
          <w:shd w:val="clear" w:color="auto" w:fill="FFFFFF"/>
        </w:rPr>
        <w:t>. Bell and Daldy.</w:t>
      </w:r>
    </w:p>
    <w:p w14:paraId="2C46FA7B" w14:textId="461F0A88" w:rsidR="00576899" w:rsidRPr="00576899" w:rsidRDefault="00576899" w:rsidP="00576899">
      <w:pPr>
        <w:spacing w:line="480" w:lineRule="auto"/>
        <w:ind w:left="902" w:hanging="902"/>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lang w:val="en-GB"/>
        </w:rPr>
        <w:lastRenderedPageBreak/>
        <w:t xml:space="preserve">Stein, Wendy. (2010) The hours of the Virgin. </w:t>
      </w:r>
      <w:r>
        <w:rPr>
          <w:lang w:val="en-GB"/>
        </w:rPr>
        <w:t xml:space="preserve">Stein, Wendy. (2010) </w:t>
      </w:r>
      <w:r w:rsidRPr="00576899">
        <w:rPr>
          <w:i/>
          <w:lang w:val="en-GB"/>
        </w:rPr>
        <w:t>The hours of the Virgin.</w:t>
      </w:r>
      <w:r>
        <w:rPr>
          <w:lang w:val="en-GB"/>
        </w:rPr>
        <w:t xml:space="preserve"> </w:t>
      </w:r>
      <w:hyperlink r:id="rId9" w:history="1">
        <w:r w:rsidRPr="005F2AD4">
          <w:rPr>
            <w:rStyle w:val="Hyperlink"/>
            <w:lang w:val="en-GB"/>
          </w:rPr>
          <w:t>http://blog.metmuseum.org/artofillumination/2010/03/24/the-hours-of-the-virgin/</w:t>
        </w:r>
      </w:hyperlink>
      <w:r>
        <w:rPr>
          <w:lang w:val="en-GB"/>
        </w:rPr>
        <w:t xml:space="preserve"> [accessed 4/5/18)</w:t>
      </w:r>
    </w:p>
    <w:p w14:paraId="7A16FF3F" w14:textId="77777777" w:rsidR="006A21F7" w:rsidRPr="00B47326" w:rsidRDefault="008F4E7A" w:rsidP="00576899">
      <w:pPr>
        <w:spacing w:line="480" w:lineRule="auto"/>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Temple, E. (1976). A Survey of Manuscripts Illuminated in the British Isles: Anglo-Saxon Manusc</w:t>
      </w:r>
      <w:r w:rsidRPr="00B47326">
        <w:rPr>
          <w:rFonts w:ascii="Times New Roman" w:hAnsi="Times New Roman" w:cs="Times New Roman"/>
          <w:color w:val="222222"/>
          <w:sz w:val="24"/>
          <w:szCs w:val="24"/>
          <w:shd w:val="clear" w:color="auto" w:fill="FFFFFF"/>
        </w:rPr>
        <w:t>ripts 900–1066. </w:t>
      </w:r>
      <w:r w:rsidRPr="00B47326">
        <w:rPr>
          <w:rFonts w:ascii="Times New Roman" w:hAnsi="Times New Roman" w:cs="Times New Roman"/>
          <w:i/>
          <w:iCs/>
          <w:color w:val="222222"/>
          <w:sz w:val="24"/>
          <w:szCs w:val="24"/>
          <w:shd w:val="clear" w:color="auto" w:fill="FFFFFF"/>
        </w:rPr>
        <w:t>London: Harvey Miller. Google Scholar</w:t>
      </w:r>
      <w:r w:rsidRPr="00B47326">
        <w:rPr>
          <w:rFonts w:ascii="Times New Roman" w:hAnsi="Times New Roman" w:cs="Times New Roman"/>
          <w:color w:val="222222"/>
          <w:sz w:val="24"/>
          <w:szCs w:val="24"/>
          <w:shd w:val="clear" w:color="auto" w:fill="FFFFFF"/>
        </w:rPr>
        <w:t>.</w:t>
      </w:r>
    </w:p>
    <w:p w14:paraId="5F4B11B1" w14:textId="77777777" w:rsidR="006A21F7" w:rsidRPr="00B47326" w:rsidRDefault="008F4E7A" w:rsidP="00B47326">
      <w:pPr>
        <w:spacing w:line="480" w:lineRule="auto"/>
        <w:ind w:left="900" w:hanging="900"/>
        <w:jc w:val="both"/>
        <w:rPr>
          <w:rFonts w:ascii="Times New Roman" w:hAnsi="Times New Roman" w:cs="Times New Roman"/>
          <w:color w:val="222222"/>
          <w:sz w:val="24"/>
          <w:szCs w:val="24"/>
          <w:shd w:val="clear" w:color="auto" w:fill="FFFFFF"/>
        </w:rPr>
      </w:pPr>
      <w:r w:rsidRPr="00B47326">
        <w:rPr>
          <w:rFonts w:ascii="Times New Roman" w:hAnsi="Times New Roman" w:cs="Times New Roman"/>
          <w:color w:val="222222"/>
          <w:sz w:val="24"/>
          <w:szCs w:val="24"/>
          <w:shd w:val="clear" w:color="auto" w:fill="FFFFFF"/>
        </w:rPr>
        <w:t>Wieck, R. S. (2001). </w:t>
      </w:r>
      <w:r w:rsidRPr="00B47326">
        <w:rPr>
          <w:rFonts w:ascii="Times New Roman" w:hAnsi="Times New Roman" w:cs="Times New Roman"/>
          <w:i/>
          <w:iCs/>
          <w:color w:val="222222"/>
          <w:sz w:val="24"/>
          <w:szCs w:val="24"/>
          <w:shd w:val="clear" w:color="auto" w:fill="FFFFFF"/>
        </w:rPr>
        <w:t>Time Sanctified: The Book of Hours in Medieval Art and Life</w:t>
      </w:r>
      <w:r w:rsidRPr="00B47326">
        <w:rPr>
          <w:rFonts w:ascii="Times New Roman" w:hAnsi="Times New Roman" w:cs="Times New Roman"/>
          <w:color w:val="222222"/>
          <w:sz w:val="24"/>
          <w:szCs w:val="24"/>
          <w:shd w:val="clear" w:color="auto" w:fill="FFFFFF"/>
        </w:rPr>
        <w:t>. George Braziller.</w:t>
      </w:r>
    </w:p>
    <w:p w14:paraId="5DF28C3D" w14:textId="77777777" w:rsidR="006A21F7" w:rsidRPr="00B47326" w:rsidRDefault="006A21F7">
      <w:pPr>
        <w:ind w:firstLine="720"/>
        <w:rPr>
          <w:rFonts w:ascii="Times New Roman" w:hAnsi="Times New Roman" w:cs="Times New Roman"/>
          <w:b/>
          <w:i/>
          <w:sz w:val="24"/>
          <w:szCs w:val="24"/>
        </w:rPr>
      </w:pPr>
    </w:p>
    <w:sectPr w:rsidR="006A21F7" w:rsidRPr="00B47326">
      <w:headerReference w:type="default" r:id="rId10"/>
      <w:headerReference w:type="first" r:id="rId11"/>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3103D5F4" w14:textId="77777777" w:rsidR="008F4E7A" w:rsidRDefault="008F4E7A">
      <w:pPr>
        <w:spacing w:after="0" w:line="240" w:lineRule="auto"/>
      </w:pPr>
      <w:r>
        <w:separator/>
      </w:r>
    </w:p>
  </w:endnote>
  <w:endnote w:type="continuationSeparator" w:id="0">
    <w:p w14:paraId="0A0FA205" w14:textId="77777777" w:rsidR="008F4E7A" w:rsidRDefault="008F4E7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Trebuchet MS">
    <w:panose1 w:val="020B0603020202020204"/>
    <w:charset w:val="00"/>
    <w:family w:val="swiss"/>
    <w:pitch w:val="variable"/>
    <w:sig w:usb0="00000287" w:usb1="00000000"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647D6AC7" w14:textId="77777777" w:rsidR="008F4E7A" w:rsidRDefault="008F4E7A">
      <w:pPr>
        <w:spacing w:after="0" w:line="240" w:lineRule="auto"/>
      </w:pPr>
      <w:r>
        <w:separator/>
      </w:r>
    </w:p>
  </w:footnote>
  <w:footnote w:type="continuationSeparator" w:id="0">
    <w:p w14:paraId="64CE8943" w14:textId="77777777" w:rsidR="008F4E7A" w:rsidRDefault="008F4E7A">
      <w:pPr>
        <w:spacing w:after="0" w:line="240" w:lineRule="auto"/>
      </w:pPr>
      <w:r>
        <w:continuationSeparator/>
      </w:r>
    </w:p>
  </w:footnote>
  <w:footnote w:id="1">
    <w:p w14:paraId="26F483DF" w14:textId="77777777" w:rsidR="009007F6" w:rsidRPr="00B47326" w:rsidRDefault="009007F6" w:rsidP="009007F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Shaw, H. (1866). </w:t>
      </w:r>
      <w:r w:rsidRPr="00B47326">
        <w:rPr>
          <w:rFonts w:ascii="Times New Roman" w:hAnsi="Times New Roman" w:cs="Times New Roman"/>
          <w:i/>
          <w:iCs/>
          <w:color w:val="222222"/>
          <w:shd w:val="clear" w:color="auto" w:fill="FFFFFF"/>
        </w:rPr>
        <w:t>A Handbook of the Art of Illumination as Practised During the Middle Ages: With a Description of the Metals, Pigments, and Processes Employed by the Artists at Different Periods</w:t>
      </w:r>
      <w:r w:rsidRPr="00B47326">
        <w:rPr>
          <w:rFonts w:ascii="Times New Roman" w:hAnsi="Times New Roman" w:cs="Times New Roman"/>
          <w:color w:val="222222"/>
          <w:shd w:val="clear" w:color="auto" w:fill="FFFFFF"/>
        </w:rPr>
        <w:t>. Bell and Daldy.</w:t>
      </w:r>
    </w:p>
  </w:footnote>
  <w:footnote w:id="2">
    <w:p w14:paraId="0D73CAC5" w14:textId="77777777" w:rsidR="009007F6" w:rsidRPr="00B47326" w:rsidRDefault="009007F6"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3">
    <w:p w14:paraId="2E36A95B" w14:textId="77777777" w:rsidR="009007F6" w:rsidRPr="00B47326" w:rsidRDefault="009007F6" w:rsidP="009007F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Arial" w:hAnsi="Arial" w:cs="Arial"/>
          <w:color w:val="222222"/>
          <w:shd w:val="clear" w:color="auto" w:fill="FFFFFF"/>
        </w:rPr>
        <w:t>Monks, P. R. (1990). Time Sanctified: the book of hours in medieval art and life. </w:t>
      </w:r>
      <w:r w:rsidRPr="00B47326">
        <w:rPr>
          <w:rFonts w:ascii="Arial" w:hAnsi="Arial" w:cs="Arial"/>
          <w:i/>
          <w:iCs/>
          <w:color w:val="222222"/>
          <w:shd w:val="clear" w:color="auto" w:fill="FFFFFF"/>
        </w:rPr>
        <w:t>Parergon</w:t>
      </w:r>
      <w:r w:rsidRPr="00B47326">
        <w:rPr>
          <w:rFonts w:ascii="Arial" w:hAnsi="Arial" w:cs="Arial"/>
          <w:color w:val="222222"/>
          <w:shd w:val="clear" w:color="auto" w:fill="FFFFFF"/>
        </w:rPr>
        <w:t>, </w:t>
      </w:r>
      <w:r w:rsidRPr="00B47326">
        <w:rPr>
          <w:rFonts w:ascii="Arial" w:hAnsi="Arial" w:cs="Arial"/>
          <w:i/>
          <w:iCs/>
          <w:color w:val="222222"/>
          <w:shd w:val="clear" w:color="auto" w:fill="FFFFFF"/>
        </w:rPr>
        <w:t>8</w:t>
      </w:r>
      <w:r w:rsidRPr="00B47326">
        <w:rPr>
          <w:rFonts w:ascii="Arial" w:hAnsi="Arial" w:cs="Arial"/>
          <w:color w:val="222222"/>
          <w:shd w:val="clear" w:color="auto" w:fill="FFFFFF"/>
        </w:rPr>
        <w:t>(1), 185-187.</w:t>
      </w:r>
    </w:p>
    <w:p w14:paraId="020BCDF9" w14:textId="77777777" w:rsidR="009007F6" w:rsidRPr="009007F6" w:rsidRDefault="009007F6">
      <w:pPr>
        <w:pStyle w:val="FootnoteText"/>
        <w:rPr>
          <w:lang w:val="en-GB"/>
        </w:rPr>
      </w:pPr>
    </w:p>
  </w:footnote>
  <w:footnote w:id="4">
    <w:p w14:paraId="19E968A1" w14:textId="77777777" w:rsidR="009007F6" w:rsidRPr="00B47326" w:rsidRDefault="009007F6"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Shaw, H. (1866). </w:t>
      </w:r>
      <w:r w:rsidRPr="00B47326">
        <w:rPr>
          <w:rFonts w:ascii="Times New Roman" w:hAnsi="Times New Roman" w:cs="Times New Roman"/>
          <w:i/>
          <w:iCs/>
          <w:color w:val="222222"/>
          <w:shd w:val="clear" w:color="auto" w:fill="FFFFFF"/>
        </w:rPr>
        <w:t>A Handbook of the Art of Illumination as Practised During the Middle Ages: With a Description of the Metals, Pigments, and Processes Employed by the Artists at Different Periods</w:t>
      </w:r>
      <w:r w:rsidRPr="00B47326">
        <w:rPr>
          <w:rFonts w:ascii="Times New Roman" w:hAnsi="Times New Roman" w:cs="Times New Roman"/>
          <w:color w:val="222222"/>
          <w:shd w:val="clear" w:color="auto" w:fill="FFFFFF"/>
        </w:rPr>
        <w:t>. Bell and Daldy.</w:t>
      </w:r>
    </w:p>
  </w:footnote>
  <w:footnote w:id="5">
    <w:p w14:paraId="2A5FB18C" w14:textId="77777777" w:rsidR="009007F6" w:rsidRPr="00B47326" w:rsidRDefault="009007F6"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Shaw, H. (1866). </w:t>
      </w:r>
      <w:r w:rsidRPr="00B47326">
        <w:rPr>
          <w:rFonts w:ascii="Times New Roman" w:hAnsi="Times New Roman" w:cs="Times New Roman"/>
          <w:i/>
          <w:iCs/>
          <w:color w:val="222222"/>
          <w:shd w:val="clear" w:color="auto" w:fill="FFFFFF"/>
        </w:rPr>
        <w:t>A Handbook of the Art of Illumination as Practised During the Middle Ages: With a Description of the Metals, Pigments, and Processes Employed by the Artists at Different Periods</w:t>
      </w:r>
      <w:r w:rsidRPr="00B47326">
        <w:rPr>
          <w:rFonts w:ascii="Times New Roman" w:hAnsi="Times New Roman" w:cs="Times New Roman"/>
          <w:color w:val="222222"/>
          <w:shd w:val="clear" w:color="auto" w:fill="FFFFFF"/>
        </w:rPr>
        <w:t>. Bell and Daldy.</w:t>
      </w:r>
    </w:p>
  </w:footnote>
  <w:footnote w:id="6">
    <w:p w14:paraId="342B1629" w14:textId="77777777" w:rsidR="009007F6" w:rsidRPr="00B47326" w:rsidRDefault="009007F6" w:rsidP="009007F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p w14:paraId="73FDF59D" w14:textId="77777777" w:rsidR="009007F6" w:rsidRPr="009007F6" w:rsidRDefault="009007F6">
      <w:pPr>
        <w:pStyle w:val="FootnoteText"/>
        <w:rPr>
          <w:lang w:val="en-GB"/>
        </w:rPr>
      </w:pPr>
    </w:p>
  </w:footnote>
  <w:footnote w:id="7">
    <w:p w14:paraId="70C47641" w14:textId="77777777" w:rsidR="009007F6" w:rsidRPr="00B47326" w:rsidRDefault="009007F6" w:rsidP="00826F82">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footnote>
  <w:footnote w:id="8">
    <w:p w14:paraId="3BF97CF2" w14:textId="77777777" w:rsidR="009007F6" w:rsidRPr="00B47326" w:rsidRDefault="009007F6" w:rsidP="00826F82">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(2001). </w:t>
      </w:r>
      <w:r w:rsidRPr="00B47326">
        <w:rPr>
          <w:rFonts w:ascii="Times New Roman" w:hAnsi="Times New Roman" w:cs="Times New Roman"/>
          <w:i/>
          <w:iCs/>
          <w:color w:val="222222"/>
          <w:shd w:val="clear" w:color="auto" w:fill="FFFFFF"/>
        </w:rPr>
        <w:t>Medieval birds in the Sherborne Missal</w:t>
      </w:r>
      <w:r w:rsidRPr="00B47326">
        <w:rPr>
          <w:rFonts w:ascii="Times New Roman" w:hAnsi="Times New Roman" w:cs="Times New Roman"/>
          <w:color w:val="222222"/>
          <w:shd w:val="clear" w:color="auto" w:fill="FFFFFF"/>
        </w:rPr>
        <w:t>. University of Toronto Press.</w:t>
      </w:r>
    </w:p>
  </w:footnote>
  <w:footnote w:id="9">
    <w:p w14:paraId="6D3B27F4" w14:textId="77777777" w:rsidR="009007F6" w:rsidRPr="00B47326" w:rsidRDefault="009007F6"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10">
    <w:p w14:paraId="1178A5E4" w14:textId="77777777" w:rsidR="009007F6" w:rsidRPr="00B47326" w:rsidRDefault="009007F6"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footnote>
  <w:footnote w:id="11">
    <w:p w14:paraId="5C80E52E" w14:textId="77777777" w:rsidR="009007F6" w:rsidRDefault="009007F6" w:rsidP="009007F6">
      <w:pPr>
        <w:ind w:left="900" w:hanging="900"/>
        <w:rPr>
          <w:rFonts w:ascii="Times New Roman" w:hAnsi="Times New Roman" w:cs="Times New Roman"/>
          <w:color w:val="222222"/>
          <w:sz w:val="24"/>
          <w:szCs w:val="24"/>
          <w:shd w:val="clear" w:color="auto" w:fill="FFFFFF"/>
        </w:rPr>
      </w:pPr>
      <w:r>
        <w:rPr>
          <w:rStyle w:val="FootnoteReference"/>
        </w:rPr>
        <w:footnoteRef/>
      </w:r>
      <w:r>
        <w:t xml:space="preserve"> </w:t>
      </w:r>
      <w:r>
        <w:rPr>
          <w:rFonts w:ascii="Times New Roman" w:hAnsi="Times New Roman" w:cs="Times New Roman"/>
          <w:color w:val="222222"/>
          <w:sz w:val="24"/>
          <w:szCs w:val="24"/>
          <w:shd w:val="clear" w:color="auto" w:fill="FFFFFF"/>
        </w:rPr>
        <w:t>Pulsiano, P., &amp; Treharne, E. M. (Eds.). (1998). </w:t>
      </w:r>
      <w:r>
        <w:rPr>
          <w:rFonts w:ascii="Times New Roman" w:hAnsi="Times New Roman" w:cs="Times New Roman"/>
          <w:i/>
          <w:iCs/>
          <w:color w:val="222222"/>
          <w:sz w:val="24"/>
          <w:szCs w:val="24"/>
          <w:shd w:val="clear" w:color="auto" w:fill="FFFFFF"/>
        </w:rPr>
        <w:t>Anglo-Saxon manuscripts and their heritage</w:t>
      </w:r>
      <w:r>
        <w:rPr>
          <w:rFonts w:ascii="Times New Roman" w:hAnsi="Times New Roman" w:cs="Times New Roman"/>
          <w:color w:val="222222"/>
          <w:sz w:val="24"/>
          <w:szCs w:val="24"/>
          <w:shd w:val="clear" w:color="auto" w:fill="FFFFFF"/>
        </w:rPr>
        <w:t>. Ashgate.</w:t>
      </w:r>
    </w:p>
    <w:p w14:paraId="57E50F3E" w14:textId="77777777" w:rsidR="009007F6" w:rsidRPr="009007F6" w:rsidRDefault="009007F6">
      <w:pPr>
        <w:pStyle w:val="FootnoteText"/>
        <w:rPr>
          <w:lang w:val="en-GB"/>
        </w:rPr>
      </w:pPr>
    </w:p>
  </w:footnote>
  <w:footnote w:id="12">
    <w:p w14:paraId="0986AF31" w14:textId="77777777" w:rsidR="00B47326" w:rsidRPr="00B47326" w:rsidRDefault="009007F6" w:rsidP="00B47326">
      <w:pPr>
        <w:ind w:left="900" w:hanging="900"/>
        <w:rPr>
          <w:rFonts w:ascii="Times New Roman" w:hAnsi="Times New Roman" w:cs="Times New Roman"/>
          <w:i/>
          <w:iCs/>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Shaw, H. (1866). </w:t>
      </w:r>
      <w:r w:rsidRPr="00B47326">
        <w:rPr>
          <w:rFonts w:ascii="Times New Roman" w:hAnsi="Times New Roman" w:cs="Times New Roman"/>
          <w:i/>
          <w:iCs/>
          <w:color w:val="222222"/>
          <w:shd w:val="clear" w:color="auto" w:fill="FFFFFF"/>
        </w:rPr>
        <w:t>A Handbook of the Art of Illumination as Pr</w:t>
      </w:r>
      <w:r w:rsidR="00B47326" w:rsidRPr="00B47326">
        <w:rPr>
          <w:rFonts w:ascii="Times New Roman" w:hAnsi="Times New Roman" w:cs="Times New Roman"/>
          <w:i/>
          <w:iCs/>
          <w:color w:val="222222"/>
          <w:shd w:val="clear" w:color="auto" w:fill="FFFFFF"/>
        </w:rPr>
        <w:t>actised During the Middle Ages:</w:t>
      </w:r>
    </w:p>
    <w:p w14:paraId="0EFBB356" w14:textId="77777777" w:rsidR="00B47326" w:rsidRPr="00B47326" w:rsidRDefault="009007F6" w:rsidP="00B47326">
      <w:pPr>
        <w:ind w:left="900" w:hanging="900"/>
        <w:rPr>
          <w:rFonts w:ascii="Times New Roman" w:hAnsi="Times New Roman" w:cs="Times New Roman"/>
          <w:i/>
          <w:iCs/>
          <w:color w:val="222222"/>
          <w:shd w:val="clear" w:color="auto" w:fill="FFFFFF"/>
        </w:rPr>
      </w:pPr>
      <w:r w:rsidRPr="00B47326">
        <w:rPr>
          <w:rFonts w:ascii="Times New Roman" w:hAnsi="Times New Roman" w:cs="Times New Roman"/>
          <w:i/>
          <w:iCs/>
          <w:color w:val="222222"/>
          <w:shd w:val="clear" w:color="auto" w:fill="FFFFFF"/>
        </w:rPr>
        <w:t>With a Description of the Metals, Pigments, and Processes Emplo</w:t>
      </w:r>
      <w:r w:rsidR="00B47326" w:rsidRPr="00B47326">
        <w:rPr>
          <w:rFonts w:ascii="Times New Roman" w:hAnsi="Times New Roman" w:cs="Times New Roman"/>
          <w:i/>
          <w:iCs/>
          <w:color w:val="222222"/>
          <w:shd w:val="clear" w:color="auto" w:fill="FFFFFF"/>
        </w:rPr>
        <w:t>yed by the Artists at Different</w:t>
      </w:r>
    </w:p>
    <w:p w14:paraId="691B971F" w14:textId="77777777" w:rsidR="009007F6" w:rsidRPr="00B47326" w:rsidRDefault="009007F6" w:rsidP="00B47326">
      <w:pPr>
        <w:ind w:left="900" w:hanging="900"/>
        <w:rPr>
          <w:rFonts w:ascii="Times New Roman" w:hAnsi="Times New Roman" w:cs="Times New Roman"/>
          <w:color w:val="222222"/>
          <w:shd w:val="clear" w:color="auto" w:fill="FFFFFF"/>
        </w:rPr>
      </w:pPr>
      <w:r w:rsidRPr="00B47326">
        <w:rPr>
          <w:rFonts w:ascii="Times New Roman" w:hAnsi="Times New Roman" w:cs="Times New Roman"/>
          <w:i/>
          <w:iCs/>
          <w:color w:val="222222"/>
          <w:shd w:val="clear" w:color="auto" w:fill="FFFFFF"/>
        </w:rPr>
        <w:t>Periods</w:t>
      </w:r>
      <w:r w:rsidRPr="00B47326">
        <w:rPr>
          <w:rFonts w:ascii="Times New Roman" w:hAnsi="Times New Roman" w:cs="Times New Roman"/>
          <w:color w:val="222222"/>
          <w:shd w:val="clear" w:color="auto" w:fill="FFFFFF"/>
        </w:rPr>
        <w:t>. Bell and Daldy.</w:t>
      </w:r>
    </w:p>
  </w:footnote>
  <w:footnote w:id="13">
    <w:p w14:paraId="628178E5" w14:textId="77777777" w:rsidR="009007F6" w:rsidRPr="00B47326" w:rsidRDefault="009007F6">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14">
    <w:p w14:paraId="1C07D3F7"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footnote>
  <w:footnote w:id="15">
    <w:p w14:paraId="735B7E59" w14:textId="77777777" w:rsidR="009007F6" w:rsidRPr="00B47326" w:rsidRDefault="009007F6">
      <w:pPr>
        <w:pStyle w:val="FootnoteText"/>
        <w:rPr>
          <w:lang w:val="en-GB"/>
        </w:rPr>
      </w:pPr>
      <w:r w:rsidRPr="00B47326">
        <w:rPr>
          <w:rStyle w:val="FootnoteReference"/>
        </w:rPr>
        <w:footnoteRef/>
      </w:r>
      <w:r w:rsidRPr="00B47326">
        <w:t xml:space="preserve"> </w:t>
      </w:r>
      <w:r w:rsidR="008664E7" w:rsidRPr="00B47326">
        <w:rPr>
          <w:rFonts w:ascii="Times New Roman" w:hAnsi="Times New Roman" w:cs="Times New Roman"/>
          <w:color w:val="222222"/>
          <w:shd w:val="clear" w:color="auto" w:fill="FFFFFF"/>
        </w:rPr>
        <w:t>Pulsiano, P., &amp; Treharne, E. M. (Eds.). (1998). </w:t>
      </w:r>
      <w:r w:rsidR="008664E7" w:rsidRPr="00B47326">
        <w:rPr>
          <w:rFonts w:ascii="Times New Roman" w:hAnsi="Times New Roman" w:cs="Times New Roman"/>
          <w:i/>
          <w:iCs/>
          <w:color w:val="222222"/>
          <w:shd w:val="clear" w:color="auto" w:fill="FFFFFF"/>
        </w:rPr>
        <w:t>Anglo-Saxon manuscripts and their heritage</w:t>
      </w:r>
      <w:r w:rsidR="008664E7" w:rsidRPr="00B47326">
        <w:rPr>
          <w:rFonts w:ascii="Times New Roman" w:hAnsi="Times New Roman" w:cs="Times New Roman"/>
          <w:color w:val="222222"/>
          <w:shd w:val="clear" w:color="auto" w:fill="FFFFFF"/>
        </w:rPr>
        <w:t>. Ashgate.</w:t>
      </w:r>
    </w:p>
  </w:footnote>
  <w:footnote w:id="16">
    <w:p w14:paraId="180B1173" w14:textId="77777777" w:rsidR="008664E7" w:rsidRPr="008664E7"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Indiana University Press.</w:t>
      </w:r>
      <w:r>
        <w:rPr>
          <w:rFonts w:ascii="Times New Roman" w:hAnsi="Times New Roman" w:cs="Times New Roman"/>
          <w:color w:val="222222"/>
          <w:sz w:val="24"/>
          <w:szCs w:val="24"/>
          <w:shd w:val="clear" w:color="auto" w:fill="FFFFFF"/>
        </w:rPr>
        <w:t xml:space="preserve">        </w:t>
      </w:r>
    </w:p>
  </w:footnote>
  <w:footnote w:id="17">
    <w:p w14:paraId="7BA918A7"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18">
    <w:p w14:paraId="2123C17F"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19">
    <w:p w14:paraId="73C2DE4E"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20">
    <w:p w14:paraId="15D746E2"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21">
    <w:p w14:paraId="044D7C05" w14:textId="68B0FFB4" w:rsidR="00576899" w:rsidRPr="00576899" w:rsidRDefault="00576899">
      <w:pPr>
        <w:pStyle w:val="FootnoteText"/>
        <w:rPr>
          <w:lang w:val="en-GB"/>
        </w:rPr>
      </w:pPr>
      <w:r>
        <w:rPr>
          <w:rStyle w:val="FootnoteReference"/>
        </w:rPr>
        <w:footnoteRef/>
      </w:r>
      <w:r>
        <w:t xml:space="preserve"> </w:t>
      </w:r>
      <w:r>
        <w:rPr>
          <w:lang w:val="en-GB"/>
        </w:rPr>
        <w:t xml:space="preserve">Stein, Wendy. (2010) </w:t>
      </w:r>
      <w:r w:rsidRPr="00576899">
        <w:rPr>
          <w:i/>
          <w:lang w:val="en-GB"/>
        </w:rPr>
        <w:t>The hours of the Virgin.</w:t>
      </w:r>
      <w:r>
        <w:rPr>
          <w:lang w:val="en-GB"/>
        </w:rPr>
        <w:t xml:space="preserve"> </w:t>
      </w:r>
      <w:hyperlink r:id="rId1" w:history="1">
        <w:r w:rsidRPr="005F2AD4">
          <w:rPr>
            <w:rStyle w:val="Hyperlink"/>
            <w:lang w:val="en-GB"/>
          </w:rPr>
          <w:t>http://blog.metmuseum.org/artofillumination/2010/03/24/the-hours-of-the-virgin/</w:t>
        </w:r>
      </w:hyperlink>
      <w:r>
        <w:rPr>
          <w:lang w:val="en-GB"/>
        </w:rPr>
        <w:t xml:space="preserve"> [accessed 4/5/18)</w:t>
      </w:r>
    </w:p>
  </w:footnote>
  <w:footnote w:id="22">
    <w:p w14:paraId="7EC6F8FB" w14:textId="77777777" w:rsidR="008664E7" w:rsidRPr="008664E7"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23">
    <w:p w14:paraId="324AADD2" w14:textId="77777777" w:rsidR="008664E7" w:rsidRPr="008664E7" w:rsidRDefault="008664E7">
      <w:pPr>
        <w:pStyle w:val="FootnoteText"/>
        <w:rPr>
          <w:lang w:val="en-GB"/>
        </w:rPr>
      </w:pPr>
      <w:r>
        <w:rPr>
          <w:rStyle w:val="FootnoteReference"/>
        </w:rPr>
        <w:footnoteRef/>
      </w:r>
      <w:r>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24">
    <w:p w14:paraId="75FB15D8"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Cahn, W. (1982). </w:t>
      </w:r>
      <w:r w:rsidRPr="00B47326">
        <w:rPr>
          <w:rFonts w:ascii="Times New Roman" w:hAnsi="Times New Roman" w:cs="Times New Roman"/>
          <w:i/>
          <w:iCs/>
          <w:color w:val="222222"/>
          <w:shd w:val="clear" w:color="auto" w:fill="FFFFFF"/>
        </w:rPr>
        <w:t>Romanesque Bible Illumination</w:t>
      </w:r>
      <w:r w:rsidRPr="00B47326">
        <w:rPr>
          <w:rFonts w:ascii="Times New Roman" w:hAnsi="Times New Roman" w:cs="Times New Roman"/>
          <w:color w:val="222222"/>
          <w:shd w:val="clear" w:color="auto" w:fill="FFFFFF"/>
        </w:rPr>
        <w:t>. New York: Cornell University Press.</w:t>
      </w:r>
    </w:p>
  </w:footnote>
  <w:footnote w:id="25">
    <w:p w14:paraId="3C820764"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26">
    <w:p w14:paraId="63624DFC"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27">
    <w:p w14:paraId="4D56A166" w14:textId="77777777" w:rsidR="008664E7" w:rsidRPr="008664E7"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28">
    <w:p w14:paraId="0F7AB2A1" w14:textId="77777777" w:rsidR="008664E7" w:rsidRPr="00B47326" w:rsidRDefault="008664E7"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Temple, E. (1976). A Survey of Manuscripts Illuminated in the British Isles: Anglo-Saxon Manuscripts 900–1066. </w:t>
      </w:r>
      <w:r w:rsidRPr="00B47326">
        <w:rPr>
          <w:rFonts w:ascii="Times New Roman" w:hAnsi="Times New Roman" w:cs="Times New Roman"/>
          <w:i/>
          <w:iCs/>
          <w:color w:val="222222"/>
          <w:shd w:val="clear" w:color="auto" w:fill="FFFFFF"/>
        </w:rPr>
        <w:t>London: Harvey Miller. Google Scholar</w:t>
      </w:r>
      <w:r w:rsidRPr="00B47326">
        <w:rPr>
          <w:rFonts w:ascii="Times New Roman" w:hAnsi="Times New Roman" w:cs="Times New Roman"/>
          <w:color w:val="222222"/>
          <w:shd w:val="clear" w:color="auto" w:fill="FFFFFF"/>
        </w:rPr>
        <w:t>.</w:t>
      </w:r>
    </w:p>
  </w:footnote>
  <w:footnote w:id="29">
    <w:p w14:paraId="71238587"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30">
    <w:p w14:paraId="7AC69156" w14:textId="77777777" w:rsidR="008664E7" w:rsidRPr="00B47326" w:rsidRDefault="008664E7">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31">
    <w:p w14:paraId="2EC295D7" w14:textId="77777777" w:rsidR="008664E7" w:rsidRPr="00B47326" w:rsidRDefault="008664E7" w:rsidP="008664E7">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p w14:paraId="79FB2DD9" w14:textId="77777777" w:rsidR="008664E7" w:rsidRPr="008664E7" w:rsidRDefault="008664E7">
      <w:pPr>
        <w:pStyle w:val="FootnoteText"/>
        <w:rPr>
          <w:lang w:val="en-GB"/>
        </w:rPr>
      </w:pPr>
    </w:p>
  </w:footnote>
  <w:footnote w:id="32">
    <w:p w14:paraId="341AC862" w14:textId="77777777" w:rsidR="00826F82" w:rsidRPr="00B47326" w:rsidRDefault="00826F82"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Pearsall, D. A. (Ed.). (1983). </w:t>
      </w:r>
      <w:r w:rsidRPr="00B47326">
        <w:rPr>
          <w:rFonts w:ascii="Times New Roman" w:hAnsi="Times New Roman" w:cs="Times New Roman"/>
          <w:i/>
          <w:iCs/>
          <w:color w:val="222222"/>
          <w:shd w:val="clear" w:color="auto" w:fill="FFFFFF"/>
        </w:rPr>
        <w:t>Manuscripts and readers in fifteenth-century England: the literary implications of manuscript study; essays from the 1981 conference at the University of York</w:t>
      </w:r>
      <w:r w:rsidRPr="00B47326">
        <w:rPr>
          <w:rFonts w:ascii="Times New Roman" w:hAnsi="Times New Roman" w:cs="Times New Roman"/>
          <w:color w:val="222222"/>
          <w:shd w:val="clear" w:color="auto" w:fill="FFFFFF"/>
        </w:rPr>
        <w:t>. Brewer.</w:t>
      </w:r>
    </w:p>
  </w:footnote>
  <w:footnote w:id="33">
    <w:p w14:paraId="02861678"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34">
    <w:p w14:paraId="6D18BC47" w14:textId="77777777" w:rsidR="00826F82" w:rsidRPr="00B47326" w:rsidRDefault="00826F82"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35">
    <w:p w14:paraId="68FBE2F5"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36">
    <w:p w14:paraId="223EC8D1" w14:textId="77777777" w:rsidR="00826F82" w:rsidRPr="00826F82"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Nordenfalk, C. A. J. (1977). </w:t>
      </w:r>
      <w:r w:rsidRPr="00B47326">
        <w:rPr>
          <w:rFonts w:ascii="Times New Roman" w:hAnsi="Times New Roman" w:cs="Times New Roman"/>
          <w:i/>
          <w:iCs/>
          <w:color w:val="222222"/>
          <w:shd w:val="clear" w:color="auto" w:fill="FFFFFF"/>
        </w:rPr>
        <w:t>Celtic and Anglo-Saxon painting: book illumination in the British Isles 600-800</w:t>
      </w:r>
      <w:r w:rsidRPr="00B47326">
        <w:rPr>
          <w:rFonts w:ascii="Times New Roman" w:hAnsi="Times New Roman" w:cs="Times New Roman"/>
          <w:color w:val="222222"/>
          <w:shd w:val="clear" w:color="auto" w:fill="FFFFFF"/>
        </w:rPr>
        <w:t>. G. Braziller.</w:t>
      </w:r>
    </w:p>
  </w:footnote>
  <w:footnote w:id="37">
    <w:p w14:paraId="5DAABE69" w14:textId="77777777" w:rsidR="00826F82" w:rsidRPr="00B47326" w:rsidRDefault="00826F82"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footnote>
  <w:footnote w:id="38">
    <w:p w14:paraId="7A579CBB" w14:textId="77777777" w:rsidR="00826F82" w:rsidRPr="00B47326" w:rsidRDefault="00826F82" w:rsidP="00826F82">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footnote>
  <w:footnote w:id="39">
    <w:p w14:paraId="0E24A2EE" w14:textId="77777777" w:rsidR="00826F82" w:rsidRPr="00B47326" w:rsidRDefault="00826F82" w:rsidP="00826F82">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Cahn, W. (1982). </w:t>
      </w:r>
      <w:r w:rsidRPr="00B47326">
        <w:rPr>
          <w:rFonts w:ascii="Times New Roman" w:hAnsi="Times New Roman" w:cs="Times New Roman"/>
          <w:i/>
          <w:iCs/>
          <w:color w:val="222222"/>
          <w:shd w:val="clear" w:color="auto" w:fill="FFFFFF"/>
        </w:rPr>
        <w:t>Romanesque Bible Illumination</w:t>
      </w:r>
      <w:r w:rsidRPr="00B47326">
        <w:rPr>
          <w:rFonts w:ascii="Times New Roman" w:hAnsi="Times New Roman" w:cs="Times New Roman"/>
          <w:color w:val="222222"/>
          <w:shd w:val="clear" w:color="auto" w:fill="FFFFFF"/>
        </w:rPr>
        <w:t>. New York: Cornell University Press.</w:t>
      </w:r>
    </w:p>
  </w:footnote>
  <w:footnote w:id="40">
    <w:p w14:paraId="2E8B34A4" w14:textId="77777777" w:rsidR="00826F82" w:rsidRPr="00B47326" w:rsidRDefault="00826F82" w:rsidP="00826F82">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41">
    <w:p w14:paraId="2D6F498D" w14:textId="77777777" w:rsidR="00826F82" w:rsidRPr="00B47326" w:rsidRDefault="00826F82" w:rsidP="00826F82">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p w14:paraId="21657520" w14:textId="77777777" w:rsidR="00826F82" w:rsidRPr="00826F82" w:rsidRDefault="00826F82">
      <w:pPr>
        <w:pStyle w:val="FootnoteText"/>
        <w:rPr>
          <w:lang w:val="en-GB"/>
        </w:rPr>
      </w:pPr>
    </w:p>
  </w:footnote>
  <w:footnote w:id="42">
    <w:p w14:paraId="4C4B0A5E"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Cahn, W. (1982). </w:t>
      </w:r>
      <w:r w:rsidRPr="00B47326">
        <w:rPr>
          <w:rFonts w:ascii="Times New Roman" w:hAnsi="Times New Roman" w:cs="Times New Roman"/>
          <w:i/>
          <w:iCs/>
          <w:color w:val="222222"/>
          <w:shd w:val="clear" w:color="auto" w:fill="FFFFFF"/>
        </w:rPr>
        <w:t>Romanesque Bible Illumination</w:t>
      </w:r>
      <w:r w:rsidRPr="00B47326">
        <w:rPr>
          <w:rFonts w:ascii="Times New Roman" w:hAnsi="Times New Roman" w:cs="Times New Roman"/>
          <w:color w:val="222222"/>
          <w:shd w:val="clear" w:color="auto" w:fill="FFFFFF"/>
        </w:rPr>
        <w:t>. New York: Cornell University Press.</w:t>
      </w:r>
    </w:p>
  </w:footnote>
  <w:footnote w:id="43">
    <w:p w14:paraId="75D98566"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44">
    <w:p w14:paraId="34DF7E4F" w14:textId="77777777" w:rsidR="00826F82" w:rsidRPr="00B47326" w:rsidRDefault="00826F82" w:rsidP="00B47326">
      <w:pPr>
        <w:ind w:left="900" w:hanging="900"/>
        <w:rPr>
          <w:rFonts w:ascii="Times New Roman" w:hAnsi="Times New Roman" w:cs="Times New Roman"/>
          <w:color w:val="222222"/>
          <w:shd w:val="clear" w:color="auto" w:fill="FFFFFF"/>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Backhouse, J., Turner, D. H., &amp; Webster, L. (Eds.). (1984). </w:t>
      </w:r>
      <w:r w:rsidRPr="00B47326">
        <w:rPr>
          <w:rFonts w:ascii="Times New Roman" w:hAnsi="Times New Roman" w:cs="Times New Roman"/>
          <w:i/>
          <w:iCs/>
          <w:color w:val="222222"/>
          <w:shd w:val="clear" w:color="auto" w:fill="FFFFFF"/>
        </w:rPr>
        <w:t>The Golden Age of Anglo-Saxon Art, 966-1066</w:t>
      </w:r>
      <w:r w:rsidRPr="00B47326">
        <w:rPr>
          <w:rFonts w:ascii="Times New Roman" w:hAnsi="Times New Roman" w:cs="Times New Roman"/>
          <w:color w:val="222222"/>
          <w:shd w:val="clear" w:color="auto" w:fill="FFFFFF"/>
        </w:rPr>
        <w:t xml:space="preserve">. Indiana University Press.        </w:t>
      </w:r>
    </w:p>
  </w:footnote>
  <w:footnote w:id="45">
    <w:p w14:paraId="7CFD7809"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46">
    <w:p w14:paraId="22F2DB38" w14:textId="77777777" w:rsidR="00826F82" w:rsidRPr="00826F82"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47">
    <w:p w14:paraId="59D0C730"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Pollard, A. W. (1893). </w:t>
      </w:r>
      <w:r w:rsidRPr="00B47326">
        <w:rPr>
          <w:rFonts w:ascii="Times New Roman" w:hAnsi="Times New Roman" w:cs="Times New Roman"/>
          <w:i/>
          <w:iCs/>
          <w:color w:val="222222"/>
          <w:shd w:val="clear" w:color="auto" w:fill="FFFFFF"/>
        </w:rPr>
        <w:t>Early Illustrated Books: a History of the Decoration and Illustration of Books in the 15th and 16th Centuries</w:t>
      </w:r>
      <w:r w:rsidRPr="00B47326">
        <w:rPr>
          <w:rFonts w:ascii="Times New Roman" w:hAnsi="Times New Roman" w:cs="Times New Roman"/>
          <w:color w:val="222222"/>
          <w:shd w:val="clear" w:color="auto" w:fill="FFFFFF"/>
        </w:rPr>
        <w:t>. London: K. Paul, Trench, Trübner</w:t>
      </w:r>
    </w:p>
  </w:footnote>
  <w:footnote w:id="48">
    <w:p w14:paraId="39766018" w14:textId="77777777" w:rsidR="00826F82" w:rsidRPr="00B47326"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 w:id="49">
    <w:p w14:paraId="0D514287" w14:textId="77777777" w:rsidR="00826F82" w:rsidRPr="00826F82" w:rsidRDefault="00826F82">
      <w:pPr>
        <w:pStyle w:val="FootnoteText"/>
        <w:rPr>
          <w:lang w:val="en-GB"/>
        </w:rPr>
      </w:pPr>
      <w:r w:rsidRPr="00B47326">
        <w:rPr>
          <w:rStyle w:val="FootnoteReference"/>
        </w:rPr>
        <w:footnoteRef/>
      </w:r>
      <w:r w:rsidRPr="00B47326">
        <w:t xml:space="preserve"> </w:t>
      </w:r>
      <w:r w:rsidRPr="00B47326">
        <w:rPr>
          <w:rFonts w:ascii="Times New Roman" w:hAnsi="Times New Roman" w:cs="Times New Roman"/>
          <w:color w:val="222222"/>
          <w:shd w:val="clear" w:color="auto" w:fill="FFFFFF"/>
        </w:rPr>
        <w:t>Pulsiano, P., &amp; Treharne, E. M. (Eds.). (1998). </w:t>
      </w:r>
      <w:r w:rsidRPr="00B47326">
        <w:rPr>
          <w:rFonts w:ascii="Times New Roman" w:hAnsi="Times New Roman" w:cs="Times New Roman"/>
          <w:i/>
          <w:iCs/>
          <w:color w:val="222222"/>
          <w:shd w:val="clear" w:color="auto" w:fill="FFFFFF"/>
        </w:rPr>
        <w:t>Anglo-Saxon manuscripts and their heritage</w:t>
      </w:r>
      <w:r w:rsidRPr="00B47326">
        <w:rPr>
          <w:rFonts w:ascii="Times New Roman" w:hAnsi="Times New Roman" w:cs="Times New Roman"/>
          <w:color w:val="222222"/>
          <w:shd w:val="clear" w:color="auto" w:fill="FFFFFF"/>
        </w:rPr>
        <w:t>. Ashgate.</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A59AADD" w14:textId="77777777" w:rsidR="006A21F7" w:rsidRDefault="008F4E7A">
    <w:pPr>
      <w:pStyle w:val="Header"/>
      <w:jc w:val="right"/>
    </w:pPr>
    <w:r>
      <w:t>3</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24E7E189" w14:textId="77777777" w:rsidR="00B47326" w:rsidRDefault="008F4E7A" w:rsidP="00B47326">
    <w:pPr>
      <w:pStyle w:val="Header"/>
      <w:tabs>
        <w:tab w:val="clear" w:pos="4680"/>
        <w:tab w:val="clear" w:pos="9360"/>
        <w:tab w:val="left" w:pos="1477"/>
      </w:tabs>
    </w:pPr>
    <w:r>
      <w:t>1</w:t>
    </w:r>
    <w:r w:rsidR="00B47326">
      <w:tab/>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80"/>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0szCzsDQwtzAzNzYzMrNU0lEKTi0uzszPAykwrgUArWeBbiwAAAA="/>
  </w:docVars>
  <w:rsids>
    <w:rsidRoot w:val="006A21F7"/>
    <w:rsid w:val="00354F62"/>
    <w:rsid w:val="004F6556"/>
    <w:rsid w:val="00576899"/>
    <w:rsid w:val="006A21F7"/>
    <w:rsid w:val="00826F82"/>
    <w:rsid w:val="008664E7"/>
    <w:rsid w:val="008F4E7A"/>
    <w:rsid w:val="009007F6"/>
    <w:rsid w:val="00B47326"/>
    <w:rsid w:val="00FB470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42B9CFB"/>
  <w15:docId w15:val="{F9112FE9-5840-439B-BC1E-BC8426A92D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lang w:val="en-US" w:eastAsia="en-US" w:bidi="ar-SA"/>
      </w:rPr>
    </w:rPrDefault>
    <w:pPrDefault>
      <w:pPr>
        <w:spacing w:after="120" w:line="264"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26F82"/>
  </w:style>
  <w:style w:type="paragraph" w:styleId="Heading1">
    <w:name w:val="heading 1"/>
    <w:basedOn w:val="Normal"/>
    <w:next w:val="Normal"/>
    <w:link w:val="Heading1Char"/>
    <w:uiPriority w:val="9"/>
    <w:qFormat/>
    <w:rsid w:val="00826F82"/>
    <w:pPr>
      <w:keepNext/>
      <w:keepLines/>
      <w:spacing w:before="320" w:after="0" w:line="240" w:lineRule="auto"/>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semiHidden/>
    <w:unhideWhenUsed/>
    <w:qFormat/>
    <w:rsid w:val="00826F82"/>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826F82"/>
    <w:pPr>
      <w:keepNext/>
      <w:keepLines/>
      <w:spacing w:before="40" w:after="0" w:line="240" w:lineRule="auto"/>
      <w:outlineLvl w:val="2"/>
    </w:pPr>
    <w:rPr>
      <w:rFonts w:asciiTheme="majorHAnsi" w:eastAsiaTheme="majorEastAsia" w:hAnsiTheme="majorHAnsi" w:cstheme="majorBidi"/>
      <w:color w:val="1F497D" w:themeColor="text2"/>
      <w:sz w:val="24"/>
      <w:szCs w:val="24"/>
    </w:rPr>
  </w:style>
  <w:style w:type="paragraph" w:styleId="Heading4">
    <w:name w:val="heading 4"/>
    <w:basedOn w:val="Normal"/>
    <w:next w:val="Normal"/>
    <w:link w:val="Heading4Char"/>
    <w:uiPriority w:val="9"/>
    <w:semiHidden/>
    <w:unhideWhenUsed/>
    <w:qFormat/>
    <w:rsid w:val="00826F82"/>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826F82"/>
    <w:pPr>
      <w:keepNext/>
      <w:keepLines/>
      <w:spacing w:before="40" w:after="0"/>
      <w:outlineLvl w:val="4"/>
    </w:pPr>
    <w:rPr>
      <w:rFonts w:asciiTheme="majorHAnsi" w:eastAsiaTheme="majorEastAsia" w:hAnsiTheme="majorHAnsi" w:cstheme="majorBidi"/>
      <w:color w:val="1F497D" w:themeColor="text2"/>
      <w:sz w:val="22"/>
      <w:szCs w:val="22"/>
    </w:rPr>
  </w:style>
  <w:style w:type="paragraph" w:styleId="Heading6">
    <w:name w:val="heading 6"/>
    <w:basedOn w:val="Normal"/>
    <w:next w:val="Normal"/>
    <w:link w:val="Heading6Char"/>
    <w:uiPriority w:val="9"/>
    <w:semiHidden/>
    <w:unhideWhenUsed/>
    <w:qFormat/>
    <w:rsid w:val="00826F82"/>
    <w:pPr>
      <w:keepNext/>
      <w:keepLines/>
      <w:spacing w:before="40" w:after="0"/>
      <w:outlineLvl w:val="5"/>
    </w:pPr>
    <w:rPr>
      <w:rFonts w:asciiTheme="majorHAnsi" w:eastAsiaTheme="majorEastAsia" w:hAnsiTheme="majorHAnsi" w:cstheme="majorBidi"/>
      <w:i/>
      <w:iCs/>
      <w:color w:val="1F497D" w:themeColor="text2"/>
      <w:sz w:val="21"/>
      <w:szCs w:val="21"/>
    </w:rPr>
  </w:style>
  <w:style w:type="paragraph" w:styleId="Heading7">
    <w:name w:val="heading 7"/>
    <w:basedOn w:val="Normal"/>
    <w:next w:val="Normal"/>
    <w:link w:val="Heading7Char"/>
    <w:uiPriority w:val="9"/>
    <w:semiHidden/>
    <w:unhideWhenUsed/>
    <w:qFormat/>
    <w:rsid w:val="00826F82"/>
    <w:pPr>
      <w:keepNext/>
      <w:keepLines/>
      <w:spacing w:before="40" w:after="0"/>
      <w:outlineLvl w:val="6"/>
    </w:pPr>
    <w:rPr>
      <w:rFonts w:asciiTheme="majorHAnsi" w:eastAsiaTheme="majorEastAsia" w:hAnsiTheme="majorHAnsi" w:cstheme="majorBidi"/>
      <w:i/>
      <w:iCs/>
      <w:color w:val="244061" w:themeColor="accent1" w:themeShade="80"/>
      <w:sz w:val="21"/>
      <w:szCs w:val="21"/>
    </w:rPr>
  </w:style>
  <w:style w:type="paragraph" w:styleId="Heading8">
    <w:name w:val="heading 8"/>
    <w:basedOn w:val="Normal"/>
    <w:next w:val="Normal"/>
    <w:link w:val="Heading8Char"/>
    <w:uiPriority w:val="9"/>
    <w:semiHidden/>
    <w:unhideWhenUsed/>
    <w:qFormat/>
    <w:rsid w:val="00826F82"/>
    <w:pPr>
      <w:keepNext/>
      <w:keepLines/>
      <w:spacing w:before="40" w:after="0"/>
      <w:outlineLvl w:val="7"/>
    </w:pPr>
    <w:rPr>
      <w:rFonts w:asciiTheme="majorHAnsi" w:eastAsiaTheme="majorEastAsia" w:hAnsiTheme="majorHAnsi" w:cstheme="majorBidi"/>
      <w:b/>
      <w:bCs/>
      <w:color w:val="1F497D" w:themeColor="text2"/>
    </w:rPr>
  </w:style>
  <w:style w:type="paragraph" w:styleId="Heading9">
    <w:name w:val="heading 9"/>
    <w:basedOn w:val="Normal"/>
    <w:next w:val="Normal"/>
    <w:link w:val="Heading9Char"/>
    <w:uiPriority w:val="9"/>
    <w:semiHidden/>
    <w:unhideWhenUsed/>
    <w:qFormat/>
    <w:rsid w:val="00826F82"/>
    <w:pPr>
      <w:keepNext/>
      <w:keepLines/>
      <w:spacing w:before="40" w:after="0"/>
      <w:outlineLvl w:val="8"/>
    </w:pPr>
    <w:rPr>
      <w:rFonts w:asciiTheme="majorHAnsi" w:eastAsiaTheme="majorEastAsia" w:hAnsiTheme="majorHAnsi" w:cstheme="majorBidi"/>
      <w:b/>
      <w:bCs/>
      <w:i/>
      <w:iCs/>
      <w:color w:val="1F497D" w:themeColor="text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pPr>
      <w:spacing w:before="100" w:beforeAutospacing="1" w:after="100" w:afterAutospacing="1" w:line="240" w:lineRule="auto"/>
    </w:pPr>
    <w:rPr>
      <w:rFonts w:ascii="Times New Roman" w:eastAsia="Times New Roman" w:hAnsi="Times New Roman" w:cs="Times New Roman"/>
      <w:sz w:val="24"/>
      <w:szCs w:val="24"/>
    </w:rPr>
  </w:style>
  <w:style w:type="paragraph" w:styleId="Header">
    <w:name w:val="header"/>
    <w:basedOn w:val="Normal"/>
    <w:link w:val="HeaderChar"/>
    <w:uiPriority w:val="99"/>
    <w:pPr>
      <w:tabs>
        <w:tab w:val="center" w:pos="4680"/>
        <w:tab w:val="right" w:pos="9360"/>
      </w:tabs>
      <w:spacing w:after="0" w:line="240" w:lineRule="auto"/>
    </w:pPr>
  </w:style>
  <w:style w:type="character" w:customStyle="1" w:styleId="HeaderChar">
    <w:name w:val="Header Char"/>
    <w:basedOn w:val="DefaultParagraphFont"/>
    <w:link w:val="Header"/>
    <w:uiPriority w:val="99"/>
  </w:style>
  <w:style w:type="paragraph" w:styleId="Footer">
    <w:name w:val="footer"/>
    <w:basedOn w:val="Normal"/>
    <w:link w:val="FooterChar"/>
    <w:uiPriority w:val="99"/>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character" w:customStyle="1" w:styleId="Heading1Char">
    <w:name w:val="Heading 1 Char"/>
    <w:basedOn w:val="DefaultParagraphFont"/>
    <w:link w:val="Heading1"/>
    <w:uiPriority w:val="9"/>
    <w:rsid w:val="00826F82"/>
    <w:rPr>
      <w:rFonts w:asciiTheme="majorHAnsi" w:eastAsiaTheme="majorEastAsia" w:hAnsiTheme="majorHAnsi" w:cstheme="majorBidi"/>
      <w:color w:val="365F91" w:themeColor="accent1" w:themeShade="BF"/>
      <w:sz w:val="32"/>
      <w:szCs w:val="32"/>
    </w:rPr>
  </w:style>
  <w:style w:type="paragraph" w:styleId="TOCHeading">
    <w:name w:val="TOC Heading"/>
    <w:basedOn w:val="Heading1"/>
    <w:next w:val="Normal"/>
    <w:uiPriority w:val="39"/>
    <w:unhideWhenUsed/>
    <w:qFormat/>
    <w:rsid w:val="00826F82"/>
    <w:pPr>
      <w:outlineLvl w:val="9"/>
    </w:pPr>
  </w:style>
  <w:style w:type="paragraph" w:styleId="TOC1">
    <w:name w:val="toc 1"/>
    <w:basedOn w:val="Normal"/>
    <w:next w:val="Normal"/>
    <w:uiPriority w:val="39"/>
    <w:pPr>
      <w:spacing w:after="100"/>
    </w:pPr>
  </w:style>
  <w:style w:type="character" w:styleId="Hyperlink">
    <w:name w:val="Hyperlink"/>
    <w:basedOn w:val="DefaultParagraphFont"/>
    <w:uiPriority w:val="99"/>
    <w:rPr>
      <w:color w:val="0563C1"/>
      <w:u w:val="single"/>
    </w:rPr>
  </w:style>
  <w:style w:type="paragraph" w:styleId="BalloonText">
    <w:name w:val="Balloon Text"/>
    <w:basedOn w:val="Normal"/>
    <w:link w:val="BalloonTextChar"/>
    <w:uiPriority w:val="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rPr>
      <w:rFonts w:ascii="Tahoma" w:hAnsi="Tahoma" w:cs="Tahoma"/>
      <w:sz w:val="16"/>
      <w:szCs w:val="16"/>
    </w:rPr>
  </w:style>
  <w:style w:type="character" w:styleId="CommentReference">
    <w:name w:val="annotation reference"/>
    <w:basedOn w:val="DefaultParagraphFont"/>
    <w:rPr>
      <w:sz w:val="16"/>
      <w:szCs w:val="16"/>
    </w:rPr>
  </w:style>
  <w:style w:type="paragraph" w:styleId="CommentText">
    <w:name w:val="annotation text"/>
    <w:basedOn w:val="Normal"/>
    <w:link w:val="CommentTextChar"/>
    <w:uiPriority w:val="99"/>
    <w:pPr>
      <w:spacing w:line="240" w:lineRule="auto"/>
    </w:pPr>
  </w:style>
  <w:style w:type="character" w:customStyle="1" w:styleId="CommentTextChar">
    <w:name w:val="Comment Text Char"/>
    <w:basedOn w:val="DefaultParagraphFont"/>
    <w:link w:val="CommentText"/>
    <w:uiPriority w:val="99"/>
    <w:rPr>
      <w:sz w:val="20"/>
      <w:szCs w:val="20"/>
    </w:rPr>
  </w:style>
  <w:style w:type="paragraph" w:styleId="FootnoteText">
    <w:name w:val="footnote text"/>
    <w:basedOn w:val="Normal"/>
    <w:link w:val="FootnoteTextChar"/>
    <w:uiPriority w:val="99"/>
    <w:semiHidden/>
    <w:unhideWhenUsed/>
    <w:rsid w:val="009007F6"/>
    <w:pPr>
      <w:spacing w:after="0" w:line="240" w:lineRule="auto"/>
    </w:pPr>
  </w:style>
  <w:style w:type="character" w:customStyle="1" w:styleId="FootnoteTextChar">
    <w:name w:val="Footnote Text Char"/>
    <w:basedOn w:val="DefaultParagraphFont"/>
    <w:link w:val="FootnoteText"/>
    <w:uiPriority w:val="99"/>
    <w:semiHidden/>
    <w:rsid w:val="009007F6"/>
    <w:rPr>
      <w:sz w:val="20"/>
      <w:szCs w:val="20"/>
    </w:rPr>
  </w:style>
  <w:style w:type="character" w:styleId="FootnoteReference">
    <w:name w:val="footnote reference"/>
    <w:basedOn w:val="DefaultParagraphFont"/>
    <w:uiPriority w:val="99"/>
    <w:semiHidden/>
    <w:unhideWhenUsed/>
    <w:rsid w:val="009007F6"/>
    <w:rPr>
      <w:vertAlign w:val="superscript"/>
    </w:rPr>
  </w:style>
  <w:style w:type="character" w:customStyle="1" w:styleId="Heading2Char">
    <w:name w:val="Heading 2 Char"/>
    <w:basedOn w:val="DefaultParagraphFont"/>
    <w:link w:val="Heading2"/>
    <w:uiPriority w:val="9"/>
    <w:semiHidden/>
    <w:rsid w:val="00826F82"/>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826F82"/>
    <w:rPr>
      <w:rFonts w:asciiTheme="majorHAnsi" w:eastAsiaTheme="majorEastAsia" w:hAnsiTheme="majorHAnsi" w:cstheme="majorBidi"/>
      <w:color w:val="1F497D" w:themeColor="text2"/>
      <w:sz w:val="24"/>
      <w:szCs w:val="24"/>
    </w:rPr>
  </w:style>
  <w:style w:type="character" w:customStyle="1" w:styleId="Heading4Char">
    <w:name w:val="Heading 4 Char"/>
    <w:basedOn w:val="DefaultParagraphFont"/>
    <w:link w:val="Heading4"/>
    <w:uiPriority w:val="9"/>
    <w:semiHidden/>
    <w:rsid w:val="00826F82"/>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826F82"/>
    <w:rPr>
      <w:rFonts w:asciiTheme="majorHAnsi" w:eastAsiaTheme="majorEastAsia" w:hAnsiTheme="majorHAnsi" w:cstheme="majorBidi"/>
      <w:color w:val="1F497D" w:themeColor="text2"/>
      <w:sz w:val="22"/>
      <w:szCs w:val="22"/>
    </w:rPr>
  </w:style>
  <w:style w:type="character" w:customStyle="1" w:styleId="Heading6Char">
    <w:name w:val="Heading 6 Char"/>
    <w:basedOn w:val="DefaultParagraphFont"/>
    <w:link w:val="Heading6"/>
    <w:uiPriority w:val="9"/>
    <w:semiHidden/>
    <w:rsid w:val="00826F82"/>
    <w:rPr>
      <w:rFonts w:asciiTheme="majorHAnsi" w:eastAsiaTheme="majorEastAsia" w:hAnsiTheme="majorHAnsi" w:cstheme="majorBidi"/>
      <w:i/>
      <w:iCs/>
      <w:color w:val="1F497D" w:themeColor="text2"/>
      <w:sz w:val="21"/>
      <w:szCs w:val="21"/>
    </w:rPr>
  </w:style>
  <w:style w:type="character" w:customStyle="1" w:styleId="Heading7Char">
    <w:name w:val="Heading 7 Char"/>
    <w:basedOn w:val="DefaultParagraphFont"/>
    <w:link w:val="Heading7"/>
    <w:uiPriority w:val="9"/>
    <w:semiHidden/>
    <w:rsid w:val="00826F82"/>
    <w:rPr>
      <w:rFonts w:asciiTheme="majorHAnsi" w:eastAsiaTheme="majorEastAsia" w:hAnsiTheme="majorHAnsi" w:cstheme="majorBidi"/>
      <w:i/>
      <w:iCs/>
      <w:color w:val="244061" w:themeColor="accent1" w:themeShade="80"/>
      <w:sz w:val="21"/>
      <w:szCs w:val="21"/>
    </w:rPr>
  </w:style>
  <w:style w:type="character" w:customStyle="1" w:styleId="Heading8Char">
    <w:name w:val="Heading 8 Char"/>
    <w:basedOn w:val="DefaultParagraphFont"/>
    <w:link w:val="Heading8"/>
    <w:uiPriority w:val="9"/>
    <w:semiHidden/>
    <w:rsid w:val="00826F82"/>
    <w:rPr>
      <w:rFonts w:asciiTheme="majorHAnsi" w:eastAsiaTheme="majorEastAsia" w:hAnsiTheme="majorHAnsi" w:cstheme="majorBidi"/>
      <w:b/>
      <w:bCs/>
      <w:color w:val="1F497D" w:themeColor="text2"/>
    </w:rPr>
  </w:style>
  <w:style w:type="character" w:customStyle="1" w:styleId="Heading9Char">
    <w:name w:val="Heading 9 Char"/>
    <w:basedOn w:val="DefaultParagraphFont"/>
    <w:link w:val="Heading9"/>
    <w:uiPriority w:val="9"/>
    <w:semiHidden/>
    <w:rsid w:val="00826F82"/>
    <w:rPr>
      <w:rFonts w:asciiTheme="majorHAnsi" w:eastAsiaTheme="majorEastAsia" w:hAnsiTheme="majorHAnsi" w:cstheme="majorBidi"/>
      <w:b/>
      <w:bCs/>
      <w:i/>
      <w:iCs/>
      <w:color w:val="1F497D" w:themeColor="text2"/>
    </w:rPr>
  </w:style>
  <w:style w:type="paragraph" w:styleId="Caption">
    <w:name w:val="caption"/>
    <w:basedOn w:val="Normal"/>
    <w:next w:val="Normal"/>
    <w:uiPriority w:val="35"/>
    <w:semiHidden/>
    <w:unhideWhenUsed/>
    <w:qFormat/>
    <w:rsid w:val="00826F82"/>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826F82"/>
    <w:pPr>
      <w:spacing w:after="0" w:line="240" w:lineRule="auto"/>
      <w:contextualSpacing/>
    </w:pPr>
    <w:rPr>
      <w:rFonts w:asciiTheme="majorHAnsi" w:eastAsiaTheme="majorEastAsia" w:hAnsiTheme="majorHAnsi" w:cstheme="majorBidi"/>
      <w:color w:val="4F81BD" w:themeColor="accent1"/>
      <w:spacing w:val="-10"/>
      <w:sz w:val="56"/>
      <w:szCs w:val="56"/>
    </w:rPr>
  </w:style>
  <w:style w:type="character" w:customStyle="1" w:styleId="TitleChar">
    <w:name w:val="Title Char"/>
    <w:basedOn w:val="DefaultParagraphFont"/>
    <w:link w:val="Title"/>
    <w:uiPriority w:val="10"/>
    <w:rsid w:val="00826F82"/>
    <w:rPr>
      <w:rFonts w:asciiTheme="majorHAnsi" w:eastAsiaTheme="majorEastAsia" w:hAnsiTheme="majorHAnsi" w:cstheme="majorBidi"/>
      <w:color w:val="4F81BD" w:themeColor="accent1"/>
      <w:spacing w:val="-10"/>
      <w:sz w:val="56"/>
      <w:szCs w:val="56"/>
    </w:rPr>
  </w:style>
  <w:style w:type="paragraph" w:styleId="Subtitle">
    <w:name w:val="Subtitle"/>
    <w:basedOn w:val="Normal"/>
    <w:next w:val="Normal"/>
    <w:link w:val="SubtitleChar"/>
    <w:uiPriority w:val="11"/>
    <w:qFormat/>
    <w:rsid w:val="00826F82"/>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826F82"/>
    <w:rPr>
      <w:rFonts w:asciiTheme="majorHAnsi" w:eastAsiaTheme="majorEastAsia" w:hAnsiTheme="majorHAnsi" w:cstheme="majorBidi"/>
      <w:sz w:val="24"/>
      <w:szCs w:val="24"/>
    </w:rPr>
  </w:style>
  <w:style w:type="character" w:styleId="Strong">
    <w:name w:val="Strong"/>
    <w:basedOn w:val="DefaultParagraphFont"/>
    <w:uiPriority w:val="22"/>
    <w:qFormat/>
    <w:rsid w:val="00826F82"/>
    <w:rPr>
      <w:b/>
      <w:bCs/>
    </w:rPr>
  </w:style>
  <w:style w:type="character" w:styleId="Emphasis">
    <w:name w:val="Emphasis"/>
    <w:basedOn w:val="DefaultParagraphFont"/>
    <w:uiPriority w:val="20"/>
    <w:qFormat/>
    <w:rsid w:val="00826F82"/>
    <w:rPr>
      <w:i/>
      <w:iCs/>
    </w:rPr>
  </w:style>
  <w:style w:type="paragraph" w:styleId="NoSpacing">
    <w:name w:val="No Spacing"/>
    <w:uiPriority w:val="1"/>
    <w:qFormat/>
    <w:rsid w:val="00826F82"/>
    <w:pPr>
      <w:spacing w:after="0" w:line="240" w:lineRule="auto"/>
    </w:pPr>
  </w:style>
  <w:style w:type="paragraph" w:styleId="Quote">
    <w:name w:val="Quote"/>
    <w:basedOn w:val="Normal"/>
    <w:next w:val="Normal"/>
    <w:link w:val="QuoteChar"/>
    <w:uiPriority w:val="29"/>
    <w:qFormat/>
    <w:rsid w:val="00826F82"/>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826F82"/>
    <w:rPr>
      <w:i/>
      <w:iCs/>
      <w:color w:val="404040" w:themeColor="text1" w:themeTint="BF"/>
    </w:rPr>
  </w:style>
  <w:style w:type="paragraph" w:styleId="IntenseQuote">
    <w:name w:val="Intense Quote"/>
    <w:basedOn w:val="Normal"/>
    <w:next w:val="Normal"/>
    <w:link w:val="IntenseQuoteChar"/>
    <w:uiPriority w:val="30"/>
    <w:qFormat/>
    <w:rsid w:val="00826F82"/>
    <w:pPr>
      <w:pBdr>
        <w:left w:val="single" w:sz="18" w:space="12" w:color="4F81BD" w:themeColor="accent1"/>
      </w:pBdr>
      <w:spacing w:before="100" w:beforeAutospacing="1" w:line="300" w:lineRule="auto"/>
      <w:ind w:left="1224" w:right="1224"/>
    </w:pPr>
    <w:rPr>
      <w:rFonts w:asciiTheme="majorHAnsi" w:eastAsiaTheme="majorEastAsia" w:hAnsiTheme="majorHAnsi" w:cstheme="majorBidi"/>
      <w:color w:val="4F81BD" w:themeColor="accent1"/>
      <w:sz w:val="28"/>
      <w:szCs w:val="28"/>
    </w:rPr>
  </w:style>
  <w:style w:type="character" w:customStyle="1" w:styleId="IntenseQuoteChar">
    <w:name w:val="Intense Quote Char"/>
    <w:basedOn w:val="DefaultParagraphFont"/>
    <w:link w:val="IntenseQuote"/>
    <w:uiPriority w:val="30"/>
    <w:rsid w:val="00826F82"/>
    <w:rPr>
      <w:rFonts w:asciiTheme="majorHAnsi" w:eastAsiaTheme="majorEastAsia" w:hAnsiTheme="majorHAnsi" w:cstheme="majorBidi"/>
      <w:color w:val="4F81BD" w:themeColor="accent1"/>
      <w:sz w:val="28"/>
      <w:szCs w:val="28"/>
    </w:rPr>
  </w:style>
  <w:style w:type="character" w:styleId="SubtleEmphasis">
    <w:name w:val="Subtle Emphasis"/>
    <w:basedOn w:val="DefaultParagraphFont"/>
    <w:uiPriority w:val="19"/>
    <w:qFormat/>
    <w:rsid w:val="00826F82"/>
    <w:rPr>
      <w:i/>
      <w:iCs/>
      <w:color w:val="404040" w:themeColor="text1" w:themeTint="BF"/>
    </w:rPr>
  </w:style>
  <w:style w:type="character" w:styleId="IntenseEmphasis">
    <w:name w:val="Intense Emphasis"/>
    <w:basedOn w:val="DefaultParagraphFont"/>
    <w:uiPriority w:val="21"/>
    <w:qFormat/>
    <w:rsid w:val="00826F82"/>
    <w:rPr>
      <w:b/>
      <w:bCs/>
      <w:i/>
      <w:iCs/>
    </w:rPr>
  </w:style>
  <w:style w:type="character" w:styleId="SubtleReference">
    <w:name w:val="Subtle Reference"/>
    <w:basedOn w:val="DefaultParagraphFont"/>
    <w:uiPriority w:val="31"/>
    <w:qFormat/>
    <w:rsid w:val="00826F82"/>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826F82"/>
    <w:rPr>
      <w:b/>
      <w:bCs/>
      <w:smallCaps/>
      <w:spacing w:val="5"/>
      <w:u w:val="single"/>
    </w:rPr>
  </w:style>
  <w:style w:type="character" w:styleId="BookTitle">
    <w:name w:val="Book Title"/>
    <w:basedOn w:val="DefaultParagraphFont"/>
    <w:uiPriority w:val="33"/>
    <w:qFormat/>
    <w:rsid w:val="00826F82"/>
    <w:rPr>
      <w:b/>
      <w:bCs/>
      <w:smallCaps/>
    </w:rPr>
  </w:style>
  <w:style w:type="paragraph" w:styleId="CommentSubject">
    <w:name w:val="annotation subject"/>
    <w:basedOn w:val="CommentText"/>
    <w:next w:val="CommentText"/>
    <w:link w:val="CommentSubjectChar"/>
    <w:uiPriority w:val="99"/>
    <w:semiHidden/>
    <w:unhideWhenUsed/>
    <w:rsid w:val="00354F62"/>
    <w:rPr>
      <w:b/>
      <w:bCs/>
    </w:rPr>
  </w:style>
  <w:style w:type="character" w:customStyle="1" w:styleId="CommentSubjectChar">
    <w:name w:val="Comment Subject Char"/>
    <w:basedOn w:val="CommentTextChar"/>
    <w:link w:val="CommentSubject"/>
    <w:uiPriority w:val="99"/>
    <w:semiHidden/>
    <w:rsid w:val="00354F6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2.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blog.metmuseum.org/artofillumination/2010/03/24/the-hours-of-the-virgin/"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blog.metmuseum.org/artofillumination/2010/03/24/the-hours-of-the-virgi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5739DF5-9D86-4273-8D29-EB18159D5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15</Pages>
  <Words>2673</Words>
  <Characters>15241</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Irvine Valley College</Company>
  <LinksUpToDate>false</LinksUpToDate>
  <CharactersWithSpaces>17879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Windows User</dc:creator>
  <cp:lastModifiedBy>University Of Wales</cp:lastModifiedBy>
  <cp:revision>5</cp:revision>
  <dcterms:created xsi:type="dcterms:W3CDTF">2018-05-11T22:39:00Z</dcterms:created>
  <dcterms:modified xsi:type="dcterms:W3CDTF">2018-05-11T22:50:00Z</dcterms:modified>
</cp:coreProperties>
</file>