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eg" ContentType="image/jpeg"/>
  <Override PartName="/word/settings.xml" ContentType="application/vnd.openxmlformats-officedocument.wordprocessingml.settings+xml"/>
  <Override PartName="/word/footer1.xml" ContentType="application/vnd.openxmlformats-officedocument.wordprocessingml.footer+xml"/>
  <Override PartName="/word/document.xml" ContentType="application/vnd.openxmlformats-officedocument.wordprocessingml.document.main+xml"/>
  <Override PartName="/word/styles.xml" ContentType="application/vnd.openxmlformats-officedocument.wordprocessingml.style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package/2006/relationships/metadata/thumbnail" Target="docProps/thumbnail.jpeg"/></Relationships>
</file>

<file path=word/document.xml><?xml version="1.0" encoding="utf-8"?>
<w:document xmlns:w="http://schemas.openxmlformats.org/wordprocessingml/2006/main" xmlns:o="urn:schemas-microsoft-com:office:office" xmlns:r="http://schemas.openxmlformats.org/officeDocument/2006/relationships" xmlns:m="http://schemas.openxmlformats.org/officeDocument/2006/math" xmlns:v="urn:schemas-microsoft-com:vml" xmlns:a="http://schemas.openxmlformats.org/drawingml/2006/main" xmlns:wps="http://schemas.microsoft.com/office/word/2010/wordprocessingShape" xmlns:wp="http://schemas.openxmlformats.org/drawingml/2006/wordprocessingDrawing" xmlns:pic="http://schemas.openxmlformats.org/drawingml/2006/picture" xmlns:mc="http://schemas.openxmlformats.org/markup-compatibility/2006" xmlns:wpg="http://schemas.microsoft.com/office/word/2010/wordprocessingGroup" xmlns:wpc="http://schemas.microsoft.com/office/word/2010/wordprocessingCanvas" xmlns:w10="urn:schemas-microsoft-com:office:word" xmlns:w14="http://schemas.microsoft.com/office/word/2010/wordml" xmlns:a14="http://schemas.microsoft.com/office/drawing/2010/main" mc:Ignorable="w14">
  <w:body>
    <w:p>
      <w:pPr>
        <w:jc w:val="center"/>
        <w:rPr>
          <w:b/>
          <w:bCs/>
          <w:sz w:val="32"/>
          <w:szCs w:val="32"/>
        </w:rPr>
      </w:pPr>
    </w:p>
    <w:p>
      <w:pPr>
        <w:jc w:val="center"/>
        <w:rPr>
          <w:b/>
          <w:bCs/>
          <w:sz w:val="32"/>
          <w:szCs w:val="32"/>
        </w:rPr>
      </w:pPr>
    </w:p>
    <w:p>
      <w:pPr>
        <w:jc w:val="center"/>
        <w:rPr>
          <w:b/>
          <w:bCs/>
          <w:sz w:val="32"/>
          <w:szCs w:val="32"/>
        </w:rPr>
      </w:pPr>
    </w:p>
    <w:p>
      <w:pPr>
        <w:jc w:val="center"/>
        <w:rPr>
          <w:b/>
          <w:bCs/>
          <w:sz w:val="32"/>
          <w:szCs w:val="32"/>
        </w:rPr>
      </w:pPr>
    </w:p>
    <w:p>
      <w:pPr>
        <w:jc w:val="center"/>
        <w:rPr>
          <w:b/>
          <w:bCs/>
          <w:sz w:val="32"/>
          <w:szCs w:val="32"/>
        </w:rPr>
      </w:pPr>
    </w:p>
    <w:p>
      <w:pPr>
        <w:jc w:val="center"/>
        <w:rPr>
          <w:b/>
          <w:bCs/>
          <w:sz w:val="32"/>
          <w:szCs w:val="32"/>
        </w:rPr>
      </w:pPr>
    </w:p>
    <w:p>
      <w:pPr>
        <w:jc w:val="center"/>
        <w:rPr>
          <w:b/>
          <w:bCs/>
          <w:sz w:val="32"/>
          <w:szCs w:val="32"/>
        </w:rPr>
      </w:pPr>
    </w:p>
    <w:p>
      <w:pPr>
        <w:jc w:val="center"/>
        <w:rPr>
          <w:b/>
          <w:bCs/>
          <w:sz w:val="32"/>
          <w:szCs w:val="32"/>
        </w:rPr>
      </w:pPr>
    </w:p>
    <w:p>
      <w:pPr>
        <w:jc w:val="center"/>
        <w:rPr>
          <w:b/>
          <w:bCs/>
          <w:sz w:val="32"/>
          <w:szCs w:val="32"/>
        </w:rPr>
      </w:pPr>
    </w:p>
    <w:p>
      <w:pPr>
        <w:jc w:val="center"/>
        <w:rPr>
          <w:b/>
          <w:bCs/>
          <w:sz w:val="32"/>
          <w:szCs w:val="32"/>
        </w:rPr>
      </w:pPr>
      <w:r>
        <w:rPr>
          <w:b/>
          <w:bCs/>
          <w:sz w:val="32"/>
          <w:szCs w:val="32"/>
        </w:rPr>
        <w:t xml:space="preserve">Programme: CertHE Computing Skills for Workplace </w:t>
      </w:r>
    </w:p>
    <w:p>
      <w:pPr>
        <w:jc w:val="center"/>
        <w:rPr>
          <w:b/>
          <w:bCs/>
          <w:sz w:val="32"/>
          <w:szCs w:val="32"/>
        </w:rPr>
      </w:pPr>
      <w:r>
        <w:rPr>
          <w:b/>
          <w:bCs/>
          <w:sz w:val="32"/>
          <w:szCs w:val="32"/>
        </w:rPr>
        <w:t xml:space="preserve">Module: Learning in the Digital Era </w:t>
      </w:r>
    </w:p>
    <w:p>
      <w:pPr>
        <w:jc w:val="center"/>
        <w:rPr>
          <w:b/>
          <w:bCs/>
          <w:sz w:val="32"/>
          <w:szCs w:val="32"/>
        </w:rPr>
      </w:pPr>
      <w:r>
        <w:rPr>
          <w:b/>
          <w:bCs/>
          <w:sz w:val="32"/>
          <w:szCs w:val="32"/>
        </w:rPr>
        <w:t xml:space="preserve">Module code: ACCA4025 </w:t>
      </w:r>
    </w:p>
    <w:p>
      <w:pPr>
        <w:jc w:val="center"/>
        <w:rPr>
          <w:b/>
          <w:bCs/>
          <w:sz w:val="32"/>
          <w:szCs w:val="32"/>
        </w:rPr>
      </w:pPr>
      <w:r>
        <w:rPr>
          <w:b/>
          <w:bCs/>
          <w:sz w:val="32"/>
          <w:szCs w:val="32"/>
        </w:rPr>
        <w:t xml:space="preserve">Contribution to Overall Module Assessment (%): 50% </w:t>
      </w:r>
    </w:p>
    <w:p>
      <w:pPr>
        <w:jc w:val="center"/>
        <w:rPr>
          <w:b/>
          <w:bCs/>
          <w:sz w:val="32"/>
          <w:szCs w:val="32"/>
        </w:rPr>
      </w:pPr>
      <w:r>
        <w:rPr>
          <w:b/>
          <w:bCs/>
          <w:sz w:val="32"/>
          <w:szCs w:val="32"/>
        </w:rPr>
        <w:t>Lecturer: Koushik Modak</w:t>
      </w:r>
    </w:p>
    <w:p>
      <w:pPr>
        <w:jc w:val="center"/>
        <w:rPr>
          <w:b/>
          <w:bCs/>
          <w:sz w:val="32"/>
          <w:szCs w:val="32"/>
        </w:rPr>
      </w:pPr>
      <w:r>
        <w:rPr>
          <w:b/>
          <w:bCs/>
          <w:sz w:val="32"/>
          <w:szCs w:val="32"/>
        </w:rPr>
        <w:t>Student name: Mihai Cristin</w:t>
      </w:r>
    </w:p>
    <w:p>
      <w:pPr>
        <w:jc w:val="center"/>
        <w:rPr>
          <w:b/>
          <w:bCs/>
          <w:sz w:val="32"/>
          <w:szCs w:val="32"/>
        </w:rPr>
      </w:pPr>
      <w:r>
        <w:rPr>
          <w:b/>
          <w:bCs/>
          <w:sz w:val="32"/>
          <w:szCs w:val="32"/>
        </w:rPr>
        <w:t>Student ID number:2442385</w:t>
      </w:r>
      <w:bookmarkStart w:id="0" w:name="_GoBack"/>
      <w:bookmarkEnd w:id="0"/>
    </w:p>
    <w:p>
      <w:pPr>
        <w:rPr>
          <w:b/>
          <w:bCs/>
          <w:sz w:val="32"/>
          <w:szCs w:val="32"/>
        </w:rPr>
      </w:pPr>
      <w:r>
        <w:rPr>
          <w:b/>
          <w:bCs/>
          <w:sz w:val="32"/>
          <w:szCs w:val="32"/>
        </w:rPr>
        <w:br w:type="page"/>
      </w:r>
    </w:p>
    <w:sdt>
      <w:sdtPr>
        <w:rPr>
          <w:rFonts w:ascii="Times New Roman" w:eastAsia="Times New Roman" w:cs="Times New Roman" w:hAnsi="Times New Roman"/>
          <w:color w:val="auto"/>
          <w:sz w:val="24"/>
          <w:szCs w:val="24"/>
          <w:lang w:eastAsia="en-IN"/>
        </w:rPr>
        <w:id w:val="-65001611"/>
        <w:docPartObj>
          <w:docPartGallery/>
          <w:docPartUnique/>
        </w:docPartObj>
      </w:sdtPr>
      <w:sdtContent>
        <w:p>
          <w:pPr>
            <w:pStyle w:val="17"/>
            <w:jc w:val="center"/>
            <w:rPr>
              <w:rFonts w:ascii="Times New Roman" w:cs="Times New Roman" w:hAnsi="Times New Roman"/>
              <w:b/>
              <w:bCs/>
              <w:color w:val="auto"/>
              <w:sz w:val="28"/>
              <w:szCs w:val="28"/>
            </w:rPr>
          </w:pPr>
          <w:r>
            <w:rPr>
              <w:rFonts w:ascii="Times New Roman" w:cs="Times New Roman" w:hAnsi="Times New Roman"/>
              <w:b/>
              <w:bCs/>
              <w:color w:val="auto"/>
              <w:sz w:val="28"/>
              <w:szCs w:val="28"/>
            </w:rPr>
            <w:t>TABLE OF CONTENTS</w:t>
          </w:r>
        </w:p>
        <w:p>
          <w:pPr>
            <w:pStyle w:val="18"/>
            <w:tabs>
              <w:tab w:val="right" w:leader="dot" w:pos="9350"/>
            </w:tabs>
            <w:rPr>
              <w:rFonts w:ascii="Droid Sans" w:eastAsia="宋体" w:cs="Arial" w:hAnsi="Droid Sans"/>
              <w:kern w:val="2"/>
              <w:lang w:val="en-IN"/>
            </w:rPr>
          </w:pPr>
          <w:r>
            <w:fldChar w:fldCharType="begin"/>
          </w:r>
          <w:r>
            <w:instrText xml:space="preserve"> TOC \o "1-3" \h \z \u </w:instrText>
          </w:r>
          <w:r>
            <w:fldChar w:fldCharType="separate"/>
          </w:r>
          <w:r>
            <w:fldChar w:fldCharType="begin"/>
          </w:r>
          <w:r>
            <w:instrText>Hyperlink \l "_Toc214408786"</w:instrText>
          </w:r>
          <w:r>
            <w:fldChar w:fldCharType="separate"/>
          </w:r>
          <w:r>
            <w:t>TASK 1: Essential Skills Summary + Reflection</w:t>
            <w:tab/>
          </w:r>
          <w:r>
            <w:fldChar w:fldCharType="begin"/>
          </w:r>
          <w:r>
            <w:instrText xml:space="preserve"> PAGEREF _Toc214408786 \h </w:instrText>
          </w:r>
          <w:r>
            <w:fldChar w:fldCharType="separate"/>
          </w:r>
          <w:r>
            <w:t>3</w:t>
          </w:r>
          <w:r>
            <w:fldChar w:fldCharType="end"/>
          </w:r>
          <w:r>
            <w:fldChar w:fldCharType="end"/>
          </w:r>
        </w:p>
        <w:p>
          <w:pPr>
            <w:pStyle w:val="19"/>
            <w:tabs>
              <w:tab w:val="right" w:leader="dot" w:pos="9350"/>
            </w:tabs>
            <w:rPr>
              <w:rFonts w:ascii="Droid Sans" w:eastAsia="宋体" w:cs="Arial" w:hAnsi="Droid Sans"/>
              <w:kern w:val="2"/>
              <w:lang w:val="en-IN"/>
            </w:rPr>
          </w:pPr>
          <w:r>
            <w:fldChar w:fldCharType="begin"/>
          </w:r>
          <w:r>
            <w:instrText>Hyperlink \l "_Toc214408787"</w:instrText>
          </w:r>
          <w:r>
            <w:fldChar w:fldCharType="separate"/>
          </w:r>
          <w:r>
            <w:t>Part A:  Academic and Employment Skills</w:t>
            <w:tab/>
          </w:r>
          <w:r>
            <w:fldChar w:fldCharType="begin"/>
          </w:r>
          <w:r>
            <w:instrText xml:space="preserve"> PAGEREF _Toc214408787 \h </w:instrText>
          </w:r>
          <w:r>
            <w:fldChar w:fldCharType="separate"/>
          </w:r>
          <w:r>
            <w:t>3</w:t>
          </w:r>
          <w:r>
            <w:fldChar w:fldCharType="end"/>
          </w:r>
          <w:r>
            <w:fldChar w:fldCharType="end"/>
          </w:r>
        </w:p>
        <w:p>
          <w:pPr>
            <w:pStyle w:val="19"/>
            <w:tabs>
              <w:tab w:val="right" w:leader="dot" w:pos="9350"/>
            </w:tabs>
            <w:rPr>
              <w:rFonts w:ascii="Droid Sans" w:eastAsia="宋体" w:cs="Arial" w:hAnsi="Droid Sans"/>
              <w:kern w:val="2"/>
              <w:lang w:val="en-IN"/>
            </w:rPr>
          </w:pPr>
          <w:r>
            <w:fldChar w:fldCharType="begin"/>
          </w:r>
          <w:r>
            <w:instrText>Hyperlink \l "_Toc214408788"</w:instrText>
          </w:r>
          <w:r>
            <w:fldChar w:fldCharType="separate"/>
          </w:r>
          <w:r>
            <w:t>Part B: Reflection</w:t>
            <w:tab/>
          </w:r>
          <w:r>
            <w:fldChar w:fldCharType="begin"/>
          </w:r>
          <w:r>
            <w:instrText xml:space="preserve"> PAGEREF _Toc214408788 \h </w:instrText>
          </w:r>
          <w:r>
            <w:fldChar w:fldCharType="separate"/>
          </w:r>
          <w:r>
            <w:t>3</w:t>
          </w:r>
          <w:r>
            <w:fldChar w:fldCharType="end"/>
          </w:r>
          <w:r>
            <w:fldChar w:fldCharType="end"/>
          </w:r>
        </w:p>
        <w:p>
          <w:pPr>
            <w:pStyle w:val="18"/>
            <w:tabs>
              <w:tab w:val="right" w:leader="dot" w:pos="9350"/>
            </w:tabs>
            <w:rPr>
              <w:rFonts w:ascii="Droid Sans" w:eastAsia="宋体" w:cs="Arial" w:hAnsi="Droid Sans"/>
              <w:kern w:val="2"/>
              <w:lang w:val="en-IN"/>
            </w:rPr>
          </w:pPr>
          <w:r>
            <w:fldChar w:fldCharType="begin"/>
          </w:r>
          <w:r>
            <w:instrText>Hyperlink \l "_Toc214408789"</w:instrText>
          </w:r>
          <w:r>
            <w:fldChar w:fldCharType="separate"/>
          </w:r>
          <w:r>
            <w:t>TASK 2: Teamwork Mind Map + Academic Poster</w:t>
            <w:tab/>
          </w:r>
          <w:r>
            <w:fldChar w:fldCharType="begin"/>
          </w:r>
          <w:r>
            <w:instrText xml:space="preserve"> PAGEREF _Toc214408789 \h </w:instrText>
          </w:r>
          <w:r>
            <w:fldChar w:fldCharType="separate"/>
          </w:r>
          <w:r>
            <w:t>4</w:t>
          </w:r>
          <w:r>
            <w:fldChar w:fldCharType="end"/>
          </w:r>
          <w:r>
            <w:fldChar w:fldCharType="end"/>
          </w:r>
        </w:p>
        <w:p>
          <w:pPr>
            <w:pStyle w:val="19"/>
            <w:tabs>
              <w:tab w:val="right" w:leader="dot" w:pos="9350"/>
            </w:tabs>
            <w:rPr>
              <w:rFonts w:ascii="Droid Sans" w:eastAsia="宋体" w:cs="Arial" w:hAnsi="Droid Sans"/>
              <w:kern w:val="2"/>
              <w:lang w:val="en-IN"/>
            </w:rPr>
          </w:pPr>
          <w:r>
            <w:fldChar w:fldCharType="begin"/>
          </w:r>
          <w:r>
            <w:instrText>Hyperlink \l "_Toc214408790"</w:instrText>
          </w:r>
          <w:r>
            <w:fldChar w:fldCharType="separate"/>
          </w:r>
          <w:r>
            <w:t>Part A: Academic Poster</w:t>
            <w:tab/>
          </w:r>
          <w:r>
            <w:fldChar w:fldCharType="begin"/>
          </w:r>
          <w:r>
            <w:instrText xml:space="preserve"> PAGEREF _Toc214408790 \h </w:instrText>
          </w:r>
          <w:r>
            <w:fldChar w:fldCharType="separate"/>
          </w:r>
          <w:r>
            <w:t>4</w:t>
          </w:r>
          <w:r>
            <w:fldChar w:fldCharType="end"/>
          </w:r>
          <w:r>
            <w:fldChar w:fldCharType="end"/>
          </w:r>
        </w:p>
        <w:p>
          <w:pPr>
            <w:pStyle w:val="19"/>
            <w:tabs>
              <w:tab w:val="right" w:leader="dot" w:pos="9350"/>
            </w:tabs>
            <w:rPr>
              <w:rFonts w:ascii="Droid Sans" w:eastAsia="宋体" w:cs="Arial" w:hAnsi="Droid Sans"/>
              <w:kern w:val="2"/>
              <w:lang w:val="en-IN"/>
            </w:rPr>
          </w:pPr>
          <w:r>
            <w:fldChar w:fldCharType="begin"/>
          </w:r>
          <w:r>
            <w:instrText>Hyperlink \l "_Toc214408791"</w:instrText>
          </w:r>
          <w:r>
            <w:fldChar w:fldCharType="separate"/>
          </w:r>
          <w:r>
            <w:t>Part B: Team Mind Map</w:t>
            <w:tab/>
          </w:r>
          <w:r>
            <w:fldChar w:fldCharType="begin"/>
          </w:r>
          <w:r>
            <w:instrText xml:space="preserve"> PAGEREF _Toc214408791 \h </w:instrText>
          </w:r>
          <w:r>
            <w:fldChar w:fldCharType="separate"/>
          </w:r>
          <w:r>
            <w:t>5</w:t>
          </w:r>
          <w:r>
            <w:fldChar w:fldCharType="end"/>
          </w:r>
          <w:r>
            <w:fldChar w:fldCharType="end"/>
          </w:r>
        </w:p>
        <w:p>
          <w:pPr>
            <w:pStyle w:val="18"/>
            <w:tabs>
              <w:tab w:val="right" w:leader="dot" w:pos="9350"/>
            </w:tabs>
            <w:rPr>
              <w:rFonts w:ascii="Droid Sans" w:eastAsia="宋体" w:cs="Arial" w:hAnsi="Droid Sans"/>
              <w:kern w:val="2"/>
              <w:lang w:val="en-IN"/>
            </w:rPr>
          </w:pPr>
          <w:r>
            <w:fldChar w:fldCharType="begin"/>
          </w:r>
          <w:r>
            <w:instrText>Hyperlink \l "_Toc214408792"</w:instrText>
          </w:r>
          <w:r>
            <w:fldChar w:fldCharType="separate"/>
          </w:r>
          <w:r>
            <w:t>TASK 3: Automatic Referencing Tool</w:t>
            <w:tab/>
          </w:r>
          <w:r>
            <w:fldChar w:fldCharType="begin"/>
          </w:r>
          <w:r>
            <w:instrText xml:space="preserve"> PAGEREF _Toc214408792 \h </w:instrText>
          </w:r>
          <w:r>
            <w:fldChar w:fldCharType="separate"/>
          </w:r>
          <w:r>
            <w:t>7</w:t>
          </w:r>
          <w:r>
            <w:fldChar w:fldCharType="end"/>
          </w:r>
          <w:r>
            <w:fldChar w:fldCharType="end"/>
          </w:r>
        </w:p>
        <w:p>
          <w:pPr>
            <w:pStyle w:val="19"/>
            <w:tabs>
              <w:tab w:val="right" w:leader="dot" w:pos="9350"/>
            </w:tabs>
            <w:rPr>
              <w:rFonts w:ascii="Droid Sans" w:eastAsia="宋体" w:cs="Arial" w:hAnsi="Droid Sans"/>
              <w:kern w:val="2"/>
              <w:lang w:val="en-IN"/>
            </w:rPr>
          </w:pPr>
          <w:r>
            <w:fldChar w:fldCharType="begin"/>
          </w:r>
          <w:r>
            <w:instrText>Hyperlink \l "_Toc214408793"</w:instrText>
          </w:r>
          <w:r>
            <w:fldChar w:fldCharType="separate"/>
          </w:r>
          <w:r>
            <w:t>Part A: Summary on Virtual Collaboration</w:t>
            <w:tab/>
          </w:r>
          <w:r>
            <w:fldChar w:fldCharType="begin"/>
          </w:r>
          <w:r>
            <w:instrText xml:space="preserve"> PAGEREF _Toc214408793 \h </w:instrText>
          </w:r>
          <w:r>
            <w:fldChar w:fldCharType="separate"/>
          </w:r>
          <w:r>
            <w:t>7</w:t>
          </w:r>
          <w:r>
            <w:fldChar w:fldCharType="end"/>
          </w:r>
          <w:r>
            <w:fldChar w:fldCharType="end"/>
          </w:r>
        </w:p>
        <w:p>
          <w:pPr>
            <w:pStyle w:val="19"/>
            <w:tabs>
              <w:tab w:val="right" w:leader="dot" w:pos="9350"/>
            </w:tabs>
            <w:rPr>
              <w:rFonts w:ascii="Droid Sans" w:eastAsia="宋体" w:cs="Arial" w:hAnsi="Droid Sans"/>
              <w:kern w:val="2"/>
              <w:lang w:val="en-IN"/>
            </w:rPr>
          </w:pPr>
          <w:r>
            <w:fldChar w:fldCharType="begin"/>
          </w:r>
          <w:r>
            <w:instrText>Hyperlink \l "_Toc214408794"</w:instrText>
          </w:r>
          <w:r>
            <w:fldChar w:fldCharType="separate"/>
          </w:r>
          <w:r>
            <w:t>Part B: Practical Evidence</w:t>
            <w:tab/>
          </w:r>
          <w:r>
            <w:fldChar w:fldCharType="begin"/>
          </w:r>
          <w:r>
            <w:instrText xml:space="preserve"> PAGEREF _Toc214408794 \h </w:instrText>
          </w:r>
          <w:r>
            <w:fldChar w:fldCharType="separate"/>
          </w:r>
          <w:r>
            <w:t>7</w:t>
          </w:r>
          <w:r>
            <w:fldChar w:fldCharType="end"/>
          </w:r>
          <w:r>
            <w:fldChar w:fldCharType="end"/>
          </w:r>
        </w:p>
        <w:p>
          <w:pPr>
            <w:pStyle w:val="18"/>
            <w:tabs>
              <w:tab w:val="right" w:leader="dot" w:pos="9350"/>
            </w:tabs>
            <w:rPr>
              <w:rFonts w:ascii="Droid Sans" w:eastAsia="宋体" w:cs="Arial" w:hAnsi="Droid Sans"/>
              <w:kern w:val="2"/>
              <w:lang w:val="en-IN"/>
            </w:rPr>
          </w:pPr>
          <w:r>
            <w:fldChar w:fldCharType="begin"/>
          </w:r>
          <w:r>
            <w:instrText>Hyperlink \l "_Toc214408795"</w:instrText>
          </w:r>
          <w:r>
            <w:fldChar w:fldCharType="separate"/>
          </w:r>
          <w:r>
            <w:t>TASK 4: e-Portfolio creation and review</w:t>
            <w:tab/>
          </w:r>
          <w:r>
            <w:fldChar w:fldCharType="begin"/>
          </w:r>
          <w:r>
            <w:instrText xml:space="preserve"> PAGEREF _Toc214408795 \h </w:instrText>
          </w:r>
          <w:r>
            <w:fldChar w:fldCharType="separate"/>
          </w:r>
          <w:r>
            <w:t>8</w:t>
          </w:r>
          <w:r>
            <w:fldChar w:fldCharType="end"/>
          </w:r>
          <w:r>
            <w:fldChar w:fldCharType="end"/>
          </w:r>
        </w:p>
        <w:p>
          <w:pPr>
            <w:pStyle w:val="18"/>
            <w:tabs>
              <w:tab w:val="right" w:leader="dot" w:pos="9350"/>
            </w:tabs>
            <w:rPr>
              <w:rFonts w:ascii="Droid Sans" w:eastAsia="宋体" w:cs="Arial" w:hAnsi="Droid Sans"/>
              <w:kern w:val="2"/>
              <w:lang w:val="en-IN"/>
            </w:rPr>
          </w:pPr>
          <w:r>
            <w:fldChar w:fldCharType="begin"/>
          </w:r>
          <w:r>
            <w:instrText>Hyperlink \l "_Toc214408796"</w:instrText>
          </w:r>
          <w:r>
            <w:fldChar w:fldCharType="separate"/>
          </w:r>
          <w:r>
            <w:t>Reference List</w:t>
            <w:tab/>
          </w:r>
          <w:r>
            <w:fldChar w:fldCharType="begin"/>
          </w:r>
          <w:r>
            <w:instrText xml:space="preserve"> PAGEREF _Toc214408796 \h </w:instrText>
          </w:r>
          <w:r>
            <w:fldChar w:fldCharType="separate"/>
          </w:r>
          <w:r>
            <w:t>11</w:t>
          </w:r>
          <w:r>
            <w:fldChar w:fldCharType="end"/>
          </w:r>
          <w:r>
            <w:fldChar w:fldCharType="end"/>
          </w:r>
        </w:p>
        <w:p>
          <w:r>
            <w:rPr>
              <w:b/>
              <w:bCs/>
            </w:rPr>
            <w:fldChar w:fldCharType="end"/>
          </w:r>
        </w:p>
      </w:sdtContent>
    </w:sdt>
    <w:p>
      <w:pPr>
        <w:jc w:val="center"/>
        <w:rPr>
          <w:b/>
          <w:bCs/>
          <w:sz w:val="32"/>
          <w:szCs w:val="32"/>
        </w:rPr>
      </w:pPr>
    </w:p>
    <w:p>
      <w:pPr>
        <w:jc w:val="center"/>
        <w:rPr>
          <w:b/>
          <w:bCs/>
          <w:sz w:val="32"/>
          <w:szCs w:val="32"/>
        </w:rPr>
      </w:pPr>
      <w:r>
        <w:br w:type="page"/>
      </w:r>
    </w:p>
    <w:p>
      <w:pPr>
        <w:pStyle w:val="1"/>
      </w:pPr>
      <w:bookmarkStart w:id="1" w:name="_3mcuaylk9mb"/>
      <w:bookmarkStart w:id="2" w:name="_Toc214408786"/>
      <w:bookmarkEnd w:id="1"/>
      <w:r>
        <w:t>TASK 1: Essential Skills Summary + Reflection</w:t>
      </w:r>
      <w:bookmarkEnd w:id="2"/>
    </w:p>
    <w:p>
      <w:pPr>
        <w:pStyle w:val="2"/>
      </w:pPr>
      <w:bookmarkStart w:id="3" w:name="_v7c0d19tpf9"/>
      <w:bookmarkStart w:id="4" w:name="_Toc214408787"/>
      <w:bookmarkEnd w:id="3"/>
      <w:r>
        <w:t>Part A:  Academic and Employment Skills</w:t>
      </w:r>
      <w:bookmarkEnd w:id="4"/>
    </w:p>
    <w:p>
      <w:r>
        <w:t>Some of the key skills of the scholar are critical thinking, digital skills, academic writing, and effective communication. Critical thinking helps the students to analyze, judge facts and form valid arguments, which are mandatory in both academic work and problem solving activities [1]. Academic writing also helps learners to express ideas in a clear and comprehendible manner as well as follow proper conventions of writing like reference and proper organization. The importance of digital literacy is becoming primary; learners have to be sure about their ability to use online platforms, tools in their work, and virtual learning environments. Time management is another important skill that helps people to fulfill numerous deadlines and work effectively.</w:t>
      </w:r>
    </w:p>
    <w:p>
      <w:r>
        <w:t>Employment skills are also considered to augment the academic skills in equipping the learners with professional situations. These competences are teamwork, leadership, flexibility, problem-solving. Employers have great value of working in teams because they facilitate collaboration, innovation and shared responsibility [2]. Flexibility is critical to rapidly changing digital workplaces where employees need to react to new technologies and dynamic job roles. Written and verbal communication skills play a vital role in building relationships, delivery of information and in promoting organisational goals.</w:t>
      </w:r>
    </w:p>
    <w:p>
      <w:r>
        <w:t>All these abilities are correlated to my major career in computing. As a case in point, software-development teams cannot operate without teamwork and communication, whereas digital literacy will help use a programming tool and a cloud platform. Critical thinking can help in solving technical issues, troubleshooting and assessing them [3]. Together, emotional and job competencies promote future development, assurance as well as job marketability in the world of technology.</w:t>
      </w:r>
    </w:p>
    <w:p>
      <w:pPr>
        <w:pStyle w:val="2"/>
      </w:pPr>
      <w:bookmarkStart w:id="5" w:name="_whjyuiilgfrp"/>
      <w:bookmarkStart w:id="6" w:name="_Toc214408788"/>
      <w:bookmarkEnd w:id="5"/>
      <w:r>
        <w:t>Part B: Reflection</w:t>
      </w:r>
      <w:bookmarkEnd w:id="6"/>
      <w:r>
        <w:t xml:space="preserve"> </w:t>
      </w:r>
    </w:p>
    <w:p>
      <w:r>
        <w:t>My similarity score of 11% was after uploading my summary with Turnitin. This finding was largely contributed by the fact that definitions and academic phrases that are shared among many education materials have been included. I also used popular mostly recognised words and this was alerted by Turnitin as matched text [5]. In order to decrease future possession of identical submissions, I will have paraphrased more sources, used wider sources and concentrated on portraying ideas in my own light of analysis. By the Generic Assessment Criteria, I would rate myself 78, because my work was well designed, well written, well referenced and showed a thorough grasp of fundamental skill</w:t>
      </w:r>
    </w:p>
    <w:p>
      <w:pPr>
        <w:pStyle w:val="1"/>
      </w:pPr>
      <w:bookmarkStart w:id="7" w:name="_b6cs5kmaju4a"/>
      <w:bookmarkStart w:id="8" w:name="_Toc214408789"/>
      <w:bookmarkEnd w:id="7"/>
      <w:r>
        <w:t>TASK 2: Teamwork Mind Map + Academic Poster</w:t>
      </w:r>
      <w:bookmarkEnd w:id="8"/>
    </w:p>
    <w:p>
      <w:pPr>
        <w:pStyle w:val="2"/>
      </w:pPr>
      <w:bookmarkStart w:id="9" w:name="_ubdfg91ugbax"/>
      <w:bookmarkStart w:id="10" w:name="_Toc214408790"/>
      <w:bookmarkEnd w:id="9"/>
      <w:r>
        <w:t>Part A: Academic Poster</w:t>
      </w:r>
      <w:bookmarkEnd w:id="10"/>
      <w:r>
        <w:t xml:space="preserve"> </w:t>
      </w:r>
    </w:p>
    <w:p>
      <w:pPr>
        <w:jc w:val="center"/>
      </w:pPr>
      <w:r>
        <w:drawing>
          <wp:inline distT="0" distB="0" distL="0" distR="0">
            <wp:extent cx="4548109" cy="6389537"/>
            <wp:effectExtent l="0" t="0" r="0" b="0"/>
            <wp:docPr id="1" name="Imagini 1"/>
            <wp:cNvGraphicFramePr>
              <a:graphicFrameLocks noChangeAspect="1"/>
            </wp:cNvGraphicFramePr>
            <a:graphic>
              <a:graphicData uri="http://schemas.openxmlformats.org/drawingml/2006/picture">
                <pic:pic>
                  <pic:nvPicPr>
                    <pic:cNvPr id="3" name="Imagini 3"/>
                    <pic:cNvPicPr/>
                  </pic:nvPicPr>
                  <pic:blipFill>
                    <a:blip r:embed="rId3"/>
                    <a:stretch>
                      <a:fillRect/>
                    </a:stretch>
                  </pic:blipFill>
                  <pic:spPr>
                    <a:xfrm rot="0">
                      <a:off x="0" y="0"/>
                      <a:ext cx="4548109" cy="6389537"/>
                    </a:xfrm>
                    <a:prstGeom prst="rect"/>
                    <a:noFill/>
                    <a:ln w="12700" cmpd="sng" cap="flat">
                      <a:noFill/>
                      <a:prstDash val="solid"/>
                      <a:miter/>
                    </a:ln>
                  </pic:spPr>
                </pic:pic>
              </a:graphicData>
            </a:graphic>
          </wp:inline>
        </w:drawing>
      </w:r>
    </w:p>
    <w:p>
      <w:pPr>
        <w:jc w:val="center"/>
        <w:rPr>
          <w:b/>
          <w:bCs/>
        </w:rPr>
      </w:pPr>
      <w:r>
        <w:rPr>
          <w:b/>
          <w:bCs/>
        </w:rPr>
        <w:t>Figure 1: Poster</w:t>
      </w:r>
    </w:p>
    <w:p>
      <w:pPr>
        <w:jc w:val="center"/>
      </w:pPr>
      <w:r>
        <w:t>(Source: Self-Ceated)</w:t>
      </w:r>
    </w:p>
    <w:p>
      <w:pPr>
        <w:rPr>
          <w:b/>
          <w:bCs/>
        </w:rPr>
      </w:pPr>
      <w:r>
        <w:rPr>
          <w:b/>
          <w:bCs/>
        </w:rPr>
        <w:t>Why Teamwork is Important for Academic Success</w:t>
      </w:r>
    </w:p>
    <w:p>
      <w:r>
        <w:t>Teamwork enables students to exchange knowledge, pool strengths, as well as to create a more profound comprehension. Group discussions help in critical thinking since it exposes learners to a wide range of opinions [4]. Teamwork also develops communication and interpersonal skills, which cannot be ignored in higher learning. Collaboration with peers will enhance the handling of demanding tasks, increase motivation, and responsibility.</w:t>
      </w:r>
    </w:p>
    <w:p>
      <w:pPr>
        <w:rPr>
          <w:b/>
          <w:bCs/>
        </w:rPr>
      </w:pPr>
      <w:r>
        <w:rPr>
          <w:b/>
          <w:bCs/>
        </w:rPr>
        <w:t>Why Teamwork is Important for Career Success</w:t>
      </w:r>
    </w:p>
    <w:p>
      <w:r>
        <w:t>Teamwork promotes productivity, creativity and efficiency in problem solver at the workplace. Organisational goals are increasingly realised by employers through team based projects. Teamwork is also good in enhancing adaptability and professional communication [6]. The main focus of computing career development is working in a team and contributors of agile software development, working as a team, and having shared responsibilities as the key to effective project delivery.</w:t>
      </w:r>
    </w:p>
    <w:p>
      <w:pPr>
        <w:pStyle w:val="2"/>
      </w:pPr>
      <w:bookmarkStart w:id="11" w:name="_33fa3uyegkt9"/>
      <w:bookmarkStart w:id="12" w:name="_Toc214408791"/>
      <w:bookmarkEnd w:id="11"/>
      <w:r>
        <w:t>Part B: Team Mind Map</w:t>
      </w:r>
      <w:bookmarkEnd w:id="12"/>
    </w:p>
    <w:p>
      <w:pPr>
        <w:rPr>
          <w:b/>
          <w:bCs/>
        </w:rPr>
      </w:pPr>
      <w:r>
        <w:rPr>
          <w:b/>
          <w:bCs/>
        </w:rPr>
        <w:t xml:space="preserve">1. Central Theme: Teamwork  </w:t>
      </w:r>
    </w:p>
    <w:p>
      <w:r>
        <w:t>The mind map of the team is made of the key idea of the teamwork and the focus on the essential factors that promote the efficient team work. Both branches explore one of the key aspects which affect the way people collaborate in an academic and work-related sphere [7]. The mapping also guides the relationship of the different components such as communication, collaboration, leadership, conflict resolution, time management, and professional development, to create a successful team dynamic.</w:t>
      </w:r>
    </w:p>
    <w:p>
      <w:pPr>
        <w:rPr>
          <w:b/>
          <w:bCs/>
        </w:rPr>
      </w:pPr>
      <w:r>
        <w:rPr>
          <w:b/>
          <w:bCs/>
        </w:rPr>
        <w:t xml:space="preserve">2. Communication  </w:t>
      </w:r>
    </w:p>
    <w:p>
      <w:r>
        <w:t>Communication is the fundamental cornerstone of the teamwork which is inseparable in terms of maintaining coherence and preventing confusion. Effective communication brings about active listening and understanding among members of a team as people listen to each other more seriously, thus considering their viewpoints [8]. It also makes it easy to build relationships and members are allowed to build trust and mutual respect. Without an effective communication, the team might get crippled in its productivity as well as in its capacity to adhere to common goals.</w:t>
      </w:r>
    </w:p>
    <w:p>
      <w:pPr>
        <w:rPr>
          <w:b/>
          <w:bCs/>
        </w:rPr>
      </w:pPr>
      <w:r>
        <w:rPr>
          <w:b/>
          <w:bCs/>
        </w:rPr>
        <w:t xml:space="preserve">3. Collaboration  </w:t>
      </w:r>
    </w:p>
    <w:p>
      <w:r>
        <w:t>Teamwork involves the combination of the abilities of group members when trying to achieve a common goal [21]. It also helps in sharing of different ideas and most of the times the solution can be more creative and innovative. By working together, the members enjoy the strengths of their colleagues in terms of knowledge and information [9]. This shared effort contributes towards the origin of ideas and addition to the creation of a high quality of outputs, which individuals can not achieve on their own.</w:t>
      </w:r>
    </w:p>
    <w:p>
      <w:pPr>
        <w:rPr>
          <w:b/>
          <w:bCs/>
        </w:rPr>
      </w:pPr>
      <w:r>
        <w:rPr>
          <w:b/>
          <w:bCs/>
        </w:rPr>
        <w:t xml:space="preserve">4. Conflict Resolution  </w:t>
      </w:r>
    </w:p>
    <w:p>
      <w:r>
        <w:t>The other essential aspect of teamwork is conflict resolution since it is almost inevitable in the context of a group. The ability to resolve disputes amicably permits groups to remain productive and prevent setbacks [10]. Conflict resolution encourages the art of negotiation and problem-solving and allows the members an agreement to be reached. It, therefore, creates a healthy work environment where divergent opinions can be treated with respect [20].</w:t>
      </w:r>
    </w:p>
    <w:p>
      <w:pPr>
        <w:rPr>
          <w:b/>
          <w:bCs/>
        </w:rPr>
      </w:pPr>
      <w:r>
        <w:rPr>
          <w:b/>
          <w:bCs/>
        </w:rPr>
        <w:t xml:space="preserve">5. Leadership  </w:t>
      </w:r>
    </w:p>
    <w:p>
      <w:r>
        <w:t>Leadership plays a significant role of providing direction, motivation and organising in a team. A skilled leader ensures that the work is distributed fairly, the goals are clearly stated and the members feel supported [11]. Being a leader is beyond being an authority figure; it is about encouraging the team, maintaining motivation and ensuring that the work flows smoothly. Effective leadership increases the efficiency of the team and drives the project to success.</w:t>
      </w:r>
    </w:p>
    <w:p>
      <w:pPr>
        <w:rPr>
          <w:b/>
          <w:bCs/>
        </w:rPr>
      </w:pPr>
      <w:r>
        <w:rPr>
          <w:b/>
          <w:bCs/>
        </w:rPr>
        <w:t xml:space="preserve">6. Time Management  </w:t>
      </w:r>
    </w:p>
    <w:p>
      <w:r>
        <w:t>Timetable management is imperative in terminating due dates and team regarding activities. It helps the members in prioritising works and arranging working loads and being focused on timelines of the projects [12]. With time well administered, then the team would tend to work more fluidly and with less stress. Effective time management promotes gradual advancement and a reduction of pressure at the end of time.</w:t>
      </w:r>
    </w:p>
    <w:p>
      <w:pPr>
        <w:rPr>
          <w:b/>
          <w:bCs/>
        </w:rPr>
      </w:pPr>
      <w:r>
        <w:rPr>
          <w:b/>
          <w:bCs/>
        </w:rPr>
        <w:t xml:space="preserve">7. Professional Growth  </w:t>
      </w:r>
    </w:p>
    <w:p>
      <w:r>
        <w:t>The process of professional development is made possible through teamwork which builds on necessary employability competencies. Team work promotes flexibility, interaction and problem solving ability [13]. It also introduces the members to new viewpoints hence instilling trust in teamwork contexts. These are the skills that get highly rated in the modern day work places where collaboration is expected and in most cases, is essential in terms of career growth.</w:t>
      </w:r>
    </w:p>
    <w:p>
      <w:pPr>
        <w:pStyle w:val="1"/>
      </w:pPr>
      <w:bookmarkStart w:id="13" w:name="_ap5kduuvqbb7"/>
      <w:bookmarkStart w:id="14" w:name="_Toc214408792"/>
      <w:bookmarkEnd w:id="13"/>
      <w:r>
        <w:t>TASK 3: Automatic Referencing Tool</w:t>
      </w:r>
      <w:bookmarkEnd w:id="14"/>
      <w:r>
        <w:t xml:space="preserve"> </w:t>
      </w:r>
    </w:p>
    <w:p>
      <w:pPr>
        <w:pStyle w:val="2"/>
      </w:pPr>
      <w:bookmarkStart w:id="15" w:name="_wnyvka1e6h2s"/>
      <w:bookmarkStart w:id="16" w:name="_Toc214408793"/>
      <w:bookmarkEnd w:id="15"/>
      <w:r>
        <w:t>Part A: Summary on Virtual Collaboration</w:t>
      </w:r>
      <w:bookmarkEnd w:id="16"/>
      <w:r>
        <w:t xml:space="preserve"> </w:t>
      </w:r>
    </w:p>
    <w:p>
      <w:r>
        <w:t>The Virtual collaboration is team work with the help of digital resources (Microsoft Teams, Zoom, Google Workspace, etc.), and cloud-based solutions. It helps people collaborate regardless of the geographical position. Among the major concepts, there are the notions of communication, coordination, shared resources, and the application of collaborative technologies [14]. Virtual collaboration depends on the digital literacy, time management and capacity to adjust to the online conditions.</w:t>
      </w:r>
    </w:p>
    <w:p>
      <w:r>
        <w:t>Real-time communication is one of the key elements of collaboration in the virtual space that provides team members with the opportunity to conduct a meeting, share screens, and co-edit a document. Webinars like Teams and Zoom have video conferencing, chat, breakout rooms and file sharing [15]. One more essential concept is an asynchronous collaboration consisting of people performing their contribution at various times. This may be shared documents, discussion boards and a project-management tool, like Trello or Asana.</w:t>
      </w:r>
    </w:p>
    <w:p>
      <w:r>
        <w:t>Other issues that virtual teams have to overcome include communication barriers, time differences as well as digital fatigue. Effective teams have the right expectations, roles and they utilise digital tools appropriately [16]. Studies have shown that virtual environment brings in flexibility, lowers the cost of travelling and enables team work in different parts of the world. Nevertheless, they need high levels of self-discipline and knowledge of Internet etiquette.</w:t>
      </w:r>
    </w:p>
    <w:p>
      <w:r>
        <w:t>Online collaboration has become necessary in academics and business. Virtual teams are also used by companies to present projects within departments as students use digital equipment in completing group assignments [17]. Virtual collaboration skills have been viewed as important employability competencies as the concept of remote work gains popularity.</w:t>
      </w:r>
    </w:p>
    <w:p>
      <w:pPr>
        <w:pStyle w:val="2"/>
      </w:pPr>
      <w:bookmarkStart w:id="17" w:name="_8ad15hrxx2tb"/>
      <w:bookmarkStart w:id="18" w:name="_Toc214408794"/>
      <w:bookmarkEnd w:id="17"/>
      <w:r>
        <w:t>Part B: Practical Evidence</w:t>
      </w:r>
      <w:bookmarkEnd w:id="18"/>
      <w:r>
        <w:t xml:space="preserve"> </w:t>
      </w:r>
    </w:p>
    <w:p>
      <w:r>
        <w:t>RefWorks was used to handle and insert my references. First of all, I have made a new project and added the sources through the add reference tool. Thereafter, I imported a book, journal article, and online source. I copied and pasted IEEE in-text citations in my summary using the Cited tool [18]. Lastly, I created a bibliography in IEEE format automatically. The screenshots provided illustrate reference entry screen, the citation tool and the exported reference list [19]. It was much easier to organise and accurate and faster to refer using RefWorks</w:t>
      </w:r>
    </w:p>
    <w:p>
      <w:pPr>
        <w:pStyle w:val="1"/>
      </w:pPr>
      <w:bookmarkStart w:id="19" w:name="_9jj8wuhqdytx"/>
      <w:bookmarkStart w:id="20" w:name="_Toc214408795"/>
      <w:bookmarkEnd w:id="19"/>
      <w:r>
        <w:t>TASK 4: e-Portfolio creation and review</w:t>
      </w:r>
      <w:bookmarkEnd w:id="20"/>
    </w:p>
    <w:p>
      <w:pPr>
        <w:rPr>
          <w:b/>
          <w:bCs/>
        </w:rPr>
      </w:pPr>
      <w:r>
        <w:rPr>
          <w:b/>
          <w:bCs/>
        </w:rPr>
        <w:t>Image 1: Similarity report</w:t>
      </w:r>
    </w:p>
    <w:p>
      <w:pPr>
        <w:rPr>
          <w:b/>
          <w:bCs/>
        </w:rPr>
      </w:pPr>
      <w:r>
        <w:rPr>
          <w:b/>
          <w:bCs/>
        </w:rPr>
        <w:drawing>
          <wp:inline distT="0" distB="0" distL="0" distR="0">
            <wp:extent cx="5943600" cy="4239260"/>
            <wp:effectExtent l="0" t="0" r="0" b="0"/>
            <wp:docPr id="4" name="Imagini 4"/>
            <wp:cNvGraphicFramePr>
              <a:graphicFrameLocks noChangeAspect="1"/>
            </wp:cNvGraphicFramePr>
            <a:graphic>
              <a:graphicData uri="http://schemas.openxmlformats.org/drawingml/2006/picture">
                <pic:pic>
                  <pic:nvPicPr>
                    <pic:cNvPr id="6" name="Imagini 6"/>
                    <pic:cNvPicPr/>
                  </pic:nvPicPr>
                  <pic:blipFill>
                    <a:blip r:embed="rId4"/>
                    <a:stretch>
                      <a:fillRect/>
                    </a:stretch>
                  </pic:blipFill>
                  <pic:spPr>
                    <a:xfrm rot="0">
                      <a:off x="0" y="0"/>
                      <a:ext cx="5943600" cy="4239260"/>
                    </a:xfrm>
                    <a:prstGeom prst="rect"/>
                    <a:noFill/>
                    <a:ln w="12700" cmpd="sng" cap="flat">
                      <a:noFill/>
                      <a:prstDash val="solid"/>
                      <a:miter/>
                    </a:ln>
                  </pic:spPr>
                </pic:pic>
              </a:graphicData>
            </a:graphic>
          </wp:inline>
        </w:drawing>
      </w:r>
    </w:p>
    <w:p>
      <w:pPr>
        <w:rPr>
          <w:b/>
          <w:bCs/>
        </w:rPr>
      </w:pPr>
      <w:r>
        <w:rPr>
          <w:b/>
          <w:bCs/>
        </w:rPr>
        <w:t>Image 2: Poster</w:t>
      </w:r>
    </w:p>
    <w:p>
      <w:pPr>
        <w:rPr>
          <w:b/>
          <w:bCs/>
        </w:rPr>
      </w:pPr>
      <w:r>
        <w:rPr>
          <w:b/>
          <w:bCs/>
        </w:rPr>
        <w:drawing>
          <wp:inline distT="0" distB="0" distL="0" distR="0">
            <wp:extent cx="5896609" cy="8229600"/>
            <wp:effectExtent l="0" t="0" r="0" b="0"/>
            <wp:docPr id="7" name="Imagini 7"/>
            <wp:cNvGraphicFramePr>
              <a:graphicFrameLocks noChangeAspect="1"/>
            </wp:cNvGraphicFramePr>
            <a:graphic>
              <a:graphicData uri="http://schemas.openxmlformats.org/drawingml/2006/picture">
                <pic:pic>
                  <pic:nvPicPr>
                    <pic:cNvPr id="9" name="Imagini 9"/>
                    <pic:cNvPicPr/>
                  </pic:nvPicPr>
                  <pic:blipFill>
                    <a:blip r:embed="rId5"/>
                    <a:stretch>
                      <a:fillRect/>
                    </a:stretch>
                  </pic:blipFill>
                  <pic:spPr>
                    <a:xfrm rot="0">
                      <a:off x="0" y="0"/>
                      <a:ext cx="5896609" cy="8229600"/>
                    </a:xfrm>
                    <a:prstGeom prst="rect"/>
                    <a:noFill/>
                    <a:ln w="12700" cmpd="sng" cap="flat">
                      <a:noFill/>
                      <a:prstDash val="solid"/>
                      <a:miter/>
                    </a:ln>
                  </pic:spPr>
                </pic:pic>
              </a:graphicData>
            </a:graphic>
          </wp:inline>
        </w:drawing>
      </w:r>
    </w:p>
    <w:p>
      <w:pPr>
        <w:rPr>
          <w:b/>
          <w:bCs/>
        </w:rPr>
      </w:pPr>
      <w:r>
        <w:rPr>
          <w:b/>
          <w:bCs/>
        </w:rPr>
        <w:t>Image 3: Zoom conference meeting</w:t>
      </w:r>
    </w:p>
    <w:p>
      <w:pPr>
        <w:rPr>
          <w:b/>
          <w:bCs/>
        </w:rPr>
      </w:pPr>
      <w:r>
        <w:rPr>
          <w:b/>
          <w:bCs/>
        </w:rPr>
        <w:drawing>
          <wp:inline distT="0" distB="0" distL="0" distR="0">
            <wp:extent cx="5943600" cy="2921635"/>
            <wp:effectExtent l="0" t="0" r="0" b="0"/>
            <wp:docPr id="10" name="Imagini 10"/>
            <wp:cNvGraphicFramePr>
              <a:graphicFrameLocks noChangeAspect="1"/>
            </wp:cNvGraphicFramePr>
            <a:graphic>
              <a:graphicData uri="http://schemas.openxmlformats.org/drawingml/2006/picture">
                <pic:pic>
                  <pic:nvPicPr>
                    <pic:cNvPr id="12" name="Imagini 12"/>
                    <pic:cNvPicPr/>
                  </pic:nvPicPr>
                  <pic:blipFill>
                    <a:blip r:embed="rId6"/>
                    <a:stretch>
                      <a:fillRect/>
                    </a:stretch>
                  </pic:blipFill>
                  <pic:spPr>
                    <a:xfrm rot="0">
                      <a:off x="0" y="0"/>
                      <a:ext cx="5943600" cy="2921635"/>
                    </a:xfrm>
                    <a:prstGeom prst="rect"/>
                    <a:noFill/>
                    <a:ln w="12700" cmpd="sng" cap="flat">
                      <a:noFill/>
                      <a:prstDash val="solid"/>
                      <a:miter/>
                    </a:ln>
                  </pic:spPr>
                </pic:pic>
              </a:graphicData>
            </a:graphic>
          </wp:inline>
        </w:drawing>
      </w:r>
      <w:r>
        <w:rPr>
          <w:b/>
          <w:bCs/>
        </w:rPr>
        <w:br w:type="page"/>
      </w:r>
    </w:p>
    <w:p>
      <w:pPr>
        <w:pStyle w:val="1"/>
      </w:pPr>
      <w:bookmarkStart w:id="21" w:name="_ripbtaft2etm"/>
      <w:bookmarkStart w:id="22" w:name="_Toc214408796"/>
      <w:bookmarkEnd w:id="21"/>
      <w:r>
        <w:t>Reference List</w:t>
      </w:r>
      <w:bookmarkEnd w:id="22"/>
    </w:p>
    <w:p>
      <w:pPr>
        <w:spacing w:before="240" w:after="240"/>
      </w:pPr>
      <w:r>
        <w:t xml:space="preserve">[1] Rivas, S.F., Saiz, C. and Ossa, C., 2022. Metacognitive strategies and development of critical thinking in higher education. </w:t>
      </w:r>
      <w:r>
        <w:rPr>
          <w:i/>
          <w:iCs/>
        </w:rPr>
        <w:t>Frontiers in psychology</w:t>
      </w:r>
      <w:r>
        <w:t xml:space="preserve">, </w:t>
      </w:r>
      <w:r>
        <w:rPr>
          <w:i/>
          <w:iCs/>
        </w:rPr>
        <w:t>13</w:t>
      </w:r>
      <w:r>
        <w:t>, p.913219.</w:t>
      </w:r>
    </w:p>
    <w:p>
      <w:pPr>
        <w:spacing w:before="240" w:after="240"/>
      </w:pPr>
      <w:r>
        <w:t xml:space="preserve">[10] Van den Berg, G. and Du Plessis, E., 2023. ChatGPT and generative AI: Possibilities for its contribution to lesson planning, critical thinking and openness in teacher education. </w:t>
      </w:r>
      <w:r>
        <w:rPr>
          <w:i/>
          <w:iCs/>
        </w:rPr>
        <w:t>Education Sciences</w:t>
      </w:r>
      <w:r>
        <w:t xml:space="preserve">, </w:t>
      </w:r>
      <w:r>
        <w:rPr>
          <w:i/>
          <w:iCs/>
        </w:rPr>
        <w:t>13</w:t>
      </w:r>
      <w:r>
        <w:t>(10), p.998.</w:t>
      </w:r>
    </w:p>
    <w:p>
      <w:pPr>
        <w:spacing w:before="240" w:after="240"/>
      </w:pPr>
      <w:r>
        <w:t xml:space="preserve">[11] Sokhanvar, Z., Salehi, K. and Sokhanvar, F., 2021. Advantages of authentic assessment for improving the learning experience and employability skills of higher education students: A systematic literature review. </w:t>
      </w:r>
      <w:r>
        <w:rPr>
          <w:i/>
          <w:iCs/>
        </w:rPr>
        <w:t>Studies in Educational Evaluation</w:t>
      </w:r>
      <w:r>
        <w:t xml:space="preserve">, </w:t>
      </w:r>
      <w:r>
        <w:rPr>
          <w:i/>
          <w:iCs/>
        </w:rPr>
        <w:t>70</w:t>
      </w:r>
      <w:r>
        <w:t>, p.101030.</w:t>
      </w:r>
    </w:p>
    <w:p>
      <w:pPr>
        <w:spacing w:before="240" w:after="240"/>
      </w:pPr>
      <w:r>
        <w:t xml:space="preserve">[12] Smolansky, A., Cram, A., Raduescu, C., Zeivots, S., Huber, E. and Kizilcec, R.F., 2023, July. Educator and student perspectives on the impact of generative AI on assessments in higher education. In </w:t>
      </w:r>
      <w:r>
        <w:rPr>
          <w:i/>
          <w:iCs/>
        </w:rPr>
        <w:t>Proceedings of the tenth ACM conference on Learning@ Scale</w:t>
      </w:r>
      <w:r>
        <w:t xml:space="preserve"> (pp. 378-382).</w:t>
      </w:r>
    </w:p>
    <w:p>
      <w:pPr>
        <w:spacing w:before="240" w:after="240"/>
      </w:pPr>
      <w:r>
        <w:t xml:space="preserve">[13] Ayçiçek, B., 2021. Integration of critical thinking into curriculum: Perspectives of prospective teachers. </w:t>
      </w:r>
      <w:r>
        <w:rPr>
          <w:i/>
          <w:iCs/>
        </w:rPr>
        <w:t>Thinking Skills and Creativity</w:t>
      </w:r>
      <w:r>
        <w:t xml:space="preserve">, </w:t>
      </w:r>
      <w:r>
        <w:rPr>
          <w:i/>
          <w:iCs/>
        </w:rPr>
        <w:t>41</w:t>
      </w:r>
      <w:r>
        <w:t>, p.100895.</w:t>
      </w:r>
    </w:p>
    <w:p>
      <w:pPr>
        <w:spacing w:before="240" w:after="240"/>
      </w:pPr>
      <w:r>
        <w:t xml:space="preserve">[14] Eager, B. and Brunton, R., 2023. Prompting higher education towards AI-augmented teaching and learning practice. </w:t>
      </w:r>
      <w:r>
        <w:rPr>
          <w:i/>
          <w:iCs/>
        </w:rPr>
        <w:t>Journal of university teaching and learning practice</w:t>
      </w:r>
      <w:r>
        <w:t xml:space="preserve">, </w:t>
      </w:r>
      <w:r>
        <w:rPr>
          <w:i/>
          <w:iCs/>
        </w:rPr>
        <w:t>20</w:t>
      </w:r>
      <w:r>
        <w:t>(5), pp.1-19.</w:t>
      </w:r>
    </w:p>
    <w:p>
      <w:pPr>
        <w:spacing w:before="240" w:after="240"/>
      </w:pPr>
      <w:r>
        <w:t xml:space="preserve">[15] Zouhaier, S., 2023. The impact of artificial intelligence on higher education: An empirical study. </w:t>
      </w:r>
      <w:r>
        <w:rPr>
          <w:i/>
          <w:iCs/>
        </w:rPr>
        <w:t>European Journal of Educational Sciences</w:t>
      </w:r>
      <w:r>
        <w:t xml:space="preserve">, </w:t>
      </w:r>
      <w:r>
        <w:rPr>
          <w:i/>
          <w:iCs/>
        </w:rPr>
        <w:t>10</w:t>
      </w:r>
      <w:r>
        <w:t>(1), pp.17-33.</w:t>
      </w:r>
    </w:p>
    <w:p>
      <w:pPr>
        <w:spacing w:before="240" w:after="240"/>
      </w:pPr>
      <w:r>
        <w:t xml:space="preserve">[16] Azubuike, R.N. and Oguguo, E.C., 2024. Integrating Emerging Employability Skills into University Business Education Programme in Nigeria for Unemployment Reduction in Digital Economy. </w:t>
      </w:r>
      <w:r>
        <w:rPr>
          <w:i/>
          <w:iCs/>
        </w:rPr>
        <w:t>International Journal of Studies in Education</w:t>
      </w:r>
      <w:r>
        <w:t xml:space="preserve">, </w:t>
      </w:r>
      <w:r>
        <w:rPr>
          <w:i/>
          <w:iCs/>
        </w:rPr>
        <w:t>20</w:t>
      </w:r>
      <w:r>
        <w:t>(1), pp.408-420.</w:t>
      </w:r>
    </w:p>
    <w:p>
      <w:pPr>
        <w:spacing w:before="240" w:after="240"/>
      </w:pPr>
      <w:r>
        <w:t xml:space="preserve">[17] Smaldone, F., Lagger, J. and Mainolfi, G., 2025. Profiling employability skills for life cycle professionals amid the circular and digital economy. </w:t>
      </w:r>
      <w:r>
        <w:rPr>
          <w:i/>
          <w:iCs/>
        </w:rPr>
        <w:t>The International Journal of Life Cycle Assessment</w:t>
      </w:r>
      <w:r>
        <w:t>, pp.1-18.</w:t>
      </w:r>
    </w:p>
    <w:p>
      <w:pPr>
        <w:spacing w:before="240" w:after="240"/>
      </w:pPr>
      <w:r>
        <w:t xml:space="preserve">[18] Ebom-Jebose, A., 2025. Enhancing Digital Skills Education for Sustainable Development and Unemployment Reduction in the Digital Economy. </w:t>
      </w:r>
      <w:r>
        <w:rPr>
          <w:i/>
          <w:iCs/>
        </w:rPr>
        <w:t>European Journal of Innovative Studies and Sustainability</w:t>
      </w:r>
      <w:r>
        <w:t xml:space="preserve">, </w:t>
      </w:r>
      <w:r>
        <w:rPr>
          <w:i/>
          <w:iCs/>
        </w:rPr>
        <w:t>1</w:t>
      </w:r>
      <w:r>
        <w:t>(1), pp.24-30.</w:t>
      </w:r>
    </w:p>
    <w:p>
      <w:pPr>
        <w:spacing w:before="240" w:after="240"/>
      </w:pPr>
      <w:r>
        <w:t xml:space="preserve">[19] Berniak-Woźny, J., Plebańska, M. and Wójcik-Jurkiewicz, M., 2023. University students' perception of employability and workability skills for the workplace in the digital era. </w:t>
      </w:r>
      <w:r>
        <w:rPr>
          <w:i/>
          <w:iCs/>
        </w:rPr>
        <w:t>Scientific Journal of Bielsko-Biala School of Finance and Law</w:t>
      </w:r>
      <w:r>
        <w:t xml:space="preserve">, </w:t>
      </w:r>
      <w:r>
        <w:rPr>
          <w:i/>
          <w:iCs/>
        </w:rPr>
        <w:t>27</w:t>
      </w:r>
      <w:r>
        <w:t>(4), pp.39-45.</w:t>
      </w:r>
    </w:p>
    <w:p>
      <w:pPr>
        <w:spacing w:before="240" w:after="240"/>
      </w:pPr>
      <w:r>
        <w:t xml:space="preserve">[2] Raj, T., Chauhan, P., Mehrotra, R. and Sharma, M., 2022. Importance of critical thinking in the education. </w:t>
      </w:r>
      <w:r>
        <w:rPr>
          <w:i/>
          <w:iCs/>
        </w:rPr>
        <w:t>World Journal of English Language</w:t>
      </w:r>
      <w:r>
        <w:t xml:space="preserve">, </w:t>
      </w:r>
      <w:r>
        <w:rPr>
          <w:i/>
          <w:iCs/>
        </w:rPr>
        <w:t>12</w:t>
      </w:r>
      <w:r>
        <w:t>(3), pp.126-133.</w:t>
      </w:r>
    </w:p>
    <w:p>
      <w:pPr>
        <w:spacing w:before="240" w:after="240"/>
      </w:pPr>
      <w:r>
        <w:t xml:space="preserve">[20] Intaratat, K., 2021. Digital skills scenario of the workforce to promote digital economy in Thailand under &amp; post COVID-19 pandemic. </w:t>
      </w:r>
      <w:r>
        <w:rPr>
          <w:i/>
          <w:iCs/>
        </w:rPr>
        <w:t>International Journal of Research and Innovation in Social Science</w:t>
      </w:r>
      <w:r>
        <w:t xml:space="preserve">, </w:t>
      </w:r>
      <w:r>
        <w:rPr>
          <w:i/>
          <w:iCs/>
        </w:rPr>
        <w:t>10</w:t>
      </w:r>
      <w:r>
        <w:t>(10), pp.116-127.</w:t>
      </w:r>
    </w:p>
    <w:p>
      <w:pPr>
        <w:spacing w:before="240" w:after="240"/>
      </w:pPr>
      <w:r>
        <w:t xml:space="preserve">[21] Hrnjic, A., Pilav-Velic, A., Dedovic, L. and Hadžiahmetović-Milisic, N., 2025. THE FUTURE OF WORK IN TRANSITION ECONOMIES: INTEGRATING AI, DIGITAL SKILLS, AND EMPLOYABILITY IN HIGHER EDUCATION. </w:t>
      </w:r>
      <w:r>
        <w:rPr>
          <w:i/>
          <w:iCs/>
        </w:rPr>
        <w:t>The South East European Journal of Economics and Business</w:t>
      </w:r>
      <w:r>
        <w:t xml:space="preserve">, </w:t>
      </w:r>
      <w:r>
        <w:rPr>
          <w:i/>
          <w:iCs/>
        </w:rPr>
        <w:t>20</w:t>
      </w:r>
      <w:r>
        <w:t>(2), pp.85-99.</w:t>
      </w:r>
    </w:p>
    <w:p>
      <w:pPr>
        <w:spacing w:before="240" w:after="240"/>
      </w:pPr>
      <w:r>
        <w:t xml:space="preserve">[3] Bezanilla, M.J., Domínguez, H.G. and Ruiz, M.P., 2021. Importance of teaching critical thinking in higher education and existing difficulties according to teacher´ s views. </w:t>
      </w:r>
      <w:r>
        <w:rPr>
          <w:i/>
          <w:iCs/>
        </w:rPr>
        <w:t>REMIE: Multidisciplinary Journal of Educational Research</w:t>
      </w:r>
      <w:r>
        <w:t xml:space="preserve">, </w:t>
      </w:r>
      <w:r>
        <w:rPr>
          <w:i/>
          <w:iCs/>
        </w:rPr>
        <w:t>11</w:t>
      </w:r>
      <w:r>
        <w:t>(1), pp.20-48.</w:t>
      </w:r>
    </w:p>
    <w:p>
      <w:pPr>
        <w:spacing w:before="240" w:after="240"/>
      </w:pPr>
      <w:r>
        <w:t xml:space="preserve">[4] Hart, C., Da Costa, C., D'Souza, D., Kimpton, A. and Ljbusic, J., 2021. Exploring higher education students’ critical thinking skills through content analysis. </w:t>
      </w:r>
      <w:r>
        <w:rPr>
          <w:i/>
          <w:iCs/>
        </w:rPr>
        <w:t>Thinking skills and creativity</w:t>
      </w:r>
      <w:r>
        <w:t xml:space="preserve">, </w:t>
      </w:r>
      <w:r>
        <w:rPr>
          <w:i/>
          <w:iCs/>
        </w:rPr>
        <w:t>41</w:t>
      </w:r>
      <w:r>
        <w:t>, p.100877.</w:t>
      </w:r>
    </w:p>
    <w:p>
      <w:pPr>
        <w:spacing w:before="240" w:after="240"/>
      </w:pPr>
      <w:r>
        <w:t xml:space="preserve">[5] An Le, D.T.B. and Hockey, J., 2022. Critical thinking in the higher education classroom: knowledge, power, control and identities. </w:t>
      </w:r>
      <w:r>
        <w:rPr>
          <w:i/>
          <w:iCs/>
        </w:rPr>
        <w:t>British Journal of Sociology of Education</w:t>
      </w:r>
      <w:r>
        <w:t xml:space="preserve">, </w:t>
      </w:r>
      <w:r>
        <w:rPr>
          <w:i/>
          <w:iCs/>
        </w:rPr>
        <w:t>43</w:t>
      </w:r>
      <w:r>
        <w:t>(1), pp.140-158.</w:t>
      </w:r>
    </w:p>
    <w:p>
      <w:pPr>
        <w:spacing w:before="240" w:after="240"/>
      </w:pPr>
      <w:r>
        <w:t xml:space="preserve">[6] Malik, A.R., Pratiwi, Y., Andajani, K., Numertayasa, I.W., Suharti, S. and Darwis, A., 2023. Exploring artificial intelligence in academic essay: higher education student's perspective. </w:t>
      </w:r>
      <w:r>
        <w:rPr>
          <w:i/>
          <w:iCs/>
        </w:rPr>
        <w:t>International Journal of Educational Research Open</w:t>
      </w:r>
      <w:r>
        <w:t xml:space="preserve">, </w:t>
      </w:r>
      <w:r>
        <w:rPr>
          <w:i/>
          <w:iCs/>
        </w:rPr>
        <w:t>5</w:t>
      </w:r>
      <w:r>
        <w:t>, p.100296.</w:t>
      </w:r>
    </w:p>
    <w:p>
      <w:pPr>
        <w:spacing w:before="240" w:after="240"/>
      </w:pPr>
      <w:r>
        <w:t xml:space="preserve">[7] Walter, Y., 2024. Embracing the future of Artificial Intelligence in the classroom: the relevance of AI literacy, prompt engineering, and critical thinking in modern education. </w:t>
      </w:r>
      <w:r>
        <w:rPr>
          <w:i/>
          <w:iCs/>
        </w:rPr>
        <w:t>International Journal of Educational Technology in Higher Education</w:t>
      </w:r>
      <w:r>
        <w:t xml:space="preserve">, </w:t>
      </w:r>
      <w:r>
        <w:rPr>
          <w:i/>
          <w:iCs/>
        </w:rPr>
        <w:t>21</w:t>
      </w:r>
      <w:r>
        <w:t>(1), p.15.</w:t>
      </w:r>
    </w:p>
    <w:p>
      <w:pPr>
        <w:spacing w:before="240" w:after="240"/>
      </w:pPr>
      <w:r>
        <w:t xml:space="preserve">[8] O'Reilly, C., Devitt, A. and Hayes, N., 2022. Critical thinking in the preschool classroom-A systematic literature review. </w:t>
      </w:r>
      <w:r>
        <w:rPr>
          <w:i/>
          <w:iCs/>
        </w:rPr>
        <w:t>Thinking skills and creativity</w:t>
      </w:r>
      <w:r>
        <w:t xml:space="preserve">, </w:t>
      </w:r>
      <w:r>
        <w:rPr>
          <w:i/>
          <w:iCs/>
        </w:rPr>
        <w:t>46</w:t>
      </w:r>
      <w:r>
        <w:t>, p.101110.</w:t>
      </w:r>
    </w:p>
    <w:p>
      <w:pPr>
        <w:spacing w:before="240" w:after="240"/>
      </w:pPr>
      <w:r>
        <w:t xml:space="preserve">[9] Chan, C.K.Y. and Tsi, L.H., 2023. The AI revolution in education: will AI replace or assist teachers in higher education?. </w:t>
      </w:r>
      <w:r>
        <w:rPr>
          <w:i/>
          <w:iCs/>
        </w:rPr>
        <w:t>arXiv preprint arXiv:2305.01185</w:t>
      </w:r>
      <w:r>
        <w:t>.</w:t>
      </w:r>
    </w:p>
    <w:p/>
    <w:sectPr>
      <w:footerReference w:type="default" r:id="rId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titlePg/>
      <w:docGrid w:linePitch="326" w:charSpace="0"/>
    </w:sectPr>
  </w:body>
</w:document>
</file>

<file path=word/fontTable.xml><?xml version="1.0" encoding="utf-8"?>
<w:fonts xmlns:w="http://schemas.openxmlformats.org/wordprocessingml/2006/main" xmlns:r="http://schemas.openxmlformats.org/officeDocument/2006/relationships">
  <w:font w:name="Times New Roman">
    <w:panose1 w:val="02020603050405020304"/>
    <w:charset w:val="00"/>
    <w:family w:val="roman"/>
    <w:pitch w:val="variable"/>
    <w:sig w:usb0="E0002EFF" w:usb1="C000785B" w:usb2="00000009" w:usb3="00000000" w:csb0="000001FF" w:csb1="00000000"/>
  </w:font>
  <w:font w:name="Droid Sans">
    <w:panose1 w:val="00000000000000000000"/>
    <w:charset w:val="00"/>
    <w:family w:val="auto"/>
    <w:pitch w:val="variable"/>
    <w:sig w:usb0="00000000" w:usb1="00000000" w:usb2="00000000" w:usb3="00000000" w:csb0="00000000" w:csb1="00000000"/>
  </w:font>
  <w:font w:name="宋体">
    <w:panose1 w:val="00000000000000000000"/>
    <w:charset w:val="00"/>
    <w:family w:val="auto"/>
    <w:pitch w:val="variable"/>
    <w:sig w:usb0="00000000" w:usb1="00000000" w:usb2="00000000" w:usb3="00000000" w:csb0="00000000"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http://schemas.openxmlformats.org/wordprocessingml/2006/main" xmlns:o="urn:schemas-microsoft-com:office:office" xmlns:r="http://schemas.openxmlformats.org/officeDocument/2006/relationships" xmlns:m="http://schemas.openxmlformats.org/officeDocument/2006/math" xmlns:v="urn:schemas-microsoft-com:vml" xmlns:a="http://schemas.openxmlformats.org/drawingml/2006/main" xmlns:wps="http://schemas.microsoft.com/office/word/2010/wordprocessingShape" xmlns:wp="http://schemas.openxmlformats.org/drawingml/2006/wordprocessingDrawing" xmlns:pic="http://schemas.openxmlformats.org/drawingml/2006/picture" xmlns:mc="http://schemas.openxmlformats.org/markup-compatibility/2006" xmlns:wpg="http://schemas.microsoft.com/office/word/2010/wordprocessingGroup" xmlns:wpc="http://schemas.microsoft.com/office/word/2010/wordprocessingCanvas" xmlns:w10="urn:schemas-microsoft-com:office:word" xmlns:w14="http://schemas.microsoft.com/office/word/2010/wordml" xmlns:a14="http://schemas.microsoft.com/office/drawing/2010/main" mc:Ignorable="w14">
  <w:sdt>
    <w:sdtPr>
      <w:id w:val="331459355"/>
      <w:docPartObj>
        <w:docPartGallery/>
        <w:docPartUnique/>
      </w:docPartObj>
    </w:sdtPr>
    <w:sdtContent>
      <w:p>
        <w:pPr>
          <w:pStyle w:val="22"/>
          <w:tabs>
            <w:tab w:val="center" w:pos="4513"/>
            <w:tab w:val="right" w:pos="9026"/>
          </w:tabs>
          <w:jc w:val="right"/>
        </w:pPr>
        <w:r>
          <w:fldChar w:fldCharType="begin"/>
        </w:r>
        <w:r>
          <w:instrText xml:space="preserve"> PAGE   \* MERGEFORMAT </w:instrText>
        </w:r>
        <w:r>
          <w:fldChar w:fldCharType="separate"/>
        </w:r>
        <w:r>
          <w:t>2</w:t>
        </w:r>
        <w:r>
          <w:fldChar w:fldCharType="end"/>
        </w:r>
      </w:p>
    </w:sdtContent>
  </w:sdt>
  <w:p>
    <w:pPr>
      <w:pStyle w:val="22"/>
      <w:tabs>
        <w:tab w:val="center" w:pos="4513"/>
        <w:tab w:val="right" w:pos="9026"/>
      </w:tabs>
    </w:pPr>
  </w:p>
</w:ftr>
</file>

<file path=word/settings.xml><?xml version="1.0" encoding="utf-8"?>
<w:settings xmlns:w="http://schemas.openxmlformats.org/wordprocessingml/2006/main" xmlns:o="urn:schemas-microsoft-com:office:office" xmlns:r="http://schemas.openxmlformats.org/officeDocument/2006/relationships" xmlns:m="http://schemas.openxmlformats.org/officeDocument/2006/math" xmlns:v="urn:schemas-microsoft-com:vml">
  <w:zoom w:percent="134"/>
  <w:bordersDoNotSurroundHeader/>
  <w:bordersDoNotSurroundFooter/>
  <w:defaultTabStop w:val="720"/>
  <w:drawingGridHorizontalSpacing w:val="120"/>
  <w:drawingGridVerticalSpacing w:val="163"/>
  <w:displayHorizontalDrawingGridEvery w:val="0"/>
  <w:displayVerticalDrawingGridEvery w:val="1"/>
  <w:compat>
    <w:spaceForUL/>
    <w:growAutofit/>
    <w:compatSetting w:name="compatibilityMode" w:uri="http://schemas.microsoft.com/office/word" w:val="14"/>
  </w:compat>
  <m:mathPr>
    <m:mathFont m:val="Cambria Math"/>
    <m:brkBin m:val="before"/>
    <m:brkBinSub m:val="--"/>
    <m:smallFrac/>
    <m:dispDef/>
    <m:lMargin m:val="0"/>
    <m:rMargin m:val="0"/>
    <m:defJc m:val="centerGroup"/>
    <m:wrapIndent m:val="1440"/>
    <m:intLim m:val="subSup"/>
    <m:naryLim m:val="undOvr"/>
  </m:mathPr>
</w:settings>
</file>

<file path=word/styles.xml><?xml version="1.0" encoding="utf-8"?>
<w:styles xmlns:w="http://schemas.openxmlformats.org/wordprocessingml/2006/main" xmlns:r="http://schemas.openxmlformats.org/officeDocument/2006/relationships">
  <w:docDefaults>
    <w:rPrDefault>
      <w:rPr>
        <w:rFonts w:ascii="Times New Roman" w:eastAsia="宋体" w:hAnsi="Times New Roman" w:cs="Times New Roman"/>
        <w:lang w:val="en-US" w:eastAsia="zh-CN" w:bidi="ar-SA"/>
      </w:rPr>
    </w:rPrDefault>
    <w:pPrDefault/>
  </w:docDefaults>
  <w:style w:type="paragraph" w:default="1" w:styleId="0">
    <w:name w:val="Normal"/>
    <w:pPr>
      <w:spacing w:line="360" w:lineRule="auto"/>
      <w:jc w:val="both"/>
    </w:pPr>
    <w:rPr>
      <w:rFonts w:ascii="Times New Roman" w:eastAsia="Times New Roman" w:cs="Times New Roman" w:hAnsi="Times New Roman"/>
      <w:sz w:val="24"/>
      <w:szCs w:val="24"/>
      <w:lang w:eastAsia="en-IN" w:bidi="ar-SA"/>
    </w:rPr>
  </w:style>
  <w:style w:type="paragraph" w:styleId="1">
    <w:name w:val="heading 1"/>
    <w:basedOn w:val="0"/>
    <w:next w:val="0"/>
    <w:pPr>
      <w:keepNext/>
      <w:keepLines/>
      <w:outlineLvl w:val="0"/>
    </w:pPr>
    <w:rPr>
      <w:b/>
      <w:bCs/>
      <w:sz w:val="28"/>
      <w:szCs w:val="28"/>
    </w:rPr>
  </w:style>
  <w:style w:type="paragraph" w:styleId="2">
    <w:name w:val="heading 2"/>
    <w:basedOn w:val="0"/>
    <w:next w:val="0"/>
    <w:pPr>
      <w:keepNext/>
      <w:keepLines/>
      <w:outlineLvl w:val="1"/>
    </w:pPr>
    <w:rPr>
      <w:b/>
      <w:bCs/>
      <w:sz w:val="26"/>
      <w:szCs w:val="26"/>
    </w:rPr>
  </w:style>
  <w:style w:type="paragraph" w:styleId="3">
    <w:name w:val="heading 3"/>
    <w:basedOn w:val="0"/>
    <w:next w:val="0"/>
    <w:pPr>
      <w:keepNext/>
      <w:keepLines/>
      <w:outlineLvl w:val="2"/>
    </w:pPr>
    <w:rPr>
      <w:b/>
      <w:bCs/>
    </w:rPr>
  </w:style>
  <w:style w:type="paragraph" w:styleId="4">
    <w:name w:val="heading 4"/>
    <w:basedOn w:val="0"/>
    <w:next w:val="0"/>
    <w:pPr>
      <w:keepNext/>
      <w:keepLines/>
      <w:spacing w:before="280" w:after="80"/>
      <w:outlineLvl w:val="3"/>
    </w:pPr>
    <w:rPr>
      <w:color w:val="666666"/>
    </w:rPr>
  </w:style>
  <w:style w:type="paragraph" w:styleId="5">
    <w:name w:val="heading 5"/>
    <w:basedOn w:val="0"/>
    <w:next w:val="0"/>
    <w:pPr>
      <w:keepNext/>
      <w:keepLines/>
      <w:spacing w:before="240" w:after="80"/>
      <w:outlineLvl w:val="4"/>
    </w:pPr>
    <w:rPr>
      <w:color w:val="666666"/>
      <w:sz w:val="22"/>
      <w:szCs w:val="22"/>
    </w:rPr>
  </w:style>
  <w:style w:type="paragraph" w:styleId="6">
    <w:name w:val="heading 6"/>
    <w:basedOn w:val="0"/>
    <w:next w:val="0"/>
    <w:pPr>
      <w:keepNext/>
      <w:keepLines/>
      <w:spacing w:before="240" w:after="80"/>
      <w:outlineLvl w:val="5"/>
    </w:pPr>
    <w:rPr>
      <w:i/>
      <w:iCs/>
      <w:color w:val="666666"/>
      <w:sz w:val="22"/>
      <w:szCs w:val="22"/>
    </w:rPr>
  </w:style>
  <w:style w:type="character" w:default="1" w:styleId="10">
    <w:name w:val="Default Paragraph Font"/>
  </w:style>
  <w:style w:type="paragraph" w:styleId="15">
    <w:name w:val="Title"/>
    <w:basedOn w:val="0"/>
    <w:next w:val="0"/>
    <w:pPr>
      <w:keepNext/>
      <w:keepLines/>
      <w:spacing w:after="60"/>
    </w:pPr>
    <w:rPr>
      <w:sz w:val="52"/>
      <w:szCs w:val="52"/>
    </w:rPr>
  </w:style>
  <w:style w:type="paragraph" w:styleId="16">
    <w:name w:val="Subtitle"/>
    <w:basedOn w:val="0"/>
    <w:next w:val="0"/>
    <w:pPr>
      <w:keepNext/>
      <w:keepLines/>
      <w:spacing w:after="320"/>
    </w:pPr>
    <w:rPr>
      <w:rFonts w:ascii="Arial" w:eastAsia="Arial" w:cs="Arial" w:hAnsi="Arial"/>
      <w:color w:val="666666"/>
      <w:sz w:val="30"/>
      <w:szCs w:val="30"/>
    </w:rPr>
  </w:style>
  <w:style w:type="paragraph" w:customStyle="1" w:styleId="17">
    <w:name w:val="TOC Heading"/>
    <w:basedOn w:val="1"/>
    <w:next w:val="0"/>
    <w:pPr>
      <w:spacing w:before="240" w:line="259" w:lineRule="auto"/>
      <w:jc w:val="left"/>
      <w:outlineLvl w:val="9"/>
    </w:pPr>
    <w:rPr>
      <w:rFonts w:ascii="Droid Sans" w:eastAsia="宋体" w:cs="Times New Roman" w:hAnsi="Droid Sans"/>
      <w:b w:val="0"/>
      <w:bCs w:val="0"/>
      <w:color w:val="365F91"/>
      <w:sz w:val="32"/>
      <w:szCs w:val="32"/>
      <w:lang w:val="en-US" w:eastAsia="en-US"/>
    </w:rPr>
  </w:style>
  <w:style w:type="paragraph" w:styleId="18">
    <w:name w:val="toc 1"/>
    <w:basedOn w:val="0"/>
    <w:autoRedefine/>
    <w:next w:val="0"/>
    <w:pPr>
      <w:spacing w:after="100"/>
    </w:pPr>
  </w:style>
  <w:style w:type="paragraph" w:styleId="19">
    <w:name w:val="toc 2"/>
    <w:basedOn w:val="0"/>
    <w:autoRedefine/>
    <w:next w:val="0"/>
    <w:pPr>
      <w:spacing w:after="100"/>
      <w:ind w:left="240"/>
    </w:pPr>
  </w:style>
  <w:style w:type="character" w:styleId="20">
    <w:name w:val="Hyperlink"/>
    <w:basedOn w:val="10"/>
    <w:rPr>
      <w:color w:val="0000FF"/>
      <w:u w:val="single"/>
    </w:rPr>
  </w:style>
  <w:style w:type="paragraph" w:styleId="21">
    <w:name w:val="header"/>
    <w:basedOn w:val="0"/>
    <w:pPr>
      <w:tabs>
        <w:tab w:val="center" w:pos="4513"/>
        <w:tab w:val="right" w:pos="9026"/>
      </w:tabs>
      <w:spacing w:line="240" w:lineRule="auto"/>
    </w:pPr>
  </w:style>
  <w:style w:type="paragraph" w:styleId="22">
    <w:name w:val="footer"/>
    <w:basedOn w:val="0"/>
    <w:pPr>
      <w:tabs>
        <w:tab w:val="center" w:pos="4513"/>
        <w:tab w:val="right" w:pos="9026"/>
      </w:tabs>
      <w:spacing w:line="240" w:lineRule="auto"/>
    </w:pPr>
  </w:style>
</w:styles>
</file>

<file path=word/_rels/document.xml.rels><?xml version="1.0" encoding="UTF-8" standalone="yes"?>
<Relationships xmlns="http://schemas.openxmlformats.org/package/2006/relationships"><Relationship Id="rId1" Type="http://schemas.openxmlformats.org/officeDocument/2006/relationships/settings" Target="settings.xml"/><Relationship Id="rId2" Type="http://schemas.openxmlformats.org/officeDocument/2006/relationships/footer" Target="footer1.xml"/><Relationship Id="rId3" Type="http://schemas.openxmlformats.org/officeDocument/2006/relationships/image" Target="media/2.png"/><Relationship Id="rId4" Type="http://schemas.openxmlformats.org/officeDocument/2006/relationships/image" Target="media/5.png"/><Relationship Id="rId5" Type="http://schemas.openxmlformats.org/officeDocument/2006/relationships/image" Target="media/8.png"/><Relationship Id="rId6" Type="http://schemas.openxmlformats.org/officeDocument/2006/relationships/image" Target="media/11.png"/><Relationship Id="rId7" Type="http://schemas.openxmlformats.org/officeDocument/2006/relationships/styles" Target="styles.xml"/><Relationship Id="rId8" Type="http://schemas.openxmlformats.org/officeDocument/2006/relationships/fontTable" Target="fontTable.xml"/></Relationships>
</file>

<file path=docProps/app.xml><?xml version="1.0" encoding="utf-8"?>
<Properties xmlns="http://schemas.openxmlformats.org/officeDocument/2006/extended-properties">
  <Template>Normal.eit</Template>
  <TotalTime>18</TotalTime>
  <Application>Honor_Office</Application>
  <Pages>15</Pages>
  <Words>2216</Words>
  <Characters>12911</Characters>
  <Lines>247</Lines>
  <Paragraphs>87</Paragraphs>
  <CharactersWithSpaces>15068</CharactersWithSpaces>
</Properties>
</file>

<file path=docProps/core.xml><?xml version="1.0" encoding="utf-8"?>
<cp:coreProperties xmlns:cp="http://schemas.openxmlformats.org/package/2006/metadata/core-properties" xmlns:dc="http://purl.org/dc/elements/1.1/" xmlns:dcterms="http://purl.org/dc/terms/" xmlns:xsi="http://www.w3.org/2001/XMLSchema-instance">
  <cp:lastModifiedBy>HONOR Docs</cp:lastModifiedBy>
  <cp:revision>0</cp:revision>
  <dcterms:modified xsi:type="dcterms:W3CDTF">2025-11-20T13:03:26Z</dcterms:modified>
</cp:coreProperties>
</file>