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F96E11" w14:textId="77777777" w:rsidR="00594B9C" w:rsidRPr="00EE3454" w:rsidRDefault="00594B9C" w:rsidP="00EE3454">
      <w:pPr>
        <w:spacing w:after="60" w:line="360" w:lineRule="auto"/>
      </w:pPr>
    </w:p>
    <w:p w14:paraId="38006A67" w14:textId="77777777" w:rsidR="00594B9C" w:rsidRPr="00EE3454" w:rsidRDefault="00594B9C" w:rsidP="00EE3454">
      <w:pPr>
        <w:spacing w:after="60" w:line="360" w:lineRule="auto"/>
      </w:pPr>
    </w:p>
    <w:p w14:paraId="02FEBE60" w14:textId="77777777" w:rsidR="00594B9C" w:rsidRPr="00EE3454" w:rsidRDefault="00594B9C" w:rsidP="00EE3454">
      <w:pPr>
        <w:spacing w:after="60" w:line="360" w:lineRule="auto"/>
      </w:pPr>
    </w:p>
    <w:p w14:paraId="4F288B04" w14:textId="34EF3CEB" w:rsidR="00CB5495" w:rsidRDefault="00CB5495" w:rsidP="0030092B">
      <w:pPr>
        <w:spacing w:line="360" w:lineRule="auto"/>
        <w:jc w:val="center"/>
        <w:rPr>
          <w:b/>
          <w:bCs/>
          <w:sz w:val="28"/>
          <w:szCs w:val="28"/>
        </w:rPr>
      </w:pPr>
    </w:p>
    <w:p w14:paraId="37BAA1D8" w14:textId="42EE8DF1" w:rsidR="00CB5495" w:rsidRDefault="00CB5495" w:rsidP="0030092B">
      <w:pPr>
        <w:spacing w:line="360" w:lineRule="auto"/>
        <w:jc w:val="center"/>
        <w:rPr>
          <w:b/>
          <w:bCs/>
          <w:sz w:val="28"/>
          <w:szCs w:val="28"/>
        </w:rPr>
      </w:pPr>
      <w:r>
        <w:rPr>
          <w:b/>
          <w:bCs/>
          <w:noProof/>
          <w:sz w:val="28"/>
          <w:szCs w:val="28"/>
        </w:rPr>
        <w:drawing>
          <wp:inline distT="0" distB="0" distL="0" distR="0" wp14:anchorId="54C82AB2" wp14:editId="1E1AC7D5">
            <wp:extent cx="2158365" cy="865505"/>
            <wp:effectExtent l="0" t="0" r="0" b="0"/>
            <wp:docPr id="703655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58365" cy="865505"/>
                    </a:xfrm>
                    <a:prstGeom prst="rect">
                      <a:avLst/>
                    </a:prstGeom>
                    <a:noFill/>
                  </pic:spPr>
                </pic:pic>
              </a:graphicData>
            </a:graphic>
          </wp:inline>
        </w:drawing>
      </w:r>
    </w:p>
    <w:p w14:paraId="56C8F113" w14:textId="77777777" w:rsidR="00CB5495" w:rsidRDefault="00CB5495" w:rsidP="0030092B">
      <w:pPr>
        <w:spacing w:line="360" w:lineRule="auto"/>
        <w:jc w:val="center"/>
        <w:rPr>
          <w:b/>
          <w:bCs/>
          <w:sz w:val="28"/>
          <w:szCs w:val="28"/>
        </w:rPr>
      </w:pPr>
    </w:p>
    <w:p w14:paraId="10CA4FE6" w14:textId="77777777" w:rsidR="00CB5495" w:rsidRDefault="00CB5495" w:rsidP="0030092B">
      <w:pPr>
        <w:spacing w:line="360" w:lineRule="auto"/>
        <w:jc w:val="center"/>
        <w:rPr>
          <w:b/>
          <w:bCs/>
          <w:sz w:val="28"/>
          <w:szCs w:val="28"/>
        </w:rPr>
      </w:pPr>
    </w:p>
    <w:p w14:paraId="76AF76BB" w14:textId="77777777" w:rsidR="00CB5495" w:rsidRDefault="00CB5495" w:rsidP="0030092B">
      <w:pPr>
        <w:spacing w:line="360" w:lineRule="auto"/>
        <w:jc w:val="center"/>
        <w:rPr>
          <w:b/>
          <w:bCs/>
          <w:sz w:val="28"/>
          <w:szCs w:val="28"/>
        </w:rPr>
      </w:pPr>
    </w:p>
    <w:p w14:paraId="01DA0AE6" w14:textId="3C67D6FD" w:rsidR="00594B9C" w:rsidRPr="0030092B" w:rsidRDefault="00000000" w:rsidP="0030092B">
      <w:pPr>
        <w:spacing w:line="360" w:lineRule="auto"/>
        <w:jc w:val="center"/>
        <w:rPr>
          <w:sz w:val="28"/>
          <w:szCs w:val="28"/>
        </w:rPr>
      </w:pPr>
      <w:r w:rsidRPr="0030092B">
        <w:rPr>
          <w:b/>
          <w:bCs/>
          <w:sz w:val="28"/>
          <w:szCs w:val="28"/>
        </w:rPr>
        <w:t>University of Wales Trinity Saint David</w:t>
      </w:r>
    </w:p>
    <w:p w14:paraId="24E0B881" w14:textId="77777777" w:rsidR="00594B9C" w:rsidRPr="00EE3454" w:rsidRDefault="00000000" w:rsidP="0030092B">
      <w:pPr>
        <w:spacing w:line="360" w:lineRule="auto"/>
        <w:jc w:val="center"/>
      </w:pPr>
      <w:r w:rsidRPr="00EE3454">
        <w:t>BSc (Hons) Health and Social Care</w:t>
      </w:r>
    </w:p>
    <w:p w14:paraId="5C12F803" w14:textId="77777777" w:rsidR="00594B9C" w:rsidRPr="00EE3454" w:rsidRDefault="00000000" w:rsidP="0030092B">
      <w:pPr>
        <w:spacing w:line="360" w:lineRule="auto"/>
        <w:jc w:val="center"/>
      </w:pPr>
      <w:r w:rsidRPr="00EE3454">
        <w:rPr>
          <w:b/>
          <w:bCs/>
        </w:rPr>
        <w:t>BMHP5014: Changemakers: Creativity and Value Creation</w:t>
      </w:r>
    </w:p>
    <w:p w14:paraId="5EC16467" w14:textId="77777777" w:rsidR="00594B9C" w:rsidRDefault="00000000" w:rsidP="0030092B">
      <w:pPr>
        <w:spacing w:line="360" w:lineRule="auto"/>
        <w:jc w:val="center"/>
        <w:rPr>
          <w:i/>
          <w:iCs/>
        </w:rPr>
      </w:pPr>
      <w:r w:rsidRPr="00EE3454">
        <w:rPr>
          <w:i/>
          <w:iCs/>
        </w:rPr>
        <w:t>Component 2: Poster and Pitch</w:t>
      </w:r>
    </w:p>
    <w:p w14:paraId="46A41D5C" w14:textId="77777777" w:rsidR="0030092B" w:rsidRPr="00EE3454" w:rsidRDefault="0030092B" w:rsidP="0030092B">
      <w:pPr>
        <w:spacing w:line="360" w:lineRule="auto"/>
        <w:jc w:val="center"/>
      </w:pPr>
    </w:p>
    <w:p w14:paraId="07E1F2D5" w14:textId="6A98F454" w:rsidR="00594B9C" w:rsidRPr="0030092B" w:rsidRDefault="00000000" w:rsidP="0030092B">
      <w:pPr>
        <w:spacing w:after="440" w:line="360" w:lineRule="auto"/>
        <w:jc w:val="center"/>
        <w:rPr>
          <w:sz w:val="28"/>
          <w:szCs w:val="28"/>
        </w:rPr>
      </w:pPr>
      <w:r w:rsidRPr="0030092B">
        <w:rPr>
          <w:b/>
          <w:bCs/>
          <w:color w:val="4472C4" w:themeColor="accent1"/>
          <w:sz w:val="28"/>
          <w:szCs w:val="28"/>
        </w:rPr>
        <w:t xml:space="preserve">MindBridge: </w:t>
      </w:r>
      <w:r w:rsidRPr="0030092B">
        <w:rPr>
          <w:b/>
          <w:bCs/>
          <w:sz w:val="28"/>
          <w:szCs w:val="28"/>
        </w:rPr>
        <w:t>A Digital Dementia Care Companion for Elderly Residents in Care Homes</w:t>
      </w:r>
      <w:r w:rsidR="00EB515C">
        <w:rPr>
          <w:sz w:val="28"/>
          <w:szCs w:val="28"/>
        </w:rPr>
        <w:t>.</w:t>
      </w:r>
    </w:p>
    <w:p w14:paraId="022D9380" w14:textId="3278774F" w:rsidR="00594B9C" w:rsidRPr="00EE3454" w:rsidRDefault="00000000" w:rsidP="0030092B">
      <w:pPr>
        <w:spacing w:after="100" w:line="360" w:lineRule="auto"/>
      </w:pPr>
      <w:r w:rsidRPr="00EE3454">
        <w:rPr>
          <w:b/>
          <w:bCs/>
        </w:rPr>
        <w:t>Student Name:</w:t>
      </w:r>
      <w:r w:rsidRPr="00EE3454">
        <w:t xml:space="preserve">  </w:t>
      </w:r>
      <w:r w:rsidR="00026E17">
        <w:t>Mercy In</w:t>
      </w:r>
      <w:r w:rsidR="005A5139">
        <w:t>yang</w:t>
      </w:r>
    </w:p>
    <w:p w14:paraId="298038DE" w14:textId="0BBD2F1D" w:rsidR="00594B9C" w:rsidRPr="00EE3454" w:rsidRDefault="00000000" w:rsidP="0030092B">
      <w:pPr>
        <w:spacing w:after="100" w:line="360" w:lineRule="auto"/>
      </w:pPr>
      <w:r w:rsidRPr="00EE3454">
        <w:rPr>
          <w:b/>
          <w:bCs/>
        </w:rPr>
        <w:t>Student Number:</w:t>
      </w:r>
      <w:r w:rsidRPr="00EE3454">
        <w:t xml:space="preserve">  </w:t>
      </w:r>
      <w:r w:rsidR="005A5139">
        <w:t>2426168</w:t>
      </w:r>
    </w:p>
    <w:p w14:paraId="37126C4D" w14:textId="4AE9FB22" w:rsidR="00594B9C" w:rsidRPr="00EE3454" w:rsidRDefault="00000000" w:rsidP="0030092B">
      <w:pPr>
        <w:spacing w:after="100" w:line="360" w:lineRule="auto"/>
      </w:pPr>
      <w:r w:rsidRPr="00EE3454">
        <w:rPr>
          <w:b/>
          <w:bCs/>
        </w:rPr>
        <w:t>Lecturer's Name:</w:t>
      </w:r>
      <w:r w:rsidRPr="00EE3454">
        <w:t xml:space="preserve"> </w:t>
      </w:r>
      <w:r w:rsidR="00E84834">
        <w:t>L</w:t>
      </w:r>
      <w:r w:rsidR="00662E7D">
        <w:t>aila Surani</w:t>
      </w:r>
      <w:r w:rsidRPr="00EE3454">
        <w:t xml:space="preserve"> </w:t>
      </w:r>
    </w:p>
    <w:p w14:paraId="58D193AC" w14:textId="77777777" w:rsidR="00594B9C" w:rsidRPr="00EE3454" w:rsidRDefault="00000000" w:rsidP="0030092B">
      <w:pPr>
        <w:spacing w:after="100" w:line="360" w:lineRule="auto"/>
      </w:pPr>
      <w:r w:rsidRPr="00EE3454">
        <w:rPr>
          <w:b/>
          <w:bCs/>
        </w:rPr>
        <w:t>Module Code:</w:t>
      </w:r>
      <w:r w:rsidRPr="00EE3454">
        <w:t xml:space="preserve">  BMHP5014</w:t>
      </w:r>
    </w:p>
    <w:p w14:paraId="590894E6" w14:textId="1B43C050" w:rsidR="00594B9C" w:rsidRPr="00EE3454" w:rsidRDefault="00594B9C" w:rsidP="0030092B">
      <w:pPr>
        <w:spacing w:after="100" w:line="360" w:lineRule="auto"/>
      </w:pPr>
    </w:p>
    <w:p w14:paraId="1CD8C522" w14:textId="77777777" w:rsidR="00E3514D" w:rsidRDefault="00E3514D" w:rsidP="00EB515C"/>
    <w:p w14:paraId="43F52E50" w14:textId="77777777" w:rsidR="00E3514D" w:rsidRDefault="00E3514D" w:rsidP="00EB515C"/>
    <w:p w14:paraId="50768DDC" w14:textId="77777777" w:rsidR="00E3514D" w:rsidRDefault="00E3514D" w:rsidP="00EB515C"/>
    <w:p w14:paraId="30A06E61" w14:textId="77777777" w:rsidR="00E3514D" w:rsidRDefault="00E3514D" w:rsidP="00EB515C"/>
    <w:p w14:paraId="35A7A886" w14:textId="77777777" w:rsidR="00E3514D" w:rsidRDefault="00E3514D" w:rsidP="00EB515C"/>
    <w:p w14:paraId="19DF54F0" w14:textId="77777777" w:rsidR="00E3514D" w:rsidRDefault="00E3514D" w:rsidP="00EB515C"/>
    <w:p w14:paraId="151EE265" w14:textId="77777777" w:rsidR="00E3514D" w:rsidRDefault="00E3514D" w:rsidP="00EB515C"/>
    <w:p w14:paraId="173E2596" w14:textId="77777777" w:rsidR="00E3514D" w:rsidRDefault="00E3514D" w:rsidP="00EB515C"/>
    <w:p w14:paraId="6F38B9EE" w14:textId="77777777" w:rsidR="00E3514D" w:rsidRDefault="00E3514D" w:rsidP="00EB515C"/>
    <w:p w14:paraId="6F9E94F8" w14:textId="77777777" w:rsidR="00E3514D" w:rsidRDefault="00E3514D" w:rsidP="00EB515C"/>
    <w:p w14:paraId="0EB3099F" w14:textId="77777777" w:rsidR="00E3514D" w:rsidRDefault="00E3514D" w:rsidP="00EB515C"/>
    <w:p w14:paraId="545F5D87" w14:textId="77777777" w:rsidR="00E3514D" w:rsidRDefault="00E3514D" w:rsidP="00EB515C"/>
    <w:p w14:paraId="696910A0" w14:textId="77777777" w:rsidR="00E3514D" w:rsidRDefault="00E3514D" w:rsidP="00EB515C"/>
    <w:p w14:paraId="3476DDCA" w14:textId="77777777" w:rsidR="00E3514D" w:rsidRDefault="00E3514D" w:rsidP="00EB515C"/>
    <w:p w14:paraId="34FBAE35" w14:textId="77777777" w:rsidR="00E3514D" w:rsidRDefault="00E3514D" w:rsidP="00EB515C"/>
    <w:p w14:paraId="43B1FD4E" w14:textId="77777777" w:rsidR="00E3514D" w:rsidRDefault="00E3514D" w:rsidP="00EB515C"/>
    <w:p w14:paraId="66C370E2" w14:textId="77777777" w:rsidR="00E3514D" w:rsidRDefault="00E3514D" w:rsidP="00EB515C"/>
    <w:p w14:paraId="762DFAEC" w14:textId="77777777" w:rsidR="00E3514D" w:rsidRDefault="00E3514D" w:rsidP="00EB515C"/>
    <w:p w14:paraId="6B305C73" w14:textId="77777777" w:rsidR="00E3514D" w:rsidRDefault="00E3514D" w:rsidP="00EB515C"/>
    <w:p w14:paraId="7086D484" w14:textId="77777777" w:rsidR="00E3514D" w:rsidRDefault="00E3514D" w:rsidP="00EB515C"/>
    <w:p w14:paraId="607135DD" w14:textId="77777777" w:rsidR="00E3514D" w:rsidRDefault="00E3514D" w:rsidP="00EB515C"/>
    <w:p w14:paraId="2A669AF2" w14:textId="77777777" w:rsidR="00E3514D" w:rsidRDefault="00E3514D" w:rsidP="00EB515C"/>
    <w:p w14:paraId="36A72FC0" w14:textId="77777777" w:rsidR="00E3514D" w:rsidRDefault="00E3514D" w:rsidP="00EB515C"/>
    <w:p w14:paraId="0F90D3FF" w14:textId="77777777" w:rsidR="00E3514D" w:rsidRDefault="00E3514D" w:rsidP="00EB515C"/>
    <w:p w14:paraId="1C335DEF" w14:textId="77777777" w:rsidR="00E3514D" w:rsidRDefault="00E3514D" w:rsidP="00EB515C"/>
    <w:p w14:paraId="259A6EA0" w14:textId="77777777" w:rsidR="00E3514D" w:rsidRDefault="00E3514D" w:rsidP="00EB515C"/>
    <w:p w14:paraId="06F101B9" w14:textId="77777777" w:rsidR="00E3514D" w:rsidRDefault="00E3514D" w:rsidP="00EB515C"/>
    <w:p w14:paraId="2AFF0D9B" w14:textId="3092B330" w:rsidR="00594B9C" w:rsidRDefault="00EB515C" w:rsidP="00EB515C">
      <w:pPr>
        <w:rPr>
          <w:b/>
          <w:bCs/>
          <w:color w:val="4472C4" w:themeColor="accent1"/>
        </w:rPr>
      </w:pPr>
      <w:r w:rsidRPr="00EB515C">
        <w:rPr>
          <w:b/>
          <w:bCs/>
          <w:color w:val="4472C4" w:themeColor="accent1"/>
        </w:rPr>
        <w:t>PART 1: POSTER – MINDBRIDGE DIGITAL DEMENTIA CARE COMPANION</w:t>
      </w:r>
    </w:p>
    <w:p w14:paraId="23C85F13" w14:textId="77777777" w:rsidR="00EB515C" w:rsidRPr="00EB515C" w:rsidRDefault="00EB515C" w:rsidP="00EB515C">
      <w:pPr>
        <w:rPr>
          <w:b/>
          <w:bCs/>
          <w:color w:val="4472C4" w:themeColor="accent1"/>
        </w:rPr>
      </w:pPr>
    </w:p>
    <w:p w14:paraId="025A0257" w14:textId="77777777" w:rsidR="00E3514D" w:rsidRDefault="00E3514D" w:rsidP="00E3514D">
      <w:pPr>
        <w:keepNext/>
        <w:spacing w:before="100" w:after="140" w:line="360" w:lineRule="auto"/>
        <w:jc w:val="center"/>
      </w:pPr>
      <w:r>
        <w:rPr>
          <w:noProof/>
        </w:rPr>
        <w:lastRenderedPageBreak/>
        <w:drawing>
          <wp:inline distT="0" distB="0" distL="0" distR="0" wp14:anchorId="1B0A2402" wp14:editId="4AB9F3F6">
            <wp:extent cx="5824728" cy="8413564"/>
            <wp:effectExtent l="0" t="0" r="5080" b="6985"/>
            <wp:docPr id="13503826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382634" name=""/>
                    <pic:cNvPicPr/>
                  </pic:nvPicPr>
                  <pic:blipFill>
                    <a:blip r:embed="rId7">
                      <a:extLst>
                        <a:ext uri="{96DAC541-7B7A-43D3-8B79-37D633B846F1}">
                          <asvg:svgBlip xmlns:asvg="http://schemas.microsoft.com/office/drawing/2016/SVG/main" r:embed="rId8"/>
                        </a:ext>
                      </a:extLst>
                    </a:blip>
                    <a:stretch>
                      <a:fillRect/>
                    </a:stretch>
                  </pic:blipFill>
                  <pic:spPr>
                    <a:xfrm>
                      <a:off x="0" y="0"/>
                      <a:ext cx="5825616" cy="8414847"/>
                    </a:xfrm>
                    <a:prstGeom prst="rect">
                      <a:avLst/>
                    </a:prstGeom>
                  </pic:spPr>
                </pic:pic>
              </a:graphicData>
            </a:graphic>
          </wp:inline>
        </w:drawing>
      </w:r>
    </w:p>
    <w:p w14:paraId="15B9BB9E" w14:textId="7105506F" w:rsidR="00594B9C" w:rsidRPr="00EE3454" w:rsidRDefault="00E3514D" w:rsidP="00E3514D">
      <w:pPr>
        <w:pStyle w:val="Caption"/>
        <w:jc w:val="center"/>
      </w:pPr>
      <w:r>
        <w:t xml:space="preserve">Figure </w:t>
      </w:r>
      <w:fldSimple w:instr=" SEQ Figure \* ARABIC ">
        <w:r w:rsidR="00050894">
          <w:rPr>
            <w:noProof/>
          </w:rPr>
          <w:t>1</w:t>
        </w:r>
      </w:fldSimple>
      <w:r>
        <w:t xml:space="preserve">: </w:t>
      </w:r>
      <w:r w:rsidRPr="000E0BE7">
        <w:t>MindBridge Digital Dementia Care Companion – Poster (designed by author, BMHP5014, 2026)</w:t>
      </w:r>
    </w:p>
    <w:p w14:paraId="1228E34C" w14:textId="77777777" w:rsidR="00594B9C" w:rsidRPr="00EE3454" w:rsidRDefault="00594B9C" w:rsidP="00EE3454">
      <w:pPr>
        <w:pageBreakBefore/>
        <w:spacing w:line="360" w:lineRule="auto"/>
      </w:pPr>
    </w:p>
    <w:p w14:paraId="45A49DE5" w14:textId="6D55FECA" w:rsidR="00594B9C" w:rsidRPr="00EB515C" w:rsidRDefault="00EB515C" w:rsidP="00EB515C">
      <w:pPr>
        <w:spacing w:line="360" w:lineRule="auto"/>
        <w:rPr>
          <w:b/>
          <w:bCs/>
          <w:color w:val="4472C4" w:themeColor="accent1"/>
        </w:rPr>
      </w:pPr>
      <w:r w:rsidRPr="00EB515C">
        <w:rPr>
          <w:b/>
          <w:bCs/>
          <w:color w:val="4472C4" w:themeColor="accent1"/>
        </w:rPr>
        <w:t>PART 2: WRITTEN PITCH – MINDBRIDGE DIGITAL DEMENTIA CARE COMPANION</w:t>
      </w:r>
    </w:p>
    <w:p w14:paraId="574A3860" w14:textId="77777777" w:rsidR="00594B9C" w:rsidRPr="00D41018" w:rsidRDefault="00000000" w:rsidP="00EB515C">
      <w:pPr>
        <w:spacing w:line="360" w:lineRule="auto"/>
        <w:rPr>
          <w:b/>
          <w:bCs/>
        </w:rPr>
      </w:pPr>
      <w:r w:rsidRPr="00D41018">
        <w:rPr>
          <w:b/>
          <w:bCs/>
        </w:rPr>
        <w:t>Introduction</w:t>
      </w:r>
    </w:p>
    <w:p w14:paraId="5561A114" w14:textId="2BE6C9A5" w:rsidR="00594B9C" w:rsidRPr="00EE3454" w:rsidRDefault="00000000" w:rsidP="00EE3454">
      <w:pPr>
        <w:spacing w:before="60" w:after="160" w:line="360" w:lineRule="auto"/>
        <w:jc w:val="both"/>
      </w:pPr>
      <w:r w:rsidRPr="00EE3454">
        <w:t>MindBridge is a tablet-based digital care companion that uses artificial intelligence, reminiscence therapy, and real-time behavioural</w:t>
      </w:r>
      <w:r w:rsidRPr="00EE3454">
        <w:t xml:space="preserve"> monitoring to improve the daily quality of life of elderly residents living with dementia in UK care homes. The innovation responds to a well-documented and growing crisis: dementia is now the leading cause of death in England and Wales, affecting over 900,000 people in the UK, with care home residents among the most severely impacted by isolation, agitation, and inconsistent therapeutic engagement (Alzheimer's Society, 202</w:t>
      </w:r>
      <w:r w:rsidR="00073382" w:rsidRPr="00EE3454">
        <w:t>4</w:t>
      </w:r>
      <w:r w:rsidRPr="00EE3454">
        <w:t>). Current care models depend heavily on face-to-face staff interaction, which is increasingly compromised by chronic workforce shortages across the residential care sector (Skills for Care, 2023). MindBridge does not seek to replace human care. It seeks to extend its reach</w:t>
      </w:r>
      <w:r w:rsidR="00B63E8B" w:rsidRPr="00EE3454">
        <w:t>,</w:t>
      </w:r>
      <w:r w:rsidRPr="00EE3454">
        <w:t xml:space="preserve"> ensuring that every resident receives meaningful, personalised therapeutic interaction every day, regardless of staffing levels, shift patterns, or resource constraints. The people who stand to benefit most are </w:t>
      </w:r>
      <w:r w:rsidRPr="00EE3454">
        <w:rPr>
          <w:b/>
          <w:bCs/>
        </w:rPr>
        <w:t xml:space="preserve">elderly residents aged sixty-five and above </w:t>
      </w:r>
      <w:r w:rsidRPr="00EE3454">
        <w:t>living with mild to moderate dementia, a group whose needs are consistently underserved by existing non-pharmacological interventions.</w:t>
      </w:r>
    </w:p>
    <w:p w14:paraId="1D6D4CD1" w14:textId="77777777" w:rsidR="00594B9C" w:rsidRPr="00EE3454" w:rsidRDefault="00000000" w:rsidP="00EE3454">
      <w:pPr>
        <w:pStyle w:val="Heading2"/>
        <w:spacing w:line="360" w:lineRule="auto"/>
        <w:rPr>
          <w:sz w:val="22"/>
          <w:szCs w:val="22"/>
        </w:rPr>
      </w:pPr>
      <w:r w:rsidRPr="00D41018">
        <w:rPr>
          <w:color w:val="auto"/>
          <w:sz w:val="22"/>
          <w:szCs w:val="22"/>
        </w:rPr>
        <w:t>Background</w:t>
      </w:r>
    </w:p>
    <w:p w14:paraId="0528AB85" w14:textId="0A754E69" w:rsidR="00594B9C" w:rsidRPr="00EE3454" w:rsidRDefault="00000000" w:rsidP="00EE3454">
      <w:pPr>
        <w:spacing w:before="60" w:after="160" w:line="360" w:lineRule="auto"/>
        <w:jc w:val="both"/>
      </w:pPr>
      <w:r w:rsidRPr="00EE3454">
        <w:t>Dementia represents the single greatest challenge facing health and social care in the United Kingdom. The Alzheimer's Society (202</w:t>
      </w:r>
      <w:r w:rsidR="00FF6F29" w:rsidRPr="00EE3454">
        <w:t>4</w:t>
      </w:r>
      <w:r w:rsidRPr="00EE3454">
        <w:t xml:space="preserve">) estimates that </w:t>
      </w:r>
      <w:r w:rsidR="00FF6F29" w:rsidRPr="00EE3454">
        <w:t>the average per person costs associated with the mild, moderate and severe stages of dementia are estimated to be £28,700,£42,900 and £80,500 respectively</w:t>
      </w:r>
      <w:r w:rsidRPr="00EE3454">
        <w:t>, a figure projected to rise to £9</w:t>
      </w:r>
      <w:r w:rsidR="00FF6F29" w:rsidRPr="00EE3454">
        <w:t xml:space="preserve">0 </w:t>
      </w:r>
      <w:r w:rsidRPr="00EE3454">
        <w:t>billion by 2040 as the population ages. Of the 9</w:t>
      </w:r>
      <w:r w:rsidR="00FF6F29" w:rsidRPr="00EE3454">
        <w:t>82</w:t>
      </w:r>
      <w:r w:rsidRPr="00EE3454">
        <w:t>,000 people currently living with the condition, approximately 70% will spend time in a care home setting, where the quality of non-pharmacological intervention directly determines their quality of life and rate of cognitive decline (Prince et al., 2014). Bunn et al. (20</w:t>
      </w:r>
      <w:r w:rsidR="00F5074D" w:rsidRPr="00EE3454">
        <w:t>16</w:t>
      </w:r>
      <w:r w:rsidRPr="00EE3454">
        <w:t>), writing in Age and Ageing, found that 78% of care home residents with dementia experience clinically significant loneliness, which is independently associated with accelerated cognitive deterioration, increased agitation, and higher rates of antipsychotic medication use. NICE Guideline NG97 (2018) on dementia assessment and management is explicit: antipsychotic medication should not be used as a first-line response to agitation and distress, and non-pharmacological interventions must be offered consisten</w:t>
      </w:r>
      <w:r w:rsidRPr="00EE3454">
        <w:t xml:space="preserve">tly. However, Skills for Care (2023) reports a care home sector vacancy rate of 9.9%, meaning that the workforce capacity to deliver consistent therapeutic activity simply does not exist without technological support. The NHS Long Term Plan (2019) commits to expanding support for people living with dementia and their </w:t>
      </w:r>
      <w:proofErr w:type="spellStart"/>
      <w:r w:rsidRPr="00EE3454">
        <w:t>carers</w:t>
      </w:r>
      <w:proofErr w:type="spellEnd"/>
      <w:r w:rsidRPr="00EE3454">
        <w:t>, yet progress in residential care settings has been slow. MindBridge</w:t>
      </w:r>
      <w:r w:rsidRPr="00EE3454">
        <w:t xml:space="preserve"> directly addresses this implementation gap by embedding evidence-based non-pharmacological intervention into a device that care staff can deploy and monitor without specialist clinical training.</w:t>
      </w:r>
    </w:p>
    <w:p w14:paraId="0448CCA3" w14:textId="77777777" w:rsidR="00594B9C" w:rsidRPr="00D41018" w:rsidRDefault="00000000" w:rsidP="00EE3454">
      <w:pPr>
        <w:pStyle w:val="Heading2"/>
        <w:spacing w:line="360" w:lineRule="auto"/>
        <w:rPr>
          <w:color w:val="auto"/>
          <w:sz w:val="22"/>
          <w:szCs w:val="22"/>
        </w:rPr>
      </w:pPr>
      <w:r w:rsidRPr="00D41018">
        <w:rPr>
          <w:color w:val="auto"/>
          <w:sz w:val="22"/>
          <w:szCs w:val="22"/>
        </w:rPr>
        <w:lastRenderedPageBreak/>
        <w:t>Innovation Description</w:t>
      </w:r>
    </w:p>
    <w:p w14:paraId="37CF632D" w14:textId="77777777" w:rsidR="00E75E8B" w:rsidRDefault="00000000" w:rsidP="00EE3454">
      <w:pPr>
        <w:spacing w:before="60" w:after="160" w:line="360" w:lineRule="auto"/>
        <w:jc w:val="both"/>
      </w:pPr>
      <w:r w:rsidRPr="00EE3454">
        <w:t>MindBridge operates through a secure, purpose-built tablet installed in each resident's room and in communal areas. Its core function is AI-driven personalisation</w:t>
      </w:r>
      <w:r w:rsidRPr="00EE3454">
        <w:t xml:space="preserve">: the system builds a digital life story profile for each resident, drawing on information provided by family members, care workers, and GP records, and uses this profile to deliver content that is personally meaningful rather than generically therapeutic. </w:t>
      </w:r>
    </w:p>
    <w:p w14:paraId="0D9CD190" w14:textId="77777777" w:rsidR="00E75E8B" w:rsidRDefault="00E75E8B" w:rsidP="00E75E8B">
      <w:pPr>
        <w:keepNext/>
        <w:spacing w:before="60" w:after="160" w:line="360" w:lineRule="auto"/>
        <w:jc w:val="both"/>
      </w:pPr>
      <w:r w:rsidRPr="00E75E8B">
        <w:rPr>
          <w:noProof/>
        </w:rPr>
        <w:drawing>
          <wp:inline distT="0" distB="0" distL="0" distR="0" wp14:anchorId="7616CCE4" wp14:editId="302B7A35">
            <wp:extent cx="6036310" cy="2378075"/>
            <wp:effectExtent l="0" t="0" r="2540" b="3175"/>
            <wp:docPr id="384475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5085" name=""/>
                    <pic:cNvPicPr/>
                  </pic:nvPicPr>
                  <pic:blipFill>
                    <a:blip r:embed="rId9"/>
                    <a:stretch>
                      <a:fillRect/>
                    </a:stretch>
                  </pic:blipFill>
                  <pic:spPr>
                    <a:xfrm>
                      <a:off x="0" y="0"/>
                      <a:ext cx="6036310" cy="2378075"/>
                    </a:xfrm>
                    <a:prstGeom prst="rect">
                      <a:avLst/>
                    </a:prstGeom>
                  </pic:spPr>
                </pic:pic>
              </a:graphicData>
            </a:graphic>
          </wp:inline>
        </w:drawing>
      </w:r>
    </w:p>
    <w:p w14:paraId="597F7FF8" w14:textId="470B0BD7" w:rsidR="00E75E8B" w:rsidRDefault="00E75E8B" w:rsidP="00E75E8B">
      <w:pPr>
        <w:pStyle w:val="Caption"/>
        <w:jc w:val="center"/>
      </w:pPr>
      <w:r>
        <w:t xml:space="preserve">Figure </w:t>
      </w:r>
      <w:fldSimple w:instr=" SEQ Figure \* ARABIC ">
        <w:r w:rsidR="00050894">
          <w:rPr>
            <w:noProof/>
          </w:rPr>
          <w:t>2</w:t>
        </w:r>
      </w:fldSimple>
      <w:r>
        <w:t xml:space="preserve">: </w:t>
      </w:r>
      <w:r w:rsidRPr="00644323">
        <w:t>MindBridge Front View Overview</w:t>
      </w:r>
    </w:p>
    <w:p w14:paraId="258E2C06" w14:textId="2DA60585" w:rsidR="00E75E8B" w:rsidRDefault="00E75E8B" w:rsidP="00EE3454">
      <w:pPr>
        <w:spacing w:before="60" w:after="160" w:line="360" w:lineRule="auto"/>
        <w:jc w:val="both"/>
      </w:pPr>
    </w:p>
    <w:p w14:paraId="6EBD3D12" w14:textId="77777777" w:rsidR="00320798" w:rsidRDefault="00000000" w:rsidP="00EE3454">
      <w:pPr>
        <w:spacing w:before="60" w:after="160" w:line="360" w:lineRule="auto"/>
        <w:jc w:val="both"/>
      </w:pPr>
      <w:r w:rsidRPr="00EE3454">
        <w:t xml:space="preserve">This might include photographs from the resident's youth, music from their formative years, video messages from family members, or guided reminiscence prompts about their former occupation or home town. </w:t>
      </w:r>
    </w:p>
    <w:p w14:paraId="601AACC5" w14:textId="77777777" w:rsidR="00320798" w:rsidRDefault="00320798" w:rsidP="00320798">
      <w:pPr>
        <w:keepNext/>
        <w:spacing w:before="60" w:after="160" w:line="360" w:lineRule="auto"/>
        <w:jc w:val="center"/>
      </w:pPr>
      <w:r w:rsidRPr="00320798">
        <w:rPr>
          <w:noProof/>
        </w:rPr>
        <w:drawing>
          <wp:inline distT="0" distB="0" distL="0" distR="0" wp14:anchorId="007C2BB6" wp14:editId="02B43FCE">
            <wp:extent cx="2506980" cy="2833502"/>
            <wp:effectExtent l="0" t="0" r="7620" b="5080"/>
            <wp:docPr id="735312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312203" name=""/>
                    <pic:cNvPicPr/>
                  </pic:nvPicPr>
                  <pic:blipFill>
                    <a:blip r:embed="rId10"/>
                    <a:stretch>
                      <a:fillRect/>
                    </a:stretch>
                  </pic:blipFill>
                  <pic:spPr>
                    <a:xfrm>
                      <a:off x="0" y="0"/>
                      <a:ext cx="2521583" cy="2850007"/>
                    </a:xfrm>
                    <a:prstGeom prst="rect">
                      <a:avLst/>
                    </a:prstGeom>
                  </pic:spPr>
                </pic:pic>
              </a:graphicData>
            </a:graphic>
          </wp:inline>
        </w:drawing>
      </w:r>
    </w:p>
    <w:p w14:paraId="6B88AC27" w14:textId="0BBBEFC7" w:rsidR="00320798" w:rsidRDefault="00320798" w:rsidP="00320798">
      <w:pPr>
        <w:pStyle w:val="Caption"/>
        <w:jc w:val="center"/>
      </w:pPr>
      <w:r>
        <w:t xml:space="preserve">Figure </w:t>
      </w:r>
      <w:fldSimple w:instr=" SEQ Figure \* ARABIC ">
        <w:r w:rsidR="00050894">
          <w:rPr>
            <w:noProof/>
          </w:rPr>
          <w:t>3</w:t>
        </w:r>
      </w:fldSimple>
      <w:r>
        <w:t xml:space="preserve">: </w:t>
      </w:r>
      <w:r w:rsidRPr="00DE470E">
        <w:t>MindBridge  —  Home Screen — Detail View</w:t>
      </w:r>
    </w:p>
    <w:p w14:paraId="318B9D3D" w14:textId="77777777" w:rsidR="00050894" w:rsidRDefault="00000000" w:rsidP="00EE3454">
      <w:pPr>
        <w:spacing w:before="60" w:after="160" w:line="360" w:lineRule="auto"/>
        <w:jc w:val="both"/>
      </w:pPr>
      <w:r w:rsidRPr="00EE3454">
        <w:lastRenderedPageBreak/>
        <w:t>Manera et al. (201</w:t>
      </w:r>
      <w:r w:rsidR="00582988" w:rsidRPr="00EE3454">
        <w:t>5</w:t>
      </w:r>
      <w:r w:rsidRPr="00EE3454">
        <w:t>) demonstrated in a randomised</w:t>
      </w:r>
      <w:r w:rsidRPr="00EE3454">
        <w:t xml:space="preserve"> controlled study that reminiscence therapy delivered through digital media significantly reduces agitation and improves mood in people living with dementia compared to standard activity programmes. The AI component of MindBridge continuously analyses interaction data</w:t>
      </w:r>
      <w:r w:rsidR="00582988" w:rsidRPr="00EE3454">
        <w:t xml:space="preserve">, </w:t>
      </w:r>
      <w:r w:rsidRPr="00EE3454">
        <w:t>response times, engagement duration, content preferences, and agitation indicators detected through the device's front-facing camera and updates the content algorithm daily. When the system detects behavioural</w:t>
      </w:r>
      <w:r w:rsidRPr="00EE3454">
        <w:t xml:space="preserve"> patterns consistent with heightened distress, it sends an immediate alert to the care staff dashboard, enabling a human response before the situation escalates. The device interface is designed for residents with significant cognitive impairment: large buttons, simple voice commands, and visual cues replace text-based navigation. Family connection is built in through a one-button video call function that requires no technical knowledge from the resident. </w:t>
      </w:r>
    </w:p>
    <w:p w14:paraId="3A40CDCE" w14:textId="77777777" w:rsidR="00050894" w:rsidRDefault="00050894" w:rsidP="00050894">
      <w:pPr>
        <w:keepNext/>
        <w:spacing w:before="60" w:after="160" w:line="360" w:lineRule="auto"/>
        <w:jc w:val="center"/>
      </w:pPr>
      <w:r w:rsidRPr="00050894">
        <w:rPr>
          <w:noProof/>
        </w:rPr>
        <w:drawing>
          <wp:inline distT="0" distB="0" distL="0" distR="0" wp14:anchorId="791F519F" wp14:editId="418B3BF2">
            <wp:extent cx="2032104" cy="4045158"/>
            <wp:effectExtent l="0" t="0" r="6350" b="0"/>
            <wp:docPr id="795448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448118" name=""/>
                    <pic:cNvPicPr/>
                  </pic:nvPicPr>
                  <pic:blipFill>
                    <a:blip r:embed="rId11"/>
                    <a:stretch>
                      <a:fillRect/>
                    </a:stretch>
                  </pic:blipFill>
                  <pic:spPr>
                    <a:xfrm>
                      <a:off x="0" y="0"/>
                      <a:ext cx="2032104" cy="4045158"/>
                    </a:xfrm>
                    <a:prstGeom prst="rect">
                      <a:avLst/>
                    </a:prstGeom>
                  </pic:spPr>
                </pic:pic>
              </a:graphicData>
            </a:graphic>
          </wp:inline>
        </w:drawing>
      </w:r>
    </w:p>
    <w:p w14:paraId="519BC44D" w14:textId="4BF32103" w:rsidR="00050894" w:rsidRDefault="00050894" w:rsidP="00050894">
      <w:pPr>
        <w:pStyle w:val="Caption"/>
        <w:jc w:val="center"/>
      </w:pPr>
      <w:r>
        <w:t xml:space="preserve">Figure </w:t>
      </w:r>
      <w:fldSimple w:instr=" SEQ Figure \* ARABIC ">
        <w:r>
          <w:rPr>
            <w:noProof/>
          </w:rPr>
          <w:t>4</w:t>
        </w:r>
      </w:fldSimple>
      <w:r>
        <w:t xml:space="preserve">: </w:t>
      </w:r>
      <w:r w:rsidRPr="00CE43FD">
        <w:t>MindBridge</w:t>
      </w:r>
      <w:r w:rsidR="00A53123">
        <w:t>-</w:t>
      </w:r>
      <w:r w:rsidR="00A53123" w:rsidRPr="00CE43FD">
        <w:t xml:space="preserve"> Family</w:t>
      </w:r>
      <w:r w:rsidRPr="00CE43FD">
        <w:t xml:space="preserve"> Connection Screen</w:t>
      </w:r>
    </w:p>
    <w:p w14:paraId="77DF28FB" w14:textId="541C0294" w:rsidR="00594B9C" w:rsidRPr="00D41018" w:rsidRDefault="00000000" w:rsidP="00EE3454">
      <w:pPr>
        <w:spacing w:before="60" w:after="160" w:line="360" w:lineRule="auto"/>
        <w:jc w:val="both"/>
      </w:pPr>
      <w:r w:rsidRPr="00EE3454">
        <w:t>The innovation builds directly on the prototyping principles taught in Week 6 of this module, with Lauff, Kotys-Schwartz and Rentschler (2018) arguing that iterative user-</w:t>
      </w:r>
      <w:proofErr w:type="spellStart"/>
      <w:r w:rsidRPr="00EE3454">
        <w:t>centred</w:t>
      </w:r>
      <w:proofErr w:type="spellEnd"/>
      <w:r w:rsidRPr="00EE3454">
        <w:t xml:space="preserve"> prototyping is the most reliable path to a final product that genuinely meets user needs. Co-design sessions with care home residents, their families, and frontline care workers will be embedded at every development stage.</w:t>
      </w:r>
      <w:r w:rsidR="003B30B2">
        <w:t xml:space="preserve"> </w:t>
      </w:r>
    </w:p>
    <w:p w14:paraId="473425FC" w14:textId="77777777" w:rsidR="00594B9C" w:rsidRPr="00D41018" w:rsidRDefault="00000000" w:rsidP="00EE3454">
      <w:pPr>
        <w:pStyle w:val="Heading2"/>
        <w:spacing w:line="360" w:lineRule="auto"/>
        <w:rPr>
          <w:color w:val="auto"/>
          <w:sz w:val="22"/>
          <w:szCs w:val="22"/>
        </w:rPr>
      </w:pPr>
      <w:r w:rsidRPr="00D41018">
        <w:rPr>
          <w:color w:val="auto"/>
          <w:sz w:val="22"/>
          <w:szCs w:val="22"/>
        </w:rPr>
        <w:t>Impact on Health and Social Care</w:t>
      </w:r>
    </w:p>
    <w:p w14:paraId="36A217AE" w14:textId="39B4848C" w:rsidR="00594B9C" w:rsidRPr="00EE3454" w:rsidRDefault="00000000" w:rsidP="00EE3454">
      <w:pPr>
        <w:spacing w:before="60" w:after="160" w:line="360" w:lineRule="auto"/>
        <w:jc w:val="both"/>
      </w:pPr>
      <w:r w:rsidRPr="00EE3454">
        <w:lastRenderedPageBreak/>
        <w:t>The primary beneficiaries of MindBridge</w:t>
      </w:r>
      <w:r w:rsidRPr="00EE3454">
        <w:t xml:space="preserve"> are elderly care home residents aged sixty-five and above living with mild to moderate dementia, particularly those who are socially isolated, at risk of antipsychotic overprescription, or experiencing agitation that current staffing levels cannot address therapeutically. For this group, the device offers daily access to personalised reminiscence, sensory stimulation, and family connection</w:t>
      </w:r>
      <w:r w:rsidR="00EE3454">
        <w:t xml:space="preserve">, </w:t>
      </w:r>
      <w:r w:rsidRPr="00EE3454">
        <w:t>three evidence-based protective factors against cognitive decline and emotional distress (Woods et al., 2018). For care home staff, MindBridge</w:t>
      </w:r>
      <w:r w:rsidRPr="00EE3454">
        <w:t xml:space="preserve"> reduces the reactive burden of managing unaddressed agitation by enabling proactive, alert-driven responses. This has direct implications for staff wellbeing: Skills for Care (2023) identifies emotional exhaustion as the primary driver of care worker turnover, and reducing avoidable agitation incidents reduces the emotional toll on staff as well as residents. For NHS systems and local authority commissioners, the financial case for MindBridge</w:t>
      </w:r>
      <w:r w:rsidRPr="00EE3454">
        <w:t xml:space="preserve"> is compelling. Livingston et al. (2017), writing in The Lancet, found that effective non-pharmacological dementia interventions reduce hospital admissions and emergency call-outs, cutting system costs significantly. The Care Act (2014) places a statutory duty on local authorities to promote individual wellbeing, and the Equality Act (2010) requires reasonable adjustments to ensure that elderly residents with cognitive impairment have equal access to therapeutic support. MindBridge</w:t>
      </w:r>
      <w:r w:rsidRPr="00EE3454">
        <w:t xml:space="preserve"> fulfils both obligations by delivering consistent, dignified, and personalised care that does not depend on staffing ratios alone. Its contribution to the common good lies in its capacity to close the gap between what dementia care should look like and what it currently delivers in practice.</w:t>
      </w:r>
    </w:p>
    <w:p w14:paraId="03732D9B" w14:textId="77777777" w:rsidR="00594B9C" w:rsidRPr="00D41018" w:rsidRDefault="00000000" w:rsidP="00EE3454">
      <w:pPr>
        <w:pStyle w:val="Heading2"/>
        <w:spacing w:line="360" w:lineRule="auto"/>
        <w:rPr>
          <w:color w:val="auto"/>
          <w:sz w:val="22"/>
          <w:szCs w:val="22"/>
        </w:rPr>
      </w:pPr>
      <w:r w:rsidRPr="00D41018">
        <w:rPr>
          <w:color w:val="auto"/>
          <w:sz w:val="22"/>
          <w:szCs w:val="22"/>
        </w:rPr>
        <w:t>Public and Stakeholder Involvement</w:t>
      </w:r>
    </w:p>
    <w:p w14:paraId="74A93A0B" w14:textId="77777777" w:rsidR="00594B9C" w:rsidRPr="00EE3454" w:rsidRDefault="00000000" w:rsidP="00EE3454">
      <w:pPr>
        <w:spacing w:before="60" w:after="160" w:line="360" w:lineRule="auto"/>
        <w:jc w:val="both"/>
      </w:pPr>
      <w:r w:rsidRPr="00EE3454">
        <w:t>The development and rollout of MindBridge</w:t>
      </w:r>
      <w:r w:rsidRPr="00EE3454">
        <w:t xml:space="preserve"> will involve residents, families, care workers, and the wider public at every stage. Residents with capacity to consent will participate in co-design workshops alongside family members, who will contribute to the life story profiling system that underpins the AI personalisation</w:t>
      </w:r>
      <w:r w:rsidRPr="00EE3454">
        <w:t xml:space="preserve"> engine. For residents who lack capacity, the Mental Capacity Act (2005) provides a clear framework for involving family members and care workers as advocates in design decisions. The general public will be engaged through partnerships with the Alzheimer's Society and Dementia UK, both of which have established public awareness platforms and volunteering networks. Raising public awareness of MindBridge matters because family members are the primary contributors to the life story data that makes the AI </w:t>
      </w:r>
      <w:r w:rsidRPr="00EE3454">
        <w:t>personalisation effective: the more families engage, the better the system works for their relatives. Care home managers and NHS commissioners represent the key institutional stakeholders, and engagement with this group will be driven through demonstration events, peer-reviewed evidence publications, and CQC inspection alignment briefings showing how MindBridge supports compliance with fundamental care standards.</w:t>
      </w:r>
    </w:p>
    <w:p w14:paraId="1B24B4AE" w14:textId="77777777" w:rsidR="00594B9C" w:rsidRPr="00D41018" w:rsidRDefault="00000000" w:rsidP="00EE3454">
      <w:pPr>
        <w:pStyle w:val="Heading2"/>
        <w:spacing w:line="360" w:lineRule="auto"/>
        <w:rPr>
          <w:color w:val="auto"/>
          <w:sz w:val="22"/>
          <w:szCs w:val="22"/>
        </w:rPr>
      </w:pPr>
      <w:r w:rsidRPr="00D41018">
        <w:rPr>
          <w:color w:val="auto"/>
          <w:sz w:val="22"/>
          <w:szCs w:val="22"/>
        </w:rPr>
        <w:t>Policies, Services, and Professional Links</w:t>
      </w:r>
    </w:p>
    <w:p w14:paraId="6A343446" w14:textId="77777777" w:rsidR="00594B9C" w:rsidRPr="00EE3454" w:rsidRDefault="00000000" w:rsidP="00EE3454">
      <w:pPr>
        <w:spacing w:before="60" w:after="160" w:line="360" w:lineRule="auto"/>
        <w:jc w:val="both"/>
      </w:pPr>
      <w:r w:rsidRPr="00EE3454">
        <w:lastRenderedPageBreak/>
        <w:t>MindBridge</w:t>
      </w:r>
      <w:r w:rsidRPr="00EE3454">
        <w:t xml:space="preserve"> sits within a rich and well-established policy and legislative framework. The Mental Capacity Act (2005) governs all decisions made on behalf of residents who lack capacity, and the device's consent architecture is built around its principles of best interests and least restrictive intervention. The Care Act (2014) provides the statutory foundation for the wellbeing duty that MindBridge</w:t>
      </w:r>
      <w:r w:rsidRPr="00EE3454">
        <w:t xml:space="preserve"> directly supports. NICE Guideline NG97 (2018) specifies the non-pharmacological approaches that care homes should deliver consistently, and MindBridge </w:t>
      </w:r>
      <w:proofErr w:type="spellStart"/>
      <w:r w:rsidRPr="00EE3454">
        <w:t>operationalises</w:t>
      </w:r>
      <w:proofErr w:type="spellEnd"/>
      <w:r w:rsidRPr="00EE3454">
        <w:t xml:space="preserve"> these at scale. Data collected by the device is governed by UK GDPR and the Data Protection Act (2018), with all resident data stored on NHS-compliant encrypted cloud infrastructure. Professionally, the primary implementation partners are care home registered managers, who hold CQC accountability for quality of care, and social workers, who carry out Care Act assessments and can recommend MindBridge</w:t>
      </w:r>
      <w:r w:rsidRPr="00EE3454">
        <w:t xml:space="preserve"> as a reasonable adjustment under the Equality Act (2010). NHS memory clinics and community dementia nurses represent the primary clinical referral pathway, ensuring that the device reaches residents at the point of diagnosis rather than only after crisis. The Nursing and Midwifery Council Code (NMC, 2018) and the Health and Care Professions Council Standards (HCPC, 2016) both require registered practitioners to use evidence-based approaches to improve outcomes, positioning MindBridge</w:t>
      </w:r>
      <w:r w:rsidRPr="00EE3454">
        <w:t xml:space="preserve"> as a professional obligation as much as an optional innovation.</w:t>
      </w:r>
    </w:p>
    <w:p w14:paraId="6FC6630E" w14:textId="77777777" w:rsidR="00594B9C" w:rsidRPr="00EE3454" w:rsidRDefault="00000000" w:rsidP="00EE3454">
      <w:pPr>
        <w:pStyle w:val="Heading2"/>
        <w:spacing w:line="360" w:lineRule="auto"/>
        <w:rPr>
          <w:sz w:val="22"/>
          <w:szCs w:val="22"/>
        </w:rPr>
      </w:pPr>
      <w:r w:rsidRPr="00D41018">
        <w:rPr>
          <w:color w:val="auto"/>
          <w:sz w:val="22"/>
          <w:szCs w:val="22"/>
        </w:rPr>
        <w:t>Conclusion</w:t>
      </w:r>
    </w:p>
    <w:p w14:paraId="28D2F311" w14:textId="77777777" w:rsidR="00594B9C" w:rsidRPr="00EE3454" w:rsidRDefault="00000000" w:rsidP="00EE3454">
      <w:pPr>
        <w:spacing w:before="60" w:after="160" w:line="360" w:lineRule="auto"/>
        <w:jc w:val="both"/>
      </w:pPr>
      <w:r w:rsidRPr="00EE3454">
        <w:t>MindBridge represents a feasible, evidence-grounded, and urgently needed innovation for one of health and social care's most complex and emotionally demanding challenges. Dementia will affect more people in the UK over the next two decades than any other condition, and the residential care sector that serves them is already stretched beyond what staffing alone can sustain. MindBridge</w:t>
      </w:r>
      <w:r w:rsidRPr="00EE3454">
        <w:t xml:space="preserve"> does not ask the sector to do more with less. It gives the sector a tool that multiplies the therapeutic impact of every care interaction, ensures no resident passes a day without meaningful engagement, and supports the staff who deliver care to do so with greater confidence and less emotional burden. Its adoption is an investment not only in the residents it serves, but in the dignity, quality, and sustainability of dementia care as a whole.</w:t>
      </w:r>
    </w:p>
    <w:p w14:paraId="3FC3AB11" w14:textId="77777777" w:rsidR="00594B9C" w:rsidRDefault="00594B9C" w:rsidP="00EE3454">
      <w:pPr>
        <w:spacing w:after="60" w:line="360" w:lineRule="auto"/>
      </w:pPr>
    </w:p>
    <w:p w14:paraId="10649A2D" w14:textId="77777777" w:rsidR="00EE2CC9" w:rsidRDefault="00EE2CC9" w:rsidP="00EE3454">
      <w:pPr>
        <w:spacing w:after="60" w:line="360" w:lineRule="auto"/>
      </w:pPr>
    </w:p>
    <w:p w14:paraId="5DD13169" w14:textId="77777777" w:rsidR="00EE2CC9" w:rsidRDefault="00EE2CC9" w:rsidP="00EE3454">
      <w:pPr>
        <w:spacing w:after="60" w:line="360" w:lineRule="auto"/>
      </w:pPr>
    </w:p>
    <w:p w14:paraId="5E3B96E7" w14:textId="77777777" w:rsidR="00EE2CC9" w:rsidRDefault="00EE2CC9" w:rsidP="00EE3454">
      <w:pPr>
        <w:spacing w:after="60" w:line="360" w:lineRule="auto"/>
      </w:pPr>
    </w:p>
    <w:p w14:paraId="7027F0A4" w14:textId="77777777" w:rsidR="00EE2CC9" w:rsidRDefault="00EE2CC9" w:rsidP="00EE3454">
      <w:pPr>
        <w:spacing w:after="60" w:line="360" w:lineRule="auto"/>
      </w:pPr>
    </w:p>
    <w:p w14:paraId="2396CACA" w14:textId="77777777" w:rsidR="00EE2CC9" w:rsidRDefault="00EE2CC9" w:rsidP="00EE3454">
      <w:pPr>
        <w:spacing w:after="60" w:line="360" w:lineRule="auto"/>
      </w:pPr>
    </w:p>
    <w:p w14:paraId="58427783" w14:textId="77777777" w:rsidR="00EE2CC9" w:rsidRDefault="00EE2CC9" w:rsidP="00EE3454">
      <w:pPr>
        <w:spacing w:after="60" w:line="360" w:lineRule="auto"/>
      </w:pPr>
    </w:p>
    <w:p w14:paraId="6F532A56" w14:textId="77777777" w:rsidR="00EE2CC9" w:rsidRDefault="00EE2CC9" w:rsidP="00EE3454">
      <w:pPr>
        <w:spacing w:after="60" w:line="360" w:lineRule="auto"/>
      </w:pPr>
    </w:p>
    <w:p w14:paraId="6F06DDD9" w14:textId="77777777" w:rsidR="00EE2CC9" w:rsidRDefault="00EE2CC9" w:rsidP="00EE3454">
      <w:pPr>
        <w:spacing w:after="60" w:line="360" w:lineRule="auto"/>
      </w:pPr>
    </w:p>
    <w:p w14:paraId="5C49A7F2" w14:textId="77777777" w:rsidR="00EE2CC9" w:rsidRDefault="00EE2CC9" w:rsidP="00EE3454">
      <w:pPr>
        <w:spacing w:after="60" w:line="360" w:lineRule="auto"/>
      </w:pPr>
    </w:p>
    <w:p w14:paraId="35B362AF" w14:textId="77777777" w:rsidR="00EE2CC9" w:rsidRDefault="00EE2CC9" w:rsidP="00EE3454">
      <w:pPr>
        <w:spacing w:after="60" w:line="360" w:lineRule="auto"/>
      </w:pPr>
    </w:p>
    <w:p w14:paraId="78EE743C" w14:textId="77777777" w:rsidR="00EE2CC9" w:rsidRDefault="00EE2CC9" w:rsidP="00EE3454">
      <w:pPr>
        <w:spacing w:after="60" w:line="360" w:lineRule="auto"/>
      </w:pPr>
    </w:p>
    <w:p w14:paraId="3D53D183" w14:textId="77777777" w:rsidR="00EE2CC9" w:rsidRDefault="00EE2CC9" w:rsidP="00EE3454">
      <w:pPr>
        <w:spacing w:after="60" w:line="360" w:lineRule="auto"/>
      </w:pPr>
    </w:p>
    <w:p w14:paraId="3CA1B427" w14:textId="77777777" w:rsidR="00EE2CC9" w:rsidRDefault="00EE2CC9" w:rsidP="00EE3454">
      <w:pPr>
        <w:spacing w:after="60" w:line="360" w:lineRule="auto"/>
      </w:pPr>
    </w:p>
    <w:p w14:paraId="021245E6" w14:textId="77777777" w:rsidR="00EE2CC9" w:rsidRDefault="00EE2CC9" w:rsidP="00EE3454">
      <w:pPr>
        <w:spacing w:after="60" w:line="360" w:lineRule="auto"/>
      </w:pPr>
    </w:p>
    <w:p w14:paraId="1590BCED" w14:textId="77777777" w:rsidR="00EE2CC9" w:rsidRDefault="00EE2CC9" w:rsidP="00EE3454">
      <w:pPr>
        <w:spacing w:after="60" w:line="360" w:lineRule="auto"/>
      </w:pPr>
    </w:p>
    <w:p w14:paraId="32BEBEE0" w14:textId="77777777" w:rsidR="00EE2CC9" w:rsidRDefault="00EE2CC9" w:rsidP="00EE3454">
      <w:pPr>
        <w:spacing w:after="60" w:line="360" w:lineRule="auto"/>
      </w:pPr>
    </w:p>
    <w:p w14:paraId="4928304F" w14:textId="77777777" w:rsidR="00EE2CC9" w:rsidRDefault="00EE2CC9" w:rsidP="00EE3454">
      <w:pPr>
        <w:spacing w:after="60" w:line="360" w:lineRule="auto"/>
      </w:pPr>
    </w:p>
    <w:p w14:paraId="1E3C4E5C" w14:textId="77777777" w:rsidR="00A060C3" w:rsidRDefault="00A060C3" w:rsidP="00EE3454">
      <w:pPr>
        <w:spacing w:after="60" w:line="360" w:lineRule="auto"/>
      </w:pPr>
    </w:p>
    <w:p w14:paraId="5A05721E" w14:textId="77777777" w:rsidR="00A060C3" w:rsidRDefault="00A060C3" w:rsidP="00EE3454">
      <w:pPr>
        <w:spacing w:after="60" w:line="360" w:lineRule="auto"/>
      </w:pPr>
    </w:p>
    <w:p w14:paraId="4E127F7B" w14:textId="77777777" w:rsidR="00BA61E4" w:rsidRDefault="00BA61E4" w:rsidP="00EE3454">
      <w:pPr>
        <w:spacing w:after="60" w:line="360" w:lineRule="auto"/>
      </w:pPr>
    </w:p>
    <w:p w14:paraId="4F1DA95C" w14:textId="77777777" w:rsidR="00BA61E4" w:rsidRDefault="00BA61E4" w:rsidP="00EE3454">
      <w:pPr>
        <w:spacing w:after="60" w:line="360" w:lineRule="auto"/>
      </w:pPr>
    </w:p>
    <w:p w14:paraId="04D94EEF" w14:textId="77777777" w:rsidR="00BA61E4" w:rsidRDefault="00BA61E4" w:rsidP="00EE3454">
      <w:pPr>
        <w:spacing w:after="60" w:line="360" w:lineRule="auto"/>
      </w:pPr>
    </w:p>
    <w:p w14:paraId="2144CDF6" w14:textId="77777777" w:rsidR="00BA61E4" w:rsidRDefault="00BA61E4" w:rsidP="00EE3454">
      <w:pPr>
        <w:spacing w:after="60" w:line="360" w:lineRule="auto"/>
      </w:pPr>
    </w:p>
    <w:p w14:paraId="38C668C8" w14:textId="77777777" w:rsidR="00BA61E4" w:rsidRDefault="00BA61E4" w:rsidP="00EE3454">
      <w:pPr>
        <w:spacing w:after="60" w:line="360" w:lineRule="auto"/>
      </w:pPr>
    </w:p>
    <w:p w14:paraId="7C3BA25D" w14:textId="77777777" w:rsidR="00BA61E4" w:rsidRDefault="00BA61E4" w:rsidP="00EE3454">
      <w:pPr>
        <w:spacing w:after="60" w:line="360" w:lineRule="auto"/>
      </w:pPr>
    </w:p>
    <w:p w14:paraId="63B95708" w14:textId="77777777" w:rsidR="00BA61E4" w:rsidRDefault="00BA61E4" w:rsidP="00EE3454">
      <w:pPr>
        <w:spacing w:after="60" w:line="360" w:lineRule="auto"/>
      </w:pPr>
    </w:p>
    <w:p w14:paraId="0B08CADB" w14:textId="77777777" w:rsidR="00EE2CC9" w:rsidRPr="00EE3454" w:rsidRDefault="00EE2CC9" w:rsidP="00EE3454">
      <w:pPr>
        <w:spacing w:after="60" w:line="360" w:lineRule="auto"/>
      </w:pPr>
    </w:p>
    <w:p w14:paraId="293DC99B" w14:textId="77777777" w:rsidR="004D60EB" w:rsidRPr="00B12D0A" w:rsidRDefault="00000000" w:rsidP="004D60EB">
      <w:pPr>
        <w:rPr>
          <w:b/>
          <w:bCs/>
        </w:rPr>
      </w:pPr>
      <w:r w:rsidRPr="00B12D0A">
        <w:rPr>
          <w:b/>
          <w:bCs/>
        </w:rPr>
        <w:t xml:space="preserve">Reference </w:t>
      </w:r>
    </w:p>
    <w:p w14:paraId="46784AB6" w14:textId="77777777" w:rsidR="004D60EB" w:rsidRDefault="004D60EB" w:rsidP="004D60EB">
      <w:pPr>
        <w:rPr>
          <w:b/>
          <w:bCs/>
        </w:rPr>
      </w:pPr>
    </w:p>
    <w:p w14:paraId="47344FEB" w14:textId="44965A57" w:rsidR="00EE2CC9" w:rsidRPr="004D60EB" w:rsidRDefault="00EE2CC9" w:rsidP="004D60EB">
      <w:pPr>
        <w:spacing w:line="360" w:lineRule="auto"/>
        <w:rPr>
          <w:b/>
          <w:bCs/>
        </w:rPr>
      </w:pPr>
      <w:r w:rsidRPr="00670491">
        <w:rPr>
          <w:rFonts w:eastAsia="Calibri"/>
          <w:kern w:val="2"/>
          <w:lang w:val="en-GB"/>
          <w14:ligatures w14:val="standardContextual"/>
        </w:rPr>
        <w:t xml:space="preserve">Alzheimer's Society (2024) </w:t>
      </w:r>
      <w:r w:rsidRPr="00670491">
        <w:rPr>
          <w:rFonts w:eastAsia="Calibri"/>
          <w:i/>
          <w:iCs/>
          <w:kern w:val="2"/>
          <w:lang w:val="en-GB"/>
          <w14:ligatures w14:val="standardContextual"/>
        </w:rPr>
        <w:t>What are the costs of dementia diagnosis and care in the UK?</w:t>
      </w:r>
      <w:r w:rsidRPr="00670491">
        <w:rPr>
          <w:rFonts w:eastAsia="Calibri"/>
          <w:kern w:val="2"/>
          <w:lang w:val="en-GB"/>
          <w14:ligatures w14:val="standardContextual"/>
        </w:rPr>
        <w:t xml:space="preserve"> Available at: </w:t>
      </w:r>
      <w:hyperlink r:id="rId12" w:tgtFrame="_new" w:history="1">
        <w:r w:rsidRPr="00670491">
          <w:rPr>
            <w:rFonts w:eastAsia="Calibri"/>
            <w:color w:val="0000FF"/>
            <w:kern w:val="2"/>
            <w:u w:val="single"/>
            <w:lang w:val="en-GB"/>
            <w14:ligatures w14:val="standardContextual"/>
          </w:rPr>
          <w:t>https://www.alzheimers.org.uk/what-we-do/policy-and-influencing/dementia-scale-impact-numbers</w:t>
        </w:r>
      </w:hyperlink>
      <w:r w:rsidRPr="00670491">
        <w:rPr>
          <w:rFonts w:eastAsia="Calibri"/>
          <w:kern w:val="2"/>
          <w:lang w:val="en-GB"/>
          <w14:ligatures w14:val="standardContextual"/>
        </w:rPr>
        <w:t xml:space="preserve"> (Accessed: 1</w:t>
      </w:r>
      <w:r w:rsidR="00B62462">
        <w:rPr>
          <w:rFonts w:eastAsia="Calibri"/>
          <w:kern w:val="2"/>
          <w:lang w:val="en-GB"/>
          <w14:ligatures w14:val="standardContextual"/>
        </w:rPr>
        <w:t>9</w:t>
      </w:r>
      <w:r w:rsidR="00676DC1">
        <w:rPr>
          <w:rFonts w:eastAsia="Calibri"/>
          <w:kern w:val="2"/>
          <w:lang w:val="en-GB"/>
          <w14:ligatures w14:val="standardContextual"/>
        </w:rPr>
        <w:t>th</w:t>
      </w:r>
      <w:r w:rsidRPr="00670491">
        <w:rPr>
          <w:rFonts w:eastAsia="Calibri"/>
          <w:kern w:val="2"/>
          <w:lang w:val="en-GB"/>
          <w14:ligatures w14:val="standardContextual"/>
        </w:rPr>
        <w:t xml:space="preserve"> July 2026).</w:t>
      </w:r>
    </w:p>
    <w:p w14:paraId="3CEAC3EA" w14:textId="5348AC40" w:rsidR="00EE2CC9" w:rsidRPr="00670491" w:rsidRDefault="00EE2CC9" w:rsidP="004D60EB">
      <w:pPr>
        <w:spacing w:after="160" w:line="360" w:lineRule="auto"/>
        <w:jc w:val="both"/>
        <w:rPr>
          <w:rFonts w:eastAsia="Calibri"/>
          <w:kern w:val="2"/>
          <w:lang w:val="en-GB"/>
          <w14:ligatures w14:val="standardContextual"/>
        </w:rPr>
      </w:pPr>
      <w:r w:rsidRPr="00670491">
        <w:rPr>
          <w:rFonts w:eastAsia="Calibri"/>
          <w:kern w:val="2"/>
          <w:lang w:val="en-GB"/>
          <w14:ligatures w14:val="standardContextual"/>
        </w:rPr>
        <w:t xml:space="preserve">Bunn, F., Burn, A.M., Goodman, C., Robinson, L., Rait, G., Norton, S., Bennett, H., Poole, M., Schoeman, J. and </w:t>
      </w:r>
      <w:proofErr w:type="spellStart"/>
      <w:r w:rsidRPr="00670491">
        <w:rPr>
          <w:rFonts w:eastAsia="Calibri"/>
          <w:kern w:val="2"/>
          <w:lang w:val="en-GB"/>
          <w14:ligatures w14:val="standardContextual"/>
        </w:rPr>
        <w:t>Brayne</w:t>
      </w:r>
      <w:proofErr w:type="spellEnd"/>
      <w:r w:rsidRPr="00670491">
        <w:rPr>
          <w:rFonts w:eastAsia="Calibri"/>
          <w:kern w:val="2"/>
          <w:lang w:val="en-GB"/>
          <w14:ligatures w14:val="standardContextual"/>
        </w:rPr>
        <w:t xml:space="preserve">, C., 2016. Comorbidity and dementia: a mixed method study on improving healthcare for people with dementia (CoDem). Health services and delivery research, 4(8), pp.1-186. Available at: </w:t>
      </w:r>
      <w:hyperlink r:id="rId13" w:history="1">
        <w:r w:rsidRPr="00670491">
          <w:rPr>
            <w:rFonts w:eastAsia="Calibri"/>
            <w:color w:val="0000FF"/>
            <w:kern w:val="2"/>
            <w:u w:val="single"/>
            <w:lang w:val="en-GB"/>
            <w14:ligatures w14:val="standardContextual"/>
          </w:rPr>
          <w:t>https://uhra.herts.ac.uk/id/eprint/8793/1/FullReport_hsdr04080_1_.pdf</w:t>
        </w:r>
      </w:hyperlink>
      <w:r w:rsidRPr="00670491">
        <w:rPr>
          <w:rFonts w:eastAsia="Calibri"/>
          <w:kern w:val="2"/>
          <w:lang w:val="en-GB"/>
          <w14:ligatures w14:val="standardContextual"/>
        </w:rPr>
        <w:t xml:space="preserve"> (Accessed: 1</w:t>
      </w:r>
      <w:r w:rsidR="00B62462">
        <w:rPr>
          <w:rFonts w:eastAsia="Calibri"/>
          <w:kern w:val="2"/>
          <w:lang w:val="en-GB"/>
          <w14:ligatures w14:val="standardContextual"/>
        </w:rPr>
        <w:t>9</w:t>
      </w:r>
      <w:r w:rsidRPr="00670491">
        <w:rPr>
          <w:rFonts w:eastAsia="Calibri"/>
          <w:kern w:val="2"/>
          <w:lang w:val="en-GB"/>
          <w14:ligatures w14:val="standardContextual"/>
        </w:rPr>
        <w:t xml:space="preserve"> July 2026).</w:t>
      </w:r>
    </w:p>
    <w:p w14:paraId="156AB4D0" w14:textId="2230C82C" w:rsidR="00EE2CC9" w:rsidRPr="00670491" w:rsidRDefault="00EE2CC9" w:rsidP="004D60EB">
      <w:pPr>
        <w:spacing w:after="160" w:line="360" w:lineRule="auto"/>
        <w:jc w:val="both"/>
        <w:rPr>
          <w:rFonts w:eastAsia="Calibri"/>
          <w:kern w:val="2"/>
          <w:lang w:val="en-GB"/>
          <w14:ligatures w14:val="standardContextual"/>
        </w:rPr>
      </w:pPr>
      <w:r w:rsidRPr="00670491">
        <w:rPr>
          <w:rFonts w:eastAsia="Calibri"/>
          <w:kern w:val="2"/>
          <w:lang w:val="en-GB"/>
          <w14:ligatures w14:val="standardContextual"/>
        </w:rPr>
        <w:t xml:space="preserve">Care Act 2014, c. 23. London: The Stationery Office. Available at: </w:t>
      </w:r>
      <w:hyperlink r:id="rId14" w:history="1">
        <w:r w:rsidRPr="00670491">
          <w:rPr>
            <w:rFonts w:eastAsia="Calibri"/>
            <w:color w:val="0000FF"/>
            <w:kern w:val="2"/>
            <w:u w:val="single"/>
            <w:lang w:val="en-GB"/>
            <w14:ligatures w14:val="standardContextual"/>
          </w:rPr>
          <w:t>https://www.legislation.gov.uk/ukpga/2014/23/contents</w:t>
        </w:r>
      </w:hyperlink>
      <w:r w:rsidRPr="00670491">
        <w:rPr>
          <w:rFonts w:eastAsia="Calibri"/>
          <w:kern w:val="2"/>
          <w:lang w:val="en-GB"/>
          <w14:ligatures w14:val="standardContextual"/>
        </w:rPr>
        <w:t xml:space="preserve"> (Accessed: 1</w:t>
      </w:r>
      <w:r w:rsidR="00B62462">
        <w:rPr>
          <w:rFonts w:eastAsia="Calibri"/>
          <w:kern w:val="2"/>
          <w:lang w:val="en-GB"/>
          <w14:ligatures w14:val="standardContextual"/>
        </w:rPr>
        <w:t>9</w:t>
      </w:r>
      <w:r w:rsidR="005A6796">
        <w:rPr>
          <w:rFonts w:eastAsia="Calibri"/>
          <w:kern w:val="2"/>
          <w:lang w:val="en-GB"/>
          <w14:ligatures w14:val="standardContextual"/>
        </w:rPr>
        <w:t>th</w:t>
      </w:r>
      <w:r w:rsidRPr="00670491">
        <w:rPr>
          <w:rFonts w:eastAsia="Calibri"/>
          <w:kern w:val="2"/>
          <w:lang w:val="en-GB"/>
          <w14:ligatures w14:val="standardContextual"/>
        </w:rPr>
        <w:t xml:space="preserve"> July 2026).</w:t>
      </w:r>
    </w:p>
    <w:p w14:paraId="39A74A02" w14:textId="1D2E9903" w:rsidR="00EE2CC9" w:rsidRPr="00670491" w:rsidRDefault="00EE2CC9" w:rsidP="004D60EB">
      <w:pPr>
        <w:spacing w:after="160" w:line="360" w:lineRule="auto"/>
        <w:jc w:val="both"/>
        <w:rPr>
          <w:rFonts w:eastAsia="Calibri"/>
          <w:kern w:val="2"/>
          <w:lang w:val="en-GB"/>
          <w14:ligatures w14:val="standardContextual"/>
        </w:rPr>
      </w:pPr>
      <w:r w:rsidRPr="00670491">
        <w:rPr>
          <w:rFonts w:eastAsia="Calibri"/>
          <w:kern w:val="2"/>
          <w:lang w:val="en-GB"/>
          <w14:ligatures w14:val="standardContextual"/>
        </w:rPr>
        <w:t xml:space="preserve">Equality Act 2010, c. 15. London: The Stationery Office. Available at: </w:t>
      </w:r>
      <w:hyperlink r:id="rId15" w:history="1">
        <w:r w:rsidRPr="00670491">
          <w:rPr>
            <w:rFonts w:eastAsia="Calibri"/>
            <w:color w:val="0000FF"/>
            <w:kern w:val="2"/>
            <w:u w:val="single"/>
            <w:lang w:val="en-GB"/>
            <w14:ligatures w14:val="standardContextual"/>
          </w:rPr>
          <w:t>https://www.legislation.gov.uk/ukpga/2010/15/contents</w:t>
        </w:r>
      </w:hyperlink>
      <w:r w:rsidRPr="00670491">
        <w:rPr>
          <w:rFonts w:eastAsia="Calibri"/>
          <w:kern w:val="2"/>
          <w:lang w:val="en-GB"/>
          <w14:ligatures w14:val="standardContextual"/>
        </w:rPr>
        <w:t xml:space="preserve"> (Accessed: 1</w:t>
      </w:r>
      <w:r w:rsidR="00B62462">
        <w:rPr>
          <w:rFonts w:eastAsia="Calibri"/>
          <w:kern w:val="2"/>
          <w:lang w:val="en-GB"/>
          <w14:ligatures w14:val="standardContextual"/>
        </w:rPr>
        <w:t>8</w:t>
      </w:r>
      <w:r w:rsidR="00AE4B23">
        <w:rPr>
          <w:rFonts w:eastAsia="Calibri"/>
          <w:kern w:val="2"/>
          <w:lang w:val="en-GB"/>
          <w14:ligatures w14:val="standardContextual"/>
        </w:rPr>
        <w:t>th</w:t>
      </w:r>
      <w:r w:rsidRPr="00670491">
        <w:rPr>
          <w:rFonts w:eastAsia="Calibri"/>
          <w:kern w:val="2"/>
          <w:lang w:val="en-GB"/>
          <w14:ligatures w14:val="standardContextual"/>
        </w:rPr>
        <w:t xml:space="preserve"> July 2026).</w:t>
      </w:r>
    </w:p>
    <w:p w14:paraId="61CEFC47" w14:textId="1B6E3959" w:rsidR="00EE2CC9" w:rsidRDefault="00EE2CC9" w:rsidP="004D60EB">
      <w:pPr>
        <w:spacing w:before="40" w:after="120" w:line="360" w:lineRule="auto"/>
        <w:jc w:val="both"/>
      </w:pPr>
      <w:r w:rsidRPr="00727E04">
        <w:lastRenderedPageBreak/>
        <w:t xml:space="preserve">Great Britain (2018) Data Protection Act 2018. London: The Stationery Office. Available at: </w:t>
      </w:r>
      <w:hyperlink r:id="rId16" w:history="1">
        <w:r w:rsidRPr="002D5841">
          <w:rPr>
            <w:rStyle w:val="Hyperlink"/>
          </w:rPr>
          <w:t>https://www.legislation.gov.uk/ukpga/2018/12/contents</w:t>
        </w:r>
      </w:hyperlink>
      <w:r>
        <w:t xml:space="preserve"> </w:t>
      </w:r>
      <w:r w:rsidRPr="00727E04">
        <w:t>(Accessed: 1</w:t>
      </w:r>
      <w:r w:rsidR="00B62462">
        <w:t>8</w:t>
      </w:r>
      <w:r w:rsidR="00056CF7">
        <w:t>t</w:t>
      </w:r>
      <w:r w:rsidR="00676DC1">
        <w:t>h</w:t>
      </w:r>
      <w:r w:rsidRPr="00727E04">
        <w:t xml:space="preserve"> July 2026).</w:t>
      </w:r>
    </w:p>
    <w:p w14:paraId="5CB1098E" w14:textId="1A78DFAD" w:rsidR="00EE2CC9" w:rsidRDefault="00EE2CC9" w:rsidP="00151EEC">
      <w:pPr>
        <w:spacing w:line="360" w:lineRule="auto"/>
      </w:pPr>
      <w:r w:rsidRPr="00F15EE1">
        <w:t>Health and Care Professions Council (2024) Standards of conduct, performance and ethics.</w:t>
      </w:r>
      <w:r>
        <w:t xml:space="preserve"> </w:t>
      </w:r>
      <w:r w:rsidRPr="00F15EE1">
        <w:t xml:space="preserve">Available at: </w:t>
      </w:r>
      <w:hyperlink r:id="rId17" w:history="1">
        <w:r w:rsidRPr="002D5841">
          <w:rPr>
            <w:rStyle w:val="Hyperlink"/>
          </w:rPr>
          <w:t>https://www.hcpc-uk.org/standards/standards-of-conduct-performance-and-ethics/</w:t>
        </w:r>
      </w:hyperlink>
      <w:r>
        <w:t xml:space="preserve"> </w:t>
      </w:r>
      <w:r w:rsidRPr="00F15EE1">
        <w:t>(Accessed: 1</w:t>
      </w:r>
      <w:r w:rsidR="00AE4B23">
        <w:t>7th</w:t>
      </w:r>
      <w:r w:rsidRPr="00F15EE1">
        <w:t xml:space="preserve"> July 2026).</w:t>
      </w:r>
    </w:p>
    <w:p w14:paraId="0EC87DA8" w14:textId="21E603A0" w:rsidR="00EE2CC9" w:rsidRPr="00670491" w:rsidRDefault="00EE2CC9" w:rsidP="004D60EB">
      <w:pPr>
        <w:spacing w:after="160" w:line="360" w:lineRule="auto"/>
        <w:jc w:val="both"/>
        <w:rPr>
          <w:rFonts w:eastAsia="Calibri"/>
          <w:kern w:val="2"/>
          <w:lang w:val="en-GB"/>
          <w14:ligatures w14:val="standardContextual"/>
        </w:rPr>
      </w:pPr>
      <w:r w:rsidRPr="00670491">
        <w:rPr>
          <w:rFonts w:eastAsia="Calibri"/>
          <w:kern w:val="2"/>
          <w:lang w:val="en-GB"/>
          <w14:ligatures w14:val="standardContextual"/>
        </w:rPr>
        <w:t xml:space="preserve">Lauff, C.A., Kotys-Schwartz, D. and Rentschler, M.E., 2018. What is a Prototype? What are the Roles of Prototypes in Companies?. Journal of Mechanical Design, 140(6), p.061102. Available at: </w:t>
      </w:r>
      <w:hyperlink r:id="rId18" w:history="1">
        <w:r w:rsidRPr="00670491">
          <w:rPr>
            <w:rFonts w:eastAsia="Calibri"/>
            <w:color w:val="0000FF"/>
            <w:kern w:val="2"/>
            <w:u w:val="single"/>
            <w:lang w:val="en-GB"/>
            <w14:ligatures w14:val="standardContextual"/>
          </w:rPr>
          <w:t>https://www.researchgate.net/profile/Carlye-Lauff/publication/323198004_What_is_a_Prototype_What_are_the_Roles_of_Prototypes_in_Companies/links/5bd023bfa6fdcc204a0366c6/What-is-a-Prototype-What-are-the-Roles-of-Prototypes-in-Companies.pdf</w:t>
        </w:r>
      </w:hyperlink>
      <w:r w:rsidRPr="00670491">
        <w:rPr>
          <w:rFonts w:eastAsia="Calibri"/>
          <w:kern w:val="2"/>
          <w:lang w:val="en-GB"/>
          <w14:ligatures w14:val="standardContextual"/>
        </w:rPr>
        <w:t xml:space="preserve"> (Accessed: 1</w:t>
      </w:r>
      <w:r w:rsidR="00093E94">
        <w:rPr>
          <w:rFonts w:eastAsia="Calibri"/>
          <w:kern w:val="2"/>
          <w:lang w:val="en-GB"/>
          <w14:ligatures w14:val="standardContextual"/>
        </w:rPr>
        <w:t>7th</w:t>
      </w:r>
      <w:r w:rsidRPr="00670491">
        <w:rPr>
          <w:rFonts w:eastAsia="Calibri"/>
          <w:kern w:val="2"/>
          <w:lang w:val="en-GB"/>
          <w14:ligatures w14:val="standardContextual"/>
        </w:rPr>
        <w:t xml:space="preserve"> July 2026).</w:t>
      </w:r>
    </w:p>
    <w:p w14:paraId="3C894D2E" w14:textId="0871206B" w:rsidR="00EE2CC9" w:rsidRPr="00670491" w:rsidRDefault="00EE2CC9" w:rsidP="004D60EB">
      <w:pPr>
        <w:spacing w:after="160" w:line="360" w:lineRule="auto"/>
        <w:jc w:val="both"/>
        <w:rPr>
          <w:rFonts w:eastAsia="Calibri"/>
          <w:kern w:val="2"/>
          <w:lang w:val="en-GB"/>
          <w14:ligatures w14:val="standardContextual"/>
        </w:rPr>
      </w:pPr>
      <w:r w:rsidRPr="00670491">
        <w:rPr>
          <w:rFonts w:eastAsia="Calibri"/>
          <w:kern w:val="2"/>
          <w:lang w:val="en-GB"/>
          <w14:ligatures w14:val="standardContextual"/>
        </w:rPr>
        <w:t xml:space="preserve">Livingston, G., </w:t>
      </w:r>
      <w:proofErr w:type="spellStart"/>
      <w:r w:rsidRPr="00670491">
        <w:rPr>
          <w:rFonts w:eastAsia="Calibri"/>
          <w:kern w:val="2"/>
          <w:lang w:val="en-GB"/>
          <w14:ligatures w14:val="standardContextual"/>
        </w:rPr>
        <w:t>Sommerlad</w:t>
      </w:r>
      <w:proofErr w:type="spellEnd"/>
      <w:r w:rsidRPr="00670491">
        <w:rPr>
          <w:rFonts w:eastAsia="Calibri"/>
          <w:kern w:val="2"/>
          <w:lang w:val="en-GB"/>
          <w14:ligatures w14:val="standardContextual"/>
        </w:rPr>
        <w:t xml:space="preserve">, A., Orgeta, V., Costafreda, S.G., Huntley, J., Ames, D., Ballard, C., Banerjee, S., Burns, A., Cohen-Mansfield, J. and Cooper, C., 2017. Dementia prevention, intervention, and care. The lancet, 390(10113), pp.2673-2734. Available at: </w:t>
      </w:r>
      <w:hyperlink r:id="rId19" w:history="1">
        <w:r w:rsidRPr="00670491">
          <w:rPr>
            <w:rFonts w:eastAsia="Calibri"/>
            <w:color w:val="0000FF"/>
            <w:kern w:val="2"/>
            <w:u w:val="single"/>
            <w:lang w:val="en-GB"/>
            <w14:ligatures w14:val="standardContextual"/>
          </w:rPr>
          <w:t>https://discovery.ucl.ac.uk/id/eprint/1567635/1/Livingston_Dementia_prevention_intervention_care.pdf</w:t>
        </w:r>
      </w:hyperlink>
      <w:r w:rsidRPr="00670491">
        <w:rPr>
          <w:rFonts w:eastAsia="Calibri"/>
          <w:kern w:val="2"/>
          <w:lang w:val="en-GB"/>
          <w14:ligatures w14:val="standardContextual"/>
        </w:rPr>
        <w:t xml:space="preserve"> (Accessed: </w:t>
      </w:r>
      <w:r w:rsidR="00093E94">
        <w:rPr>
          <w:rFonts w:eastAsia="Calibri"/>
          <w:kern w:val="2"/>
          <w:lang w:val="en-GB"/>
          <w14:ligatures w14:val="standardContextual"/>
        </w:rPr>
        <w:t>21</w:t>
      </w:r>
      <w:r w:rsidR="00056CF7">
        <w:rPr>
          <w:rFonts w:eastAsia="Calibri"/>
          <w:kern w:val="2"/>
          <w:lang w:val="en-GB"/>
          <w14:ligatures w14:val="standardContextual"/>
        </w:rPr>
        <w:t>st</w:t>
      </w:r>
      <w:r w:rsidRPr="00670491">
        <w:rPr>
          <w:rFonts w:eastAsia="Calibri"/>
          <w:kern w:val="2"/>
          <w:lang w:val="en-GB"/>
          <w14:ligatures w14:val="standardContextual"/>
        </w:rPr>
        <w:t xml:space="preserve"> July 2026).</w:t>
      </w:r>
    </w:p>
    <w:p w14:paraId="7A62AB8F" w14:textId="43EBBEAD" w:rsidR="00EE2CC9" w:rsidRPr="00670491" w:rsidRDefault="00EE2CC9" w:rsidP="004D60EB">
      <w:pPr>
        <w:spacing w:after="160" w:line="360" w:lineRule="auto"/>
        <w:jc w:val="both"/>
        <w:rPr>
          <w:rFonts w:eastAsia="Calibri"/>
          <w:kern w:val="2"/>
          <w:lang w:val="en-GB"/>
          <w14:ligatures w14:val="standardContextual"/>
        </w:rPr>
      </w:pPr>
      <w:r w:rsidRPr="00670491">
        <w:rPr>
          <w:rFonts w:eastAsia="Calibri"/>
          <w:kern w:val="2"/>
          <w:lang w:val="en-GB"/>
          <w14:ligatures w14:val="standardContextual"/>
        </w:rPr>
        <w:t xml:space="preserve">Manera, V., Petit, P.D., </w:t>
      </w:r>
      <w:proofErr w:type="spellStart"/>
      <w:r w:rsidRPr="00670491">
        <w:rPr>
          <w:rFonts w:eastAsia="Calibri"/>
          <w:kern w:val="2"/>
          <w:lang w:val="en-GB"/>
          <w14:ligatures w14:val="standardContextual"/>
        </w:rPr>
        <w:t>Derreumaux</w:t>
      </w:r>
      <w:proofErr w:type="spellEnd"/>
      <w:r w:rsidRPr="00670491">
        <w:rPr>
          <w:rFonts w:eastAsia="Calibri"/>
          <w:kern w:val="2"/>
          <w:lang w:val="en-GB"/>
          <w14:ligatures w14:val="standardContextual"/>
        </w:rPr>
        <w:t xml:space="preserve">, A., Orvieto, I., Romagnoli, M., Lyttle, G., David, R. and Robert, P.H., 2015. ‘Kitchen and </w:t>
      </w:r>
      <w:proofErr w:type="spellStart"/>
      <w:r w:rsidRPr="00670491">
        <w:rPr>
          <w:rFonts w:eastAsia="Calibri"/>
          <w:kern w:val="2"/>
          <w:lang w:val="en-GB"/>
          <w14:ligatures w14:val="standardContextual"/>
        </w:rPr>
        <w:t>cooking,’a</w:t>
      </w:r>
      <w:proofErr w:type="spellEnd"/>
      <w:r w:rsidRPr="00670491">
        <w:rPr>
          <w:rFonts w:eastAsia="Calibri"/>
          <w:kern w:val="2"/>
          <w:lang w:val="en-GB"/>
          <w14:ligatures w14:val="standardContextual"/>
        </w:rPr>
        <w:t xml:space="preserve"> serious game for mild cognitive impairment and Alzheimer’s disease: a pilot study. Frontiers in aging neuroscience, 7, p.24. Available at: </w:t>
      </w:r>
      <w:hyperlink r:id="rId20" w:history="1">
        <w:r w:rsidRPr="00670491">
          <w:rPr>
            <w:rFonts w:eastAsia="Calibri"/>
            <w:color w:val="0000FF"/>
            <w:kern w:val="2"/>
            <w:u w:val="single"/>
            <w:lang w:val="en-GB"/>
            <w14:ligatures w14:val="standardContextual"/>
          </w:rPr>
          <w:t>https://www.frontiersin.org/journals/aging-neuroscience/articles/10.3389/fnagi.2015.00024/pdf</w:t>
        </w:r>
      </w:hyperlink>
      <w:r w:rsidRPr="00670491">
        <w:rPr>
          <w:rFonts w:eastAsia="Calibri"/>
          <w:kern w:val="2"/>
          <w:lang w:val="en-GB"/>
          <w14:ligatures w14:val="standardContextual"/>
        </w:rPr>
        <w:t xml:space="preserve"> (Accessed: 16</w:t>
      </w:r>
      <w:r w:rsidR="000639DC">
        <w:rPr>
          <w:rFonts w:eastAsia="Calibri"/>
          <w:kern w:val="2"/>
          <w:lang w:val="en-GB"/>
          <w14:ligatures w14:val="standardContextual"/>
        </w:rPr>
        <w:t>th</w:t>
      </w:r>
      <w:r w:rsidRPr="00670491">
        <w:rPr>
          <w:rFonts w:eastAsia="Calibri"/>
          <w:kern w:val="2"/>
          <w:lang w:val="en-GB"/>
          <w14:ligatures w14:val="standardContextual"/>
        </w:rPr>
        <w:t xml:space="preserve"> July 2026). </w:t>
      </w:r>
    </w:p>
    <w:p w14:paraId="365C8296" w14:textId="77777777" w:rsidR="00EE2CC9" w:rsidRPr="00EE3454" w:rsidRDefault="00EE2CC9" w:rsidP="00151EEC">
      <w:pPr>
        <w:spacing w:line="360" w:lineRule="auto"/>
        <w:jc w:val="both"/>
      </w:pPr>
      <w:r w:rsidRPr="00F15EE1">
        <w:t>Medicines and Healthcare products Regulatory Agency (2021) Software and AI as a medical device. London: MHRA.</w:t>
      </w:r>
    </w:p>
    <w:p w14:paraId="160A953A" w14:textId="5A3FF27C" w:rsidR="00EE2CC9" w:rsidRPr="00670491" w:rsidRDefault="00EE2CC9" w:rsidP="004D60EB">
      <w:pPr>
        <w:spacing w:after="160" w:line="360" w:lineRule="auto"/>
        <w:jc w:val="both"/>
        <w:rPr>
          <w:rFonts w:eastAsia="Calibri"/>
          <w:kern w:val="2"/>
          <w:lang w:val="en-GB"/>
          <w14:ligatures w14:val="standardContextual"/>
        </w:rPr>
      </w:pPr>
      <w:r w:rsidRPr="00670491">
        <w:rPr>
          <w:rFonts w:eastAsia="Calibri"/>
          <w:kern w:val="2"/>
          <w:lang w:val="en-GB"/>
          <w14:ligatures w14:val="standardContextual"/>
        </w:rPr>
        <w:t xml:space="preserve">Mental Capacity Act 2005. (2005) London: The Stationery Office. Available at: </w:t>
      </w:r>
      <w:hyperlink r:id="rId21" w:history="1">
        <w:r w:rsidRPr="00670491">
          <w:rPr>
            <w:rFonts w:eastAsia="Calibri"/>
            <w:color w:val="0000FF"/>
            <w:kern w:val="2"/>
            <w:u w:val="single"/>
            <w:lang w:val="en-GB"/>
            <w14:ligatures w14:val="standardContextual"/>
          </w:rPr>
          <w:t>https://www.legislation.gov.uk/ukpga/2005/9/contents</w:t>
        </w:r>
      </w:hyperlink>
      <w:r w:rsidRPr="00670491">
        <w:rPr>
          <w:rFonts w:eastAsia="Calibri"/>
          <w:kern w:val="2"/>
          <w:lang w:val="en-GB"/>
          <w14:ligatures w14:val="standardContextual"/>
        </w:rPr>
        <w:t xml:space="preserve"> (Accessed: 16</w:t>
      </w:r>
      <w:r w:rsidR="000639DC">
        <w:rPr>
          <w:rFonts w:eastAsia="Calibri"/>
          <w:kern w:val="2"/>
          <w:lang w:val="en-GB"/>
          <w14:ligatures w14:val="standardContextual"/>
        </w:rPr>
        <w:t>th</w:t>
      </w:r>
      <w:r w:rsidRPr="00670491">
        <w:rPr>
          <w:rFonts w:eastAsia="Calibri"/>
          <w:kern w:val="2"/>
          <w:lang w:val="en-GB"/>
          <w14:ligatures w14:val="standardContextual"/>
        </w:rPr>
        <w:t xml:space="preserve"> July 2026).</w:t>
      </w:r>
    </w:p>
    <w:p w14:paraId="2F0B98A7" w14:textId="306AA047" w:rsidR="00EE2CC9" w:rsidRPr="00670491" w:rsidRDefault="00EE2CC9" w:rsidP="004D60EB">
      <w:pPr>
        <w:spacing w:after="160" w:line="360" w:lineRule="auto"/>
        <w:jc w:val="both"/>
        <w:rPr>
          <w:rFonts w:eastAsia="Calibri"/>
          <w:kern w:val="2"/>
          <w:lang w:val="en-GB"/>
          <w14:ligatures w14:val="standardContextual"/>
        </w:rPr>
      </w:pPr>
      <w:r w:rsidRPr="00670491">
        <w:rPr>
          <w:rFonts w:eastAsia="Calibri"/>
          <w:kern w:val="2"/>
          <w:lang w:val="en-GB"/>
          <w14:ligatures w14:val="standardContextual"/>
        </w:rPr>
        <w:t xml:space="preserve">NHS England (2019) The NHS long term plan. London: NHS England. Available at: </w:t>
      </w:r>
      <w:hyperlink r:id="rId22" w:history="1">
        <w:r w:rsidRPr="00670491">
          <w:rPr>
            <w:rFonts w:eastAsia="Calibri"/>
            <w:color w:val="0000FF"/>
            <w:kern w:val="2"/>
            <w:u w:val="single"/>
            <w:lang w:val="en-GB"/>
            <w14:ligatures w14:val="standardContextual"/>
          </w:rPr>
          <w:t>https://webarchive.nationalarchives.gov.uk/ukgwa/20250511091243/https://www.longtermplan.nhs.uk/wp-content/uploads/2019/08/nhs-long-term-plan-version-1.2.pdf</w:t>
        </w:r>
      </w:hyperlink>
      <w:r w:rsidRPr="00670491">
        <w:rPr>
          <w:rFonts w:eastAsia="Calibri"/>
          <w:kern w:val="2"/>
          <w:lang w:val="en-GB"/>
          <w14:ligatures w14:val="standardContextual"/>
        </w:rPr>
        <w:t xml:space="preserve"> (Accessed: 1</w:t>
      </w:r>
      <w:r w:rsidR="006C0FB9">
        <w:rPr>
          <w:rFonts w:eastAsia="Calibri"/>
          <w:kern w:val="2"/>
          <w:lang w:val="en-GB"/>
          <w14:ligatures w14:val="standardContextual"/>
        </w:rPr>
        <w:t>9th</w:t>
      </w:r>
      <w:r w:rsidRPr="00670491">
        <w:rPr>
          <w:rFonts w:eastAsia="Calibri"/>
          <w:kern w:val="2"/>
          <w:lang w:val="en-GB"/>
          <w14:ligatures w14:val="standardContextual"/>
        </w:rPr>
        <w:t xml:space="preserve"> July 2026).</w:t>
      </w:r>
    </w:p>
    <w:p w14:paraId="6AEC1C8D" w14:textId="50F420C7" w:rsidR="00EE2CC9" w:rsidRPr="00670491" w:rsidRDefault="00EE2CC9" w:rsidP="004D60EB">
      <w:pPr>
        <w:spacing w:after="160" w:line="360" w:lineRule="auto"/>
        <w:jc w:val="both"/>
        <w:rPr>
          <w:rFonts w:eastAsia="Calibri"/>
          <w:kern w:val="2"/>
          <w:lang w:val="en-GB"/>
          <w14:ligatures w14:val="standardContextual"/>
        </w:rPr>
      </w:pPr>
      <w:r w:rsidRPr="00670491">
        <w:rPr>
          <w:rFonts w:eastAsia="Calibri"/>
          <w:kern w:val="2"/>
          <w:lang w:val="en-GB"/>
          <w14:ligatures w14:val="standardContextual"/>
        </w:rPr>
        <w:t xml:space="preserve">NICE (2018) Dementia: assessment, management and support for people living with dementia and their </w:t>
      </w:r>
      <w:proofErr w:type="spellStart"/>
      <w:r w:rsidRPr="00670491">
        <w:rPr>
          <w:rFonts w:eastAsia="Calibri"/>
          <w:kern w:val="2"/>
          <w:lang w:val="en-GB"/>
          <w14:ligatures w14:val="standardContextual"/>
        </w:rPr>
        <w:t>carers</w:t>
      </w:r>
      <w:proofErr w:type="spellEnd"/>
      <w:r w:rsidRPr="00670491">
        <w:rPr>
          <w:rFonts w:eastAsia="Calibri"/>
          <w:kern w:val="2"/>
          <w:lang w:val="en-GB"/>
          <w14:ligatures w14:val="standardContextual"/>
        </w:rPr>
        <w:t xml:space="preserve">. NG97. London: National Institute for Health and Care Excellence. Available at: </w:t>
      </w:r>
      <w:hyperlink r:id="rId23" w:history="1">
        <w:r w:rsidRPr="00670491">
          <w:rPr>
            <w:rFonts w:eastAsia="Calibri"/>
            <w:color w:val="0000FF"/>
            <w:kern w:val="2"/>
            <w:u w:val="single"/>
            <w:lang w:val="en-GB"/>
            <w14:ligatures w14:val="standardContextual"/>
          </w:rPr>
          <w:t>https://www.nice.org.uk/guidance/ng97</w:t>
        </w:r>
      </w:hyperlink>
      <w:r w:rsidRPr="00670491">
        <w:rPr>
          <w:rFonts w:eastAsia="Calibri"/>
          <w:kern w:val="2"/>
          <w:lang w:val="en-GB"/>
          <w14:ligatures w14:val="standardContextual"/>
        </w:rPr>
        <w:t xml:space="preserve"> (Accessed: </w:t>
      </w:r>
      <w:r w:rsidR="000639DC">
        <w:rPr>
          <w:rFonts w:eastAsia="Calibri"/>
          <w:kern w:val="2"/>
          <w:lang w:val="en-GB"/>
          <w14:ligatures w14:val="standardContextual"/>
        </w:rPr>
        <w:t>24th</w:t>
      </w:r>
      <w:r w:rsidRPr="00670491">
        <w:rPr>
          <w:rFonts w:eastAsia="Calibri"/>
          <w:kern w:val="2"/>
          <w:lang w:val="en-GB"/>
          <w14:ligatures w14:val="standardContextual"/>
        </w:rPr>
        <w:t xml:space="preserve"> July 2026).</w:t>
      </w:r>
    </w:p>
    <w:p w14:paraId="7F103DE9" w14:textId="77777777" w:rsidR="00EE2CC9" w:rsidRDefault="00EE2CC9" w:rsidP="004D60EB">
      <w:pPr>
        <w:spacing w:before="40" w:after="120" w:line="360" w:lineRule="auto"/>
        <w:jc w:val="both"/>
      </w:pPr>
      <w:r w:rsidRPr="00BB2FBC">
        <w:t xml:space="preserve">Nursing and Midwifery Council (2018) The code: professional standards of practice and </w:t>
      </w:r>
      <w:proofErr w:type="spellStart"/>
      <w:r w:rsidRPr="00BB2FBC">
        <w:t>behaviour</w:t>
      </w:r>
      <w:proofErr w:type="spellEnd"/>
      <w:r w:rsidRPr="00BB2FBC">
        <w:t xml:space="preserve"> for nurses, midwives and nursing associates. London: NMC.</w:t>
      </w:r>
    </w:p>
    <w:p w14:paraId="2D241B0B" w14:textId="4DDFD811" w:rsidR="00EE2CC9" w:rsidRDefault="00EE2CC9" w:rsidP="004D60EB">
      <w:pPr>
        <w:spacing w:before="40" w:after="120" w:line="360" w:lineRule="auto"/>
        <w:jc w:val="both"/>
      </w:pPr>
      <w:r w:rsidRPr="00E4684A">
        <w:lastRenderedPageBreak/>
        <w:t>Porter, M.E., 2010. What is value in health care?. New England Journal of Medicine, 363(26), pp.2477-2481.</w:t>
      </w:r>
      <w:r>
        <w:t xml:space="preserve"> Available at: </w:t>
      </w:r>
      <w:hyperlink r:id="rId24" w:history="1">
        <w:r w:rsidRPr="002D5841">
          <w:rPr>
            <w:rStyle w:val="Hyperlink"/>
          </w:rPr>
          <w:t>https://www.nejm.org/doi/full/10.1056/nejmp1011024</w:t>
        </w:r>
      </w:hyperlink>
      <w:r>
        <w:t xml:space="preserve"> </w:t>
      </w:r>
      <w:r w:rsidRPr="00E4684A">
        <w:t xml:space="preserve">(Accessed: </w:t>
      </w:r>
      <w:r w:rsidR="000639DC">
        <w:t>24th</w:t>
      </w:r>
      <w:r w:rsidRPr="00E4684A">
        <w:t xml:space="preserve"> July 2026).</w:t>
      </w:r>
    </w:p>
    <w:p w14:paraId="5D2E3129" w14:textId="77777777" w:rsidR="00EE2CC9" w:rsidRPr="00670491" w:rsidRDefault="00EE2CC9" w:rsidP="004D60EB">
      <w:pPr>
        <w:spacing w:after="160" w:line="360" w:lineRule="auto"/>
        <w:jc w:val="both"/>
        <w:rPr>
          <w:rFonts w:eastAsia="Calibri"/>
          <w:kern w:val="2"/>
          <w:lang w:val="en-GB"/>
          <w14:ligatures w14:val="standardContextual"/>
        </w:rPr>
      </w:pPr>
      <w:r w:rsidRPr="00670491">
        <w:rPr>
          <w:rFonts w:eastAsia="Calibri"/>
          <w:kern w:val="2"/>
          <w:lang w:val="en-GB"/>
          <w14:ligatures w14:val="standardContextual"/>
        </w:rPr>
        <w:t xml:space="preserve">Prince, M., Knapp, M., </w:t>
      </w:r>
      <w:proofErr w:type="spellStart"/>
      <w:r w:rsidRPr="00670491">
        <w:rPr>
          <w:rFonts w:eastAsia="Calibri"/>
          <w:kern w:val="2"/>
          <w:lang w:val="en-GB"/>
          <w14:ligatures w14:val="standardContextual"/>
        </w:rPr>
        <w:t>Guerchet</w:t>
      </w:r>
      <w:proofErr w:type="spellEnd"/>
      <w:r w:rsidRPr="00670491">
        <w:rPr>
          <w:rFonts w:eastAsia="Calibri"/>
          <w:kern w:val="2"/>
          <w:lang w:val="en-GB"/>
          <w14:ligatures w14:val="standardContextual"/>
        </w:rPr>
        <w:t xml:space="preserve">, M., McCrone, P., Prina, M., Comas-Herrera, A., Wittenberg, R., Adelaja, B., Hu, B., King, D., Rehill, A. and </w:t>
      </w:r>
      <w:proofErr w:type="spellStart"/>
      <w:r w:rsidRPr="00670491">
        <w:rPr>
          <w:rFonts w:eastAsia="Calibri"/>
          <w:kern w:val="2"/>
          <w:lang w:val="en-GB"/>
          <w14:ligatures w14:val="standardContextual"/>
        </w:rPr>
        <w:t>Salimkumar</w:t>
      </w:r>
      <w:proofErr w:type="spellEnd"/>
      <w:r w:rsidRPr="00670491">
        <w:rPr>
          <w:rFonts w:eastAsia="Calibri"/>
          <w:kern w:val="2"/>
          <w:lang w:val="en-GB"/>
          <w14:ligatures w14:val="standardContextual"/>
        </w:rPr>
        <w:t>, D. (2014) Dementia UK: second edition. London: Alzheimer's Society.</w:t>
      </w:r>
    </w:p>
    <w:p w14:paraId="5020ECA0" w14:textId="68801C87" w:rsidR="00EE2CC9" w:rsidRDefault="00EE2CC9" w:rsidP="004D60EB">
      <w:pPr>
        <w:spacing w:after="160" w:line="360" w:lineRule="auto"/>
        <w:jc w:val="both"/>
        <w:rPr>
          <w:rFonts w:eastAsia="Calibri"/>
          <w:kern w:val="2"/>
          <w:lang w:val="en-GB"/>
          <w14:ligatures w14:val="standardContextual"/>
        </w:rPr>
      </w:pPr>
      <w:r w:rsidRPr="00670491">
        <w:rPr>
          <w:rFonts w:eastAsia="Calibri"/>
          <w:kern w:val="2"/>
          <w:lang w:val="en-GB"/>
          <w14:ligatures w14:val="standardContextual"/>
        </w:rPr>
        <w:t xml:space="preserve">Skills for Care (2023) The state of the adult social care sector and workforce in England. Leeds: Skills for Care. Available at: </w:t>
      </w:r>
      <w:hyperlink r:id="rId25" w:history="1">
        <w:r w:rsidRPr="00670491">
          <w:rPr>
            <w:rFonts w:eastAsia="Calibri"/>
            <w:color w:val="0000FF"/>
            <w:kern w:val="2"/>
            <w:u w:val="single"/>
            <w:lang w:val="en-GB"/>
            <w14:ligatures w14:val="standardContextual"/>
          </w:rPr>
          <w:t>https://www.skillsforcare.org.uk/Adult-Social-Care-Workforce-Data/workforceintelligence/resources/Reports/National/The-state-of-the-adult-social-care-sector-and-workforce-in-England-2025-Executive-Summary.pdf</w:t>
        </w:r>
      </w:hyperlink>
      <w:r w:rsidRPr="00670491">
        <w:rPr>
          <w:rFonts w:eastAsia="Calibri"/>
          <w:kern w:val="2"/>
          <w:lang w:val="en-GB"/>
          <w14:ligatures w14:val="standardContextual"/>
        </w:rPr>
        <w:t xml:space="preserve"> (Accessed: </w:t>
      </w:r>
      <w:r w:rsidR="000639DC">
        <w:rPr>
          <w:rFonts w:eastAsia="Calibri"/>
          <w:kern w:val="2"/>
          <w:lang w:val="en-GB"/>
          <w14:ligatures w14:val="standardContextual"/>
        </w:rPr>
        <w:t>24th</w:t>
      </w:r>
      <w:r w:rsidRPr="00670491">
        <w:rPr>
          <w:rFonts w:eastAsia="Calibri"/>
          <w:kern w:val="2"/>
          <w:lang w:val="en-GB"/>
          <w14:ligatures w14:val="standardContextual"/>
        </w:rPr>
        <w:t xml:space="preserve"> July 2026).</w:t>
      </w:r>
    </w:p>
    <w:p w14:paraId="1A22A433" w14:textId="1255921D" w:rsidR="00EE2CC9" w:rsidRPr="004D60EB" w:rsidRDefault="00EE2CC9" w:rsidP="004D60EB">
      <w:pPr>
        <w:spacing w:after="160" w:line="360" w:lineRule="auto"/>
        <w:jc w:val="both"/>
        <w:rPr>
          <w:rFonts w:eastAsia="Calibri"/>
          <w:kern w:val="2"/>
          <w:lang w:val="en-GB"/>
          <w14:ligatures w14:val="standardContextual"/>
        </w:rPr>
      </w:pPr>
      <w:r w:rsidRPr="00670491">
        <w:t>UK GDPR (2018) UK General Data Protection Regulation. Available at:</w:t>
      </w:r>
      <w:r>
        <w:t xml:space="preserve"> </w:t>
      </w:r>
      <w:hyperlink r:id="rId26" w:history="1">
        <w:r w:rsidRPr="002D5841">
          <w:rPr>
            <w:rStyle w:val="Hyperlink"/>
          </w:rPr>
          <w:t>https://www.legislation.gov.uk/eur/2016/679</w:t>
        </w:r>
      </w:hyperlink>
      <w:r w:rsidRPr="00670491">
        <w:t xml:space="preserve"> (Accessed: 1</w:t>
      </w:r>
      <w:r w:rsidR="002F53A1">
        <w:t>1</w:t>
      </w:r>
      <w:r w:rsidR="000F5701">
        <w:t>th</w:t>
      </w:r>
      <w:r w:rsidRPr="00670491">
        <w:t xml:space="preserve"> July 2026).</w:t>
      </w:r>
    </w:p>
    <w:p w14:paraId="3E01E57C" w14:textId="3DF95B3D" w:rsidR="00EE2CC9" w:rsidRPr="004D60EB" w:rsidRDefault="00EE2CC9" w:rsidP="004D60EB">
      <w:pPr>
        <w:spacing w:line="360" w:lineRule="auto"/>
        <w:jc w:val="both"/>
      </w:pPr>
      <w:r w:rsidRPr="00670491">
        <w:rPr>
          <w:rFonts w:eastAsia="Calibri"/>
          <w:kern w:val="2"/>
          <w:lang w:val="en-GB"/>
          <w14:ligatures w14:val="standardContextual"/>
        </w:rPr>
        <w:t xml:space="preserve">Woods, B., </w:t>
      </w:r>
      <w:proofErr w:type="spellStart"/>
      <w:r w:rsidRPr="00670491">
        <w:rPr>
          <w:rFonts w:eastAsia="Calibri"/>
          <w:kern w:val="2"/>
          <w:lang w:val="en-GB"/>
          <w14:ligatures w14:val="standardContextual"/>
        </w:rPr>
        <w:t>O'Philbin</w:t>
      </w:r>
      <w:proofErr w:type="spellEnd"/>
      <w:r w:rsidRPr="00670491">
        <w:rPr>
          <w:rFonts w:eastAsia="Calibri"/>
          <w:kern w:val="2"/>
          <w:lang w:val="en-GB"/>
          <w14:ligatures w14:val="standardContextual"/>
        </w:rPr>
        <w:t xml:space="preserve">, L., Farrell, E.M., Spector, A.E. and Orrell, M. (2018) 'Reminiscence therapy for dementia', Cochrane Database of Systematic Reviews, 3, CD001120. Available at: </w:t>
      </w:r>
      <w:hyperlink r:id="rId27" w:history="1">
        <w:r w:rsidRPr="00670491">
          <w:rPr>
            <w:rFonts w:eastAsia="Calibri"/>
            <w:color w:val="0000FF"/>
            <w:kern w:val="2"/>
            <w:u w:val="single"/>
            <w:lang w:val="en-GB"/>
            <w14:ligatures w14:val="standardContextual"/>
          </w:rPr>
          <w:t>https://www.cochranelibrary.com/cdsr/doi/10.1002/14651858.CD001120.pub3/pdf/full</w:t>
        </w:r>
      </w:hyperlink>
      <w:r w:rsidRPr="00670491">
        <w:rPr>
          <w:rFonts w:eastAsia="Calibri"/>
          <w:kern w:val="2"/>
          <w:lang w:val="en-GB"/>
          <w14:ligatures w14:val="standardContextual"/>
        </w:rPr>
        <w:t xml:space="preserve"> (Accessed: </w:t>
      </w:r>
      <w:r w:rsidR="000639DC">
        <w:rPr>
          <w:rFonts w:eastAsia="Calibri"/>
          <w:kern w:val="2"/>
          <w:lang w:val="en-GB"/>
          <w14:ligatures w14:val="standardContextual"/>
        </w:rPr>
        <w:t>24th</w:t>
      </w:r>
      <w:r w:rsidRPr="00670491">
        <w:rPr>
          <w:rFonts w:eastAsia="Calibri"/>
          <w:kern w:val="2"/>
          <w:lang w:val="en-GB"/>
          <w14:ligatures w14:val="standardContextual"/>
        </w:rPr>
        <w:t xml:space="preserve"> July 2026).</w:t>
      </w:r>
    </w:p>
    <w:p w14:paraId="1DF202CE" w14:textId="77777777" w:rsidR="00670491" w:rsidRPr="00670491" w:rsidRDefault="00670491" w:rsidP="00670491">
      <w:pPr>
        <w:spacing w:after="160" w:line="360" w:lineRule="auto"/>
        <w:jc w:val="both"/>
        <w:rPr>
          <w:rFonts w:eastAsia="Calibri"/>
          <w:kern w:val="2"/>
          <w:lang w:val="en-GB"/>
          <w14:ligatures w14:val="standardContextual"/>
        </w:rPr>
      </w:pPr>
    </w:p>
    <w:p w14:paraId="68625992" w14:textId="77777777" w:rsidR="00670491" w:rsidRPr="00670491" w:rsidRDefault="00670491" w:rsidP="00670491">
      <w:pPr>
        <w:spacing w:after="160" w:line="360" w:lineRule="auto"/>
        <w:jc w:val="both"/>
        <w:rPr>
          <w:rFonts w:eastAsia="Calibri"/>
          <w:kern w:val="2"/>
          <w:lang w:val="en-GB"/>
          <w14:ligatures w14:val="standardContextual"/>
        </w:rPr>
      </w:pPr>
    </w:p>
    <w:p w14:paraId="2DF403E8" w14:textId="77777777" w:rsidR="00670491" w:rsidRDefault="00670491" w:rsidP="00670491">
      <w:pPr>
        <w:spacing w:before="40" w:after="120" w:line="360" w:lineRule="auto"/>
        <w:jc w:val="both"/>
      </w:pPr>
    </w:p>
    <w:p w14:paraId="601076CA" w14:textId="77777777" w:rsidR="00050894" w:rsidRDefault="00050894" w:rsidP="00670491">
      <w:pPr>
        <w:spacing w:before="40" w:after="120" w:line="360" w:lineRule="auto"/>
        <w:jc w:val="both"/>
      </w:pPr>
    </w:p>
    <w:p w14:paraId="006C8DFA" w14:textId="77777777" w:rsidR="00050894" w:rsidRDefault="00050894" w:rsidP="00670491">
      <w:pPr>
        <w:spacing w:before="40" w:after="120" w:line="360" w:lineRule="auto"/>
        <w:jc w:val="both"/>
      </w:pPr>
    </w:p>
    <w:p w14:paraId="18464A4A" w14:textId="03D44BEF" w:rsidR="00050894" w:rsidRDefault="00050894" w:rsidP="00670491">
      <w:pPr>
        <w:spacing w:before="40" w:after="120" w:line="360" w:lineRule="auto"/>
        <w:jc w:val="both"/>
        <w:rPr>
          <w:b/>
          <w:bCs/>
        </w:rPr>
      </w:pPr>
      <w:r w:rsidRPr="00050894">
        <w:rPr>
          <w:b/>
          <w:bCs/>
        </w:rPr>
        <w:t>Appendix</w:t>
      </w:r>
    </w:p>
    <w:p w14:paraId="5FE71385" w14:textId="437BBC93" w:rsidR="00050894" w:rsidRDefault="00050894" w:rsidP="00050894">
      <w:pPr>
        <w:spacing w:before="40" w:after="120" w:line="360" w:lineRule="auto"/>
        <w:jc w:val="center"/>
        <w:rPr>
          <w:b/>
          <w:bCs/>
        </w:rPr>
      </w:pPr>
      <w:r w:rsidRPr="00050894">
        <w:rPr>
          <w:b/>
          <w:bCs/>
          <w:noProof/>
        </w:rPr>
        <w:lastRenderedPageBreak/>
        <w:drawing>
          <wp:inline distT="0" distB="0" distL="0" distR="0" wp14:anchorId="7CFE260B" wp14:editId="5F426915">
            <wp:extent cx="4617720" cy="4063999"/>
            <wp:effectExtent l="0" t="0" r="0" b="0"/>
            <wp:docPr id="63706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06936" name=""/>
                    <pic:cNvPicPr/>
                  </pic:nvPicPr>
                  <pic:blipFill>
                    <a:blip r:embed="rId28"/>
                    <a:stretch>
                      <a:fillRect/>
                    </a:stretch>
                  </pic:blipFill>
                  <pic:spPr>
                    <a:xfrm>
                      <a:off x="0" y="0"/>
                      <a:ext cx="4632391" cy="4076911"/>
                    </a:xfrm>
                    <a:prstGeom prst="rect">
                      <a:avLst/>
                    </a:prstGeom>
                  </pic:spPr>
                </pic:pic>
              </a:graphicData>
            </a:graphic>
          </wp:inline>
        </w:drawing>
      </w:r>
    </w:p>
    <w:p w14:paraId="7B54CB89" w14:textId="77777777" w:rsidR="00050894" w:rsidRDefault="00050894" w:rsidP="00050894">
      <w:pPr>
        <w:spacing w:before="40" w:after="120" w:line="360" w:lineRule="auto"/>
        <w:jc w:val="center"/>
        <w:rPr>
          <w:b/>
          <w:bCs/>
        </w:rPr>
      </w:pPr>
    </w:p>
    <w:p w14:paraId="54865415" w14:textId="77777777" w:rsidR="00050894" w:rsidRDefault="00050894" w:rsidP="00050894">
      <w:pPr>
        <w:spacing w:before="40" w:after="120" w:line="360" w:lineRule="auto"/>
        <w:jc w:val="center"/>
        <w:rPr>
          <w:b/>
          <w:bCs/>
        </w:rPr>
      </w:pPr>
    </w:p>
    <w:p w14:paraId="07890A25" w14:textId="1DAB17E2" w:rsidR="00050894" w:rsidRDefault="00050894" w:rsidP="00050894">
      <w:pPr>
        <w:spacing w:before="40" w:after="120" w:line="360" w:lineRule="auto"/>
        <w:jc w:val="center"/>
        <w:rPr>
          <w:b/>
          <w:bCs/>
        </w:rPr>
      </w:pPr>
      <w:r w:rsidRPr="00050894">
        <w:rPr>
          <w:b/>
          <w:bCs/>
          <w:noProof/>
        </w:rPr>
        <w:drawing>
          <wp:inline distT="0" distB="0" distL="0" distR="0" wp14:anchorId="47BFE9F4" wp14:editId="287F1FF7">
            <wp:extent cx="3791145" cy="4000706"/>
            <wp:effectExtent l="0" t="0" r="0" b="0"/>
            <wp:docPr id="760627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627575" name=""/>
                    <pic:cNvPicPr/>
                  </pic:nvPicPr>
                  <pic:blipFill>
                    <a:blip r:embed="rId29"/>
                    <a:stretch>
                      <a:fillRect/>
                    </a:stretch>
                  </pic:blipFill>
                  <pic:spPr>
                    <a:xfrm>
                      <a:off x="0" y="0"/>
                      <a:ext cx="3791145" cy="4000706"/>
                    </a:xfrm>
                    <a:prstGeom prst="rect">
                      <a:avLst/>
                    </a:prstGeom>
                  </pic:spPr>
                </pic:pic>
              </a:graphicData>
            </a:graphic>
          </wp:inline>
        </w:drawing>
      </w:r>
    </w:p>
    <w:p w14:paraId="284D8365" w14:textId="77777777" w:rsidR="00050894" w:rsidRDefault="00050894" w:rsidP="00050894">
      <w:pPr>
        <w:spacing w:before="40" w:after="120" w:line="360" w:lineRule="auto"/>
        <w:jc w:val="center"/>
        <w:rPr>
          <w:b/>
          <w:bCs/>
        </w:rPr>
      </w:pPr>
    </w:p>
    <w:p w14:paraId="3663844C" w14:textId="77777777" w:rsidR="00050894" w:rsidRPr="00050894" w:rsidRDefault="00050894" w:rsidP="00050894">
      <w:pPr>
        <w:spacing w:before="40" w:after="120" w:line="360" w:lineRule="auto"/>
        <w:jc w:val="center"/>
        <w:rPr>
          <w:b/>
          <w:bCs/>
        </w:rPr>
      </w:pPr>
    </w:p>
    <w:sectPr w:rsidR="00050894" w:rsidRPr="00050894">
      <w:pgSz w:w="11906" w:h="16838"/>
      <w:pgMar w:top="1200" w:right="1200" w:bottom="1200" w:left="120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07B30"/>
    <w:multiLevelType w:val="hybridMultilevel"/>
    <w:tmpl w:val="4E2E9D5A"/>
    <w:lvl w:ilvl="0" w:tplc="F946A1C8">
      <w:start w:val="1"/>
      <w:numFmt w:val="bullet"/>
      <w:lvlText w:val="●"/>
      <w:lvlJc w:val="left"/>
      <w:pPr>
        <w:ind w:left="720" w:hanging="360"/>
      </w:pPr>
    </w:lvl>
    <w:lvl w:ilvl="1" w:tplc="F1087152">
      <w:start w:val="1"/>
      <w:numFmt w:val="bullet"/>
      <w:lvlText w:val="○"/>
      <w:lvlJc w:val="left"/>
      <w:pPr>
        <w:ind w:left="1440" w:hanging="360"/>
      </w:pPr>
    </w:lvl>
    <w:lvl w:ilvl="2" w:tplc="D4E018E2">
      <w:start w:val="1"/>
      <w:numFmt w:val="bullet"/>
      <w:lvlText w:val="■"/>
      <w:lvlJc w:val="left"/>
      <w:pPr>
        <w:ind w:left="2160" w:hanging="360"/>
      </w:pPr>
    </w:lvl>
    <w:lvl w:ilvl="3" w:tplc="F672FFE2">
      <w:start w:val="1"/>
      <w:numFmt w:val="bullet"/>
      <w:lvlText w:val="●"/>
      <w:lvlJc w:val="left"/>
      <w:pPr>
        <w:ind w:left="2880" w:hanging="360"/>
      </w:pPr>
    </w:lvl>
    <w:lvl w:ilvl="4" w:tplc="4DD09204">
      <w:start w:val="1"/>
      <w:numFmt w:val="bullet"/>
      <w:lvlText w:val="○"/>
      <w:lvlJc w:val="left"/>
      <w:pPr>
        <w:ind w:left="3600" w:hanging="360"/>
      </w:pPr>
    </w:lvl>
    <w:lvl w:ilvl="5" w:tplc="3042D5AE">
      <w:start w:val="1"/>
      <w:numFmt w:val="bullet"/>
      <w:lvlText w:val="■"/>
      <w:lvlJc w:val="left"/>
      <w:pPr>
        <w:ind w:left="4320" w:hanging="360"/>
      </w:pPr>
    </w:lvl>
    <w:lvl w:ilvl="6" w:tplc="18DE52E8">
      <w:start w:val="1"/>
      <w:numFmt w:val="bullet"/>
      <w:lvlText w:val="●"/>
      <w:lvlJc w:val="left"/>
      <w:pPr>
        <w:ind w:left="5040" w:hanging="360"/>
      </w:pPr>
    </w:lvl>
    <w:lvl w:ilvl="7" w:tplc="FA705336">
      <w:start w:val="1"/>
      <w:numFmt w:val="bullet"/>
      <w:lvlText w:val="●"/>
      <w:lvlJc w:val="left"/>
      <w:pPr>
        <w:ind w:left="5760" w:hanging="360"/>
      </w:pPr>
    </w:lvl>
    <w:lvl w:ilvl="8" w:tplc="A5FE833C">
      <w:start w:val="1"/>
      <w:numFmt w:val="bullet"/>
      <w:lvlText w:val="●"/>
      <w:lvlJc w:val="left"/>
      <w:pPr>
        <w:ind w:left="6480" w:hanging="360"/>
      </w:pPr>
    </w:lvl>
  </w:abstractNum>
  <w:num w:numId="1" w16cid:durableId="161972668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4B9C"/>
    <w:rsid w:val="00026E17"/>
    <w:rsid w:val="00033493"/>
    <w:rsid w:val="0003501A"/>
    <w:rsid w:val="00050894"/>
    <w:rsid w:val="00056CF7"/>
    <w:rsid w:val="000639DC"/>
    <w:rsid w:val="00071164"/>
    <w:rsid w:val="00073382"/>
    <w:rsid w:val="0008172A"/>
    <w:rsid w:val="00093E94"/>
    <w:rsid w:val="000F5701"/>
    <w:rsid w:val="00151EEC"/>
    <w:rsid w:val="00170BFC"/>
    <w:rsid w:val="001A0EBB"/>
    <w:rsid w:val="001A2442"/>
    <w:rsid w:val="001B2E28"/>
    <w:rsid w:val="001E4115"/>
    <w:rsid w:val="001F6175"/>
    <w:rsid w:val="00245FD7"/>
    <w:rsid w:val="00276E87"/>
    <w:rsid w:val="002A30E7"/>
    <w:rsid w:val="002B253B"/>
    <w:rsid w:val="002F529C"/>
    <w:rsid w:val="002F53A1"/>
    <w:rsid w:val="0030092B"/>
    <w:rsid w:val="00320798"/>
    <w:rsid w:val="00326E16"/>
    <w:rsid w:val="003B30B2"/>
    <w:rsid w:val="00463CB0"/>
    <w:rsid w:val="00465F12"/>
    <w:rsid w:val="00472AF9"/>
    <w:rsid w:val="004841AD"/>
    <w:rsid w:val="004A6B59"/>
    <w:rsid w:val="004A7221"/>
    <w:rsid w:val="004B1BEA"/>
    <w:rsid w:val="004B2562"/>
    <w:rsid w:val="004C6DEA"/>
    <w:rsid w:val="004D60EB"/>
    <w:rsid w:val="00507937"/>
    <w:rsid w:val="00582988"/>
    <w:rsid w:val="00594B9C"/>
    <w:rsid w:val="005A5139"/>
    <w:rsid w:val="005A6796"/>
    <w:rsid w:val="005D1421"/>
    <w:rsid w:val="005F451E"/>
    <w:rsid w:val="00647C20"/>
    <w:rsid w:val="00662E7D"/>
    <w:rsid w:val="00670491"/>
    <w:rsid w:val="00676DC1"/>
    <w:rsid w:val="00682195"/>
    <w:rsid w:val="0068392B"/>
    <w:rsid w:val="006B44C1"/>
    <w:rsid w:val="006B6D45"/>
    <w:rsid w:val="006C0FB9"/>
    <w:rsid w:val="006D22A4"/>
    <w:rsid w:val="00727E04"/>
    <w:rsid w:val="00777EE1"/>
    <w:rsid w:val="007C7695"/>
    <w:rsid w:val="007D2919"/>
    <w:rsid w:val="007D71A9"/>
    <w:rsid w:val="007E2104"/>
    <w:rsid w:val="00842F17"/>
    <w:rsid w:val="008B5632"/>
    <w:rsid w:val="008C3D32"/>
    <w:rsid w:val="008D46A7"/>
    <w:rsid w:val="008E45E3"/>
    <w:rsid w:val="00920E0F"/>
    <w:rsid w:val="009B3A64"/>
    <w:rsid w:val="00A02BD5"/>
    <w:rsid w:val="00A02D07"/>
    <w:rsid w:val="00A060C3"/>
    <w:rsid w:val="00A071AA"/>
    <w:rsid w:val="00A53123"/>
    <w:rsid w:val="00A55F4E"/>
    <w:rsid w:val="00A65B25"/>
    <w:rsid w:val="00AE4B23"/>
    <w:rsid w:val="00B12D0A"/>
    <w:rsid w:val="00B255D3"/>
    <w:rsid w:val="00B62462"/>
    <w:rsid w:val="00B63E8B"/>
    <w:rsid w:val="00BA61E4"/>
    <w:rsid w:val="00BB2FBC"/>
    <w:rsid w:val="00BC265F"/>
    <w:rsid w:val="00BC5D78"/>
    <w:rsid w:val="00C80DA9"/>
    <w:rsid w:val="00CB5495"/>
    <w:rsid w:val="00D16810"/>
    <w:rsid w:val="00D30B4D"/>
    <w:rsid w:val="00D41018"/>
    <w:rsid w:val="00D67C5E"/>
    <w:rsid w:val="00D83730"/>
    <w:rsid w:val="00DE7AE4"/>
    <w:rsid w:val="00DF3CFD"/>
    <w:rsid w:val="00E25853"/>
    <w:rsid w:val="00E3514D"/>
    <w:rsid w:val="00E4684A"/>
    <w:rsid w:val="00E55DD6"/>
    <w:rsid w:val="00E606BB"/>
    <w:rsid w:val="00E62C22"/>
    <w:rsid w:val="00E64698"/>
    <w:rsid w:val="00E75E8B"/>
    <w:rsid w:val="00E84834"/>
    <w:rsid w:val="00E8642B"/>
    <w:rsid w:val="00EB515C"/>
    <w:rsid w:val="00EE2CC9"/>
    <w:rsid w:val="00EE3454"/>
    <w:rsid w:val="00F15EE1"/>
    <w:rsid w:val="00F22ADA"/>
    <w:rsid w:val="00F23AA1"/>
    <w:rsid w:val="00F44E1F"/>
    <w:rsid w:val="00F45540"/>
    <w:rsid w:val="00F5074D"/>
    <w:rsid w:val="00FA6EB1"/>
    <w:rsid w:val="00FB52FA"/>
    <w:rsid w:val="00FF6F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F8E55"/>
  <w15:docId w15:val="{2CF4F891-A50E-4D71-9A7F-71D28B56A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40"/>
      <w:outlineLvl w:val="0"/>
    </w:pPr>
    <w:rPr>
      <w:b/>
      <w:bCs/>
      <w:color w:val="4A235A"/>
      <w:sz w:val="26"/>
      <w:szCs w:val="26"/>
    </w:rPr>
  </w:style>
  <w:style w:type="paragraph" w:styleId="Heading2">
    <w:name w:val="heading 2"/>
    <w:uiPriority w:val="9"/>
    <w:unhideWhenUsed/>
    <w:qFormat/>
    <w:pPr>
      <w:spacing w:before="220" w:after="100"/>
      <w:outlineLvl w:val="1"/>
    </w:pPr>
    <w:rPr>
      <w:b/>
      <w:bCs/>
      <w:color w:val="1E6B4A"/>
      <w:sz w:val="23"/>
      <w:szCs w:val="23"/>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647C20"/>
    <w:rPr>
      <w:color w:val="605E5C"/>
      <w:shd w:val="clear" w:color="auto" w:fill="E1DFDD"/>
    </w:rPr>
  </w:style>
  <w:style w:type="character" w:styleId="FollowedHyperlink">
    <w:name w:val="FollowedHyperlink"/>
    <w:basedOn w:val="DefaultParagraphFont"/>
    <w:uiPriority w:val="99"/>
    <w:semiHidden/>
    <w:unhideWhenUsed/>
    <w:rsid w:val="00670491"/>
    <w:rPr>
      <w:color w:val="954F72" w:themeColor="followedHyperlink"/>
      <w:u w:val="single"/>
    </w:rPr>
  </w:style>
  <w:style w:type="paragraph" w:styleId="Caption">
    <w:name w:val="caption"/>
    <w:basedOn w:val="Normal"/>
    <w:next w:val="Normal"/>
    <w:uiPriority w:val="35"/>
    <w:unhideWhenUsed/>
    <w:qFormat/>
    <w:rsid w:val="00E3514D"/>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hyperlink" Target="https://uhra.herts.ac.uk/id/eprint/8793/1/FullReport_hsdr04080_1_.pdf" TargetMode="External"/><Relationship Id="rId18" Type="http://schemas.openxmlformats.org/officeDocument/2006/relationships/hyperlink" Target="https://www.researchgate.net/profile/Carlye-Lauff/publication/323198004_What_is_a_Prototype_What_are_the_Roles_of_Prototypes_in_Companies/links/5bd023bfa6fdcc204a0366c6/What-is-a-Prototype-What-are-the-Roles-of-Prototypes-in-Companies.pdf" TargetMode="External"/><Relationship Id="rId26" Type="http://schemas.openxmlformats.org/officeDocument/2006/relationships/hyperlink" Target="https://www.legislation.gov.uk/eur/2016/679" TargetMode="External"/><Relationship Id="rId3" Type="http://schemas.openxmlformats.org/officeDocument/2006/relationships/styles" Target="styles.xml"/><Relationship Id="rId21" Type="http://schemas.openxmlformats.org/officeDocument/2006/relationships/hyperlink" Target="https://www.legislation.gov.uk/ukpga/2005/9/contents" TargetMode="External"/><Relationship Id="rId7" Type="http://schemas.openxmlformats.org/officeDocument/2006/relationships/image" Target="media/image2.png"/><Relationship Id="rId12" Type="http://schemas.openxmlformats.org/officeDocument/2006/relationships/hyperlink" Target="https://www.alzheimers.org.uk/what-we-do/policy-and-influencing/dementia-scale-impact-numbers" TargetMode="External"/><Relationship Id="rId17" Type="http://schemas.openxmlformats.org/officeDocument/2006/relationships/hyperlink" Target="https://www.hcpc-uk.org/standards/standards-of-conduct-performance-and-ethics/" TargetMode="External"/><Relationship Id="rId25" Type="http://schemas.openxmlformats.org/officeDocument/2006/relationships/hyperlink" Target="https://www.skillsforcare.org.uk/Adult-Social-Care-Workforce-Data/workforceintelligence/resources/Reports/National/The-state-of-the-adult-social-care-sector-and-workforce-in-England-2025-Executive-Summary.pdf" TargetMode="External"/><Relationship Id="rId2" Type="http://schemas.openxmlformats.org/officeDocument/2006/relationships/numbering" Target="numbering.xml"/><Relationship Id="rId16" Type="http://schemas.openxmlformats.org/officeDocument/2006/relationships/hyperlink" Target="https://www.legislation.gov.uk/ukpga/2018/12/contents" TargetMode="External"/><Relationship Id="rId20" Type="http://schemas.openxmlformats.org/officeDocument/2006/relationships/hyperlink" Target="https://www.frontiersin.org/journals/aging-neuroscience/articles/10.3389/fnagi.2015.00024/pdf"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nejm.org/doi/full/10.1056/nejmp1011024" TargetMode="External"/><Relationship Id="rId5" Type="http://schemas.openxmlformats.org/officeDocument/2006/relationships/webSettings" Target="webSettings.xml"/><Relationship Id="rId15" Type="http://schemas.openxmlformats.org/officeDocument/2006/relationships/hyperlink" Target="https://www.legislation.gov.uk/ukpga/2010/15/contents" TargetMode="External"/><Relationship Id="rId23" Type="http://schemas.openxmlformats.org/officeDocument/2006/relationships/hyperlink" Target="https://www.nice.org.uk/guidance/ng97" TargetMode="External"/><Relationship Id="rId28" Type="http://schemas.openxmlformats.org/officeDocument/2006/relationships/image" Target="media/image7.png"/><Relationship Id="rId10" Type="http://schemas.openxmlformats.org/officeDocument/2006/relationships/image" Target="media/image5.png"/><Relationship Id="rId19" Type="http://schemas.openxmlformats.org/officeDocument/2006/relationships/hyperlink" Target="https://discovery.ucl.ac.uk/id/eprint/1567635/1/Livingston_Dementia_prevention_intervention_care.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legislation.gov.uk/ukpga/2014/23/contents" TargetMode="External"/><Relationship Id="rId22" Type="http://schemas.openxmlformats.org/officeDocument/2006/relationships/hyperlink" Target="https://webarchive.nationalarchives.gov.uk/ukgwa/20250511091243/https://www.longtermplan.nhs.uk/wp-content/uploads/2019/08/nhs-long-term-plan-version-1.2.pdf" TargetMode="External"/><Relationship Id="rId27" Type="http://schemas.openxmlformats.org/officeDocument/2006/relationships/hyperlink" Target="https://www.cochranelibrary.com/cdsr/doi/10.1002/14651858.CD001120.pub3/pdf/ful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AEF77D-4056-4A8B-94D9-A6350A38E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13</Pages>
  <Words>2678</Words>
  <Characters>15269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mercy inyang</cp:lastModifiedBy>
  <cp:revision>45</cp:revision>
  <dcterms:created xsi:type="dcterms:W3CDTF">2026-07-20T14:29:00Z</dcterms:created>
  <dcterms:modified xsi:type="dcterms:W3CDTF">2026-08-02T11:20:00Z</dcterms:modified>
</cp:coreProperties>
</file>