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w:tabs>
          <w:tab w:val="clear" w:pos="4153"/>
          <w:tab w:val="clear" w:pos="8306"/>
        </w:tabs>
        <w:jc w:val="right"/>
        <w:rPr>
          <w:rFonts w:ascii="Arial" w:cs="Arial" w:hAnsi="Arial" w:eastAsia="Arial"/>
          <w:b w:val="1"/>
          <w:bCs w:val="1"/>
          <w:sz w:val="28"/>
          <w:szCs w:val="28"/>
        </w:rPr>
      </w:pPr>
      <w:r>
        <w:rPr>
          <w:rFonts w:ascii="Arial" w:hAnsi="Arial"/>
        </w:rPr>
        <w:drawing>
          <wp:anchor distT="57150" distB="57150" distL="57150" distR="57150" simplePos="0" relativeHeight="251660288" behindDoc="0" locked="0" layoutInCell="1" allowOverlap="1">
            <wp:simplePos x="0" y="0"/>
            <wp:positionH relativeFrom="column">
              <wp:posOffset>57150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image1.png"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r>
      <w:r>
        <w:rPr>
          <w:rFonts w:ascii="Arial Unicode MS" w:cs="Arial Unicode MS" w:hAnsi="Arial Unicode MS" w:eastAsia="Arial Unicode MS"/>
          <w:b w:val="0"/>
          <w:bCs w:val="0"/>
          <w:i w:val="0"/>
          <w:iCs w:val="0"/>
        </w:rPr>
        <w:br w:type="textWrapping"/>
      </w:r>
      <w:r>
        <w:rPr>
          <w:rFonts w:ascii="Arial" w:hAnsi="Arial"/>
          <w:b w:val="1"/>
          <w:bCs w:val="1"/>
          <w:sz w:val="28"/>
          <w:szCs w:val="28"/>
          <w:rtl w:val="0"/>
          <w:lang w:val="en-US"/>
        </w:rPr>
        <w:t>APPENDIX GA36c</w:t>
      </w:r>
    </w:p>
    <w:p>
      <w:pPr>
        <w:pStyle w:val="Body"/>
        <w:rPr>
          <w:rFonts w:ascii="Arial" w:cs="Arial" w:hAnsi="Arial" w:eastAsia="Arial"/>
          <w:sz w:val="20"/>
          <w:szCs w:val="20"/>
        </w:rPr>
      </w:pPr>
    </w:p>
    <w:tbl>
      <w:tblPr>
        <w:tblW w:w="8624"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624"/>
      </w:tblGrid>
      <w:tr>
        <w:tblPrEx>
          <w:shd w:val="clear" w:color="auto" w:fill="d0ddef"/>
        </w:tblPrEx>
        <w:trPr>
          <w:trHeight w:val="457" w:hRule="atLeast"/>
        </w:trPr>
        <w:tc>
          <w:tcPr>
            <w:tcW w:type="dxa" w:w="86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A"/>
              <w:keepNext w:val="1"/>
              <w:spacing w:before="120" w:after="120"/>
              <w:jc w:val="center"/>
              <w:outlineLvl w:val="3"/>
            </w:pPr>
            <w:r>
              <w:rPr>
                <w:rFonts w:ascii="Arial" w:hAnsi="Arial"/>
                <w:b w:val="1"/>
                <w:bCs w:val="1"/>
                <w:sz w:val="40"/>
                <w:szCs w:val="40"/>
                <w:rtl w:val="0"/>
                <w:lang w:val="en-US"/>
              </w:rPr>
              <w:t xml:space="preserve">LEVEL 6 ASSESSMENT SPECIFICATION </w:t>
            </w:r>
          </w:p>
        </w:tc>
      </w:tr>
    </w:tbl>
    <w:p>
      <w:pPr>
        <w:pStyle w:val="Body"/>
        <w:widowControl w:val="0"/>
        <w:ind w:left="392" w:hanging="392"/>
        <w:rPr>
          <w:rFonts w:ascii="Arial" w:cs="Arial" w:hAnsi="Arial" w:eastAsia="Arial"/>
          <w:sz w:val="20"/>
          <w:szCs w:val="20"/>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093"/>
        <w:gridCol w:w="3293"/>
        <w:gridCol w:w="2267"/>
        <w:gridCol w:w="2269"/>
      </w:tblGrid>
      <w:tr>
        <w:tblPrEx>
          <w:shd w:val="clear" w:color="auto" w:fill="d0ddef"/>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rtl w:val="0"/>
              </w:rPr>
              <w:t>     </w:t>
            </w:r>
            <w:r>
              <w:rPr>
                <w:rFonts w:ascii="Arial" w:hAnsi="Arial"/>
                <w:b w:val="1"/>
                <w:bCs w:val="1"/>
                <w:sz w:val="22"/>
                <w:szCs w:val="22"/>
                <w:rtl w:val="0"/>
                <w:lang w:val="en-US"/>
              </w:rPr>
              <w:t>Rhiannon Hughes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rPr>
              <w:t>1807618</w:t>
            </w: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Secondary PGCE</w:t>
            </w:r>
          </w:p>
        </w:tc>
      </w:tr>
      <w:tr>
        <w:tblPrEx>
          <w:shd w:val="clear" w:color="auto" w:fill="d0ddef"/>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 xml:space="preserve">Principles of Teaching, Learning and Pedagogy in the Secondary Sector </w:t>
            </w:r>
          </w:p>
        </w:tc>
      </w:tr>
      <w:tr>
        <w:tblPrEx>
          <w:shd w:val="clear" w:color="auto" w:fill="d0ddef"/>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ECSP6001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Heading 2"/>
              <w:bidi w:val="0"/>
              <w:ind w:left="0" w:right="0" w:firstLine="0"/>
              <w:jc w:val="both"/>
              <w:rPr>
                <w:rtl w:val="0"/>
              </w:rPr>
            </w:pPr>
            <w:r>
              <w:rPr>
                <w:rFonts w:ascii="Arial" w:hAnsi="Arial"/>
                <w:sz w:val="22"/>
                <w:szCs w:val="22"/>
                <w:u w:color="000000"/>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50%</w:t>
            </w: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 xml:space="preserve">Alison S Evans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6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 xml:space="preserve">Part B, (i) and (ii)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
              </w:numPr>
              <w:spacing w:before="120" w:after="120"/>
              <w:jc w:val="both"/>
              <w:rPr>
                <w:rFonts w:ascii="Arial" w:hAnsi="Arial"/>
                <w:b w:val="1"/>
                <w:bCs w:val="1"/>
                <w:sz w:val="22"/>
                <w:szCs w:val="22"/>
                <w:lang w:val="en-US"/>
              </w:rPr>
            </w:pPr>
            <w:r>
              <w:rPr>
                <w:rFonts w:ascii="Arial" w:hAnsi="Arial"/>
                <w:b w:val="1"/>
                <w:bCs w:val="1"/>
                <w:sz w:val="22"/>
                <w:szCs w:val="22"/>
                <w:rtl w:val="0"/>
                <w:lang w:val="en-US"/>
              </w:rPr>
              <w:t>= 1,500</w:t>
            </w:r>
          </w:p>
          <w:p>
            <w:pPr>
              <w:pStyle w:val="List Paragraph"/>
              <w:numPr>
                <w:ilvl w:val="0"/>
                <w:numId w:val="1"/>
              </w:numPr>
              <w:bidi w:val="0"/>
              <w:spacing w:before="120" w:after="120"/>
              <w:ind w:right="0"/>
              <w:jc w:val="both"/>
              <w:rPr>
                <w:rFonts w:ascii="Arial" w:hAnsi="Arial"/>
                <w:b w:val="1"/>
                <w:bCs w:val="1"/>
                <w:sz w:val="22"/>
                <w:szCs w:val="22"/>
                <w:rtl w:val="0"/>
                <w:lang w:val="en-US"/>
              </w:rPr>
            </w:pPr>
            <w:r>
              <w:rPr>
                <w:rFonts w:ascii="Arial" w:hAnsi="Arial"/>
                <w:b w:val="1"/>
                <w:bCs w:val="1"/>
                <w:sz w:val="22"/>
                <w:szCs w:val="22"/>
                <w:rtl w:val="0"/>
                <w:lang w:val="en-US"/>
              </w:rPr>
              <w:t>= 2,000</w:t>
            </w:r>
          </w:p>
        </w:tc>
      </w:tr>
      <w:tr>
        <w:tblPrEx>
          <w:shd w:val="clear" w:color="auto" w:fill="d0ddef"/>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26 November 2018</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17 December 2018</w:t>
            </w:r>
          </w:p>
        </w:tc>
      </w:tr>
      <w:tr>
        <w:tblPrEx>
          <w:shd w:val="clear" w:color="auto" w:fill="d0ddef"/>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d0ddef"/>
        </w:tblPrEx>
        <w:trPr>
          <w:trHeight w:val="12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rPr>
          <w:rtl w:val="0"/>
        </w:rPr>
        <w:t xml:space="preserve">Part B) i </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In order to effectively plan the scheme of work and micro teach lesson, I researched and gathered information from a variety of sources to inform my planning. This essay will analyse the factors that underpin modern foreign language pedagogy. The following methodologies will be discussed; differentiation, learning theories, ESDGC, Y Cwricwlum Cymreig (YCC), </w:t>
      </w:r>
      <w:r>
        <w:rPr>
          <w:rFonts w:ascii="Helvetica" w:cs="Calibri" w:hAnsi="Helvetica" w:eastAsia="Calibri"/>
          <w:rtl w:val="0"/>
          <w:lang w:val="en-US"/>
        </w:rPr>
        <w:t>T</w:t>
      </w:r>
      <w:r>
        <w:rPr>
          <w:rFonts w:ascii="Helvetica" w:cs="Calibri" w:hAnsi="Helvetica" w:eastAsia="Calibri"/>
          <w:rtl w:val="0"/>
          <w:lang w:val="en-US"/>
        </w:rPr>
        <w:t xml:space="preserve">arget </w:t>
      </w:r>
      <w:r>
        <w:rPr>
          <w:rFonts w:ascii="Helvetica" w:cs="Calibri" w:hAnsi="Helvetica" w:eastAsia="Calibri"/>
          <w:rtl w:val="0"/>
          <w:lang w:val="en-US"/>
        </w:rPr>
        <w:t>L</w:t>
      </w:r>
      <w:r>
        <w:rPr>
          <w:rFonts w:ascii="Helvetica" w:cs="Calibri" w:hAnsi="Helvetica" w:eastAsia="Calibri"/>
          <w:rtl w:val="0"/>
          <w:lang w:val="en-US"/>
        </w:rPr>
        <w:t>anguage (TL), Assessment For Learning (AFL) and the Digital Competency Framework (DCF).</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Differentiation is an important aspect of modern foreign language pedagogy in order to ensure that all learners have the best possible chance of learning. In my micro teach, I accommodated differences between learners through accessibility, support resources, pace and task. Firstly, students had to complete an activity without support to test their previous knowledge; </w:t>
      </w:r>
      <w:r>
        <w:rPr>
          <w:rFonts w:ascii="Helvetica" w:cs="Calibri" w:hAnsi="Helvetica" w:eastAsia="Calibri" w:hint="default"/>
          <w:rtl w:val="0"/>
          <w:lang w:val="en-US"/>
        </w:rPr>
        <w:t>‘</w:t>
      </w:r>
      <w:r>
        <w:rPr>
          <w:rFonts w:ascii="Helvetica" w:cs="Calibri" w:hAnsi="Helvetica" w:eastAsia="Calibri"/>
          <w:rtl w:val="0"/>
          <w:lang w:val="en-US"/>
        </w:rPr>
        <w:t>s</w:t>
      </w:r>
      <w:r>
        <w:rPr>
          <w:rFonts w:ascii="Helvetica" w:cs="Calibri" w:hAnsi="Helvetica" w:eastAsia="Calibri"/>
          <w:i w:val="1"/>
          <w:iCs w:val="1"/>
          <w:rtl w:val="0"/>
          <w:lang w:val="en-US"/>
        </w:rPr>
        <w:t>truggle supports learning, it is good for students to struggle just outside their comfort zone as that is when they are likely to learn most</w:t>
      </w:r>
      <w:r>
        <w:rPr>
          <w:rFonts w:ascii="Helvetica" w:cs="Calibri" w:hAnsi="Helvetica" w:eastAsia="Calibri" w:hint="default"/>
          <w:i w:val="1"/>
          <w:iCs w:val="1"/>
          <w:rtl w:val="0"/>
          <w:lang w:val="en-US"/>
        </w:rPr>
        <w:t xml:space="preserve">’ </w:t>
      </w:r>
      <w:r>
        <w:rPr>
          <w:rFonts w:ascii="Helvetica" w:cs="Calibri" w:hAnsi="Helvetica" w:eastAsia="Calibri"/>
          <w:i w:val="1"/>
          <w:iCs w:val="1"/>
          <w:rtl w:val="0"/>
          <w:lang w:val="en-US"/>
        </w:rPr>
        <w:t>(Alison and Tharby, 2015 p.14).</w:t>
      </w:r>
      <w:r>
        <w:rPr>
          <w:rFonts w:ascii="Helvetica" w:cs="Calibri" w:hAnsi="Helvetica" w:eastAsia="Calibri"/>
          <w:rtl w:val="0"/>
          <w:lang w:val="en-US"/>
        </w:rPr>
        <w:t xml:space="preserve"> Taking this into consideration, I wanted the first task to push students into a </w:t>
      </w:r>
      <w:r>
        <w:rPr>
          <w:rFonts w:ascii="Helvetica" w:cs="Calibri" w:hAnsi="Helvetica" w:eastAsia="Calibri" w:hint="default"/>
          <w:rtl w:val="0"/>
          <w:lang w:val="en-US"/>
        </w:rPr>
        <w:t>‘</w:t>
      </w:r>
      <w:r>
        <w:rPr>
          <w:rFonts w:ascii="Helvetica" w:cs="Calibri" w:hAnsi="Helvetica" w:eastAsia="Calibri"/>
          <w:rtl w:val="0"/>
          <w:lang w:val="en-US"/>
        </w:rPr>
        <w:t>productive struggle</w:t>
      </w:r>
      <w:r>
        <w:rPr>
          <w:rFonts w:ascii="Helvetica" w:cs="Calibri" w:hAnsi="Helvetica" w:eastAsia="Calibri" w:hint="default"/>
          <w:rtl w:val="0"/>
          <w:lang w:val="en-US"/>
        </w:rPr>
        <w:t xml:space="preserve">’ </w:t>
      </w:r>
      <w:r>
        <w:rPr>
          <w:rFonts w:ascii="Helvetica" w:cs="Calibri" w:hAnsi="Helvetica" w:eastAsia="Calibri"/>
          <w:rtl w:val="0"/>
          <w:lang w:val="en-US"/>
        </w:rPr>
        <w:t>to encourage active involvement in the learning process. Having been inspired by Gianfranco Conti</w:t>
      </w:r>
      <w:r>
        <w:rPr>
          <w:rFonts w:ascii="Helvetica" w:cs="Calibri" w:hAnsi="Helvetica" w:eastAsia="Calibri" w:hint="default"/>
          <w:rtl w:val="0"/>
          <w:lang w:val="en-US"/>
        </w:rPr>
        <w:t>’</w:t>
      </w:r>
      <w:r>
        <w:rPr>
          <w:rFonts w:ascii="Helvetica" w:cs="Calibri" w:hAnsi="Helvetica" w:eastAsia="Calibri"/>
          <w:rtl w:val="0"/>
          <w:lang w:val="en-US"/>
        </w:rPr>
        <w:t xml:space="preserve">s </w:t>
      </w:r>
      <w:r>
        <w:rPr>
          <w:rFonts w:ascii="Helvetica" w:cs="Calibri" w:hAnsi="Helvetica" w:eastAsia="Calibri" w:hint="default"/>
          <w:rtl w:val="0"/>
          <w:lang w:val="en-US"/>
        </w:rPr>
        <w:t>‘</w:t>
      </w:r>
      <w:r>
        <w:rPr>
          <w:rFonts w:ascii="Helvetica" w:cs="Calibri" w:hAnsi="Helvetica" w:eastAsia="Calibri"/>
          <w:rtl w:val="0"/>
          <w:lang w:val="en-US"/>
        </w:rPr>
        <w:t>writership' activities (2016); I gave the students a writing task consisting of a dialogue with questions omitted. The students had to fill in the gaps.</w:t>
      </w:r>
      <w:r>
        <w:rPr>
          <w:rFonts w:ascii="Helvetica" w:cs="Calibri" w:hAnsi="Helvetica" w:eastAsia="Calibri"/>
          <w:b w:val="1"/>
          <w:bCs w:val="1"/>
          <w:rtl w:val="0"/>
          <w:lang w:val="en-US"/>
        </w:rPr>
        <w:t xml:space="preserve"> </w:t>
      </w:r>
      <w:r>
        <w:rPr>
          <w:rFonts w:ascii="Helvetica" w:cs="Calibri" w:hAnsi="Helvetica" w:eastAsia="Calibri"/>
          <w:rtl w:val="0"/>
          <w:lang w:val="en-US"/>
        </w:rPr>
        <w:t xml:space="preserve">This prepared the students for the oral communication task; it gave them a </w:t>
      </w:r>
      <w:r>
        <w:rPr>
          <w:rFonts w:ascii="Helvetica" w:cs="Calibri" w:hAnsi="Helvetica" w:eastAsia="Calibri" w:hint="default"/>
          <w:rtl w:val="0"/>
          <w:lang w:val="en-US"/>
        </w:rPr>
        <w:t>‘</w:t>
      </w:r>
      <w:r>
        <w:rPr>
          <w:rFonts w:ascii="Helvetica" w:cs="Calibri" w:hAnsi="Helvetica" w:eastAsia="Calibri"/>
          <w:rtl w:val="0"/>
          <w:lang w:val="en-US"/>
        </w:rPr>
        <w:t>scaffold</w:t>
      </w:r>
      <w:r>
        <w:rPr>
          <w:rFonts w:ascii="Helvetica" w:cs="Calibri" w:hAnsi="Helvetica" w:eastAsia="Calibri" w:hint="default"/>
          <w:rtl w:val="0"/>
          <w:lang w:val="en-US"/>
        </w:rPr>
        <w:t xml:space="preserve">’ </w:t>
      </w:r>
      <w:r>
        <w:rPr>
          <w:rFonts w:ascii="Helvetica" w:cs="Calibri" w:hAnsi="Helvetica" w:eastAsia="Calibri"/>
          <w:rtl w:val="0"/>
          <w:lang w:val="en-US"/>
        </w:rPr>
        <w:t xml:space="preserve">which allowed a smoother transition from a more structured task to a more open-ended task. Although I gave the learners ownership during the initial writing task, some individuals may have found the open-ended role play more challenging. With this in mind, I approached this task in a social-constructivist way. The main advocates of social constructivism were Vygotsky and Bruner who drew attention to interaction between the learner and others, summarising that children can develop </w:t>
      </w:r>
      <w:r>
        <w:rPr>
          <w:rFonts w:ascii="Helvetica" w:cs="Calibri" w:hAnsi="Helvetica" w:eastAsia="Calibri"/>
          <w:rtl w:val="0"/>
          <w:lang w:val="en-US"/>
        </w:rPr>
        <w:t>their current</w:t>
      </w:r>
      <w:r>
        <w:rPr>
          <w:rFonts w:ascii="Helvetica" w:cs="Calibri" w:hAnsi="Helvetica" w:eastAsia="Calibri"/>
          <w:rtl w:val="0"/>
          <w:lang w:val="en-US"/>
        </w:rPr>
        <w:t xml:space="preserve"> knowledge through the help of a </w:t>
      </w:r>
      <w:r>
        <w:rPr>
          <w:rFonts w:ascii="Helvetica" w:cs="Calibri" w:hAnsi="Helvetica" w:eastAsia="Calibri" w:hint="default"/>
          <w:rtl w:val="0"/>
          <w:lang w:val="en-US"/>
        </w:rPr>
        <w:t>‘</w:t>
      </w:r>
      <w:r>
        <w:rPr>
          <w:rFonts w:ascii="Helvetica" w:cs="Calibri" w:hAnsi="Helvetica" w:eastAsia="Calibri"/>
          <w:rtl w:val="0"/>
          <w:lang w:val="en-US"/>
        </w:rPr>
        <w:t>more knowledgable other</w:t>
      </w:r>
      <w:r>
        <w:rPr>
          <w:rFonts w:ascii="Helvetica" w:cs="Calibri" w:hAnsi="Helvetica" w:eastAsia="Calibri" w:hint="default"/>
          <w:rtl w:val="0"/>
          <w:lang w:val="en-US"/>
        </w:rPr>
        <w:t>’</w:t>
      </w:r>
      <w:r>
        <w:rPr>
          <w:rFonts w:ascii="Helvetica" w:cs="Calibri" w:hAnsi="Helvetica" w:eastAsia="Calibri"/>
          <w:rtl w:val="0"/>
          <w:lang w:val="en-US"/>
        </w:rPr>
        <w:t xml:space="preserve">. This can be achieved through scaffolding within the Zone of Proximal development (ZPD); the gap between what a child can do </w:t>
      </w:r>
      <w:r>
        <w:rPr>
          <w:rFonts w:ascii="Helvetica" w:cs="Calibri" w:hAnsi="Helvetica" w:eastAsia="Calibri"/>
          <w:rtl w:val="0"/>
          <w:lang w:val="en-US"/>
        </w:rPr>
        <w:t>independently</w:t>
      </w:r>
      <w:r>
        <w:rPr>
          <w:rFonts w:ascii="Helvetica" w:cs="Calibri" w:hAnsi="Helvetica" w:eastAsia="Calibri"/>
          <w:rtl w:val="0"/>
          <w:lang w:val="en-US"/>
        </w:rPr>
        <w:t xml:space="preserve"> and with </w:t>
      </w:r>
      <w:r>
        <w:rPr>
          <w:rFonts w:ascii="Helvetica" w:cs="Calibri" w:hAnsi="Helvetica" w:eastAsia="Calibri"/>
          <w:rtl w:val="0"/>
          <w:lang w:val="en-US"/>
        </w:rPr>
        <w:t xml:space="preserve">guidance </w:t>
      </w:r>
      <w:r>
        <w:rPr>
          <w:rFonts w:ascii="Helvetica" w:cs="Calibri" w:hAnsi="Helvetica" w:eastAsia="Calibri"/>
          <w:rtl w:val="0"/>
          <w:lang w:val="en-US"/>
        </w:rPr>
        <w:t>(Pritchard, 2005). I provided this ZPD scaffold for target individuals through the provision of a placemat, while offering more able and talented students the opportunity to improvise with or without cues.</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color w:val="ff2600"/>
          <w:u w:color="ff2600"/>
        </w:rPr>
      </w:pPr>
      <w:r>
        <w:rPr>
          <w:rFonts w:ascii="Helvetica" w:cs="Calibri" w:hAnsi="Helvetica" w:eastAsia="Calibri"/>
          <w:rtl w:val="0"/>
          <w:lang w:val="en-US"/>
        </w:rPr>
        <w:t xml:space="preserve">Alison &amp; Tharby highlight that </w:t>
      </w:r>
      <w:r>
        <w:rPr>
          <w:rFonts w:ascii="Helvetica" w:cs="Calibri" w:hAnsi="Helvetica" w:eastAsia="Calibri" w:hint="default"/>
          <w:rtl w:val="0"/>
          <w:lang w:val="en-US"/>
        </w:rPr>
        <w:t>‘</w:t>
      </w:r>
      <w:r>
        <w:rPr>
          <w:rFonts w:ascii="Helvetica" w:cs="Calibri" w:hAnsi="Helvetica" w:eastAsia="Calibri"/>
          <w:rtl w:val="0"/>
          <w:lang w:val="en-US"/>
        </w:rPr>
        <w:t>too often challenge is presented in the context of challenging the most able</w:t>
      </w:r>
      <w:r>
        <w:rPr>
          <w:rFonts w:ascii="Helvetica" w:cs="Calibri" w:hAnsi="Helvetica" w:eastAsia="Calibri" w:hint="default"/>
          <w:rtl w:val="0"/>
          <w:lang w:val="en-US"/>
        </w:rPr>
        <w:t xml:space="preserve">’ </w:t>
      </w:r>
      <w:r>
        <w:rPr>
          <w:rFonts w:ascii="Helvetica" w:cs="Calibri" w:hAnsi="Helvetica" w:eastAsia="Calibri"/>
          <w:rtl w:val="0"/>
          <w:lang w:val="en-US"/>
        </w:rPr>
        <w:t xml:space="preserve">(2015). Furthermore, Dweck argues that it is important to instil a growth mindset in all learners. According to Dweck (2006), when learners were praised for effort rather than their grades, 90% of them wanted the challenging new task that they could learn from. The role play task was challenging given that the onus was on students to communicate with a degree of improvisation. I acted as a facilitator of the learning, but the </w:t>
      </w:r>
      <w:r>
        <w:rPr>
          <w:rFonts w:ascii="Helvetica" w:cs="Calibri" w:hAnsi="Helvetica" w:eastAsia="Calibri" w:hint="default"/>
          <w:rtl w:val="0"/>
          <w:lang w:val="en-US"/>
        </w:rPr>
        <w:t>‘</w:t>
      </w:r>
      <w:r>
        <w:rPr>
          <w:rFonts w:ascii="Helvetica" w:cs="Calibri" w:hAnsi="Helvetica" w:eastAsia="Calibri"/>
          <w:rtl w:val="0"/>
          <w:lang w:val="en-US"/>
        </w:rPr>
        <w:t>scaffold</w:t>
      </w:r>
      <w:r>
        <w:rPr>
          <w:rFonts w:ascii="Helvetica" w:cs="Calibri" w:hAnsi="Helvetica" w:eastAsia="Calibri" w:hint="default"/>
          <w:rtl w:val="0"/>
          <w:lang w:val="en-US"/>
        </w:rPr>
        <w:t xml:space="preserve">’ </w:t>
      </w:r>
      <w:r>
        <w:rPr>
          <w:rFonts w:ascii="Helvetica" w:cs="Calibri" w:hAnsi="Helvetica" w:eastAsia="Calibri"/>
          <w:rtl w:val="0"/>
          <w:lang w:val="en-US"/>
        </w:rPr>
        <w:t xml:space="preserve">meant that individuals could complete the challenging task effectively. The purpose of the open-ended role play task was for students to develop confidence and fluency rather than accuracy. Therefore, conducting the micro teach as a facilitator, i.e. allowing the children to set their own goals, was appropriate. In contrast to a teacher-centred approach, I chose to focus on usage of the language rather than grammatical rules, as </w:t>
      </w:r>
      <w:r>
        <w:rPr>
          <w:rFonts w:ascii="Helvetica" w:cs="Calibri" w:hAnsi="Helvetica" w:eastAsia="Calibri" w:hint="default"/>
          <w:rtl w:val="0"/>
          <w:lang w:val="en-US"/>
        </w:rPr>
        <w:t>‘</w:t>
      </w:r>
      <w:r>
        <w:rPr>
          <w:rFonts w:ascii="Helvetica" w:cs="Calibri" w:hAnsi="Helvetica" w:eastAsia="Calibri"/>
          <w:rtl w:val="0"/>
          <w:lang w:val="en-US"/>
        </w:rPr>
        <w:t>a behaviourist [approach] of repetition, translation and habit forming offers few opportunities for authentic communication</w:t>
      </w:r>
      <w:r>
        <w:rPr>
          <w:rFonts w:ascii="Helvetica" w:cs="Calibri" w:hAnsi="Helvetica" w:eastAsia="Calibri" w:hint="default"/>
          <w:rtl w:val="0"/>
          <w:lang w:val="en-US"/>
        </w:rPr>
        <w:t xml:space="preserve">’ </w:t>
      </w:r>
      <w:r>
        <w:rPr>
          <w:rFonts w:ascii="Helvetica" w:cs="Calibri" w:hAnsi="Helvetica" w:eastAsia="Calibri"/>
          <w:rtl w:val="0"/>
          <w:lang w:val="en-US"/>
        </w:rPr>
        <w:t>(Macaro and Swarbrick, 2014 p.220)</w:t>
      </w:r>
      <w:r>
        <w:rPr>
          <w:rFonts w:ascii="Helvetica" w:cs="Calibri" w:hAnsi="Helvetica" w:eastAsia="Calibri"/>
          <w:color w:val="ff2600"/>
          <w:u w:color="ff2600"/>
          <w:rtl w:val="0"/>
          <w:lang w:val="en-US"/>
        </w:rPr>
        <w:t>.</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In terms of assessment for learning (Afl), I used formative assessment during my micro teach. I outlined graded lesson objectives and success criteria at the beginning of the lesson in order for students to regulate their own learning. As Jones and Wiliam (1998) observe, this approach allows students to monitor their own progress as independent language learners. I presented the learning objectives in English in order to ensure that all students could access the lesson. The latter point has been raised by Jones and Wiliam (1998</w:t>
      </w:r>
      <w:r>
        <w:rPr>
          <w:rFonts w:ascii="Helvetica" w:cs="Calibri" w:hAnsi="Helvetica" w:eastAsia="Calibri"/>
          <w:rtl w:val="0"/>
          <w:lang w:val="en-US"/>
        </w:rPr>
        <w:t>, p.4</w:t>
      </w:r>
      <w:r>
        <w:rPr>
          <w:rFonts w:ascii="Helvetica" w:cs="Calibri" w:hAnsi="Helvetica" w:eastAsia="Calibri"/>
          <w:rtl w:val="0"/>
          <w:lang w:val="en-US"/>
        </w:rPr>
        <w:t xml:space="preserve">); </w:t>
      </w:r>
      <w:r>
        <w:rPr>
          <w:rFonts w:ascii="Helvetica" w:cs="Calibri" w:hAnsi="Helvetica" w:eastAsia="Calibri" w:hint="default"/>
          <w:rtl w:val="0"/>
          <w:lang w:val="en-US"/>
        </w:rPr>
        <w:t>‘</w:t>
      </w:r>
      <w:r>
        <w:rPr>
          <w:rFonts w:ascii="Helvetica" w:cs="Calibri" w:hAnsi="Helvetica" w:eastAsia="Calibri"/>
          <w:rtl w:val="0"/>
          <w:lang w:val="en-US"/>
        </w:rPr>
        <w:t>The judicious use of English helps learners reap the benefits of formative assessment</w:t>
      </w:r>
      <w:r>
        <w:rPr>
          <w:rFonts w:ascii="Helvetica" w:cs="Calibri" w:hAnsi="Helvetica" w:eastAsia="Calibri" w:hint="default"/>
          <w:rtl w:val="0"/>
          <w:lang w:val="en-US"/>
        </w:rPr>
        <w:t>’</w:t>
      </w:r>
      <w:r>
        <w:rPr>
          <w:rFonts w:ascii="Helvetica" w:cs="Calibri" w:hAnsi="Helvetica" w:eastAsia="Calibri"/>
          <w:rtl w:val="0"/>
          <w:lang w:val="en-US"/>
        </w:rPr>
        <w:t>. It can be concluded that tailoring the target language to suit the needs of learners is appropriate in order to ensure engagement. I switched to L1 for clarification of instructions. I believe this is an important behaviour management strategy in order to maintain the attention and focus of the class. Chambers (2013) highlights the impediments of overuse of the TL, Pachler and Field</w:t>
      </w:r>
      <w:r>
        <w:rPr>
          <w:rFonts w:ascii="Helvetica" w:cs="Calibri" w:hAnsi="Helvetica" w:eastAsia="Calibri" w:hint="default"/>
          <w:rtl w:val="0"/>
          <w:lang w:val="en-US"/>
        </w:rPr>
        <w:t>’</w:t>
      </w:r>
      <w:r>
        <w:rPr>
          <w:rFonts w:ascii="Helvetica" w:cs="Calibri" w:hAnsi="Helvetica" w:eastAsia="Calibri"/>
          <w:rtl w:val="0"/>
          <w:lang w:val="en-US"/>
        </w:rPr>
        <w:t>s (2001</w:t>
      </w:r>
      <w:r>
        <w:rPr>
          <w:rFonts w:ascii="Helvetica" w:cs="Calibri" w:hAnsi="Helvetica" w:eastAsia="Calibri"/>
          <w:rtl w:val="0"/>
          <w:lang w:val="en-US"/>
        </w:rPr>
        <w:t>, quoted in Chambers 2013, p.45</w:t>
      </w:r>
      <w:r>
        <w:rPr>
          <w:rFonts w:ascii="Helvetica" w:cs="Calibri" w:hAnsi="Helvetica" w:eastAsia="Calibri"/>
          <w:rtl w:val="0"/>
          <w:lang w:val="en-US"/>
        </w:rPr>
        <w:t>) suggested that some pupils, in the absence of L1 support, may even feel alienated from the learning process. Furthermore, Macaro (</w:t>
      </w:r>
      <w:r>
        <w:rPr>
          <w:rFonts w:ascii="Helvetica" w:cs="Calibri" w:hAnsi="Helvetica" w:eastAsia="Calibri"/>
          <w:rtl w:val="0"/>
          <w:lang w:val="en-US"/>
        </w:rPr>
        <w:t>2006, quoted in Chambers, 2013, p.45</w:t>
      </w:r>
      <w:r>
        <w:rPr>
          <w:rFonts w:ascii="Helvetica" w:cs="Calibri" w:hAnsi="Helvetica" w:eastAsia="Calibri"/>
          <w:rtl w:val="0"/>
          <w:lang w:val="en-US"/>
        </w:rPr>
        <w:t>) suggests that L1 use can reduce the burden on learners</w:t>
      </w:r>
      <w:r>
        <w:rPr>
          <w:rFonts w:ascii="Helvetica" w:cs="Calibri" w:hAnsi="Helvetica" w:eastAsia="Calibri" w:hint="default"/>
          <w:rtl w:val="0"/>
          <w:lang w:val="en-US"/>
        </w:rPr>
        <w:t xml:space="preserve">’ </w:t>
      </w:r>
      <w:r>
        <w:rPr>
          <w:rFonts w:ascii="Helvetica" w:cs="Calibri" w:hAnsi="Helvetica" w:eastAsia="Calibri"/>
          <w:rtl w:val="0"/>
          <w:lang w:val="en-US"/>
        </w:rPr>
        <w:t xml:space="preserve">memory and therefore make cognitive processing easier. </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Having discussed the benefits of using L1 in the classroom, it is important to consider the value of target language (L2) usage. I chose to give instructions in the L2 to ensure learners get exposure to the target language and to motivate them during activities. </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As previously mentioned, I wanted the micro teach to focus on fluency in speaking. In order to encourage fluency in speaking, dominance of the target language was essential. Kumaravadivelu (1994, quoted in Chambers, 2013, p. 45) states  that </w:t>
      </w:r>
      <w:r>
        <w:rPr>
          <w:rFonts w:ascii="Helvetica" w:cs="Calibri" w:hAnsi="Helvetica" w:eastAsia="Calibri" w:hint="default"/>
          <w:rtl w:val="0"/>
          <w:lang w:val="en-US"/>
        </w:rPr>
        <w:t>‘</w:t>
      </w:r>
      <w:r>
        <w:rPr>
          <w:rFonts w:ascii="Helvetica" w:cs="Calibri" w:hAnsi="Helvetica" w:eastAsia="Calibri"/>
          <w:rtl w:val="0"/>
          <w:lang w:val="en-US"/>
        </w:rPr>
        <w:t>whilst the teacher serves as the source of TL input, he or she must also provide pupils with meaningful opportunities to participate in communicative interaction</w:t>
      </w:r>
      <w:r>
        <w:rPr>
          <w:rFonts w:ascii="Helvetica" w:cs="Calibri" w:hAnsi="Helvetica" w:eastAsia="Calibri" w:hint="default"/>
          <w:rtl w:val="0"/>
          <w:lang w:val="en-US"/>
        </w:rPr>
        <w:t>’</w:t>
      </w:r>
      <w:r>
        <w:rPr>
          <w:rFonts w:ascii="Helvetica" w:cs="Calibri" w:hAnsi="Helvetica" w:eastAsia="Calibri"/>
          <w:rtl w:val="0"/>
          <w:lang w:val="en-US"/>
        </w:rPr>
        <w:t xml:space="preserve">. Macaro (2001, quoted in Chambers, 2013, p. 45) adds that </w:t>
      </w:r>
      <w:r>
        <w:rPr>
          <w:rFonts w:ascii="Helvetica" w:cs="Calibri" w:hAnsi="Helvetica" w:eastAsia="Calibri" w:hint="default"/>
          <w:rtl w:val="0"/>
          <w:lang w:val="en-US"/>
        </w:rPr>
        <w:t>‘</w:t>
      </w:r>
      <w:r>
        <w:rPr>
          <w:rFonts w:ascii="Helvetica" w:cs="Calibri" w:hAnsi="Helvetica" w:eastAsia="Calibri"/>
          <w:rtl w:val="0"/>
          <w:lang w:val="en-US"/>
        </w:rPr>
        <w:t>the over-arching pedagogical tool should be learners</w:t>
      </w:r>
      <w:r>
        <w:rPr>
          <w:rFonts w:ascii="Helvetica" w:cs="Calibri" w:hAnsi="Helvetica" w:eastAsia="Calibri" w:hint="default"/>
          <w:rtl w:val="0"/>
          <w:lang w:val="en-US"/>
        </w:rPr>
        <w:t xml:space="preserve">’ </w:t>
      </w:r>
      <w:r>
        <w:rPr>
          <w:rFonts w:ascii="Helvetica" w:cs="Calibri" w:hAnsi="Helvetica" w:eastAsia="Calibri"/>
          <w:rtl w:val="0"/>
          <w:lang w:val="en-US"/>
        </w:rPr>
        <w:t>use of the TL, not teacher use of the TL</w:t>
      </w:r>
      <w:r>
        <w:rPr>
          <w:rFonts w:ascii="Helvetica" w:cs="Calibri" w:hAnsi="Helvetica" w:eastAsia="Calibri" w:hint="default"/>
          <w:rtl w:val="0"/>
          <w:lang w:val="en-US"/>
        </w:rPr>
        <w:t>’</w:t>
      </w:r>
      <w:r>
        <w:rPr>
          <w:rFonts w:ascii="Helvetica" w:cs="Calibri" w:hAnsi="Helvetica" w:eastAsia="Calibri"/>
          <w:rtl w:val="0"/>
          <w:lang w:val="en-US"/>
        </w:rPr>
        <w:t xml:space="preserve">. This contrasts with the behaviourist theories of teaching languages, where focus was on rules instead of use, offering fewer opportunities for authentic communication (Macaro and Swarbrick, 2014). I wanted to create a lesson which would give students the opportunity to practise communication which would extend beyond the classroom (Macaro &amp; Swarbrick, 2014). By facilitating a role play based on an authentic Spanish menu during the micro teach, the lesson was contextualised and gave the learners a purpose and a better understanding of the usefulness of the L2. Furthermore, target language usage in the classroom provides an opportunity for the learners to experience the language in contexts that are not easily accessible (Chambers, 2013). </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Due to the practical nature of using a language, cultural awareness is an essential part of modern foreign language learning. Throughout the scheme of work, there are opportunities for students to discover the target language (L2) culture. Education for Sustainable Development and Global Citizenship (ESDGC) is a theme within the revised curriculum for Wales which aims to deliver lessons that prepare students for today</w:t>
      </w:r>
      <w:r>
        <w:rPr>
          <w:rFonts w:ascii="Helvetica" w:cs="Calibri" w:hAnsi="Helvetica" w:eastAsia="Calibri" w:hint="default"/>
          <w:rtl w:val="0"/>
          <w:lang w:val="en-US"/>
        </w:rPr>
        <w:t>’</w:t>
      </w:r>
      <w:r>
        <w:rPr>
          <w:rFonts w:ascii="Helvetica" w:cs="Calibri" w:hAnsi="Helvetica" w:eastAsia="Calibri"/>
          <w:rtl w:val="0"/>
          <w:lang w:val="en-US"/>
        </w:rPr>
        <w:t>s society and establish their role as global citizens. It is important for students to see the bigger picture, to become global citizens rather than ones of their locality. Modern foreign language teachers have a privileged role in implementing ESDGC as the students can experience the culture of the TL as well as the language itself. The scheme of work gives students many opportunities to compare Spanish traditions with their own. In support of this theory, Reynolds (2018) explores Vygotsky</w:t>
      </w:r>
      <w:r>
        <w:rPr>
          <w:rFonts w:ascii="Helvetica" w:cs="Calibri" w:hAnsi="Helvetica" w:eastAsia="Calibri" w:hint="default"/>
          <w:rtl w:val="0"/>
          <w:lang w:val="en-US"/>
        </w:rPr>
        <w:t>’</w:t>
      </w:r>
      <w:r>
        <w:rPr>
          <w:rFonts w:ascii="Helvetica" w:cs="Calibri" w:hAnsi="Helvetica" w:eastAsia="Calibri"/>
          <w:rtl w:val="0"/>
          <w:lang w:val="en-US"/>
        </w:rPr>
        <w:t xml:space="preserve">s idea that </w:t>
      </w:r>
      <w:r>
        <w:rPr>
          <w:rFonts w:ascii="Helvetica" w:cs="Calibri" w:hAnsi="Helvetica" w:eastAsia="Calibri" w:hint="default"/>
          <w:rtl w:val="0"/>
          <w:lang w:val="en-US"/>
        </w:rPr>
        <w:t>‘</w:t>
      </w:r>
      <w:r>
        <w:rPr>
          <w:rFonts w:ascii="Helvetica" w:cs="Calibri" w:hAnsi="Helvetica" w:eastAsia="Calibri"/>
          <w:rtl w:val="0"/>
          <w:lang w:val="en-US"/>
        </w:rPr>
        <w:t>Knowledge, is embodied in actions and interactions with the environment (or culture) and stresses the importance of interaction with a living representative of the culture.</w:t>
      </w:r>
      <w:r>
        <w:rPr>
          <w:rFonts w:ascii="Helvetica" w:cs="Calibri" w:hAnsi="Helvetica" w:eastAsia="Calibri" w:hint="default"/>
          <w:rtl w:val="0"/>
          <w:lang w:val="en-US"/>
        </w:rPr>
        <w:t>’</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In addition to ESDGC,Y Curriculum Cymreig (YCC) is another aspect of the revised Curriculum in Wales which aims to encourage knowledge of Welsh culture and language. All teachers should try to include this in their lessons (Donaldson, 2015). The scheme of work provides opportunities to consider differences between Welsh and Spanish culture. The idea is that learners celebrate the culture, languages and traditions of Wales while respecting those of other cultures.</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In addition, in the aim of preparing students to be fully immersed in todays society, Successful Futures demands that Digital Competency Framework should be a focus for all teachers (Donaldson, 2015). In light of this new curriculum, the </w:t>
      </w:r>
      <w:r>
        <w:rPr>
          <w:rFonts w:ascii="Helvetica" w:cs="Calibri" w:hAnsi="Helvetica" w:eastAsia="Calibri"/>
          <w:rtl w:val="0"/>
          <w:lang w:val="en-US"/>
        </w:rPr>
        <w:t>SOW</w:t>
      </w:r>
      <w:r>
        <w:rPr>
          <w:rFonts w:ascii="Helvetica" w:cs="Calibri" w:hAnsi="Helvetica" w:eastAsia="Calibri"/>
          <w:rtl w:val="0"/>
          <w:lang w:val="en-US"/>
        </w:rPr>
        <w:t xml:space="preserve"> offers many opportunities for students to use digital skills through research and develop their </w:t>
      </w:r>
      <w:r>
        <w:rPr>
          <w:rFonts w:ascii="Helvetica" w:cs="Calibri" w:hAnsi="Helvetica" w:eastAsia="Calibri"/>
          <w:rtl w:val="0"/>
          <w:lang w:val="en-US"/>
        </w:rPr>
        <w:t>public speaking through presentations and inspiring confidence in technology as a tool for languages.</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After using a selection of literature and reflective practise, I came to the conclusion that appropriate differentiation is the key to making the scheme of work, teaching sessions and resources accessible. In my micro teach, differentiation allowed me to target all levels of ability, enabling all learners to make progress in the target language. In addition to differentiation, AFL helps the teacher and learner know where they are heading in the lesson and allows them to evaluate progress. The importance of using the target language is important to establish an authentic and immersive atmosphere but must be tailored so all students can access the lesson, again through differentiation. </w:t>
      </w: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u w:val="single"/>
        </w:rPr>
      </w:pPr>
      <w:r>
        <w:rPr>
          <w:rFonts w:ascii="Helvetica" w:cs="Calibri" w:hAnsi="Helvetica" w:eastAsia="Calibri"/>
          <w:u w:val="single"/>
          <w:rtl w:val="0"/>
          <w:lang w:val="en-US"/>
        </w:rPr>
        <w:t xml:space="preserve">Reference list </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Alison, P and Tharby, A (2015)</w:t>
      </w:r>
      <w:r>
        <w:rPr>
          <w:rFonts w:ascii="Helvetica" w:cs="Calibri" w:hAnsi="Helvetica" w:eastAsia="Calibri"/>
          <w:i w:val="1"/>
          <w:iCs w:val="1"/>
          <w:rtl w:val="0"/>
          <w:lang w:val="en-US"/>
        </w:rPr>
        <w:t xml:space="preserve"> Making Every Lesson Count: Six principles to support great teaching and learning </w:t>
      </w:r>
      <w:r>
        <w:rPr>
          <w:rFonts w:ascii="Helvetica" w:cs="Calibri" w:hAnsi="Helvetica" w:eastAsia="Calibri"/>
          <w:rtl w:val="0"/>
          <w:lang w:val="en-US"/>
        </w:rPr>
        <w:t>Carmarthen Crown House Publishing Ltd.</w:t>
      </w: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Smith, S and Conti, G (2016) </w:t>
      </w:r>
      <w:r>
        <w:rPr>
          <w:rFonts w:ascii="Helvetica" w:cs="Calibri" w:hAnsi="Helvetica" w:eastAsia="Calibri"/>
          <w:i w:val="1"/>
          <w:iCs w:val="1"/>
          <w:rtl w:val="0"/>
          <w:lang w:val="en-US"/>
        </w:rPr>
        <w:t>The Language Teacher Toolkit</w:t>
      </w:r>
      <w:r>
        <w:rPr>
          <w:rFonts w:ascii="Helvetica" w:cs="Calibri" w:hAnsi="Helvetica" w:eastAsia="Calibri"/>
          <w:rtl w:val="0"/>
          <w:lang w:val="en-US"/>
        </w:rPr>
        <w:t xml:space="preserve"> Britain CreateSpace Independent Publishing Platform</w:t>
      </w: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rPr>
          <w:i w:val="1"/>
          <w:iCs w:val="1"/>
        </w:rPr>
      </w:pPr>
      <w:r>
        <w:rPr>
          <w:i w:val="1"/>
          <w:iCs w:val="1"/>
          <w:rtl w:val="0"/>
          <w:lang w:val="en-US"/>
        </w:rPr>
        <w:t xml:space="preserve">Pritchard, A (2005) Learning theories and learning styles in the classroom </w:t>
      </w:r>
      <w:r>
        <w:rPr>
          <w:rtl w:val="0"/>
        </w:rPr>
        <w:t xml:space="preserve">London </w:t>
      </w:r>
      <w:r>
        <w:rPr>
          <w:i w:val="1"/>
          <w:iCs w:val="1"/>
          <w:rtl w:val="0"/>
          <w:lang w:val="en-US"/>
        </w:rPr>
        <w:t>David Fulton Publishers The Chiswick Centre</w:t>
      </w:r>
    </w:p>
    <w:p>
      <w:pPr>
        <w:pStyle w:val="Body A"/>
        <w:rPr>
          <w:i w:val="1"/>
          <w:iCs w:val="1"/>
        </w:rPr>
      </w:pPr>
    </w:p>
    <w:p>
      <w:pPr>
        <w:pStyle w:val="Body A"/>
      </w:pPr>
      <w:r>
        <w:rPr>
          <w:rtl w:val="0"/>
        </w:rPr>
        <w:t>Dweck, C (2006)</w:t>
      </w:r>
      <w:r>
        <w:rPr>
          <w:i w:val="1"/>
          <w:iCs w:val="1"/>
          <w:rtl w:val="0"/>
          <w:lang w:val="en-US"/>
        </w:rPr>
        <w:t xml:space="preserve"> Mindset: Changing the way you think to fulfil your potential</w:t>
      </w:r>
      <w:r>
        <w:rPr>
          <w:rtl w:val="0"/>
        </w:rPr>
        <w:t xml:space="preserve"> New York The Random House Publishing group</w:t>
      </w:r>
    </w:p>
    <w:p>
      <w:pPr>
        <w:pStyle w:val="Body A"/>
      </w:pP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Wiliam, D and Black, P (1998) Inside the black box The Chiswick Centre London GL Assessment </w:t>
      </w: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 xml:space="preserve">Chambers, G (2013) </w:t>
      </w:r>
      <w:r>
        <w:rPr>
          <w:rFonts w:ascii="Helvetica" w:cs="Calibri" w:hAnsi="Helvetica" w:eastAsia="Calibri" w:hint="default"/>
          <w:rtl w:val="0"/>
          <w:lang w:val="en-US"/>
        </w:rPr>
        <w:t>‘</w:t>
      </w:r>
      <w:r>
        <w:rPr>
          <w:rFonts w:ascii="Helvetica" w:cs="Calibri" w:hAnsi="Helvetica" w:eastAsia="Calibri"/>
          <w:rtl w:val="0"/>
          <w:lang w:val="en-US"/>
        </w:rPr>
        <w:t>The target language revisited</w:t>
      </w:r>
      <w:r>
        <w:rPr>
          <w:rFonts w:ascii="Helvetica" w:cs="Calibri" w:hAnsi="Helvetica" w:eastAsia="Calibri" w:hint="default"/>
          <w:rtl w:val="0"/>
          <w:lang w:val="en-US"/>
        </w:rPr>
        <w:t xml:space="preserve">’ </w:t>
      </w:r>
      <w:r>
        <w:rPr>
          <w:rFonts w:ascii="Helvetica" w:cs="Calibri" w:hAnsi="Helvetica" w:eastAsia="Calibri"/>
          <w:i w:val="1"/>
          <w:iCs w:val="1"/>
          <w:rtl w:val="0"/>
          <w:lang w:val="en-US"/>
        </w:rPr>
        <w:t>Teaching and Teacher Education</w:t>
      </w:r>
      <w:r>
        <w:rPr>
          <w:rFonts w:ascii="Helvetica" w:cs="Calibri" w:hAnsi="Helvetica" w:eastAsia="Calibri"/>
          <w:rtl w:val="0"/>
          <w:lang w:val="en-US"/>
        </w:rPr>
        <w:t xml:space="preserve"> 36 pp. 44 46 (access date) 10/07/13</w:t>
      </w: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pPr>
      <w:r>
        <w:rPr>
          <w:rtl w:val="0"/>
        </w:rPr>
        <w:t>Macaro, E and Swarbrick, A (2014)</w:t>
      </w:r>
      <w:r>
        <w:rPr>
          <w:i w:val="1"/>
          <w:iCs w:val="1"/>
          <w:rtl w:val="0"/>
          <w:lang w:val="en-US"/>
        </w:rPr>
        <w:t xml:space="preserve"> Debates in Modern Languages Education</w:t>
      </w:r>
      <w:r>
        <w:rPr>
          <w:rtl w:val="0"/>
        </w:rPr>
        <w:t xml:space="preserve"> London Routledge</w:t>
      </w:r>
    </w:p>
    <w:p>
      <w:pPr>
        <w:pStyle w:val="Body A"/>
      </w:pP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Helvetica" w:cs="Helvetica" w:hAnsi="Helvetica" w:eastAsia="Helvetica"/>
        </w:rPr>
      </w:pPr>
      <w:r>
        <w:rPr>
          <w:rFonts w:ascii="Helvetica" w:cs="Calibri" w:hAnsi="Helvetica" w:eastAsia="Calibri"/>
          <w:rtl w:val="0"/>
          <w:lang w:val="en-US"/>
        </w:rPr>
        <w:t>Mujis, D  and Reynolds, D (2018)</w:t>
      </w:r>
      <w:r>
        <w:rPr>
          <w:rFonts w:ascii="Helvetica" w:cs="Calibri" w:hAnsi="Helvetica" w:eastAsia="Calibri"/>
          <w:i w:val="1"/>
          <w:iCs w:val="1"/>
          <w:rtl w:val="0"/>
          <w:lang w:val="en-US"/>
        </w:rPr>
        <w:t xml:space="preserve"> Effective Teaching: Evidence and practise </w:t>
      </w:r>
      <w:r>
        <w:rPr>
          <w:rFonts w:ascii="Helvetica" w:cs="Calibri" w:hAnsi="Helvetica" w:eastAsia="Calibri"/>
          <w:rtl w:val="0"/>
          <w:lang w:val="en-US"/>
        </w:rPr>
        <w:t>London Sage Publications Ltd.</w:t>
      </w:r>
    </w:p>
    <w:p>
      <w:pPr>
        <w:pStyle w:val="Body A"/>
        <w:tabs>
          <w:tab w:val="left" w:pos="1440"/>
          <w:tab w:val="left" w:pos="2880"/>
          <w:tab w:val="left" w:pos="4320"/>
          <w:tab w:val="left" w:pos="5760"/>
          <w:tab w:val="left" w:pos="7200"/>
          <w:tab w:val="left" w:pos="8640"/>
        </w:tabs>
        <w:suppressAutoHyphens w:val="1"/>
        <w:spacing w:before="154" w:line="288" w:lineRule="auto"/>
        <w:outlineLvl w:val="0"/>
      </w:pPr>
    </w:p>
    <w:p>
      <w:pPr>
        <w:pStyle w:val="Body A"/>
        <w:tabs>
          <w:tab w:val="left" w:pos="1440"/>
          <w:tab w:val="left" w:pos="2880"/>
          <w:tab w:val="left" w:pos="4320"/>
          <w:tab w:val="left" w:pos="5760"/>
          <w:tab w:val="left" w:pos="7200"/>
          <w:tab w:val="left" w:pos="8640"/>
        </w:tabs>
        <w:suppressAutoHyphens w:val="1"/>
        <w:spacing w:before="154" w:line="288" w:lineRule="auto"/>
        <w:outlineLvl w:val="0"/>
        <w:rPr>
          <w:rFonts w:ascii="Calibri" w:cs="Calibri" w:hAnsi="Calibri" w:eastAsia="Calibri"/>
        </w:rPr>
      </w:pPr>
      <w:r>
        <w:rPr>
          <w:rFonts w:ascii="Helvetica" w:cs="Calibri" w:hAnsi="Helvetica" w:eastAsia="Calibri"/>
          <w:rtl w:val="0"/>
          <w:lang w:val="en-US"/>
        </w:rPr>
        <w:t xml:space="preserve">Donaldson, G 2015 </w:t>
      </w:r>
      <w:r>
        <w:rPr>
          <w:rFonts w:ascii="Helvetica" w:cs="Calibri" w:hAnsi="Helvetica" w:eastAsia="Calibri" w:hint="default"/>
          <w:rtl w:val="0"/>
          <w:lang w:val="en-US"/>
        </w:rPr>
        <w:t>‘</w:t>
      </w:r>
      <w:r>
        <w:rPr>
          <w:rFonts w:ascii="Helvetica" w:cs="Calibri" w:hAnsi="Helvetica" w:eastAsia="Calibri"/>
          <w:rtl w:val="0"/>
          <w:lang w:val="en-US"/>
        </w:rPr>
        <w:t>Successful futures</w:t>
      </w:r>
      <w:r>
        <w:rPr>
          <w:rFonts w:ascii="Helvetica" w:cs="Calibri" w:hAnsi="Helvetica" w:eastAsia="Calibri" w:hint="default"/>
          <w:rtl w:val="0"/>
          <w:lang w:val="en-US"/>
        </w:rPr>
        <w:t xml:space="preserve">’ </w:t>
      </w:r>
      <w:r>
        <w:rPr>
          <w:rFonts w:ascii="Helvetica" w:cs="Calibri" w:hAnsi="Helvetica" w:eastAsia="Calibri"/>
          <w:i w:val="1"/>
          <w:iCs w:val="1"/>
          <w:rtl w:val="0"/>
          <w:lang w:val="en-US"/>
        </w:rPr>
        <w:t>Independent Review of Curriculum and Assessment Arrangements in Wales pp.1-24</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rPr>
          <w:rtl w:val="0"/>
        </w:rPr>
        <w:t xml:space="preserve">Part </w:t>
      </w:r>
      <w:r>
        <w:rPr>
          <w:rtl w:val="0"/>
        </w:rPr>
        <w:t>(ii)</w:t>
      </w:r>
    </w:p>
    <w:p>
      <w:pPr>
        <w:pStyle w:val="Body A"/>
      </w:pPr>
    </w:p>
    <w:p>
      <w:pPr>
        <w:pStyle w:val="Body A"/>
      </w:pPr>
      <w:r>
        <w:rPr>
          <w:rtl w:val="0"/>
        </w:rPr>
        <w:t>Reflection has been a vital part of my school experience, allowing me to reflect on my own practice as well as troubleshooting problems in order to maximise learning. In not just reflecting on my own practice but also observing others I was able to make improvements and begin to understand the nuances of the school, such as rules for transition, and behaviour management strategies in place in the school. In addition to my school based practise, reflection has allowed me to review my micro teach in a different light. This essay will document my reflective journey in my school based experience. It will also prove how reflection has both supported my practice in my micro teach and also highlighted room for improvement.</w:t>
      </w:r>
    </w:p>
    <w:p>
      <w:pPr>
        <w:pStyle w:val="Body A"/>
      </w:pPr>
    </w:p>
    <w:p>
      <w:pPr>
        <w:pStyle w:val="Body A"/>
      </w:pPr>
      <w:r>
        <w:rPr>
          <w:rtl w:val="0"/>
        </w:rPr>
        <w:t xml:space="preserve">During my professional teaching experience I have gained an understanding of the effectiveness of assessment for learning techniques. They ensure the pupils know where they are heading in the lesson and enable them to evaluate their own progress. At the start of my micro teach lesson, I outlined three differentiated lesson objectives e.g. some </w:t>
      </w:r>
      <w:r>
        <w:rPr>
          <w:rtl w:val="0"/>
        </w:rPr>
        <w:t>‘</w:t>
      </w:r>
      <w:r>
        <w:rPr>
          <w:rtl w:val="0"/>
        </w:rPr>
        <w:t xml:space="preserve">will, some could and some might; this took pressure off the students. In my current school, the pupils benefit from clear and concise objectives. They are graded in difficulty and the pupils choose the objective that they aim to hit by the end of the lesson. This allows them to regulate their own learning and meets each learners need. One QTS standard requests that trainees demonstrate that they teach clearly structured lessons or sequences of work which interest and motivate learners and which: </w:t>
      </w:r>
    </w:p>
    <w:p>
      <w:pPr>
        <w:pStyle w:val="Body A"/>
      </w:pPr>
      <w:r>
        <w:rPr>
          <w:rtl w:val="0"/>
        </w:rPr>
        <w:t xml:space="preserve"> </w:t>
      </w:r>
    </w:p>
    <w:p>
      <w:pPr>
        <w:pStyle w:val="Body A"/>
      </w:pPr>
      <w:r>
        <w:rPr>
          <w:rtl w:val="0"/>
        </w:rPr>
        <w:t xml:space="preserve">a. make learning objectives clear to learners;  </w:t>
      </w:r>
    </w:p>
    <w:p>
      <w:pPr>
        <w:pStyle w:val="Body A"/>
      </w:pPr>
      <w:r>
        <w:rPr>
          <w:rtl w:val="0"/>
        </w:rPr>
        <w:t xml:space="preserve">b. employ interactive teaching methods and collaborative group work; and  </w:t>
      </w:r>
    </w:p>
    <w:p>
      <w:pPr>
        <w:pStyle w:val="Body A"/>
      </w:pPr>
      <w:r>
        <w:rPr>
          <w:rtl w:val="0"/>
        </w:rPr>
        <w:t>c. promote active and independent learning that enables learners to think for themselves, and to plan and manage their own learning.</w:t>
      </w:r>
    </w:p>
    <w:p>
      <w:pPr>
        <w:pStyle w:val="Body A"/>
      </w:pPr>
    </w:p>
    <w:p>
      <w:pPr>
        <w:pStyle w:val="Body A"/>
      </w:pPr>
      <w:r>
        <w:rPr>
          <w:rtl w:val="0"/>
        </w:rPr>
        <w:t xml:space="preserve">It is important to make it explicit to students where they started at the beginning of the class and what they have achieved in the end. Looking back on my micro teach, I would have introduced the objectives in this way, encouraging students to be independent. </w:t>
      </w:r>
    </w:p>
    <w:p>
      <w:pPr>
        <w:pStyle w:val="Body A"/>
      </w:pPr>
    </w:p>
    <w:p>
      <w:pPr>
        <w:pStyle w:val="Body A"/>
      </w:pPr>
      <w:r>
        <w:rPr>
          <w:rtl w:val="0"/>
        </w:rPr>
        <w:t xml:space="preserve">Another AFL technique is the use of a plenary to </w:t>
      </w:r>
      <w:r>
        <w:rPr>
          <w:rtl w:val="0"/>
        </w:rPr>
        <w:t xml:space="preserve">conclude </w:t>
      </w:r>
      <w:r>
        <w:rPr>
          <w:rtl w:val="0"/>
        </w:rPr>
        <w:t>the lesson. I have observed that plenaries give the teacher a real idea of where the students are at in terms of the lesson objectives and indicate what needs to be covered again in future. If I were to reteach my lesson, I would refine the execution of the plenary, linking it back to the lesson objectives and emphasising the progression made. I have observed many speaking classes where teachers ask for students to demonstrate examples of their work, getting others in the class to assess whether they have hit the target they set out to achieve. I would adapt the plenary in this way as it would give me understanding of what the students know but also encourage the learners to reflect on their own achievement.</w:t>
      </w:r>
    </w:p>
    <w:p>
      <w:pPr>
        <w:pStyle w:val="Body A"/>
      </w:pPr>
    </w:p>
    <w:p>
      <w:pPr>
        <w:pStyle w:val="Body A"/>
      </w:pPr>
      <w:r>
        <w:rPr>
          <w:rtl w:val="0"/>
        </w:rPr>
        <w:t>One target that came out of my micro teach lesson was to develop strategies to assess the pupils</w:t>
      </w:r>
      <w:r>
        <w:rPr>
          <w:rtl w:val="0"/>
        </w:rPr>
        <w:t>’</w:t>
      </w:r>
      <w:r>
        <w:rPr>
          <w:rtl w:val="0"/>
        </w:rPr>
        <w:t xml:space="preserve"> learning. To gain QTS, trainees must demonstrate that they monitor and assess as they teach, giving immediate and constructive feedback to support learners as they progress. They must involve learners in reflecting on, evaluating and improving their own performance. My experience in school has highlighted the importance of peer and self assessment, using </w:t>
      </w:r>
      <w:r>
        <w:rPr>
          <w:rtl w:val="0"/>
        </w:rPr>
        <w:t>‘</w:t>
      </w:r>
      <w:r>
        <w:rPr>
          <w:rtl w:val="0"/>
        </w:rPr>
        <w:t>what went well</w:t>
      </w:r>
      <w:r>
        <w:rPr>
          <w:rtl w:val="0"/>
        </w:rPr>
        <w:t xml:space="preserve">’ </w:t>
      </w:r>
      <w:r>
        <w:rPr>
          <w:rtl w:val="0"/>
        </w:rPr>
        <w:t xml:space="preserve">(www) and </w:t>
      </w:r>
      <w:r>
        <w:rPr>
          <w:rtl w:val="0"/>
        </w:rPr>
        <w:t>‘</w:t>
      </w:r>
      <w:r>
        <w:rPr>
          <w:rtl w:val="0"/>
        </w:rPr>
        <w:t>even better if</w:t>
      </w:r>
      <w:r>
        <w:rPr>
          <w:rtl w:val="0"/>
        </w:rPr>
        <w:t xml:space="preserve">’ </w:t>
      </w:r>
      <w:r>
        <w:rPr>
          <w:rtl w:val="0"/>
        </w:rPr>
        <w:t>(EBI) tasks at the end of activities. This helps pupils reflect on what they have produced during the lesson and set future targets. With regards to this, in my micro teach, I would have given the pupils a marking criteria based on pronunciation, accuracy, body language, intonation etc so they could assess each others performances in a peer assessment.</w:t>
      </w:r>
    </w:p>
    <w:p>
      <w:pPr>
        <w:pStyle w:val="Body A"/>
      </w:pPr>
    </w:p>
    <w:p>
      <w:pPr>
        <w:pStyle w:val="Body A"/>
      </w:pPr>
      <w:r>
        <w:rPr>
          <w:rtl w:val="0"/>
        </w:rPr>
        <w:t xml:space="preserve">As evaluated in part one, my micro teach lesson was designed to increase authentic communication and develop fluency rather than accuracy; therefore, I acted as a facilitator of the leaning, giving student opportunities to be independent and improvise. Given that the students in my micro teach were modern foreign language peers, they had the knowledge to improvise. Even though this constructivist approach was effective for those particular students, I have observed that KS3 pupils benefit from a behaviourist approach where a model is provided and reward is given for accuracy. The students seem to benefit from a definite structure and support. I observed a KS3 role play lesson where the students were given a scenario and verbal cues in English e.g. </w:t>
      </w:r>
      <w:r>
        <w:rPr>
          <w:rtl w:val="0"/>
        </w:rPr>
        <w:t>‘</w:t>
      </w:r>
      <w:r>
        <w:rPr>
          <w:rtl w:val="0"/>
        </w:rPr>
        <w:t>greet your partner by saying hello</w:t>
      </w:r>
      <w:r>
        <w:rPr>
          <w:rtl w:val="0"/>
        </w:rPr>
        <w:t>’</w:t>
      </w:r>
      <w:r>
        <w:rPr>
          <w:rtl w:val="0"/>
        </w:rPr>
        <w:t xml:space="preserve">. The students had time to prepare a script but the teacher accounted for more able and talented students by giving an extension; to improvise to achieve a higher oracy level. This further emphasised the importance of differentiation, in order to ensure all learners could access the lesson. Furthermore, in a real scenario with year 9, the pupils would benefit from scaffolded worksheets in order to avoid distraction. One QTS standard states that trainees must demonstrate that they differentiate their teaching to meet the needs of learners, including the more able and talented, and those with special educational needs. Taking this into consideration, I would provide sentence starters for special educational needs and provide a challenge task for more able and talented. </w:t>
      </w:r>
    </w:p>
    <w:p>
      <w:pPr>
        <w:pStyle w:val="Body A"/>
      </w:pPr>
    </w:p>
    <w:p>
      <w:pPr>
        <w:pStyle w:val="Body A"/>
      </w:pPr>
      <w:r>
        <w:rPr>
          <w:rtl w:val="0"/>
          <w:lang w:val="en-US"/>
        </w:rPr>
        <w:t>One of the QTS standards states that trainees must demonstrate that they set high expectations for learners</w:t>
      </w:r>
      <w:r>
        <w:rPr>
          <w:rtl w:val="0"/>
          <w:lang w:val="fr-FR"/>
        </w:rPr>
        <w:t xml:space="preserve">’ </w:t>
      </w:r>
      <w:r>
        <w:rPr>
          <w:rtl w:val="0"/>
          <w:lang w:val="en-US"/>
        </w:rPr>
        <w:t>behaviour and establish a clear framework for classroom discipline to anticipate and manage learners</w:t>
      </w:r>
      <w:r>
        <w:rPr>
          <w:rtl w:val="0"/>
          <w:lang w:val="fr-FR"/>
        </w:rPr>
        <w:t xml:space="preserve">’ </w:t>
      </w:r>
      <w:r>
        <w:rPr>
          <w:rtl w:val="0"/>
          <w:lang w:val="en-US"/>
        </w:rPr>
        <w:t>behaviour constructively, and promote self-control and independence.</w:t>
      </w:r>
    </w:p>
    <w:p>
      <w:pPr>
        <w:pStyle w:val="Body A"/>
      </w:pPr>
    </w:p>
    <w:p>
      <w:pPr>
        <w:pStyle w:val="Body A"/>
      </w:pPr>
      <w:r>
        <w:rPr>
          <w:rtl w:val="0"/>
        </w:rPr>
        <w:t xml:space="preserve">In the micro teach, I greeted the students in the target language and waited until they settled to introduce the topic. After observing school routines when entering the classroom, I have realised that having a strict routine at the beginning of the lesson is essential for making up time and establishing focus. I would now approach the micro teach differently, using a countdown to grab the students attention, instructing them to write down the objectives and to start the starter immediately. This ensures that the students are focused and ready to learn. </w:t>
      </w:r>
    </w:p>
    <w:p>
      <w:pPr>
        <w:pStyle w:val="Body A"/>
      </w:pPr>
    </w:p>
    <w:p>
      <w:pPr>
        <w:pStyle w:val="Body A"/>
      </w:pPr>
      <w:r>
        <w:rPr>
          <w:rtl w:val="0"/>
          <w:lang w:val="en-US"/>
        </w:rPr>
        <w:t xml:space="preserve">The starter must be accessible to all learners in order for students to have a positive start to the lesson. In the micro teach, the starter asked students to write down as many words as they could to describe a picture. In my current school, due to behavioural issues and ability, many pupils need support to keep them on task. I would adapt this starter by differentiating the task. I would put some key vocabulary on the screen which describes the picture for all students to translate. I would then provide an extension task for higher attaining pupils, for example, </w:t>
      </w:r>
      <w:r>
        <w:rPr>
          <w:rtl w:val="0"/>
          <w:lang w:val="en-US"/>
        </w:rPr>
        <w:t>‘</w:t>
      </w:r>
      <w:r>
        <w:rPr>
          <w:rtl w:val="0"/>
          <w:lang w:val="en-US"/>
        </w:rPr>
        <w:t>can you add any more words to describe the picture?</w:t>
      </w:r>
      <w:r>
        <w:rPr>
          <w:rtl w:val="0"/>
          <w:lang w:val="fr-FR"/>
        </w:rPr>
        <w:t xml:space="preserve">’ </w:t>
      </w:r>
      <w:r>
        <w:rPr>
          <w:rtl w:val="0"/>
          <w:lang w:val="en-US"/>
        </w:rPr>
        <w:t>ensuring all students could access the task and begin the lesson with confidence.</w:t>
      </w:r>
    </w:p>
    <w:p>
      <w:pPr>
        <w:pStyle w:val="Body A"/>
      </w:pPr>
    </w:p>
    <w:p>
      <w:pPr>
        <w:pStyle w:val="Body A"/>
      </w:pPr>
      <w:r>
        <w:rPr>
          <w:rtl w:val="0"/>
        </w:rPr>
        <w:t>Moreover, as the micro teach was mostly student-centred, I would have to have strict strategies in place in order to avoid loss of concentration or distraction. This would be particularly important  with a lower set class with behavioural issues. Conducting a role play would be impossible unless I had strict behaviour management strategies in place. To avoid students moving off task, I would set a clear time limit for the role play and warn the students that I want to hear examples given to the whole class at the end. Also, in my current school, I would remind students of the school expectations and offer achievement points to those students who are most engaged. This helps encourage trickier students to follow suit.</w:t>
      </w:r>
    </w:p>
    <w:p>
      <w:pPr>
        <w:pStyle w:val="Body A"/>
      </w:pPr>
    </w:p>
    <w:p>
      <w:pPr>
        <w:pStyle w:val="Body A"/>
      </w:pPr>
      <w:r>
        <w:rPr>
          <w:rtl w:val="0"/>
        </w:rPr>
        <w:t>Furthermore, in order to stay on top of behaviour, timings have to be tight. During my first few lessons in school, I didn't take into consideration time allowance for admin. I quickly realised that transitions have to be smooth throughout the lesson as otherwise, dead time occurs and students start fussing. Strategies have to be in place such as using volunteers to hand out worksheets and allowing time for sticking in worksheets. To gain QTS, trainees must demonstrate that they organise and manage teaching and learning time effectively. This is something I was more relaxed with during the micro teach, giving students rough timings. I now know that timings have to be tight in order to ensure you conclude the lesson and revisit the lesson objectives.</w:t>
      </w:r>
    </w:p>
    <w:p>
      <w:pPr>
        <w:pStyle w:val="Body A"/>
      </w:pPr>
    </w:p>
    <w:p>
      <w:pPr>
        <w:pStyle w:val="Body A"/>
      </w:pPr>
      <w:r>
        <w:rPr>
          <w:rtl w:val="0"/>
        </w:rPr>
        <w:t>I</w:t>
      </w:r>
      <w:r>
        <w:rPr>
          <w:rtl w:val="0"/>
        </w:rPr>
        <w:t>n my</w:t>
      </w:r>
      <w:r>
        <w:rPr>
          <w:rtl w:val="0"/>
        </w:rPr>
        <w:t xml:space="preserve"> experience</w:t>
      </w:r>
      <w:r>
        <w:rPr>
          <w:rtl w:val="0"/>
        </w:rPr>
        <w:t>, I noted</w:t>
      </w:r>
      <w:r>
        <w:rPr>
          <w:rtl w:val="0"/>
        </w:rPr>
        <w:t xml:space="preserve"> that behaviour can be controlled by using contemporary images, contexts and videos that the students can relate to. I recently taught a lesson on family and used The Simpsons family tree to elicit vocabulary. This made a profound difference to the pupil</w:t>
      </w:r>
      <w:r>
        <w:rPr>
          <w:rtl w:val="0"/>
        </w:rPr>
        <w:t>’</w:t>
      </w:r>
      <w:r>
        <w:rPr>
          <w:rtl w:val="0"/>
        </w:rPr>
        <w:t>s engagement during the lesson. In my micro teach I used an authentic McDonald</w:t>
      </w:r>
      <w:r>
        <w:rPr>
          <w:rtl w:val="0"/>
        </w:rPr>
        <w:t>’</w:t>
      </w:r>
      <w:r>
        <w:rPr>
          <w:rtl w:val="0"/>
        </w:rPr>
        <w:t>s menu to capture the students interest. If I were to teach this lesson in school, I would motivate the students further by showing them a clip of McDonald</w:t>
      </w:r>
      <w:r>
        <w:rPr>
          <w:rtl w:val="0"/>
        </w:rPr>
        <w:t>’</w:t>
      </w:r>
      <w:r>
        <w:rPr>
          <w:rtl w:val="0"/>
        </w:rPr>
        <w:t xml:space="preserve">s in Spain. This would show them the usefulness of speaking the target language and would give the role play activity more purpose. </w:t>
      </w:r>
    </w:p>
    <w:p>
      <w:pPr>
        <w:pStyle w:val="Body A"/>
      </w:pPr>
      <w:r>
        <w:rPr>
          <w:rtl w:val="0"/>
        </w:rPr>
        <w:t>In my micro teach, I used some praise in the target language. This is essential in the school environment, even more so where there is challenging behaviour. I have realised that maximal use of praise in the TL and being consistent helps build a culture where the students want to impress.</w:t>
      </w:r>
    </w:p>
    <w:p>
      <w:pPr>
        <w:pStyle w:val="Body A"/>
      </w:pPr>
    </w:p>
    <w:p>
      <w:pPr>
        <w:pStyle w:val="Body A"/>
      </w:pPr>
      <w:r>
        <w:rPr>
          <w:rtl w:val="0"/>
        </w:rPr>
        <w:t xml:space="preserve">In my micro teach, I used the target language to explain activities and found that it helped motivate the students. In my current school, pupils benefit from the instructions being translated into English. In the absence of L1 instructions, some use the use of target language as an excuse for not completing activities. My current school has a large proportion of EAL pupils. This makes instruction giving in the TL even more difficult, as the students are effectively translating from their native language into English into the TL. Therefore it is important I tailor instructions to meet their needs. They must be clear and precise in both the target language and English. In the micro teach, I greeted students at the door in the TL. In the school environment use of the target language is key in establishing routine. The students are greeted at the door, then greeted as a whole class and the same instruction is given in French every lesson to write down the objective for the day. This is something I will do consistently in my school experience to establish the an authentic and immersive atmosphere and get the students into the right frame of mind for the lesson. </w:t>
      </w:r>
    </w:p>
    <w:p>
      <w:pPr>
        <w:pStyle w:val="Body A"/>
      </w:pPr>
    </w:p>
    <w:p>
      <w:pPr>
        <w:pStyle w:val="Body A"/>
      </w:pPr>
      <w:r>
        <w:rPr>
          <w:rtl w:val="0"/>
        </w:rPr>
        <w:t>In short, r</w:t>
      </w:r>
      <w:r>
        <w:rPr>
          <w:rtl w:val="0"/>
        </w:rPr>
        <w:t xml:space="preserve">eflection has allowed me to progress. My professional teaching experience has shown me the significance of the planning process in ensuring all learners can access the lesson. It has shown me the importance of sticking to the schools policies and the importance of including it in my own practice. Since observing and reflecting in school, I have been able to reflect upon my micro teach lesson. It is only with continued reflection and evaluation that I am able to pinpoint more improvements to be made in both my micro teach and my teaching practice. Consistent and continued reflection is an essential part of being a successful teaching practitioner. </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br w:type="textWrapping"/>
      </w:r>
      <w:r>
        <w:br w:type="page"/>
      </w:r>
    </w:p>
    <w:p>
      <w:pPr>
        <w:pStyle w:val="Body A"/>
      </w:pPr>
      <w:r>
        <mc:AlternateContent>
          <mc:Choice Requires="wps">
            <w:drawing>
              <wp:anchor distT="0" distB="0" distL="0" distR="0" simplePos="0" relativeHeight="251659264" behindDoc="0" locked="0" layoutInCell="1" allowOverlap="1">
                <wp:simplePos x="0" y="0"/>
                <wp:positionH relativeFrom="page">
                  <wp:posOffset>852170</wp:posOffset>
                </wp:positionH>
                <wp:positionV relativeFrom="page">
                  <wp:posOffset>720090</wp:posOffset>
                </wp:positionV>
                <wp:extent cx="5479425" cy="4941843"/>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479425" cy="4941843"/>
                        </a:xfrm>
                        <a:prstGeom prst="rect">
                          <a:avLst/>
                        </a:prstGeom>
                      </wps:spPr>
                      <wps:txbx>
                        <w:txbxContent>
                          <w:tbl>
                            <w:tblPr>
                              <w:tblW w:w="9613" w:type="dxa"/>
                              <w:tblInd w:w="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1619"/>
                              <w:gridCol w:w="3981"/>
                              <w:gridCol w:w="2980"/>
                              <w:gridCol w:w="1033"/>
                            </w:tblGrid>
                            <w:tr>
                              <w:tblPrEx>
                                <w:shd w:val="clear" w:color="auto" w:fill="ceddeb"/>
                              </w:tblPrEx>
                              <w:trPr>
                                <w:trHeight w:val="1335" w:hRule="atLeast"/>
                              </w:trPr>
                              <w:tc>
                                <w:tcPr>
                                  <w:tcW w:type="dxa" w:w="1619"/>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r>
                                    <w:rPr>
                                      <w:rFonts w:ascii="Arial" w:cs="Arial" w:hAnsi="Arial" w:eastAsia="Arial"/>
                                      <w:sz w:val="20"/>
                                      <w:szCs w:val="20"/>
                                      <w:lang w:val="en-US"/>
                                    </w:rPr>
                                  </w:r>
                                </w:p>
                                <w:p>
                                  <w:pPr>
                                    <w:pStyle w:val="Body A"/>
                                    <w:tabs>
                                      <w:tab w:val="center" w:pos="1218"/>
                                      <w:tab w:val="left" w:pos="1440"/>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OBJECTIVES</w:t>
                                  </w:r>
                                </w:p>
                                <w:p>
                                  <w:pPr>
                                    <w:pStyle w:val="Body A"/>
                                    <w:tabs>
                                      <w:tab w:val="center" w:pos="1218"/>
                                      <w:tab w:val="left" w:pos="1440"/>
                                      <w:tab w:val="left" w:pos="2160"/>
                                      <w:tab w:val="left" w:pos="2880"/>
                                      <w:tab w:val="left" w:pos="3330"/>
                                      <w:tab w:val="left" w:pos="4320"/>
                                    </w:tabs>
                                    <w:bidi w:val="0"/>
                                    <w:ind w:left="0" w:right="0" w:firstLine="0"/>
                                    <w:jc w:val="center"/>
                                    <w:rPr>
                                      <w:rFonts w:ascii="Arial" w:cs="Arial" w:hAnsi="Arial" w:eastAsia="Arial"/>
                                      <w:b w:val="1"/>
                                      <w:bCs w:val="1"/>
                                      <w:sz w:val="16"/>
                                      <w:szCs w:val="16"/>
                                      <w:rtl w:val="0"/>
                                    </w:rPr>
                                  </w:pPr>
                                  <w:r>
                                    <w:rPr>
                                      <w:rFonts w:ascii="Arial" w:hAnsi="Arial"/>
                                      <w:b w:val="1"/>
                                      <w:bCs w:val="1"/>
                                      <w:sz w:val="14"/>
                                      <w:szCs w:val="14"/>
                                      <w:rtl w:val="0"/>
                                      <w:lang w:val="en-US"/>
                                    </w:rPr>
                                    <w:t>(</w:t>
                                  </w:r>
                                  <w:r>
                                    <w:rPr>
                                      <w:rFonts w:ascii="Arial" w:hAnsi="Arial"/>
                                      <w:b w:val="1"/>
                                      <w:bCs w:val="1"/>
                                      <w:sz w:val="16"/>
                                      <w:szCs w:val="16"/>
                                      <w:rtl w:val="0"/>
                                      <w:lang w:val="en-US"/>
                                    </w:rPr>
                                    <w:t>relate to QTS Standards</w:t>
                                  </w:r>
                                </w:p>
                                <w:p>
                                  <w:pPr>
                                    <w:pStyle w:val="Body A"/>
                                    <w:tabs>
                                      <w:tab w:val="center" w:pos="1218"/>
                                      <w:tab w:val="left" w:pos="1440"/>
                                      <w:tab w:val="left" w:pos="2160"/>
                                      <w:tab w:val="left" w:pos="2880"/>
                                      <w:tab w:val="left" w:pos="3330"/>
                                      <w:tab w:val="left" w:pos="4320"/>
                                    </w:tabs>
                                    <w:jc w:val="center"/>
                                  </w:pPr>
                                  <w:r>
                                    <w:rPr>
                                      <w:rFonts w:ascii="Arial" w:hAnsi="Arial"/>
                                      <w:b w:val="1"/>
                                      <w:bCs w:val="1"/>
                                      <w:sz w:val="16"/>
                                      <w:szCs w:val="16"/>
                                      <w:rtl w:val="0"/>
                                      <w:lang w:val="en-US"/>
                                    </w:rPr>
                                    <w:t xml:space="preserve"> where appropriate).</w:t>
                                  </w:r>
                                </w:p>
                              </w:tc>
                              <w:tc>
                                <w:tcPr>
                                  <w:tcW w:type="dxa" w:w="3980"/>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2883"/>
                                      <w:tab w:val="left" w:pos="3330"/>
                                      <w:tab w:val="left" w:pos="4320"/>
                                    </w:tabs>
                                  </w:pPr>
                                  <w:r>
                                    <w:rPr>
                                      <w:rFonts w:ascii="Arial" w:cs="Arial" w:hAnsi="Arial" w:eastAsia="Arial"/>
                                      <w:sz w:val="20"/>
                                      <w:szCs w:val="20"/>
                                      <w:lang w:val="en-US"/>
                                    </w:rPr>
                                    <w:tab/>
                                  </w:r>
                                  <w:r>
                                    <w:rPr>
                                      <w:rFonts w:ascii="Arial" w:hAnsi="Arial"/>
                                      <w:b w:val="1"/>
                                      <w:bCs w:val="1"/>
                                      <w:sz w:val="20"/>
                                      <w:szCs w:val="20"/>
                                      <w:rtl w:val="0"/>
                                      <w:lang w:val="en-US"/>
                                    </w:rPr>
                                    <w:t>ACTIONS TO BE TAKEN</w:t>
                                  </w:r>
                                </w:p>
                              </w:tc>
                              <w:tc>
                                <w:tcPr>
                                  <w:tcW w:type="dxa" w:w="2980"/>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2119"/>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SUCCESS</w:t>
                                  </w:r>
                                </w:p>
                                <w:p>
                                  <w:pPr>
                                    <w:pStyle w:val="Body A"/>
                                    <w:tabs>
                                      <w:tab w:val="center" w:pos="2119"/>
                                      <w:tab w:val="left" w:pos="2160"/>
                                      <w:tab w:val="left" w:pos="2880"/>
                                      <w:tab w:val="left" w:pos="3330"/>
                                      <w:tab w:val="left" w:pos="4320"/>
                                    </w:tabs>
                                  </w:pPr>
                                  <w:r>
                                    <w:rPr>
                                      <w:rFonts w:ascii="Arial" w:cs="Arial" w:hAnsi="Arial" w:eastAsia="Arial"/>
                                      <w:b w:val="1"/>
                                      <w:bCs w:val="1"/>
                                      <w:sz w:val="20"/>
                                      <w:szCs w:val="20"/>
                                      <w:rtl w:val="0"/>
                                      <w:lang w:val="en-US"/>
                                    </w:rPr>
                                    <w:tab/>
                                    <w:t>CRITERIA</w:t>
                                  </w:r>
                                </w:p>
                              </w:tc>
                              <w:tc>
                                <w:tcPr>
                                  <w:tcW w:type="dxa" w:w="1032"/>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631"/>
                                      <w:tab w:val="left" w:pos="720"/>
                                      <w:tab w:val="left" w:pos="1440"/>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TARGET</w:t>
                                  </w:r>
                                </w:p>
                                <w:p>
                                  <w:pPr>
                                    <w:pStyle w:val="Body A"/>
                                    <w:tabs>
                                      <w:tab w:val="center" w:pos="631"/>
                                      <w:tab w:val="left" w:pos="720"/>
                                      <w:tab w:val="left" w:pos="1440"/>
                                      <w:tab w:val="left" w:pos="2160"/>
                                      <w:tab w:val="left" w:pos="2880"/>
                                      <w:tab w:val="left" w:pos="3330"/>
                                      <w:tab w:val="left" w:pos="4320"/>
                                    </w:tabs>
                                  </w:pPr>
                                  <w:r>
                                    <w:rPr>
                                      <w:rFonts w:ascii="Arial" w:cs="Arial" w:hAnsi="Arial" w:eastAsia="Arial"/>
                                      <w:b w:val="1"/>
                                      <w:bCs w:val="1"/>
                                      <w:sz w:val="20"/>
                                      <w:szCs w:val="20"/>
                                      <w:rtl w:val="0"/>
                                      <w:lang w:val="en-US"/>
                                    </w:rPr>
                                    <w:tab/>
                                    <w:t>DATE</w:t>
                                  </w:r>
                                </w:p>
                              </w:tc>
                            </w:tr>
                            <w:tr>
                              <w:tblPrEx>
                                <w:shd w:val="clear" w:color="auto" w:fill="ceddeb"/>
                              </w:tblPrEx>
                              <w:trPr>
                                <w:trHeight w:val="2269" w:hRule="atLeast"/>
                              </w:trPr>
                              <w:tc>
                                <w:tcPr>
                                  <w:tcW w:type="dxa" w:w="1619"/>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r>
                                    <w:rPr>
                                      <w:rFonts w:ascii="Arial" w:hAnsi="Arial"/>
                                      <w:sz w:val="20"/>
                                      <w:szCs w:val="20"/>
                                      <w:rtl w:val="0"/>
                                      <w:lang w:val="en-US"/>
                                    </w:rPr>
                                    <w:t>To improve behaviour management strategies in lessons</w:t>
                                  </w:r>
                                </w:p>
                              </w:tc>
                              <w:tc>
                                <w:tcPr>
                                  <w:tcW w:type="dxa" w:w="3980"/>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Further develop an understanding of school policies for behaviour.</w:t>
                                  </w: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 xml:space="preserve">Observe teachers using techniques effectively </w:t>
                                  </w: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Continue to develop my own practice, bringing Fitzalan 5 rules into every lesson and building confidence in doing so</w:t>
                                  </w:r>
                                </w:p>
                              </w:tc>
                              <w:tc>
                                <w:tcPr>
                                  <w:tcW w:type="dxa" w:w="2980"/>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Pupils follow instructions during the lesson</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 xml:space="preserve">Pupils stay on task </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Pupils do not shout over the teacher during class feedback</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Evidence of techniques being used e.g. eye contact, Fitzalan 5, countdowns etc observed by mentor</w:t>
                                  </w:r>
                                </w:p>
                              </w:tc>
                              <w:tc>
                                <w:tcPr>
                                  <w:tcW w:type="dxa" w:w="1032"/>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r>
                              <w:tblPrEx>
                                <w:shd w:val="clear" w:color="auto" w:fill="ceddeb"/>
                              </w:tblPrEx>
                              <w:trPr>
                                <w:trHeight w:val="2414" w:hRule="atLeast"/>
                              </w:trPr>
                              <w:tc>
                                <w:tcPr>
                                  <w:tcW w:type="dxa" w:w="1619"/>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r>
                                    <w:rPr>
                                      <w:rFonts w:ascii="Arial" w:hAnsi="Arial"/>
                                      <w:sz w:val="20"/>
                                      <w:szCs w:val="20"/>
                                      <w:rtl w:val="0"/>
                                      <w:lang w:val="en-US"/>
                                    </w:rPr>
                                    <w:t>To improve AFL techniques</w:t>
                                  </w:r>
                                </w:p>
                              </w:tc>
                              <w:tc>
                                <w:tcPr>
                                  <w:tcW w:type="dxa" w:w="3980"/>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 xml:space="preserve">Read resources on AFL techniques </w:t>
                                  </w: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Observe good practise</w:t>
                                  </w: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Incorporate AFL techniques into my own lessons, re-visiting lesson objectives at the end of lessons and ensuring students understand their own progress and achievement</w:t>
                                  </w:r>
                                </w:p>
                              </w:tc>
                              <w:tc>
                                <w:tcPr>
                                  <w:tcW w:type="dxa" w:w="2980"/>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bidi w:val="0"/>
                                    <w:spacing w:after="19"/>
                                    <w:ind w:left="0" w:right="0" w:firstLine="0"/>
                                    <w:jc w:val="left"/>
                                    <w:rPr>
                                      <w:rFonts w:ascii="Arial" w:cs="Arial" w:hAnsi="Arial" w:eastAsia="Arial"/>
                                      <w:sz w:val="20"/>
                                      <w:szCs w:val="20"/>
                                      <w:rtl w:val="0"/>
                                    </w:rPr>
                                  </w:pPr>
                                  <w:r>
                                    <w:rPr>
                                      <w:rFonts w:ascii="Arial" w:hAnsi="Arial"/>
                                      <w:sz w:val="20"/>
                                      <w:szCs w:val="20"/>
                                      <w:rtl w:val="0"/>
                                      <w:lang w:val="en-US"/>
                                    </w:rPr>
                                    <w:t xml:space="preserve">Students are more engaged in lessons as they know where they are heading in the lesson. </w:t>
                                  </w:r>
                                </w:p>
                                <w:p>
                                  <w:pPr>
                                    <w:pStyle w:val="Body A"/>
                                    <w:tabs>
                                      <w:tab w:val="left" w:pos="720"/>
                                      <w:tab w:val="left" w:pos="1440"/>
                                      <w:tab w:val="left" w:pos="2160"/>
                                      <w:tab w:val="left" w:pos="2880"/>
                                      <w:tab w:val="left" w:pos="3330"/>
                                      <w:tab w:val="left" w:pos="4320"/>
                                    </w:tabs>
                                    <w:bidi w:val="0"/>
                                    <w:spacing w:after="19"/>
                                    <w:ind w:left="0" w:right="0" w:firstLine="0"/>
                                    <w:jc w:val="left"/>
                                    <w:rPr>
                                      <w:rFonts w:ascii="Arial" w:cs="Arial" w:hAnsi="Arial" w:eastAsia="Arial"/>
                                      <w:sz w:val="20"/>
                                      <w:szCs w:val="20"/>
                                      <w:rtl w:val="0"/>
                                    </w:rPr>
                                  </w:pPr>
                                  <w:r>
                                    <w:rPr>
                                      <w:rFonts w:ascii="Arial" w:hAnsi="Arial"/>
                                      <w:sz w:val="20"/>
                                      <w:szCs w:val="20"/>
                                      <w:rtl w:val="0"/>
                                      <w:lang w:val="en-US"/>
                                    </w:rPr>
                                    <w:t>Greater understanding of what the students know and can set targets for the next lesson</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Evidence of AFL techniques observed by mentor</w:t>
                                  </w:r>
                                </w:p>
                              </w:tc>
                              <w:tc>
                                <w:tcPr>
                                  <w:tcW w:type="dxa" w:w="1032"/>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r>
                              <w:tblPrEx>
                                <w:shd w:val="clear" w:color="auto" w:fill="ceddeb"/>
                              </w:tblPrEx>
                              <w:trPr>
                                <w:trHeight w:val="1920" w:hRule="atLeast"/>
                              </w:trPr>
                              <w:tc>
                                <w:tcPr>
                                  <w:tcW w:type="dxa" w:w="1619"/>
                                  <w:tcBorders>
                                    <w:top w:val="nil"/>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bidi w:val="0"/>
                                    <w:ind w:left="0" w:right="0" w:firstLine="0"/>
                                    <w:jc w:val="left"/>
                                    <w:rPr>
                                      <w:rFonts w:ascii="Arial" w:cs="Arial" w:hAnsi="Arial" w:eastAsia="Arial"/>
                                      <w:sz w:val="20"/>
                                      <w:szCs w:val="20"/>
                                      <w:rtl w:val="0"/>
                                    </w:rPr>
                                  </w:pPr>
                                  <w:r>
                                    <w:rPr>
                                      <w:rFonts w:ascii="Arial" w:hAnsi="Arial"/>
                                      <w:sz w:val="20"/>
                                      <w:szCs w:val="20"/>
                                      <w:rtl w:val="0"/>
                                      <w:lang w:val="en-US"/>
                                    </w:rPr>
                                    <w:t>To develop differentiation techniques</w:t>
                                  </w:r>
                                </w:p>
                                <w:p>
                                  <w:pPr>
                                    <w:pStyle w:val="Body A"/>
                                    <w:tabs>
                                      <w:tab w:val="left" w:pos="720"/>
                                      <w:tab w:val="left" w:pos="1440"/>
                                      <w:tab w:val="left" w:pos="2160"/>
                                      <w:tab w:val="left" w:pos="2880"/>
                                      <w:tab w:val="left" w:pos="3330"/>
                                      <w:tab w:val="left" w:pos="4320"/>
                                    </w:tabs>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pPr>
                                  <w:r>
                                    <w:rPr>
                                      <w:rFonts w:ascii="Arial" w:cs="Arial" w:hAnsi="Arial" w:eastAsia="Arial"/>
                                      <w:sz w:val="20"/>
                                      <w:szCs w:val="20"/>
                                      <w:lang w:val="en-US"/>
                                    </w:rPr>
                                  </w:r>
                                </w:p>
                              </w:tc>
                              <w:tc>
                                <w:tcPr>
                                  <w:tcW w:type="dxa" w:w="3980"/>
                                  <w:tcBorders>
                                    <w:top w:val="nil"/>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Default"/>
                                    <w:numPr>
                                      <w:ilvl w:val="0"/>
                                      <w:numId w:val="4"/>
                                    </w:numPr>
                                    <w:spacing w:after="19"/>
                                    <w:rPr>
                                      <w:rFonts w:ascii="Arial" w:hAnsi="Arial"/>
                                      <w:sz w:val="20"/>
                                      <w:szCs w:val="20"/>
                                      <w:lang w:val="en-US"/>
                                    </w:rPr>
                                  </w:pPr>
                                  <w:r>
                                    <w:rPr>
                                      <w:rFonts w:ascii="Arial" w:hAnsi="Arial"/>
                                      <w:sz w:val="20"/>
                                      <w:szCs w:val="20"/>
                                      <w:rtl w:val="0"/>
                                      <w:lang w:val="en-US"/>
                                    </w:rPr>
                                    <w:t>read books / articles on differentiation techniques</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research questioning techniques</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 xml:space="preserve">Observe good practise </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 xml:space="preserve">Include differentiation in lesson planning </w:t>
                                  </w:r>
                                </w:p>
                              </w:tc>
                              <w:tc>
                                <w:tcPr>
                                  <w:tcW w:type="dxa" w:w="2980"/>
                                  <w:tcBorders>
                                    <w:top w:val="nil"/>
                                    <w:left w:val="single" w:color="000000" w:sz="7" w:space="0" w:shadow="0" w:frame="0"/>
                                    <w:bottom w:val="single" w:color="000000" w:sz="7"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rPr>
                                  </w:pPr>
                                  <w:r>
                                    <w:rPr>
                                      <w:rFonts w:ascii="Arial" w:hAnsi="Arial"/>
                                      <w:sz w:val="20"/>
                                      <w:szCs w:val="20"/>
                                      <w:rtl w:val="0"/>
                                      <w:lang w:val="en-US"/>
                                    </w:rPr>
                                    <w:t>Differentiating questions to suit all levels and needs</w:t>
                                  </w:r>
                                </w:p>
                                <w:p>
                                  <w:pPr>
                                    <w:pStyle w:val="Body A"/>
                                    <w:spacing w:line="163" w:lineRule="exact"/>
                                    <w:rPr>
                                      <w:rFonts w:ascii="Arial" w:cs="Arial" w:hAnsi="Arial" w:eastAsia="Arial"/>
                                      <w:sz w:val="20"/>
                                      <w:szCs w:val="20"/>
                                      <w:lang w:val="en-US"/>
                                    </w:rPr>
                                  </w:pPr>
                                </w:p>
                                <w:p>
                                  <w:pPr>
                                    <w:pStyle w:val="Body A"/>
                                    <w:bidi w:val="0"/>
                                    <w:spacing w:line="163" w:lineRule="exact"/>
                                    <w:ind w:left="0" w:right="0" w:firstLine="0"/>
                                    <w:jc w:val="left"/>
                                    <w:rPr>
                                      <w:rFonts w:ascii="Arial" w:cs="Arial" w:hAnsi="Arial" w:eastAsia="Arial"/>
                                      <w:sz w:val="20"/>
                                      <w:szCs w:val="20"/>
                                      <w:rtl w:val="0"/>
                                    </w:rPr>
                                  </w:pPr>
                                  <w:r>
                                    <w:rPr>
                                      <w:rFonts w:ascii="Arial" w:hAnsi="Arial"/>
                                      <w:sz w:val="20"/>
                                      <w:szCs w:val="20"/>
                                      <w:rtl w:val="0"/>
                                      <w:lang w:val="en-US"/>
                                    </w:rPr>
                                    <w:t>All learners can access the lesson</w:t>
                                  </w:r>
                                </w:p>
                                <w:p>
                                  <w:pPr>
                                    <w:pStyle w:val="Body A"/>
                                    <w:spacing w:line="163" w:lineRule="exact"/>
                                    <w:rPr>
                                      <w:rFonts w:ascii="Arial" w:cs="Arial" w:hAnsi="Arial" w:eastAsia="Arial"/>
                                      <w:sz w:val="20"/>
                                      <w:szCs w:val="20"/>
                                      <w:lang w:val="en-US"/>
                                    </w:rPr>
                                  </w:pPr>
                                </w:p>
                                <w:p>
                                  <w:pPr>
                                    <w:pStyle w:val="Body A"/>
                                    <w:bidi w:val="0"/>
                                    <w:spacing w:line="163" w:lineRule="exact"/>
                                    <w:ind w:left="0" w:right="0" w:firstLine="0"/>
                                    <w:jc w:val="left"/>
                                    <w:rPr>
                                      <w:rFonts w:ascii="Arial" w:cs="Arial" w:hAnsi="Arial" w:eastAsia="Arial"/>
                                      <w:sz w:val="20"/>
                                      <w:szCs w:val="20"/>
                                      <w:rtl w:val="0"/>
                                    </w:rPr>
                                  </w:pPr>
                                  <w:r>
                                    <w:rPr>
                                      <w:rFonts w:ascii="Arial" w:hAnsi="Arial"/>
                                      <w:sz w:val="20"/>
                                      <w:szCs w:val="20"/>
                                      <w:rtl w:val="0"/>
                                      <w:lang w:val="en-US"/>
                                    </w:rPr>
                                    <w:t xml:space="preserve">Greater student participation </w:t>
                                  </w:r>
                                </w:p>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Providing extension tasks for high attaining learners</w:t>
                                  </w:r>
                                </w:p>
                              </w:tc>
                              <w:tc>
                                <w:tcPr>
                                  <w:tcW w:type="dxa" w:w="1032"/>
                                  <w:tcBorders>
                                    <w:top w:val="nil"/>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bl>
                        </w:txbxContent>
                      </wps:txbx>
                      <wps:bodyPr lIns="0" tIns="0" rIns="0" bIns="0">
                        <a:spAutoFit/>
                      </wps:bodyPr>
                    </wps:wsp>
                  </a:graphicData>
                </a:graphic>
              </wp:anchor>
            </w:drawing>
          </mc:Choice>
          <mc:Fallback>
            <w:pict>
              <v:shape id="_x0000_s1026" type="#_x0000_t202" style="visibility:visible;position:absolute;margin-left:67.1pt;margin-top:56.7pt;width:431.5pt;height:389.1pt;z-index:251659264;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9613" w:type="dxa"/>
                        <w:tblInd w:w="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1619"/>
                        <w:gridCol w:w="3981"/>
                        <w:gridCol w:w="2980"/>
                        <w:gridCol w:w="1033"/>
                      </w:tblGrid>
                      <w:tr>
                        <w:tblPrEx>
                          <w:shd w:val="clear" w:color="auto" w:fill="ceddeb"/>
                        </w:tblPrEx>
                        <w:trPr>
                          <w:trHeight w:val="1335" w:hRule="atLeast"/>
                        </w:trPr>
                        <w:tc>
                          <w:tcPr>
                            <w:tcW w:type="dxa" w:w="1619"/>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1218"/>
                                <w:tab w:val="left" w:pos="1440"/>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OBJECTIVES</w:t>
                            </w:r>
                          </w:p>
                          <w:p>
                            <w:pPr>
                              <w:pStyle w:val="Body A"/>
                              <w:tabs>
                                <w:tab w:val="center" w:pos="1218"/>
                                <w:tab w:val="left" w:pos="1440"/>
                                <w:tab w:val="left" w:pos="2160"/>
                                <w:tab w:val="left" w:pos="2880"/>
                                <w:tab w:val="left" w:pos="3330"/>
                                <w:tab w:val="left" w:pos="4320"/>
                              </w:tabs>
                              <w:bidi w:val="0"/>
                              <w:ind w:left="0" w:right="0" w:firstLine="0"/>
                              <w:jc w:val="center"/>
                              <w:rPr>
                                <w:rFonts w:ascii="Arial" w:cs="Arial" w:hAnsi="Arial" w:eastAsia="Arial"/>
                                <w:b w:val="1"/>
                                <w:bCs w:val="1"/>
                                <w:sz w:val="16"/>
                                <w:szCs w:val="16"/>
                                <w:rtl w:val="0"/>
                              </w:rPr>
                            </w:pPr>
                            <w:r>
                              <w:rPr>
                                <w:rFonts w:ascii="Arial" w:hAnsi="Arial"/>
                                <w:b w:val="1"/>
                                <w:bCs w:val="1"/>
                                <w:sz w:val="14"/>
                                <w:szCs w:val="14"/>
                                <w:rtl w:val="0"/>
                                <w:lang w:val="en-US"/>
                              </w:rPr>
                              <w:t>(</w:t>
                            </w:r>
                            <w:r>
                              <w:rPr>
                                <w:rFonts w:ascii="Arial" w:hAnsi="Arial"/>
                                <w:b w:val="1"/>
                                <w:bCs w:val="1"/>
                                <w:sz w:val="16"/>
                                <w:szCs w:val="16"/>
                                <w:rtl w:val="0"/>
                                <w:lang w:val="en-US"/>
                              </w:rPr>
                              <w:t>relate to QTS Standards</w:t>
                            </w:r>
                          </w:p>
                          <w:p>
                            <w:pPr>
                              <w:pStyle w:val="Body A"/>
                              <w:tabs>
                                <w:tab w:val="center" w:pos="1218"/>
                                <w:tab w:val="left" w:pos="1440"/>
                                <w:tab w:val="left" w:pos="2160"/>
                                <w:tab w:val="left" w:pos="2880"/>
                                <w:tab w:val="left" w:pos="3330"/>
                                <w:tab w:val="left" w:pos="4320"/>
                              </w:tabs>
                              <w:jc w:val="center"/>
                            </w:pPr>
                            <w:r>
                              <w:rPr>
                                <w:rFonts w:ascii="Arial" w:hAnsi="Arial"/>
                                <w:b w:val="1"/>
                                <w:bCs w:val="1"/>
                                <w:sz w:val="16"/>
                                <w:szCs w:val="16"/>
                                <w:rtl w:val="0"/>
                                <w:lang w:val="en-US"/>
                              </w:rPr>
                              <w:t xml:space="preserve"> where appropriate).</w:t>
                            </w:r>
                          </w:p>
                        </w:tc>
                        <w:tc>
                          <w:tcPr>
                            <w:tcW w:type="dxa" w:w="3980"/>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2883"/>
                                <w:tab w:val="left" w:pos="3330"/>
                                <w:tab w:val="left" w:pos="4320"/>
                              </w:tabs>
                            </w:pPr>
                            <w:r>
                              <w:rPr>
                                <w:rFonts w:ascii="Arial" w:cs="Arial" w:hAnsi="Arial" w:eastAsia="Arial"/>
                                <w:sz w:val="20"/>
                                <w:szCs w:val="20"/>
                                <w:lang w:val="en-US"/>
                              </w:rPr>
                              <w:tab/>
                            </w:r>
                            <w:r>
                              <w:rPr>
                                <w:rFonts w:ascii="Arial" w:hAnsi="Arial"/>
                                <w:b w:val="1"/>
                                <w:bCs w:val="1"/>
                                <w:sz w:val="20"/>
                                <w:szCs w:val="20"/>
                                <w:rtl w:val="0"/>
                                <w:lang w:val="en-US"/>
                              </w:rPr>
                              <w:t>ACTIONS TO BE TAKEN</w:t>
                            </w:r>
                          </w:p>
                        </w:tc>
                        <w:tc>
                          <w:tcPr>
                            <w:tcW w:type="dxa" w:w="2980"/>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2119"/>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SUCCESS</w:t>
                            </w:r>
                          </w:p>
                          <w:p>
                            <w:pPr>
                              <w:pStyle w:val="Body A"/>
                              <w:tabs>
                                <w:tab w:val="center" w:pos="2119"/>
                                <w:tab w:val="left" w:pos="2160"/>
                                <w:tab w:val="left" w:pos="2880"/>
                                <w:tab w:val="left" w:pos="3330"/>
                                <w:tab w:val="left" w:pos="4320"/>
                              </w:tabs>
                            </w:pPr>
                            <w:r>
                              <w:rPr>
                                <w:rFonts w:ascii="Arial" w:cs="Arial" w:hAnsi="Arial" w:eastAsia="Arial"/>
                                <w:b w:val="1"/>
                                <w:bCs w:val="1"/>
                                <w:sz w:val="20"/>
                                <w:szCs w:val="20"/>
                                <w:rtl w:val="0"/>
                                <w:lang w:val="en-US"/>
                              </w:rPr>
                              <w:tab/>
                              <w:t>CRITERIA</w:t>
                            </w:r>
                          </w:p>
                        </w:tc>
                        <w:tc>
                          <w:tcPr>
                            <w:tcW w:type="dxa" w:w="1032"/>
                            <w:tcBorders>
                              <w:top w:val="single" w:color="000000" w:sz="7" w:space="0" w:shadow="0" w:frame="0"/>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center" w:pos="631"/>
                                <w:tab w:val="left" w:pos="720"/>
                                <w:tab w:val="left" w:pos="1440"/>
                                <w:tab w:val="left" w:pos="2160"/>
                                <w:tab w:val="left" w:pos="2880"/>
                                <w:tab w:val="left" w:pos="3330"/>
                                <w:tab w:val="left" w:pos="4320"/>
                              </w:tabs>
                              <w:bidi w:val="0"/>
                              <w:ind w:left="0" w:right="0" w:firstLine="0"/>
                              <w:jc w:val="left"/>
                              <w:rPr>
                                <w:rFonts w:ascii="Arial" w:cs="Arial" w:hAnsi="Arial" w:eastAsia="Arial"/>
                                <w:b w:val="1"/>
                                <w:bCs w:val="1"/>
                                <w:sz w:val="20"/>
                                <w:szCs w:val="20"/>
                                <w:rtl w:val="0"/>
                              </w:rPr>
                            </w:pPr>
                            <w:r>
                              <w:rPr>
                                <w:rFonts w:ascii="Arial" w:cs="Arial" w:hAnsi="Arial" w:eastAsia="Arial"/>
                                <w:b w:val="0"/>
                                <w:bCs w:val="0"/>
                                <w:sz w:val="20"/>
                                <w:szCs w:val="20"/>
                                <w:lang w:val="en-US"/>
                              </w:rPr>
                              <w:tab/>
                            </w:r>
                            <w:r>
                              <w:rPr>
                                <w:rFonts w:ascii="Arial" w:hAnsi="Arial"/>
                                <w:b w:val="1"/>
                                <w:bCs w:val="1"/>
                                <w:sz w:val="20"/>
                                <w:szCs w:val="20"/>
                                <w:rtl w:val="0"/>
                                <w:lang w:val="en-US"/>
                              </w:rPr>
                              <w:t>TARGET</w:t>
                            </w:r>
                          </w:p>
                          <w:p>
                            <w:pPr>
                              <w:pStyle w:val="Body A"/>
                              <w:tabs>
                                <w:tab w:val="center" w:pos="631"/>
                                <w:tab w:val="left" w:pos="720"/>
                                <w:tab w:val="left" w:pos="1440"/>
                                <w:tab w:val="left" w:pos="2160"/>
                                <w:tab w:val="left" w:pos="2880"/>
                                <w:tab w:val="left" w:pos="3330"/>
                                <w:tab w:val="left" w:pos="4320"/>
                              </w:tabs>
                            </w:pPr>
                            <w:r>
                              <w:rPr>
                                <w:rFonts w:ascii="Arial" w:cs="Arial" w:hAnsi="Arial" w:eastAsia="Arial"/>
                                <w:b w:val="1"/>
                                <w:bCs w:val="1"/>
                                <w:sz w:val="20"/>
                                <w:szCs w:val="20"/>
                                <w:rtl w:val="0"/>
                                <w:lang w:val="en-US"/>
                              </w:rPr>
                              <w:tab/>
                              <w:t>DATE</w:t>
                            </w:r>
                          </w:p>
                        </w:tc>
                      </w:tr>
                      <w:tr>
                        <w:tblPrEx>
                          <w:shd w:val="clear" w:color="auto" w:fill="ceddeb"/>
                        </w:tblPrEx>
                        <w:trPr>
                          <w:trHeight w:val="2269" w:hRule="atLeast"/>
                        </w:trPr>
                        <w:tc>
                          <w:tcPr>
                            <w:tcW w:type="dxa" w:w="1619"/>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r>
                              <w:rPr>
                                <w:rFonts w:ascii="Arial" w:hAnsi="Arial"/>
                                <w:sz w:val="20"/>
                                <w:szCs w:val="20"/>
                                <w:rtl w:val="0"/>
                                <w:lang w:val="en-US"/>
                              </w:rPr>
                              <w:t>To improve behaviour management strategies in lessons</w:t>
                            </w:r>
                          </w:p>
                        </w:tc>
                        <w:tc>
                          <w:tcPr>
                            <w:tcW w:type="dxa" w:w="3980"/>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Further develop an understanding of school policies for behaviour.</w:t>
                            </w: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 xml:space="preserve">Observe teachers using techniques effectively </w:t>
                            </w:r>
                          </w:p>
                          <w:p>
                            <w:pPr>
                              <w:pStyle w:val="Body A"/>
                              <w:numPr>
                                <w:ilvl w:val="0"/>
                                <w:numId w:val="2"/>
                              </w:numPr>
                              <w:bidi w:val="0"/>
                              <w:spacing w:after="19"/>
                              <w:ind w:right="0"/>
                              <w:jc w:val="left"/>
                              <w:rPr>
                                <w:rFonts w:ascii="Arial" w:hAnsi="Arial"/>
                                <w:sz w:val="20"/>
                                <w:szCs w:val="20"/>
                                <w:rtl w:val="0"/>
                                <w:lang w:val="en-US"/>
                              </w:rPr>
                            </w:pPr>
                            <w:r>
                              <w:rPr>
                                <w:rFonts w:ascii="Arial" w:hAnsi="Arial"/>
                                <w:sz w:val="20"/>
                                <w:szCs w:val="20"/>
                                <w:rtl w:val="0"/>
                                <w:lang w:val="en-US"/>
                              </w:rPr>
                              <w:t>Continue to develop my own practice, bringing Fitzalan 5 rules into every lesson and building confidence in doing so</w:t>
                            </w:r>
                          </w:p>
                        </w:tc>
                        <w:tc>
                          <w:tcPr>
                            <w:tcW w:type="dxa" w:w="2980"/>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Pupils follow instructions during the lesson</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 xml:space="preserve">Pupils stay on task </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Pupils do not shout over the teacher during class feedback</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Evidence of techniques being used e.g. eye contact, Fitzalan 5, countdowns etc observed by mentor</w:t>
                            </w:r>
                          </w:p>
                        </w:tc>
                        <w:tc>
                          <w:tcPr>
                            <w:tcW w:type="dxa" w:w="1032"/>
                            <w:tcBorders>
                              <w:top w:val="single" w:color="000000" w:sz="7" w:space="0" w:shadow="0" w:frame="0"/>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r>
                        <w:tblPrEx>
                          <w:shd w:val="clear" w:color="auto" w:fill="ceddeb"/>
                        </w:tblPrEx>
                        <w:trPr>
                          <w:trHeight w:val="2414" w:hRule="atLeast"/>
                        </w:trPr>
                        <w:tc>
                          <w:tcPr>
                            <w:tcW w:type="dxa" w:w="1619"/>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r>
                              <w:rPr>
                                <w:rFonts w:ascii="Arial" w:hAnsi="Arial"/>
                                <w:sz w:val="20"/>
                                <w:szCs w:val="20"/>
                                <w:rtl w:val="0"/>
                                <w:lang w:val="en-US"/>
                              </w:rPr>
                              <w:t>To improve AFL techniques</w:t>
                            </w:r>
                          </w:p>
                        </w:tc>
                        <w:tc>
                          <w:tcPr>
                            <w:tcW w:type="dxa" w:w="3980"/>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pP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 xml:space="preserve">Read resources on AFL techniques </w:t>
                            </w: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Observe good practise</w:t>
                            </w:r>
                          </w:p>
                          <w:p>
                            <w:pPr>
                              <w:pStyle w:val="Body A"/>
                              <w:numPr>
                                <w:ilvl w:val="0"/>
                                <w:numId w:val="3"/>
                              </w:numPr>
                              <w:bidi w:val="0"/>
                              <w:spacing w:after="19"/>
                              <w:ind w:right="0"/>
                              <w:jc w:val="left"/>
                              <w:rPr>
                                <w:rFonts w:ascii="Arial" w:hAnsi="Arial"/>
                                <w:sz w:val="20"/>
                                <w:szCs w:val="20"/>
                                <w:rtl w:val="0"/>
                                <w:lang w:val="en-US"/>
                              </w:rPr>
                            </w:pPr>
                            <w:r>
                              <w:rPr>
                                <w:rFonts w:ascii="Arial" w:hAnsi="Arial"/>
                                <w:sz w:val="20"/>
                                <w:szCs w:val="20"/>
                                <w:rtl w:val="0"/>
                                <w:lang w:val="en-US"/>
                              </w:rPr>
                              <w:t>Incorporate AFL techniques into my own lessons, re-visiting lesson objectives at the end of lessons and ensuring students understand their own progress and achievement</w:t>
                            </w:r>
                          </w:p>
                        </w:tc>
                        <w:tc>
                          <w:tcPr>
                            <w:tcW w:type="dxa" w:w="2980"/>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bidi w:val="0"/>
                              <w:spacing w:after="19"/>
                              <w:ind w:left="0" w:right="0" w:firstLine="0"/>
                              <w:jc w:val="left"/>
                              <w:rPr>
                                <w:rFonts w:ascii="Arial" w:cs="Arial" w:hAnsi="Arial" w:eastAsia="Arial"/>
                                <w:sz w:val="20"/>
                                <w:szCs w:val="20"/>
                                <w:rtl w:val="0"/>
                              </w:rPr>
                            </w:pPr>
                            <w:r>
                              <w:rPr>
                                <w:rFonts w:ascii="Arial" w:hAnsi="Arial"/>
                                <w:sz w:val="20"/>
                                <w:szCs w:val="20"/>
                                <w:rtl w:val="0"/>
                                <w:lang w:val="en-US"/>
                              </w:rPr>
                              <w:t xml:space="preserve">Students are more engaged in lessons as they know where they are heading in the lesson. </w:t>
                            </w:r>
                          </w:p>
                          <w:p>
                            <w:pPr>
                              <w:pStyle w:val="Body A"/>
                              <w:tabs>
                                <w:tab w:val="left" w:pos="720"/>
                                <w:tab w:val="left" w:pos="1440"/>
                                <w:tab w:val="left" w:pos="2160"/>
                                <w:tab w:val="left" w:pos="2880"/>
                                <w:tab w:val="left" w:pos="3330"/>
                                <w:tab w:val="left" w:pos="4320"/>
                              </w:tabs>
                              <w:bidi w:val="0"/>
                              <w:spacing w:after="19"/>
                              <w:ind w:left="0" w:right="0" w:firstLine="0"/>
                              <w:jc w:val="left"/>
                              <w:rPr>
                                <w:rFonts w:ascii="Arial" w:cs="Arial" w:hAnsi="Arial" w:eastAsia="Arial"/>
                                <w:sz w:val="20"/>
                                <w:szCs w:val="20"/>
                                <w:rtl w:val="0"/>
                              </w:rPr>
                            </w:pPr>
                            <w:r>
                              <w:rPr>
                                <w:rFonts w:ascii="Arial" w:hAnsi="Arial"/>
                                <w:sz w:val="20"/>
                                <w:szCs w:val="20"/>
                                <w:rtl w:val="0"/>
                                <w:lang w:val="en-US"/>
                              </w:rPr>
                              <w:t>Greater understanding of what the students know and can set targets for the next lesson</w:t>
                            </w: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Evidence of AFL techniques observed by mentor</w:t>
                            </w:r>
                          </w:p>
                        </w:tc>
                        <w:tc>
                          <w:tcPr>
                            <w:tcW w:type="dxa" w:w="1032"/>
                            <w:tcBorders>
                              <w:top w:val="nil"/>
                              <w:left w:val="single" w:color="000000" w:sz="7" w:space="0" w:shadow="0" w:frame="0"/>
                              <w:bottom w:val="nil"/>
                              <w:right w:val="single" w:color="000000" w:sz="7"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r>
                        <w:tblPrEx>
                          <w:shd w:val="clear" w:color="auto" w:fill="ceddeb"/>
                        </w:tblPrEx>
                        <w:trPr>
                          <w:trHeight w:val="1920" w:hRule="atLeast"/>
                        </w:trPr>
                        <w:tc>
                          <w:tcPr>
                            <w:tcW w:type="dxa" w:w="1619"/>
                            <w:tcBorders>
                              <w:top w:val="nil"/>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bidi w:val="0"/>
                              <w:ind w:left="0" w:right="0" w:firstLine="0"/>
                              <w:jc w:val="left"/>
                              <w:rPr>
                                <w:rFonts w:ascii="Arial" w:cs="Arial" w:hAnsi="Arial" w:eastAsia="Arial"/>
                                <w:sz w:val="20"/>
                                <w:szCs w:val="20"/>
                                <w:rtl w:val="0"/>
                              </w:rPr>
                            </w:pPr>
                            <w:r>
                              <w:rPr>
                                <w:rFonts w:ascii="Arial" w:hAnsi="Arial"/>
                                <w:sz w:val="20"/>
                                <w:szCs w:val="20"/>
                                <w:rtl w:val="0"/>
                                <w:lang w:val="en-US"/>
                              </w:rPr>
                              <w:t>To develop differentiation techniques</w:t>
                            </w:r>
                          </w:p>
                          <w:p>
                            <w:pPr>
                              <w:pStyle w:val="Body A"/>
                              <w:tabs>
                                <w:tab w:val="left" w:pos="720"/>
                                <w:tab w:val="left" w:pos="1440"/>
                                <w:tab w:val="left" w:pos="2160"/>
                                <w:tab w:val="left" w:pos="2880"/>
                                <w:tab w:val="left" w:pos="3330"/>
                                <w:tab w:val="left" w:pos="4320"/>
                              </w:tabs>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pPr>
                            <w:r>
                              <w:rPr>
                                <w:rFonts w:ascii="Arial" w:cs="Arial" w:hAnsi="Arial" w:eastAsia="Arial"/>
                                <w:sz w:val="20"/>
                                <w:szCs w:val="20"/>
                                <w:lang w:val="en-US"/>
                              </w:rPr>
                            </w:r>
                          </w:p>
                        </w:tc>
                        <w:tc>
                          <w:tcPr>
                            <w:tcW w:type="dxa" w:w="3980"/>
                            <w:tcBorders>
                              <w:top w:val="nil"/>
                              <w:left w:val="single" w:color="000000" w:sz="7" w:space="0" w:shadow="0" w:frame="0"/>
                              <w:bottom w:val="single" w:color="000000" w:sz="7" w:space="0" w:shadow="0" w:frame="0"/>
                              <w:right w:val="single" w:color="000000" w:sz="7" w:space="0" w:shadow="0" w:frame="0"/>
                            </w:tcBorders>
                            <w:shd w:val="clear" w:color="auto" w:fill="auto"/>
                            <w:tcMar>
                              <w:top w:type="dxa" w:w="80"/>
                              <w:left w:type="dxa" w:w="80"/>
                              <w:bottom w:type="dxa" w:w="80"/>
                              <w:right w:type="dxa" w:w="80"/>
                            </w:tcMar>
                            <w:vAlign w:val="top"/>
                          </w:tcPr>
                          <w:p>
                            <w:pPr>
                              <w:pStyle w:val="Default"/>
                              <w:numPr>
                                <w:ilvl w:val="0"/>
                                <w:numId w:val="4"/>
                              </w:numPr>
                              <w:spacing w:after="19"/>
                              <w:rPr>
                                <w:rFonts w:ascii="Arial" w:hAnsi="Arial"/>
                                <w:sz w:val="20"/>
                                <w:szCs w:val="20"/>
                                <w:lang w:val="en-US"/>
                              </w:rPr>
                            </w:pPr>
                            <w:r>
                              <w:rPr>
                                <w:rFonts w:ascii="Arial" w:hAnsi="Arial"/>
                                <w:sz w:val="20"/>
                                <w:szCs w:val="20"/>
                                <w:rtl w:val="0"/>
                                <w:lang w:val="en-US"/>
                              </w:rPr>
                              <w:t>read books / articles on differentiation techniques</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research questioning techniques</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 xml:space="preserve">Observe good practise </w:t>
                            </w:r>
                          </w:p>
                          <w:p>
                            <w:pPr>
                              <w:pStyle w:val="Default"/>
                              <w:numPr>
                                <w:ilvl w:val="0"/>
                                <w:numId w:val="4"/>
                              </w:numPr>
                              <w:bidi w:val="0"/>
                              <w:spacing w:after="19"/>
                              <w:ind w:right="0"/>
                              <w:jc w:val="left"/>
                              <w:rPr>
                                <w:rFonts w:ascii="Arial" w:hAnsi="Arial"/>
                                <w:sz w:val="20"/>
                                <w:szCs w:val="20"/>
                                <w:rtl w:val="0"/>
                                <w:lang w:val="en-US"/>
                              </w:rPr>
                            </w:pPr>
                            <w:r>
                              <w:rPr>
                                <w:rFonts w:ascii="Arial" w:hAnsi="Arial"/>
                                <w:sz w:val="20"/>
                                <w:szCs w:val="20"/>
                                <w:rtl w:val="0"/>
                                <w:lang w:val="en-US"/>
                              </w:rPr>
                              <w:t xml:space="preserve">Include differentiation in lesson planning </w:t>
                            </w:r>
                          </w:p>
                        </w:tc>
                        <w:tc>
                          <w:tcPr>
                            <w:tcW w:type="dxa" w:w="2980"/>
                            <w:tcBorders>
                              <w:top w:val="nil"/>
                              <w:left w:val="single" w:color="000000" w:sz="7" w:space="0" w:shadow="0" w:frame="0"/>
                              <w:bottom w:val="single" w:color="000000" w:sz="7"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163" w:lineRule="exact"/>
                              <w:rPr>
                                <w:rFonts w:ascii="Arial" w:cs="Arial" w:hAnsi="Arial" w:eastAsia="Arial"/>
                                <w:sz w:val="20"/>
                                <w:szCs w:val="20"/>
                              </w:rPr>
                            </w:pPr>
                            <w:r>
                              <w:rPr>
                                <w:rFonts w:ascii="Arial" w:hAnsi="Arial"/>
                                <w:sz w:val="20"/>
                                <w:szCs w:val="20"/>
                                <w:rtl w:val="0"/>
                                <w:lang w:val="en-US"/>
                              </w:rPr>
                              <w:t>Differentiating questions to suit all levels and needs</w:t>
                            </w:r>
                          </w:p>
                          <w:p>
                            <w:pPr>
                              <w:pStyle w:val="Body A"/>
                              <w:spacing w:line="163" w:lineRule="exact"/>
                              <w:rPr>
                                <w:rFonts w:ascii="Arial" w:cs="Arial" w:hAnsi="Arial" w:eastAsia="Arial"/>
                                <w:sz w:val="20"/>
                                <w:szCs w:val="20"/>
                                <w:lang w:val="en-US"/>
                              </w:rPr>
                            </w:pPr>
                          </w:p>
                          <w:p>
                            <w:pPr>
                              <w:pStyle w:val="Body A"/>
                              <w:bidi w:val="0"/>
                              <w:spacing w:line="163" w:lineRule="exact"/>
                              <w:ind w:left="0" w:right="0" w:firstLine="0"/>
                              <w:jc w:val="left"/>
                              <w:rPr>
                                <w:rFonts w:ascii="Arial" w:cs="Arial" w:hAnsi="Arial" w:eastAsia="Arial"/>
                                <w:sz w:val="20"/>
                                <w:szCs w:val="20"/>
                                <w:rtl w:val="0"/>
                              </w:rPr>
                            </w:pPr>
                            <w:r>
                              <w:rPr>
                                <w:rFonts w:ascii="Arial" w:hAnsi="Arial"/>
                                <w:sz w:val="20"/>
                                <w:szCs w:val="20"/>
                                <w:rtl w:val="0"/>
                                <w:lang w:val="en-US"/>
                              </w:rPr>
                              <w:t>All learners can access the lesson</w:t>
                            </w:r>
                          </w:p>
                          <w:p>
                            <w:pPr>
                              <w:pStyle w:val="Body A"/>
                              <w:spacing w:line="163" w:lineRule="exact"/>
                              <w:rPr>
                                <w:rFonts w:ascii="Arial" w:cs="Arial" w:hAnsi="Arial" w:eastAsia="Arial"/>
                                <w:sz w:val="20"/>
                                <w:szCs w:val="20"/>
                                <w:lang w:val="en-US"/>
                              </w:rPr>
                            </w:pPr>
                          </w:p>
                          <w:p>
                            <w:pPr>
                              <w:pStyle w:val="Body A"/>
                              <w:bidi w:val="0"/>
                              <w:spacing w:line="163" w:lineRule="exact"/>
                              <w:ind w:left="0" w:right="0" w:firstLine="0"/>
                              <w:jc w:val="left"/>
                              <w:rPr>
                                <w:rFonts w:ascii="Arial" w:cs="Arial" w:hAnsi="Arial" w:eastAsia="Arial"/>
                                <w:sz w:val="20"/>
                                <w:szCs w:val="20"/>
                                <w:rtl w:val="0"/>
                              </w:rPr>
                            </w:pPr>
                            <w:r>
                              <w:rPr>
                                <w:rFonts w:ascii="Arial" w:hAnsi="Arial"/>
                                <w:sz w:val="20"/>
                                <w:szCs w:val="20"/>
                                <w:rtl w:val="0"/>
                                <w:lang w:val="en-US"/>
                              </w:rPr>
                              <w:t xml:space="preserve">Greater student participation </w:t>
                            </w:r>
                          </w:p>
                          <w:p>
                            <w:pPr>
                              <w:pStyle w:val="Body A"/>
                              <w:spacing w:line="163" w:lineRule="exact"/>
                              <w:rPr>
                                <w:rFonts w:ascii="Arial" w:cs="Arial" w:hAnsi="Arial" w:eastAsia="Arial"/>
                                <w:sz w:val="20"/>
                                <w:szCs w:val="20"/>
                                <w:lang w:val="en-US"/>
                              </w:rPr>
                            </w:pPr>
                          </w:p>
                          <w:p>
                            <w:pPr>
                              <w:pStyle w:val="Body A"/>
                              <w:tabs>
                                <w:tab w:val="left" w:pos="720"/>
                                <w:tab w:val="left" w:pos="1440"/>
                                <w:tab w:val="left" w:pos="2160"/>
                                <w:tab w:val="left" w:pos="2880"/>
                                <w:tab w:val="left" w:pos="3330"/>
                                <w:tab w:val="left" w:pos="4320"/>
                              </w:tabs>
                              <w:spacing w:after="19"/>
                            </w:pPr>
                            <w:r>
                              <w:rPr>
                                <w:rFonts w:ascii="Arial" w:hAnsi="Arial"/>
                                <w:sz w:val="20"/>
                                <w:szCs w:val="20"/>
                                <w:rtl w:val="0"/>
                                <w:lang w:val="en-US"/>
                              </w:rPr>
                              <w:t>Providing extension tasks for high attaining learners</w:t>
                            </w:r>
                          </w:p>
                        </w:tc>
                        <w:tc>
                          <w:tcPr>
                            <w:tcW w:type="dxa" w:w="1032"/>
                            <w:tcBorders>
                              <w:top w:val="nil"/>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163" w:lineRule="exact"/>
                              <w:ind w:left="0" w:right="0" w:firstLine="0"/>
                              <w:jc w:val="lef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The end of PT1</w:t>
                            </w:r>
                          </w:p>
                        </w:tc>
                      </w:tr>
                    </w:tbl>
                  </w:txbxContent>
                </v:textbox>
                <w10:wrap type="none" side="bothSides" anchorx="page" anchory="page"/>
              </v:shape>
            </w:pict>
          </mc:Fallback>
        </mc:AlternateConten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lowerRoman"/>
      <w:suff w:val="tab"/>
      <w:lvlText w:val="(%1)"/>
      <w:lvlJc w:val="left"/>
      <w:pPr>
        <w:ind w:left="1080" w:hanging="72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6"/>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lowerRoman"/>
      <w:suff w:val="tab"/>
      <w:lvlText w:val="%1)"/>
      <w:lvlJc w:val="left"/>
      <w:pPr>
        <w:tabs>
          <w:tab w:val="left" w:pos="720"/>
          <w:tab w:val="left" w:pos="1440"/>
          <w:tab w:val="left" w:pos="2160"/>
          <w:tab w:val="left" w:pos="2880"/>
          <w:tab w:val="left" w:pos="3330"/>
          <w:tab w:val="left" w:pos="4320"/>
        </w:tabs>
        <w:ind w:left="263" w:hanging="26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Roman"/>
      <w:suff w:val="tab"/>
      <w:lvlText w:val="%2)"/>
      <w:lvlJc w:val="left"/>
      <w:pPr>
        <w:tabs>
          <w:tab w:val="left" w:pos="720"/>
          <w:tab w:val="left" w:pos="1440"/>
          <w:tab w:val="left" w:pos="2160"/>
          <w:tab w:val="left" w:pos="2880"/>
          <w:tab w:val="left" w:pos="3330"/>
          <w:tab w:val="left" w:pos="4320"/>
        </w:tabs>
        <w:ind w:left="1263" w:hanging="26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 w:val="left" w:pos="1440"/>
          <w:tab w:val="left" w:pos="2880"/>
          <w:tab w:val="left" w:pos="3330"/>
          <w:tab w:val="left" w:pos="4320"/>
        </w:tabs>
        <w:ind w:left="2263" w:hanging="26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Roman"/>
      <w:suff w:val="tab"/>
      <w:lvlText w:val="%4)"/>
      <w:lvlJc w:val="left"/>
      <w:pPr>
        <w:tabs>
          <w:tab w:val="left" w:pos="720"/>
          <w:tab w:val="left" w:pos="1440"/>
          <w:tab w:val="left" w:pos="2160"/>
          <w:tab w:val="left" w:pos="2880"/>
          <w:tab w:val="left" w:pos="3330"/>
          <w:tab w:val="left" w:pos="4320"/>
        </w:tabs>
        <w:ind w:left="3263" w:hanging="26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Roman"/>
      <w:suff w:val="tab"/>
      <w:lvlText w:val="%5)"/>
      <w:lvlJc w:val="left"/>
      <w:pPr>
        <w:tabs>
          <w:tab w:val="left" w:pos="720"/>
          <w:tab w:val="left" w:pos="1440"/>
          <w:tab w:val="left" w:pos="2160"/>
          <w:tab w:val="left" w:pos="2880"/>
          <w:tab w:val="left" w:pos="3330"/>
          <w:tab w:val="left" w:pos="4320"/>
        </w:tabs>
        <w:ind w:left="4263" w:hanging="26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 w:val="left" w:pos="1440"/>
          <w:tab w:val="left" w:pos="2160"/>
          <w:tab w:val="left" w:pos="2880"/>
          <w:tab w:val="left" w:pos="3330"/>
          <w:tab w:val="left" w:pos="4320"/>
        </w:tabs>
        <w:ind w:left="5263" w:hanging="26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Roman"/>
      <w:suff w:val="tab"/>
      <w:lvlText w:val="%7)"/>
      <w:lvlJc w:val="left"/>
      <w:pPr>
        <w:tabs>
          <w:tab w:val="left" w:pos="720"/>
          <w:tab w:val="left" w:pos="1440"/>
          <w:tab w:val="left" w:pos="2160"/>
          <w:tab w:val="left" w:pos="2880"/>
          <w:tab w:val="left" w:pos="3330"/>
          <w:tab w:val="left" w:pos="4320"/>
        </w:tabs>
        <w:ind w:left="6263" w:hanging="26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Roman"/>
      <w:suff w:val="tab"/>
      <w:lvlText w:val="%8)"/>
      <w:lvlJc w:val="left"/>
      <w:pPr>
        <w:tabs>
          <w:tab w:val="left" w:pos="720"/>
          <w:tab w:val="left" w:pos="1440"/>
          <w:tab w:val="left" w:pos="2160"/>
          <w:tab w:val="left" w:pos="2880"/>
          <w:tab w:val="left" w:pos="3330"/>
          <w:tab w:val="left" w:pos="4320"/>
        </w:tabs>
        <w:ind w:left="7263" w:hanging="26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 w:val="left" w:pos="1440"/>
          <w:tab w:val="left" w:pos="2160"/>
          <w:tab w:val="left" w:pos="2880"/>
          <w:tab w:val="left" w:pos="3330"/>
          <w:tab w:val="left" w:pos="4320"/>
        </w:tabs>
        <w:ind w:left="8263" w:hanging="26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lowerRoman"/>
      <w:suff w:val="tab"/>
      <w:lvlText w:val="%1)"/>
      <w:lvlJc w:val="left"/>
      <w:pPr>
        <w:tabs>
          <w:tab w:val="left" w:pos="720"/>
          <w:tab w:val="left" w:pos="1440"/>
          <w:tab w:val="left" w:pos="2160"/>
          <w:tab w:val="left" w:pos="2880"/>
          <w:tab w:val="left" w:pos="3330"/>
          <w:tab w:val="left" w:pos="4320"/>
        </w:tabs>
        <w:ind w:left="263" w:hanging="26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Roman"/>
      <w:suff w:val="tab"/>
      <w:lvlText w:val="%2)"/>
      <w:lvlJc w:val="left"/>
      <w:pPr>
        <w:tabs>
          <w:tab w:val="left" w:pos="720"/>
          <w:tab w:val="left" w:pos="1440"/>
          <w:tab w:val="left" w:pos="2160"/>
          <w:tab w:val="left" w:pos="2880"/>
          <w:tab w:val="left" w:pos="3330"/>
          <w:tab w:val="left" w:pos="4320"/>
        </w:tabs>
        <w:ind w:left="1263" w:hanging="26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 w:val="left" w:pos="1440"/>
          <w:tab w:val="left" w:pos="2880"/>
          <w:tab w:val="left" w:pos="3330"/>
          <w:tab w:val="left" w:pos="4320"/>
        </w:tabs>
        <w:ind w:left="2263" w:hanging="26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Roman"/>
      <w:suff w:val="tab"/>
      <w:lvlText w:val="%4)"/>
      <w:lvlJc w:val="left"/>
      <w:pPr>
        <w:tabs>
          <w:tab w:val="left" w:pos="720"/>
          <w:tab w:val="left" w:pos="1440"/>
          <w:tab w:val="left" w:pos="2160"/>
          <w:tab w:val="left" w:pos="2880"/>
          <w:tab w:val="left" w:pos="3330"/>
          <w:tab w:val="left" w:pos="4320"/>
        </w:tabs>
        <w:ind w:left="3263" w:hanging="26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Roman"/>
      <w:suff w:val="tab"/>
      <w:lvlText w:val="%5)"/>
      <w:lvlJc w:val="left"/>
      <w:pPr>
        <w:tabs>
          <w:tab w:val="left" w:pos="720"/>
          <w:tab w:val="left" w:pos="1440"/>
          <w:tab w:val="left" w:pos="2160"/>
          <w:tab w:val="left" w:pos="2880"/>
          <w:tab w:val="left" w:pos="3330"/>
          <w:tab w:val="left" w:pos="4320"/>
        </w:tabs>
        <w:ind w:left="4263" w:hanging="26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 w:val="left" w:pos="1440"/>
          <w:tab w:val="left" w:pos="2160"/>
          <w:tab w:val="left" w:pos="2880"/>
          <w:tab w:val="left" w:pos="3330"/>
          <w:tab w:val="left" w:pos="4320"/>
        </w:tabs>
        <w:ind w:left="5263" w:hanging="26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Roman"/>
      <w:suff w:val="tab"/>
      <w:lvlText w:val="%7)"/>
      <w:lvlJc w:val="left"/>
      <w:pPr>
        <w:tabs>
          <w:tab w:val="left" w:pos="720"/>
          <w:tab w:val="left" w:pos="1440"/>
          <w:tab w:val="left" w:pos="2160"/>
          <w:tab w:val="left" w:pos="2880"/>
          <w:tab w:val="left" w:pos="3330"/>
          <w:tab w:val="left" w:pos="4320"/>
        </w:tabs>
        <w:ind w:left="6263" w:hanging="26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Roman"/>
      <w:suff w:val="tab"/>
      <w:lvlText w:val="%8)"/>
      <w:lvlJc w:val="left"/>
      <w:pPr>
        <w:tabs>
          <w:tab w:val="left" w:pos="720"/>
          <w:tab w:val="left" w:pos="1440"/>
          <w:tab w:val="left" w:pos="2160"/>
          <w:tab w:val="left" w:pos="2880"/>
          <w:tab w:val="left" w:pos="3330"/>
          <w:tab w:val="left" w:pos="4320"/>
        </w:tabs>
        <w:ind w:left="7263" w:hanging="26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 w:val="left" w:pos="1440"/>
          <w:tab w:val="left" w:pos="2160"/>
          <w:tab w:val="left" w:pos="2880"/>
          <w:tab w:val="left" w:pos="3330"/>
          <w:tab w:val="left" w:pos="4320"/>
        </w:tabs>
        <w:ind w:left="8263" w:hanging="26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lowerRoman"/>
      <w:suff w:val="tab"/>
      <w:lvlText w:val="%1)"/>
      <w:lvlJc w:val="left"/>
      <w:pPr>
        <w:tabs>
          <w:tab w:val="left" w:pos="720"/>
          <w:tab w:val="left" w:pos="1440"/>
          <w:tab w:val="left" w:pos="2160"/>
          <w:tab w:val="left" w:pos="2880"/>
          <w:tab w:val="left" w:pos="3330"/>
          <w:tab w:val="left" w:pos="4320"/>
        </w:tabs>
        <w:ind w:left="263" w:hanging="26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Roman"/>
      <w:suff w:val="tab"/>
      <w:lvlText w:val="%2)"/>
      <w:lvlJc w:val="left"/>
      <w:pPr>
        <w:tabs>
          <w:tab w:val="left" w:pos="720"/>
          <w:tab w:val="left" w:pos="1440"/>
          <w:tab w:val="left" w:pos="2160"/>
          <w:tab w:val="left" w:pos="2880"/>
          <w:tab w:val="left" w:pos="3330"/>
          <w:tab w:val="left" w:pos="4320"/>
        </w:tabs>
        <w:ind w:left="1263" w:hanging="26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 w:val="left" w:pos="1440"/>
          <w:tab w:val="left" w:pos="2880"/>
          <w:tab w:val="left" w:pos="3330"/>
          <w:tab w:val="left" w:pos="4320"/>
        </w:tabs>
        <w:ind w:left="2263" w:hanging="26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Roman"/>
      <w:suff w:val="tab"/>
      <w:lvlText w:val="%4)"/>
      <w:lvlJc w:val="left"/>
      <w:pPr>
        <w:tabs>
          <w:tab w:val="left" w:pos="720"/>
          <w:tab w:val="left" w:pos="1440"/>
          <w:tab w:val="left" w:pos="2160"/>
          <w:tab w:val="left" w:pos="2880"/>
          <w:tab w:val="left" w:pos="3330"/>
          <w:tab w:val="left" w:pos="4320"/>
        </w:tabs>
        <w:ind w:left="3263" w:hanging="26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Roman"/>
      <w:suff w:val="tab"/>
      <w:lvlText w:val="%5)"/>
      <w:lvlJc w:val="left"/>
      <w:pPr>
        <w:tabs>
          <w:tab w:val="left" w:pos="720"/>
          <w:tab w:val="left" w:pos="1440"/>
          <w:tab w:val="left" w:pos="2160"/>
          <w:tab w:val="left" w:pos="2880"/>
          <w:tab w:val="left" w:pos="3330"/>
          <w:tab w:val="left" w:pos="4320"/>
        </w:tabs>
        <w:ind w:left="4263" w:hanging="26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 w:val="left" w:pos="1440"/>
          <w:tab w:val="left" w:pos="2160"/>
          <w:tab w:val="left" w:pos="2880"/>
          <w:tab w:val="left" w:pos="3330"/>
          <w:tab w:val="left" w:pos="4320"/>
        </w:tabs>
        <w:ind w:left="5263" w:hanging="26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Roman"/>
      <w:suff w:val="tab"/>
      <w:lvlText w:val="%7)"/>
      <w:lvlJc w:val="left"/>
      <w:pPr>
        <w:tabs>
          <w:tab w:val="left" w:pos="720"/>
          <w:tab w:val="left" w:pos="1440"/>
          <w:tab w:val="left" w:pos="2160"/>
          <w:tab w:val="left" w:pos="2880"/>
          <w:tab w:val="left" w:pos="3330"/>
          <w:tab w:val="left" w:pos="4320"/>
        </w:tabs>
        <w:ind w:left="6263" w:hanging="26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Roman"/>
      <w:suff w:val="tab"/>
      <w:lvlText w:val="%8)"/>
      <w:lvlJc w:val="left"/>
      <w:pPr>
        <w:tabs>
          <w:tab w:val="left" w:pos="720"/>
          <w:tab w:val="left" w:pos="1440"/>
          <w:tab w:val="left" w:pos="2160"/>
          <w:tab w:val="left" w:pos="2880"/>
          <w:tab w:val="left" w:pos="3330"/>
          <w:tab w:val="left" w:pos="4320"/>
        </w:tabs>
        <w:ind w:left="7263" w:hanging="26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 w:val="left" w:pos="1440"/>
          <w:tab w:val="left" w:pos="2160"/>
          <w:tab w:val="left" w:pos="2880"/>
          <w:tab w:val="left" w:pos="3330"/>
          <w:tab w:val="left" w:pos="4320"/>
        </w:tabs>
        <w:ind w:left="8263" w:hanging="26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2"/>
      <w:szCs w:val="32"/>
      <w:u w:val="none"/>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