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50D4AB" w14:textId="77777777" w:rsidR="00B84FBD" w:rsidRPr="00B5328F" w:rsidRDefault="00B84FBD" w:rsidP="005A76B2">
      <w:pPr>
        <w:spacing w:line="480" w:lineRule="auto"/>
        <w:jc w:val="center"/>
        <w:rPr>
          <w:rFonts w:ascii="Times New Roman" w:hAnsi="Times New Roman" w:cs="Times New Roman"/>
          <w:sz w:val="24"/>
          <w:szCs w:val="24"/>
          <w:u w:val="single"/>
        </w:rPr>
      </w:pPr>
      <w:r w:rsidRPr="00B5328F">
        <w:rPr>
          <w:rFonts w:ascii="Times New Roman" w:hAnsi="Times New Roman" w:cs="Times New Roman"/>
          <w:sz w:val="24"/>
          <w:szCs w:val="24"/>
          <w:u w:val="single"/>
        </w:rPr>
        <w:t>Scholarly reply</w:t>
      </w:r>
    </w:p>
    <w:p w14:paraId="0DFB8A1A" w14:textId="00EC222F" w:rsidR="00710C4D" w:rsidRPr="00B5328F" w:rsidRDefault="00B84FBD" w:rsidP="005A76B2">
      <w:pPr>
        <w:spacing w:line="480" w:lineRule="auto"/>
        <w:rPr>
          <w:rFonts w:ascii="Times New Roman" w:hAnsi="Times New Roman" w:cs="Times New Roman"/>
          <w:sz w:val="24"/>
          <w:szCs w:val="24"/>
        </w:rPr>
      </w:pPr>
      <w:r w:rsidRPr="00B5328F">
        <w:rPr>
          <w:rFonts w:ascii="Times New Roman" w:hAnsi="Times New Roman" w:cs="Times New Roman"/>
          <w:sz w:val="24"/>
          <w:szCs w:val="24"/>
        </w:rPr>
        <w:t xml:space="preserve">The article which is the focus of this scholarly review is </w:t>
      </w:r>
      <w:r w:rsidRPr="01B9DC3B">
        <w:rPr>
          <w:rFonts w:ascii="Times New Roman" w:hAnsi="Times New Roman" w:cs="Times New Roman"/>
          <w:i/>
          <w:iCs/>
          <w:sz w:val="24"/>
          <w:szCs w:val="24"/>
        </w:rPr>
        <w:t xml:space="preserve">Warfare and Agriculture: The impact of devastation in Classical Greece. </w:t>
      </w:r>
      <w:r w:rsidRPr="00B5328F">
        <w:rPr>
          <w:rFonts w:ascii="Times New Roman" w:hAnsi="Times New Roman" w:cs="Times New Roman"/>
          <w:sz w:val="24"/>
          <w:szCs w:val="24"/>
        </w:rPr>
        <w:t>The article is written by James Thorne. Within this article Thorne focuses mainly u</w:t>
      </w:r>
      <w:r w:rsidR="00B5328F">
        <w:rPr>
          <w:rFonts w:ascii="Times New Roman" w:hAnsi="Times New Roman" w:cs="Times New Roman"/>
          <w:sz w:val="24"/>
          <w:szCs w:val="24"/>
        </w:rPr>
        <w:t>pon the arguments of Victor Hanso</w:t>
      </w:r>
      <w:r w:rsidRPr="00B5328F">
        <w:rPr>
          <w:rFonts w:ascii="Times New Roman" w:hAnsi="Times New Roman" w:cs="Times New Roman"/>
          <w:sz w:val="24"/>
          <w:szCs w:val="24"/>
        </w:rPr>
        <w:t xml:space="preserve">n and attempts to challenge them. </w:t>
      </w:r>
      <w:r w:rsidR="006A794B" w:rsidRPr="00B5328F">
        <w:rPr>
          <w:rFonts w:ascii="Times New Roman" w:hAnsi="Times New Roman" w:cs="Times New Roman"/>
          <w:sz w:val="24"/>
          <w:szCs w:val="24"/>
        </w:rPr>
        <w:t>Hanson’s work is based upon the common consensus among the major modern scholars of our time that the use of devastation tactics within classical Greece were ineffective as a method of weakening the enemy but were used as a provocation tactic as a precursor to the aggressor's main attack on the enemy.</w:t>
      </w:r>
      <w:r w:rsidR="00B5328F">
        <w:rPr>
          <w:rStyle w:val="FootnoteReference"/>
          <w:rFonts w:ascii="Times New Roman" w:hAnsi="Times New Roman" w:cs="Times New Roman"/>
          <w:sz w:val="24"/>
          <w:szCs w:val="24"/>
        </w:rPr>
        <w:footnoteReference w:id="1"/>
      </w:r>
      <w:r w:rsidR="006A794B" w:rsidRPr="00B5328F">
        <w:rPr>
          <w:rFonts w:ascii="Times New Roman" w:hAnsi="Times New Roman" w:cs="Times New Roman"/>
          <w:sz w:val="24"/>
          <w:szCs w:val="24"/>
        </w:rPr>
        <w:t xml:space="preserve"> Thorne disagrees with this idea saying that the impact of devastation alone was sufficient to be an effective tactic to damage the enemy when it comes to warfare in Classi</w:t>
      </w:r>
      <w:r w:rsidR="00B5328F">
        <w:rPr>
          <w:rFonts w:ascii="Times New Roman" w:hAnsi="Times New Roman" w:cs="Times New Roman"/>
          <w:sz w:val="24"/>
          <w:szCs w:val="24"/>
        </w:rPr>
        <w:t>cal Greece.</w:t>
      </w:r>
      <w:r w:rsidR="00B5328F">
        <w:rPr>
          <w:rStyle w:val="FootnoteReference"/>
          <w:rFonts w:ascii="Times New Roman" w:hAnsi="Times New Roman" w:cs="Times New Roman"/>
          <w:sz w:val="24"/>
          <w:szCs w:val="24"/>
        </w:rPr>
        <w:footnoteReference w:id="2"/>
      </w:r>
    </w:p>
    <w:p w14:paraId="05EDC318" w14:textId="06D5804E" w:rsidR="00710C4D" w:rsidRPr="00B5328F" w:rsidRDefault="00710C4D" w:rsidP="005A76B2">
      <w:pPr>
        <w:spacing w:line="480" w:lineRule="auto"/>
        <w:rPr>
          <w:rFonts w:ascii="Times New Roman" w:hAnsi="Times New Roman" w:cs="Times New Roman"/>
          <w:sz w:val="24"/>
          <w:szCs w:val="24"/>
        </w:rPr>
      </w:pPr>
      <w:r w:rsidRPr="00B5328F">
        <w:rPr>
          <w:rFonts w:ascii="Times New Roman" w:hAnsi="Times New Roman" w:cs="Times New Roman"/>
          <w:sz w:val="24"/>
          <w:szCs w:val="24"/>
        </w:rPr>
        <w:t>Thorne identifies two different schools of thought. Scholars of Thucydides have argued that devastation is an effective coercive strategy whereby food shortages caused by the devastation can b</w:t>
      </w:r>
      <w:r w:rsidR="00B5328F">
        <w:rPr>
          <w:rFonts w:ascii="Times New Roman" w:hAnsi="Times New Roman" w:cs="Times New Roman"/>
          <w:sz w:val="24"/>
          <w:szCs w:val="24"/>
        </w:rPr>
        <w:t>e used to manipulate the enemy. Thorne uses ancient works to his advantage here as he mentions that of Xenophon who writes of Philius being the target of devastation from Thebes’ allies.</w:t>
      </w:r>
      <w:r w:rsidR="00684E79">
        <w:rPr>
          <w:rStyle w:val="FootnoteReference"/>
          <w:rFonts w:ascii="Times New Roman" w:hAnsi="Times New Roman" w:cs="Times New Roman"/>
          <w:sz w:val="24"/>
          <w:szCs w:val="24"/>
        </w:rPr>
        <w:footnoteReference w:id="3"/>
      </w:r>
      <w:r w:rsidR="00B5328F">
        <w:rPr>
          <w:rFonts w:ascii="Times New Roman" w:hAnsi="Times New Roman" w:cs="Times New Roman"/>
          <w:sz w:val="24"/>
          <w:szCs w:val="24"/>
        </w:rPr>
        <w:t xml:space="preserve"> Using Xenophon he makes the point that</w:t>
      </w:r>
      <w:r w:rsidR="00684E79">
        <w:rPr>
          <w:rFonts w:ascii="Times New Roman" w:hAnsi="Times New Roman" w:cs="Times New Roman"/>
          <w:sz w:val="24"/>
          <w:szCs w:val="24"/>
        </w:rPr>
        <w:t xml:space="preserve"> the impact of devastation on Philius was large enough to cause food shortages. </w:t>
      </w:r>
      <w:r w:rsidR="00B5328F">
        <w:rPr>
          <w:rFonts w:ascii="Times New Roman" w:hAnsi="Times New Roman" w:cs="Times New Roman"/>
          <w:sz w:val="24"/>
          <w:szCs w:val="24"/>
        </w:rPr>
        <w:t xml:space="preserve"> </w:t>
      </w:r>
      <w:r w:rsidRPr="00B5328F">
        <w:rPr>
          <w:rFonts w:ascii="Times New Roman" w:hAnsi="Times New Roman" w:cs="Times New Roman"/>
          <w:sz w:val="24"/>
          <w:szCs w:val="24"/>
        </w:rPr>
        <w:t>The second school of thought, and one that has been more popular recently, argues that the devastation could not be completed on a large enough scale to be as effective as needed in causing hardship</w:t>
      </w:r>
      <w:r w:rsidR="00684E79">
        <w:rPr>
          <w:rFonts w:ascii="Times New Roman" w:hAnsi="Times New Roman" w:cs="Times New Roman"/>
          <w:sz w:val="24"/>
          <w:szCs w:val="24"/>
        </w:rPr>
        <w:t>. Victor Hanson’s work is the main contributor to this theory.</w:t>
      </w:r>
    </w:p>
    <w:p w14:paraId="0D621350" w14:textId="77777777" w:rsidR="00710C4D" w:rsidRPr="00B5328F" w:rsidRDefault="00710C4D" w:rsidP="005A76B2">
      <w:pPr>
        <w:spacing w:line="480" w:lineRule="auto"/>
        <w:rPr>
          <w:rFonts w:ascii="Times New Roman" w:hAnsi="Times New Roman" w:cs="Times New Roman"/>
          <w:sz w:val="24"/>
          <w:szCs w:val="24"/>
        </w:rPr>
      </w:pPr>
      <w:r w:rsidRPr="00B5328F">
        <w:rPr>
          <w:rFonts w:ascii="Times New Roman" w:hAnsi="Times New Roman" w:cs="Times New Roman"/>
          <w:sz w:val="24"/>
          <w:szCs w:val="24"/>
        </w:rPr>
        <w:t xml:space="preserve">Thorne is careful to commend Hanson on his thoroughly researched work: </w:t>
      </w:r>
      <w:r w:rsidRPr="00B5328F">
        <w:rPr>
          <w:rFonts w:ascii="Times New Roman" w:hAnsi="Times New Roman" w:cs="Times New Roman"/>
          <w:i/>
          <w:sz w:val="24"/>
          <w:szCs w:val="24"/>
        </w:rPr>
        <w:t>Warfare and agriculture in classical Greece</w:t>
      </w:r>
      <w:r w:rsidRPr="00B5328F">
        <w:rPr>
          <w:rFonts w:ascii="Times New Roman" w:hAnsi="Times New Roman" w:cs="Times New Roman"/>
          <w:sz w:val="24"/>
          <w:szCs w:val="24"/>
        </w:rPr>
        <w:t>. But at the same time claims that his argument that devastation could not create meaningful damage, is flawed.</w:t>
      </w:r>
    </w:p>
    <w:p w14:paraId="611D3549" w14:textId="7F8B4433" w:rsidR="00684E79" w:rsidRDefault="00710C4D" w:rsidP="005A76B2">
      <w:pPr>
        <w:spacing w:line="480" w:lineRule="auto"/>
        <w:rPr>
          <w:rFonts w:ascii="Times New Roman" w:hAnsi="Times New Roman" w:cs="Times New Roman"/>
          <w:sz w:val="24"/>
          <w:szCs w:val="24"/>
        </w:rPr>
      </w:pPr>
      <w:r w:rsidRPr="00B5328F">
        <w:rPr>
          <w:rFonts w:ascii="Times New Roman" w:hAnsi="Times New Roman" w:cs="Times New Roman"/>
          <w:sz w:val="24"/>
          <w:szCs w:val="24"/>
        </w:rPr>
        <w:lastRenderedPageBreak/>
        <w:t xml:space="preserve">Thorne quite reasonably draws attention to the elephant in the room that these </w:t>
      </w:r>
      <w:r w:rsidR="00293236">
        <w:rPr>
          <w:rFonts w:ascii="Times New Roman" w:hAnsi="Times New Roman" w:cs="Times New Roman"/>
          <w:sz w:val="24"/>
          <w:szCs w:val="24"/>
        </w:rPr>
        <w:t>scholarly debates seem to avoid;</w:t>
      </w:r>
      <w:r w:rsidRPr="00B5328F">
        <w:rPr>
          <w:rFonts w:ascii="Times New Roman" w:hAnsi="Times New Roman" w:cs="Times New Roman"/>
          <w:sz w:val="24"/>
          <w:szCs w:val="24"/>
        </w:rPr>
        <w:t xml:space="preserve"> that if these acts of devastation were not used for the economic effect then why they were practised repeatedly.</w:t>
      </w:r>
      <w:r w:rsidR="002B4954" w:rsidRPr="00B5328F">
        <w:rPr>
          <w:rFonts w:ascii="Times New Roman" w:hAnsi="Times New Roman" w:cs="Times New Roman"/>
          <w:sz w:val="24"/>
          <w:szCs w:val="24"/>
        </w:rPr>
        <w:t xml:space="preserve"> Thorne backs up his statement well </w:t>
      </w:r>
      <w:r w:rsidR="00684E79">
        <w:rPr>
          <w:rFonts w:ascii="Times New Roman" w:hAnsi="Times New Roman" w:cs="Times New Roman"/>
          <w:sz w:val="24"/>
          <w:szCs w:val="24"/>
        </w:rPr>
        <w:t>by usin</w:t>
      </w:r>
      <w:r w:rsidR="00707ECD">
        <w:rPr>
          <w:rFonts w:ascii="Times New Roman" w:hAnsi="Times New Roman" w:cs="Times New Roman"/>
          <w:sz w:val="24"/>
          <w:szCs w:val="24"/>
        </w:rPr>
        <w:t>g the works of Lin Foxhall.</w:t>
      </w:r>
      <w:r w:rsidR="00707ECD">
        <w:rPr>
          <w:rStyle w:val="FootnoteReference"/>
          <w:rFonts w:ascii="Times New Roman" w:hAnsi="Times New Roman" w:cs="Times New Roman"/>
          <w:sz w:val="24"/>
          <w:szCs w:val="24"/>
        </w:rPr>
        <w:footnoteReference w:id="4"/>
      </w:r>
      <w:r w:rsidR="00707ECD">
        <w:rPr>
          <w:rFonts w:ascii="Times New Roman" w:hAnsi="Times New Roman" w:cs="Times New Roman"/>
          <w:sz w:val="24"/>
          <w:szCs w:val="24"/>
        </w:rPr>
        <w:t xml:space="preserve"> </w:t>
      </w:r>
      <w:r w:rsidR="005A76B2">
        <w:rPr>
          <w:rFonts w:ascii="Times New Roman" w:hAnsi="Times New Roman" w:cs="Times New Roman"/>
          <w:sz w:val="24"/>
          <w:szCs w:val="24"/>
        </w:rPr>
        <w:t>Foxhall gives the numbers on how much of the average person’s diet relied upon the cereals, which is stated as being between seventy and seventy percent</w:t>
      </w:r>
      <w:r w:rsidR="005A76B2">
        <w:rPr>
          <w:rStyle w:val="FootnoteReference"/>
          <w:rFonts w:ascii="Times New Roman" w:hAnsi="Times New Roman" w:cs="Times New Roman"/>
          <w:sz w:val="24"/>
          <w:szCs w:val="24"/>
        </w:rPr>
        <w:footnoteReference w:id="5"/>
      </w:r>
      <w:r w:rsidR="005A76B2">
        <w:rPr>
          <w:rFonts w:ascii="Times New Roman" w:hAnsi="Times New Roman" w:cs="Times New Roman"/>
          <w:sz w:val="24"/>
          <w:szCs w:val="24"/>
        </w:rPr>
        <w:t xml:space="preserve">. </w:t>
      </w:r>
      <w:r w:rsidR="00707ECD">
        <w:rPr>
          <w:rFonts w:ascii="Times New Roman" w:hAnsi="Times New Roman" w:cs="Times New Roman"/>
          <w:sz w:val="24"/>
          <w:szCs w:val="24"/>
        </w:rPr>
        <w:t>Using Lin Foxhall to reinforce his points helps his purpose of explaining that devastation had a larger impact than believed as her work on farming and fighting explains how it could possibly have helped to</w:t>
      </w:r>
      <w:r w:rsidR="00293236">
        <w:rPr>
          <w:rFonts w:ascii="Times New Roman" w:hAnsi="Times New Roman" w:cs="Times New Roman"/>
          <w:sz w:val="24"/>
          <w:szCs w:val="24"/>
        </w:rPr>
        <w:t xml:space="preserve"> “sow dissent.</w:t>
      </w:r>
      <w:r w:rsidR="00707ECD">
        <w:rPr>
          <w:rFonts w:ascii="Times New Roman" w:hAnsi="Times New Roman" w:cs="Times New Roman"/>
          <w:sz w:val="24"/>
          <w:szCs w:val="24"/>
        </w:rPr>
        <w:t>”</w:t>
      </w:r>
      <w:r w:rsidR="00707ECD">
        <w:rPr>
          <w:rStyle w:val="FootnoteReference"/>
          <w:rFonts w:ascii="Times New Roman" w:hAnsi="Times New Roman" w:cs="Times New Roman"/>
          <w:sz w:val="24"/>
          <w:szCs w:val="24"/>
        </w:rPr>
        <w:footnoteReference w:id="6"/>
      </w:r>
    </w:p>
    <w:p w14:paraId="068BA242" w14:textId="0CDD04C8" w:rsidR="00710C4D" w:rsidRDefault="6230C26F" w:rsidP="005A76B2">
      <w:pPr>
        <w:spacing w:line="480" w:lineRule="auto"/>
        <w:rPr>
          <w:rFonts w:ascii="Times New Roman" w:hAnsi="Times New Roman" w:cs="Times New Roman"/>
          <w:sz w:val="24"/>
          <w:szCs w:val="24"/>
        </w:rPr>
      </w:pPr>
      <w:r w:rsidRPr="6230C26F">
        <w:rPr>
          <w:rFonts w:ascii="Times New Roman" w:hAnsi="Times New Roman" w:cs="Times New Roman"/>
          <w:sz w:val="24"/>
          <w:szCs w:val="24"/>
        </w:rPr>
        <w:t xml:space="preserve">Thorne effectively uses the example from the Punic Wars to show that these tactics of devastation were </w:t>
      </w:r>
      <w:r w:rsidR="007D2074">
        <w:rPr>
          <w:rFonts w:ascii="Times New Roman" w:hAnsi="Times New Roman" w:cs="Times New Roman"/>
          <w:sz w:val="24"/>
          <w:szCs w:val="24"/>
        </w:rPr>
        <w:t>used to an incredible advantage.</w:t>
      </w:r>
      <w:r w:rsidR="007D2074">
        <w:rPr>
          <w:rStyle w:val="FootnoteReference"/>
          <w:rFonts w:ascii="Times New Roman" w:hAnsi="Times New Roman" w:cs="Times New Roman"/>
          <w:sz w:val="24"/>
          <w:szCs w:val="24"/>
        </w:rPr>
        <w:footnoteReference w:id="7"/>
      </w:r>
      <w:r w:rsidR="007D2074">
        <w:rPr>
          <w:rFonts w:ascii="Times New Roman" w:hAnsi="Times New Roman" w:cs="Times New Roman"/>
          <w:sz w:val="24"/>
          <w:szCs w:val="24"/>
        </w:rPr>
        <w:t xml:space="preserve"> Within the book written by Toynbee, as it is said by Thorne in his footnotes, he talks about the economic impact of the devastation inflicted by the Carthaginians on Roman soil. Toynbee is not the only scholar to write on the effects of devastation within the second Punic war, there are many books on the subject which agree with him in saying that the impacts of the devastation were astronomical.</w:t>
      </w:r>
      <w:r w:rsidR="007D2074">
        <w:rPr>
          <w:rStyle w:val="FootnoteReference"/>
          <w:rFonts w:ascii="Times New Roman" w:hAnsi="Times New Roman" w:cs="Times New Roman"/>
          <w:sz w:val="24"/>
          <w:szCs w:val="24"/>
        </w:rPr>
        <w:footnoteReference w:id="8"/>
      </w:r>
      <w:r w:rsidR="007D2074">
        <w:rPr>
          <w:rFonts w:ascii="Times New Roman" w:hAnsi="Times New Roman" w:cs="Times New Roman"/>
          <w:sz w:val="24"/>
          <w:szCs w:val="24"/>
        </w:rPr>
        <w:t xml:space="preserve">  </w:t>
      </w:r>
      <w:r w:rsidRPr="6230C26F">
        <w:rPr>
          <w:rFonts w:ascii="Times New Roman" w:hAnsi="Times New Roman" w:cs="Times New Roman"/>
          <w:sz w:val="24"/>
          <w:szCs w:val="24"/>
        </w:rPr>
        <w:t xml:space="preserve"> The use of other sources increases the validity of Thorne</w:t>
      </w:r>
      <w:r w:rsidR="005A76B2">
        <w:rPr>
          <w:rFonts w:ascii="Times New Roman" w:hAnsi="Times New Roman" w:cs="Times New Roman"/>
          <w:sz w:val="24"/>
          <w:szCs w:val="24"/>
        </w:rPr>
        <w:t>’</w:t>
      </w:r>
      <w:r w:rsidRPr="6230C26F">
        <w:rPr>
          <w:rFonts w:ascii="Times New Roman" w:hAnsi="Times New Roman" w:cs="Times New Roman"/>
          <w:sz w:val="24"/>
          <w:szCs w:val="24"/>
        </w:rPr>
        <w:t>s statement as he has sufficient evidence to reinforce the idea which</w:t>
      </w:r>
      <w:r w:rsidR="005A76B2">
        <w:rPr>
          <w:rFonts w:ascii="Times New Roman" w:hAnsi="Times New Roman" w:cs="Times New Roman"/>
          <w:sz w:val="24"/>
          <w:szCs w:val="24"/>
        </w:rPr>
        <w:t>,</w:t>
      </w:r>
      <w:r w:rsidRPr="6230C26F">
        <w:rPr>
          <w:rFonts w:ascii="Times New Roman" w:hAnsi="Times New Roman" w:cs="Times New Roman"/>
          <w:sz w:val="24"/>
          <w:szCs w:val="24"/>
        </w:rPr>
        <w:t xml:space="preserve"> according to the work of Hanson and other modern scholars</w:t>
      </w:r>
      <w:r w:rsidR="005A76B2">
        <w:rPr>
          <w:rFonts w:ascii="Times New Roman" w:hAnsi="Times New Roman" w:cs="Times New Roman"/>
          <w:sz w:val="24"/>
          <w:szCs w:val="24"/>
        </w:rPr>
        <w:t>,</w:t>
      </w:r>
      <w:r w:rsidRPr="6230C26F">
        <w:rPr>
          <w:rFonts w:ascii="Times New Roman" w:hAnsi="Times New Roman" w:cs="Times New Roman"/>
          <w:sz w:val="24"/>
          <w:szCs w:val="24"/>
        </w:rPr>
        <w:t xml:space="preserve"> is not a valid one.</w:t>
      </w:r>
      <w:r w:rsidR="00627955">
        <w:rPr>
          <w:rFonts w:ascii="Times New Roman" w:hAnsi="Times New Roman" w:cs="Times New Roman"/>
          <w:sz w:val="24"/>
          <w:szCs w:val="24"/>
        </w:rPr>
        <w:t xml:space="preserve"> </w:t>
      </w:r>
      <w:r w:rsidR="00D32BDA">
        <w:rPr>
          <w:rFonts w:ascii="Times New Roman" w:hAnsi="Times New Roman" w:cs="Times New Roman"/>
          <w:sz w:val="24"/>
          <w:szCs w:val="24"/>
        </w:rPr>
        <w:t>Within the works of Cornell the ideas of Brunt and Toynbee are discussed and whilst Toynbee’s ideas are rather far-fetched, there is no doubt</w:t>
      </w:r>
      <w:r w:rsidR="0001404D">
        <w:rPr>
          <w:rFonts w:ascii="Times New Roman" w:hAnsi="Times New Roman" w:cs="Times New Roman"/>
          <w:sz w:val="24"/>
          <w:szCs w:val="24"/>
        </w:rPr>
        <w:t xml:space="preserve"> that the impact of devastation </w:t>
      </w:r>
      <w:r w:rsidR="006C7323">
        <w:rPr>
          <w:rFonts w:ascii="Times New Roman" w:hAnsi="Times New Roman" w:cs="Times New Roman"/>
          <w:sz w:val="24"/>
          <w:szCs w:val="24"/>
        </w:rPr>
        <w:t>would indeed</w:t>
      </w:r>
      <w:r w:rsidR="0001404D">
        <w:rPr>
          <w:rFonts w:ascii="Times New Roman" w:hAnsi="Times New Roman" w:cs="Times New Roman"/>
          <w:sz w:val="24"/>
          <w:szCs w:val="24"/>
        </w:rPr>
        <w:t xml:space="preserve"> cause enough damage to warrant the tactic being used </w:t>
      </w:r>
      <w:r w:rsidR="00A2136C">
        <w:rPr>
          <w:rFonts w:ascii="Times New Roman" w:hAnsi="Times New Roman" w:cs="Times New Roman"/>
          <w:sz w:val="24"/>
          <w:szCs w:val="24"/>
        </w:rPr>
        <w:t>by the aggressor</w:t>
      </w:r>
      <w:r w:rsidR="00D32BDA">
        <w:rPr>
          <w:rFonts w:ascii="Times New Roman" w:hAnsi="Times New Roman" w:cs="Times New Roman"/>
          <w:sz w:val="24"/>
          <w:szCs w:val="24"/>
        </w:rPr>
        <w:t>s in the classical Greek world.</w:t>
      </w:r>
      <w:r w:rsidR="00D32BDA">
        <w:rPr>
          <w:rStyle w:val="FootnoteReference"/>
          <w:rFonts w:ascii="Times New Roman" w:hAnsi="Times New Roman" w:cs="Times New Roman"/>
          <w:sz w:val="24"/>
          <w:szCs w:val="24"/>
        </w:rPr>
        <w:footnoteReference w:id="9"/>
      </w:r>
    </w:p>
    <w:p w14:paraId="1DB41865" w14:textId="77777777" w:rsidR="001679A3" w:rsidRDefault="008B5099" w:rsidP="005A76B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Thorne can be seen to talk about the three ways in which devastation can be achieved in the ancient world, cutting, trampling and burning the crops in question.</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Within this section of his article Thorne uses examples from the ancient sources to show evidence for his statements on the ways in which the aggressors would devastate the </w:t>
      </w:r>
      <w:r w:rsidR="001679A3">
        <w:rPr>
          <w:rFonts w:ascii="Times New Roman" w:hAnsi="Times New Roman" w:cs="Times New Roman"/>
          <w:sz w:val="24"/>
          <w:szCs w:val="24"/>
        </w:rPr>
        <w:t>enemy’s crops such as the use of Thucydides to give an example of the use of the cutting technique.</w:t>
      </w:r>
      <w:r w:rsidR="001679A3">
        <w:rPr>
          <w:rStyle w:val="FootnoteReference"/>
          <w:rFonts w:ascii="Times New Roman" w:hAnsi="Times New Roman" w:cs="Times New Roman"/>
          <w:sz w:val="24"/>
          <w:szCs w:val="24"/>
        </w:rPr>
        <w:footnoteReference w:id="11"/>
      </w:r>
      <w:r w:rsidR="001679A3">
        <w:rPr>
          <w:rFonts w:ascii="Times New Roman" w:hAnsi="Times New Roman" w:cs="Times New Roman"/>
          <w:sz w:val="24"/>
          <w:szCs w:val="24"/>
        </w:rPr>
        <w:t xml:space="preserve"> </w:t>
      </w:r>
    </w:p>
    <w:p w14:paraId="1A4DD937" w14:textId="255B5850" w:rsidR="008B5099" w:rsidRDefault="003B54D4" w:rsidP="005A76B2">
      <w:pPr>
        <w:spacing w:line="480" w:lineRule="auto"/>
        <w:rPr>
          <w:rFonts w:ascii="Times New Roman" w:hAnsi="Times New Roman" w:cs="Times New Roman"/>
          <w:sz w:val="24"/>
          <w:szCs w:val="24"/>
        </w:rPr>
      </w:pPr>
      <w:r>
        <w:rPr>
          <w:rFonts w:ascii="Times New Roman" w:hAnsi="Times New Roman" w:cs="Times New Roman"/>
          <w:sz w:val="24"/>
          <w:szCs w:val="24"/>
        </w:rPr>
        <w:t>Thorne uses Hanso</w:t>
      </w:r>
      <w:r w:rsidR="001679A3">
        <w:rPr>
          <w:rFonts w:ascii="Times New Roman" w:hAnsi="Times New Roman" w:cs="Times New Roman"/>
          <w:sz w:val="24"/>
          <w:szCs w:val="24"/>
        </w:rPr>
        <w:t>n’s arguments within his own work to his advantage, Thorne makes the reader believe that Hanson’s work is misleading and other examples of such things should have been used.</w:t>
      </w:r>
      <w:r w:rsidR="001679A3">
        <w:rPr>
          <w:rStyle w:val="FootnoteReference"/>
          <w:rFonts w:ascii="Times New Roman" w:hAnsi="Times New Roman" w:cs="Times New Roman"/>
          <w:sz w:val="24"/>
          <w:szCs w:val="24"/>
        </w:rPr>
        <w:footnoteReference w:id="12"/>
      </w:r>
      <w:r w:rsidR="00B31435">
        <w:rPr>
          <w:rFonts w:ascii="Times New Roman" w:hAnsi="Times New Roman" w:cs="Times New Roman"/>
          <w:sz w:val="24"/>
          <w:szCs w:val="24"/>
        </w:rPr>
        <w:t xml:space="preserve"> Thorne believes the use of the example of devastation in Attica is the reason why Hanson’s work is misleading.</w:t>
      </w:r>
      <w:r w:rsidR="00B31435">
        <w:rPr>
          <w:rStyle w:val="FootnoteReference"/>
          <w:rFonts w:ascii="Times New Roman" w:hAnsi="Times New Roman" w:cs="Times New Roman"/>
          <w:sz w:val="24"/>
          <w:szCs w:val="24"/>
        </w:rPr>
        <w:footnoteReference w:id="13"/>
      </w:r>
      <w:r w:rsidR="00B31435">
        <w:rPr>
          <w:rFonts w:ascii="Times New Roman" w:hAnsi="Times New Roman" w:cs="Times New Roman"/>
          <w:sz w:val="24"/>
          <w:szCs w:val="24"/>
        </w:rPr>
        <w:t xml:space="preserve"> Thorne himself gives his own example of the use of devastation during conflict which </w:t>
      </w:r>
      <w:r w:rsidR="00D32BDA">
        <w:rPr>
          <w:rFonts w:ascii="Times New Roman" w:hAnsi="Times New Roman" w:cs="Times New Roman"/>
          <w:sz w:val="24"/>
          <w:szCs w:val="24"/>
        </w:rPr>
        <w:t xml:space="preserve">he </w:t>
      </w:r>
      <w:r w:rsidR="00B31435">
        <w:rPr>
          <w:rFonts w:ascii="Times New Roman" w:hAnsi="Times New Roman" w:cs="Times New Roman"/>
          <w:sz w:val="24"/>
          <w:szCs w:val="24"/>
        </w:rPr>
        <w:t>believes to be of better use to the arguments in question.</w:t>
      </w:r>
      <w:r w:rsidR="00B31435">
        <w:rPr>
          <w:rStyle w:val="FootnoteReference"/>
          <w:rFonts w:ascii="Times New Roman" w:hAnsi="Times New Roman" w:cs="Times New Roman"/>
          <w:sz w:val="24"/>
          <w:szCs w:val="24"/>
        </w:rPr>
        <w:footnoteReference w:id="14"/>
      </w:r>
      <w:r w:rsidR="002262AC">
        <w:rPr>
          <w:rFonts w:ascii="Times New Roman" w:hAnsi="Times New Roman" w:cs="Times New Roman"/>
          <w:sz w:val="24"/>
          <w:szCs w:val="24"/>
        </w:rPr>
        <w:t xml:space="preserve"> In doing this Thorne has not only explained that Hanson’s work is co</w:t>
      </w:r>
      <w:r w:rsidR="00534C48">
        <w:rPr>
          <w:rFonts w:ascii="Times New Roman" w:hAnsi="Times New Roman" w:cs="Times New Roman"/>
          <w:sz w:val="24"/>
          <w:szCs w:val="24"/>
        </w:rPr>
        <w:t xml:space="preserve">ntaining misleading information but Thorne is able to give an example himself which he argues provides clearer understanding of the way the use of devastation would display economic coercion in the Ancient Greek world. </w:t>
      </w:r>
      <w:r w:rsidR="00534C48">
        <w:rPr>
          <w:rStyle w:val="FootnoteReference"/>
          <w:rFonts w:ascii="Times New Roman" w:hAnsi="Times New Roman" w:cs="Times New Roman"/>
          <w:sz w:val="24"/>
          <w:szCs w:val="24"/>
        </w:rPr>
        <w:footnoteReference w:id="15"/>
      </w:r>
    </w:p>
    <w:p w14:paraId="6E86DEA7" w14:textId="682B3288" w:rsidR="00CC794B" w:rsidRDefault="00CC794B" w:rsidP="005A76B2">
      <w:pPr>
        <w:spacing w:line="480" w:lineRule="auto"/>
        <w:rPr>
          <w:rFonts w:ascii="Times New Roman" w:hAnsi="Times New Roman" w:cs="Times New Roman"/>
          <w:sz w:val="24"/>
          <w:szCs w:val="24"/>
        </w:rPr>
      </w:pPr>
      <w:r>
        <w:rPr>
          <w:rFonts w:ascii="Times New Roman" w:hAnsi="Times New Roman" w:cs="Times New Roman"/>
          <w:sz w:val="24"/>
          <w:szCs w:val="24"/>
        </w:rPr>
        <w:t xml:space="preserve">Once Thorne has discussed the </w:t>
      </w:r>
      <w:r w:rsidR="00B3136D">
        <w:rPr>
          <w:rFonts w:ascii="Times New Roman" w:hAnsi="Times New Roman" w:cs="Times New Roman"/>
          <w:sz w:val="24"/>
          <w:szCs w:val="24"/>
        </w:rPr>
        <w:t>methods of devastation used by the ancient Greeks, he then turns his attention to the types of attacks. Thorne mentions that there are three different ways in which the aggressors would conduct an attack on the defender</w:t>
      </w:r>
      <w:r w:rsidR="00D32BDA">
        <w:rPr>
          <w:rFonts w:ascii="Times New Roman" w:hAnsi="Times New Roman" w:cs="Times New Roman"/>
          <w:sz w:val="24"/>
          <w:szCs w:val="24"/>
        </w:rPr>
        <w:t>’</w:t>
      </w:r>
      <w:r w:rsidR="00B3136D">
        <w:rPr>
          <w:rFonts w:ascii="Times New Roman" w:hAnsi="Times New Roman" w:cs="Times New Roman"/>
          <w:sz w:val="24"/>
          <w:szCs w:val="24"/>
        </w:rPr>
        <w:t>s crops.</w:t>
      </w:r>
      <w:r w:rsidR="00B3136D">
        <w:rPr>
          <w:rStyle w:val="FootnoteReference"/>
          <w:rFonts w:ascii="Times New Roman" w:hAnsi="Times New Roman" w:cs="Times New Roman"/>
          <w:sz w:val="24"/>
          <w:szCs w:val="24"/>
        </w:rPr>
        <w:footnoteReference w:id="16"/>
      </w:r>
      <w:r w:rsidR="00B3136D">
        <w:rPr>
          <w:rFonts w:ascii="Times New Roman" w:hAnsi="Times New Roman" w:cs="Times New Roman"/>
          <w:sz w:val="24"/>
          <w:szCs w:val="24"/>
        </w:rPr>
        <w:t xml:space="preserve"> </w:t>
      </w:r>
    </w:p>
    <w:p w14:paraId="2D77BE13" w14:textId="0267E810" w:rsidR="00913888" w:rsidRDefault="00B3136D" w:rsidP="005A76B2">
      <w:pPr>
        <w:spacing w:line="480" w:lineRule="auto"/>
        <w:rPr>
          <w:rFonts w:ascii="Times New Roman" w:hAnsi="Times New Roman" w:cs="Times New Roman"/>
          <w:sz w:val="24"/>
          <w:szCs w:val="24"/>
        </w:rPr>
      </w:pPr>
      <w:r>
        <w:rPr>
          <w:rFonts w:ascii="Times New Roman" w:hAnsi="Times New Roman" w:cs="Times New Roman"/>
          <w:sz w:val="24"/>
          <w:szCs w:val="24"/>
        </w:rPr>
        <w:t>The first process Thorne describes is that of a “general invasion.”</w:t>
      </w:r>
      <w:r w:rsidR="00841328">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Thorne </w:t>
      </w:r>
      <w:r w:rsidR="00841328">
        <w:rPr>
          <w:rFonts w:ascii="Times New Roman" w:hAnsi="Times New Roman" w:cs="Times New Roman"/>
          <w:sz w:val="24"/>
          <w:szCs w:val="24"/>
        </w:rPr>
        <w:t xml:space="preserve">explains that the general invasion involved an enormous force entering enemy territory and forcing the defenders to retreat due the size of the force. Although Thorne gives the basics on how in fact </w:t>
      </w:r>
      <w:r w:rsidR="00841328">
        <w:rPr>
          <w:rFonts w:ascii="Times New Roman" w:hAnsi="Times New Roman" w:cs="Times New Roman"/>
          <w:sz w:val="24"/>
          <w:szCs w:val="24"/>
        </w:rPr>
        <w:lastRenderedPageBreak/>
        <w:t>the invasio</w:t>
      </w:r>
      <w:r w:rsidR="003B54D4">
        <w:rPr>
          <w:rFonts w:ascii="Times New Roman" w:hAnsi="Times New Roman" w:cs="Times New Roman"/>
          <w:sz w:val="24"/>
          <w:szCs w:val="24"/>
        </w:rPr>
        <w:t>n would have happened, Hanso</w:t>
      </w:r>
      <w:r w:rsidR="00841328">
        <w:rPr>
          <w:rFonts w:ascii="Times New Roman" w:hAnsi="Times New Roman" w:cs="Times New Roman"/>
          <w:sz w:val="24"/>
          <w:szCs w:val="24"/>
        </w:rPr>
        <w:t>n does give more information on the subject of what the men actually did</w:t>
      </w:r>
      <w:r w:rsidR="003E4870">
        <w:rPr>
          <w:rFonts w:ascii="Times New Roman" w:hAnsi="Times New Roman" w:cs="Times New Roman"/>
          <w:sz w:val="24"/>
          <w:szCs w:val="24"/>
        </w:rPr>
        <w:t>. A</w:t>
      </w:r>
      <w:r w:rsidR="00841328">
        <w:rPr>
          <w:rFonts w:ascii="Times New Roman" w:hAnsi="Times New Roman" w:cs="Times New Roman"/>
          <w:sz w:val="24"/>
          <w:szCs w:val="24"/>
        </w:rPr>
        <w:t>s he mentions that it would have been the lighter troops sent to ravage the fields</w:t>
      </w:r>
      <w:r w:rsidR="00841328">
        <w:rPr>
          <w:rStyle w:val="FootnoteReference"/>
          <w:rFonts w:ascii="Times New Roman" w:hAnsi="Times New Roman" w:cs="Times New Roman"/>
          <w:sz w:val="24"/>
          <w:szCs w:val="24"/>
        </w:rPr>
        <w:footnoteReference w:id="18"/>
      </w:r>
      <w:r w:rsidR="00841328">
        <w:rPr>
          <w:rFonts w:ascii="Times New Roman" w:hAnsi="Times New Roman" w:cs="Times New Roman"/>
          <w:sz w:val="24"/>
          <w:szCs w:val="24"/>
        </w:rPr>
        <w:t>, rather than the hoplites which would have made up the majority of a classic</w:t>
      </w:r>
      <w:r w:rsidR="003B54D4">
        <w:rPr>
          <w:rFonts w:ascii="Times New Roman" w:hAnsi="Times New Roman" w:cs="Times New Roman"/>
          <w:sz w:val="24"/>
          <w:szCs w:val="24"/>
        </w:rPr>
        <w:t>al Greek aggressing force. Hanso</w:t>
      </w:r>
      <w:r w:rsidR="00841328">
        <w:rPr>
          <w:rFonts w:ascii="Times New Roman" w:hAnsi="Times New Roman" w:cs="Times New Roman"/>
          <w:sz w:val="24"/>
          <w:szCs w:val="24"/>
        </w:rPr>
        <w:t>n also reinforces his point with many ancient sources including that of Diodorus, Xenephon, Thucydides and Aeneas Tacitus whilst Thorne only uses Herodotus and Th</w:t>
      </w:r>
      <w:r w:rsidR="00D32BDA">
        <w:rPr>
          <w:rFonts w:ascii="Times New Roman" w:hAnsi="Times New Roman" w:cs="Times New Roman"/>
          <w:sz w:val="24"/>
          <w:szCs w:val="24"/>
        </w:rPr>
        <w:t>ucydides</w:t>
      </w:r>
      <w:r w:rsidR="003B54D4">
        <w:rPr>
          <w:rStyle w:val="FootnoteReference"/>
          <w:rFonts w:ascii="Times New Roman" w:hAnsi="Times New Roman" w:cs="Times New Roman"/>
          <w:sz w:val="24"/>
          <w:szCs w:val="24"/>
        </w:rPr>
        <w:footnoteReference w:id="19"/>
      </w:r>
      <w:r w:rsidR="00D32BDA">
        <w:rPr>
          <w:rFonts w:ascii="Times New Roman" w:hAnsi="Times New Roman" w:cs="Times New Roman"/>
          <w:sz w:val="24"/>
          <w:szCs w:val="24"/>
        </w:rPr>
        <w:t>. This being said, Hanso</w:t>
      </w:r>
      <w:r w:rsidR="00841328">
        <w:rPr>
          <w:rFonts w:ascii="Times New Roman" w:hAnsi="Times New Roman" w:cs="Times New Roman"/>
          <w:sz w:val="24"/>
          <w:szCs w:val="24"/>
        </w:rPr>
        <w:t>n clearly uses a larger variety of Ancient sources which benefits his argument as he can show more proof for h</w:t>
      </w:r>
      <w:r w:rsidR="00913888">
        <w:rPr>
          <w:rFonts w:ascii="Times New Roman" w:hAnsi="Times New Roman" w:cs="Times New Roman"/>
          <w:sz w:val="24"/>
          <w:szCs w:val="24"/>
        </w:rPr>
        <w:t>is ideas on the subject matter. The limitations of Thorne’s argument on this point are explained by himself in which he states that the lack of surprise would have possibly allowed the defenders to perform acts of damage control, such as harvesting the lands close to the city as quickly as possible, giving them at least some of the harvest before the invasion forces arrived at the city.</w:t>
      </w:r>
      <w:r w:rsidR="00913888">
        <w:rPr>
          <w:rStyle w:val="FootnoteReference"/>
          <w:rFonts w:ascii="Times New Roman" w:hAnsi="Times New Roman" w:cs="Times New Roman"/>
          <w:sz w:val="24"/>
          <w:szCs w:val="24"/>
        </w:rPr>
        <w:footnoteReference w:id="20"/>
      </w:r>
      <w:r w:rsidR="00913888">
        <w:rPr>
          <w:rFonts w:ascii="Times New Roman" w:hAnsi="Times New Roman" w:cs="Times New Roman"/>
          <w:sz w:val="24"/>
          <w:szCs w:val="24"/>
        </w:rPr>
        <w:t xml:space="preserve"> Thorne explains an occasion in which a small contingent of the invasion force made its way ahead of the army to stop this</w:t>
      </w:r>
      <w:r w:rsidR="007065F1">
        <w:rPr>
          <w:rFonts w:ascii="Times New Roman" w:hAnsi="Times New Roman" w:cs="Times New Roman"/>
          <w:sz w:val="24"/>
          <w:szCs w:val="24"/>
        </w:rPr>
        <w:t xml:space="preserve"> from happening and this is reinforced with the use of ancient literary texts.</w:t>
      </w:r>
      <w:r w:rsidR="007065F1">
        <w:rPr>
          <w:rStyle w:val="FootnoteReference"/>
          <w:rFonts w:ascii="Times New Roman" w:hAnsi="Times New Roman" w:cs="Times New Roman"/>
          <w:sz w:val="24"/>
          <w:szCs w:val="24"/>
        </w:rPr>
        <w:footnoteReference w:id="21"/>
      </w:r>
      <w:r w:rsidR="003E4870">
        <w:rPr>
          <w:rFonts w:ascii="Times New Roman" w:hAnsi="Times New Roman" w:cs="Times New Roman"/>
          <w:sz w:val="24"/>
          <w:szCs w:val="24"/>
        </w:rPr>
        <w:t xml:space="preserve"> This being that the Plataeans were caught in the fields and were attacked whilst harvesting the fields unaware of the invasion</w:t>
      </w:r>
      <w:r w:rsidR="003E4870">
        <w:rPr>
          <w:rStyle w:val="FootnoteReference"/>
          <w:rFonts w:ascii="Times New Roman" w:hAnsi="Times New Roman" w:cs="Times New Roman"/>
          <w:sz w:val="24"/>
          <w:szCs w:val="24"/>
        </w:rPr>
        <w:footnoteReference w:id="22"/>
      </w:r>
      <w:r w:rsidR="003E4870">
        <w:rPr>
          <w:rFonts w:ascii="Times New Roman" w:hAnsi="Times New Roman" w:cs="Times New Roman"/>
          <w:sz w:val="24"/>
          <w:szCs w:val="24"/>
        </w:rPr>
        <w:t>.</w:t>
      </w:r>
    </w:p>
    <w:p w14:paraId="36606F13" w14:textId="2F2A3CB6" w:rsidR="00AA6BE2" w:rsidRDefault="00AA6BE2" w:rsidP="005A76B2">
      <w:pPr>
        <w:spacing w:line="480" w:lineRule="auto"/>
        <w:rPr>
          <w:rFonts w:ascii="Times New Roman" w:hAnsi="Times New Roman" w:cs="Times New Roman"/>
          <w:sz w:val="24"/>
          <w:szCs w:val="24"/>
        </w:rPr>
      </w:pPr>
      <w:r>
        <w:rPr>
          <w:rFonts w:ascii="Times New Roman" w:hAnsi="Times New Roman" w:cs="Times New Roman"/>
          <w:sz w:val="24"/>
          <w:szCs w:val="24"/>
        </w:rPr>
        <w:t>Thorne goes on to describe what he calls “amphibious devastation.” He uses an extract of Thucydides extremely well in order to describe that of amphibious devastation.</w:t>
      </w:r>
      <w:r>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The extract explains how the method of devastation was inflicted and gives an instance of when it was used by the Athenians around the year 431.</w:t>
      </w:r>
      <w:r>
        <w:rPr>
          <w:rStyle w:val="FootnoteReference"/>
          <w:rFonts w:ascii="Times New Roman" w:hAnsi="Times New Roman" w:cs="Times New Roman"/>
          <w:sz w:val="24"/>
          <w:szCs w:val="24"/>
        </w:rPr>
        <w:footnoteReference w:id="24"/>
      </w:r>
      <w:r w:rsidR="003B54D4">
        <w:rPr>
          <w:rFonts w:ascii="Times New Roman" w:hAnsi="Times New Roman" w:cs="Times New Roman"/>
          <w:sz w:val="24"/>
          <w:szCs w:val="24"/>
        </w:rPr>
        <w:t xml:space="preserve"> Hanso</w:t>
      </w:r>
      <w:r>
        <w:rPr>
          <w:rFonts w:ascii="Times New Roman" w:hAnsi="Times New Roman" w:cs="Times New Roman"/>
          <w:sz w:val="24"/>
          <w:szCs w:val="24"/>
        </w:rPr>
        <w:t xml:space="preserve">n makes reference to these invasions of </w:t>
      </w:r>
      <w:r>
        <w:rPr>
          <w:rFonts w:ascii="Times New Roman" w:hAnsi="Times New Roman" w:cs="Times New Roman"/>
          <w:sz w:val="24"/>
          <w:szCs w:val="24"/>
        </w:rPr>
        <w:lastRenderedPageBreak/>
        <w:t>the Peloponnese stating what each class of troops would have done once landed, which Thorne declined to mention.</w:t>
      </w:r>
      <w:r>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w:t>
      </w:r>
    </w:p>
    <w:p w14:paraId="2CE23478" w14:textId="78D24CFA" w:rsidR="000128E6" w:rsidRDefault="000128E6" w:rsidP="005A76B2">
      <w:pPr>
        <w:spacing w:line="480" w:lineRule="auto"/>
        <w:rPr>
          <w:rFonts w:ascii="Times New Roman" w:hAnsi="Times New Roman" w:cs="Times New Roman"/>
          <w:sz w:val="24"/>
          <w:szCs w:val="24"/>
        </w:rPr>
      </w:pPr>
      <w:r>
        <w:rPr>
          <w:rFonts w:ascii="Times New Roman" w:hAnsi="Times New Roman" w:cs="Times New Roman"/>
          <w:sz w:val="24"/>
          <w:szCs w:val="24"/>
        </w:rPr>
        <w:t xml:space="preserve">Amphibious devastation is hard to anticipate due to the uncertainty of where the raiders are going to land. </w:t>
      </w:r>
      <w:r>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Thorne uses the work of Coates to convey his point that raiders would have been able to cover mass distances during a twelve hour period.</w:t>
      </w:r>
      <w:r>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With this knowledge Thorne is able to explain the </w:t>
      </w:r>
      <w:r w:rsidR="00A01311">
        <w:rPr>
          <w:rFonts w:ascii="Times New Roman" w:hAnsi="Times New Roman" w:cs="Times New Roman"/>
          <w:sz w:val="24"/>
          <w:szCs w:val="24"/>
        </w:rPr>
        <w:t>positives</w:t>
      </w:r>
      <w:r>
        <w:rPr>
          <w:rFonts w:ascii="Times New Roman" w:hAnsi="Times New Roman" w:cs="Times New Roman"/>
          <w:sz w:val="24"/>
          <w:szCs w:val="24"/>
        </w:rPr>
        <w:t xml:space="preserve"> of </w:t>
      </w:r>
      <w:r w:rsidR="00A01311">
        <w:rPr>
          <w:rFonts w:ascii="Times New Roman" w:hAnsi="Times New Roman" w:cs="Times New Roman"/>
          <w:sz w:val="24"/>
          <w:szCs w:val="24"/>
        </w:rPr>
        <w:t xml:space="preserve">amphibious devastation with great detail </w:t>
      </w:r>
      <w:r w:rsidR="00E9783B">
        <w:rPr>
          <w:rFonts w:ascii="Times New Roman" w:hAnsi="Times New Roman" w:cs="Times New Roman"/>
          <w:sz w:val="24"/>
          <w:szCs w:val="24"/>
        </w:rPr>
        <w:t xml:space="preserve">he has used the sources at his disposal </w:t>
      </w:r>
      <w:r w:rsidR="00A01311">
        <w:rPr>
          <w:rFonts w:ascii="Times New Roman" w:hAnsi="Times New Roman" w:cs="Times New Roman"/>
          <w:sz w:val="24"/>
          <w:szCs w:val="24"/>
        </w:rPr>
        <w:t xml:space="preserve">. Thorne mentions that the direction of </w:t>
      </w:r>
      <w:r w:rsidR="00AD1D97">
        <w:rPr>
          <w:rFonts w:ascii="Times New Roman" w:hAnsi="Times New Roman" w:cs="Times New Roman"/>
          <w:sz w:val="24"/>
          <w:szCs w:val="24"/>
        </w:rPr>
        <w:t>the winds would have played a major factor. Thorne writes that the raiders could have raided wherever the wind took them and it would have still caused the trouble that the raids intended.</w:t>
      </w:r>
      <w:r w:rsidR="00AD1D97">
        <w:rPr>
          <w:rStyle w:val="FootnoteReference"/>
          <w:rFonts w:ascii="Times New Roman" w:hAnsi="Times New Roman" w:cs="Times New Roman"/>
          <w:sz w:val="24"/>
          <w:szCs w:val="24"/>
        </w:rPr>
        <w:footnoteReference w:id="28"/>
      </w:r>
      <w:r w:rsidR="00AD1D97">
        <w:rPr>
          <w:rFonts w:ascii="Times New Roman" w:hAnsi="Times New Roman" w:cs="Times New Roman"/>
          <w:sz w:val="24"/>
          <w:szCs w:val="24"/>
        </w:rPr>
        <w:t xml:space="preserve"> Thorne and Hanson both use the same example for amphibious devastation which is Thucydides</w:t>
      </w:r>
      <w:r w:rsidR="00E9783B">
        <w:rPr>
          <w:rStyle w:val="FootnoteReference"/>
          <w:rFonts w:ascii="Times New Roman" w:hAnsi="Times New Roman" w:cs="Times New Roman"/>
          <w:sz w:val="24"/>
          <w:szCs w:val="24"/>
        </w:rPr>
        <w:footnoteReference w:id="29"/>
      </w:r>
      <w:r w:rsidR="00AD1D97">
        <w:rPr>
          <w:rFonts w:ascii="Times New Roman" w:hAnsi="Times New Roman" w:cs="Times New Roman"/>
          <w:sz w:val="24"/>
          <w:szCs w:val="24"/>
        </w:rPr>
        <w:t>. Hanson uses Thucydides to depict the events of the Athenian naval f</w:t>
      </w:r>
      <w:r w:rsidR="00660FBF">
        <w:rPr>
          <w:rFonts w:ascii="Times New Roman" w:hAnsi="Times New Roman" w:cs="Times New Roman"/>
          <w:sz w:val="24"/>
          <w:szCs w:val="24"/>
        </w:rPr>
        <w:t>orces ravaging the Peloponnese.</w:t>
      </w:r>
      <w:r w:rsidR="00660FBF">
        <w:rPr>
          <w:rStyle w:val="FootnoteReference"/>
          <w:rFonts w:ascii="Times New Roman" w:hAnsi="Times New Roman" w:cs="Times New Roman"/>
          <w:sz w:val="24"/>
          <w:szCs w:val="24"/>
        </w:rPr>
        <w:footnoteReference w:id="30"/>
      </w:r>
      <w:r w:rsidR="00660FBF">
        <w:rPr>
          <w:rFonts w:ascii="Times New Roman" w:hAnsi="Times New Roman" w:cs="Times New Roman"/>
          <w:sz w:val="24"/>
          <w:szCs w:val="24"/>
        </w:rPr>
        <w:t xml:space="preserve"> Thorne mentions that the use of such amphibious tactics would have been advantageous for the aggressors as the defenders were left with few options to defend as the extreme mobility of the seaborne force would allow them to quickly sail elsewhere when they came face to an enemy land force.</w:t>
      </w:r>
      <w:r w:rsidR="00660FBF">
        <w:rPr>
          <w:rStyle w:val="FootnoteReference"/>
          <w:rFonts w:ascii="Times New Roman" w:hAnsi="Times New Roman" w:cs="Times New Roman"/>
          <w:sz w:val="24"/>
          <w:szCs w:val="24"/>
        </w:rPr>
        <w:footnoteReference w:id="31"/>
      </w:r>
      <w:r w:rsidR="00660FBF">
        <w:rPr>
          <w:rFonts w:ascii="Times New Roman" w:hAnsi="Times New Roman" w:cs="Times New Roman"/>
          <w:sz w:val="24"/>
          <w:szCs w:val="24"/>
        </w:rPr>
        <w:t xml:space="preserve"> Thorne does well to mention this as it builds any possible counter argument to his work and disassembles it himself meaning it could not be used against him by people who think differently on the subject matter, such as Hanson. </w:t>
      </w:r>
    </w:p>
    <w:p w14:paraId="171E91CC" w14:textId="21B55CF2" w:rsidR="00660FBF" w:rsidRDefault="00660FBF" w:rsidP="005A76B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third and final way, according to Thorne, in which the aggressor could inflict mass devastation against their enemies was through “fortified occupation.” </w:t>
      </w:r>
      <w:r w:rsidR="00FE6E0F">
        <w:rPr>
          <w:rFonts w:ascii="Times New Roman" w:hAnsi="Times New Roman" w:cs="Times New Roman"/>
          <w:sz w:val="24"/>
          <w:szCs w:val="24"/>
        </w:rPr>
        <w:t>Thorne as chosen the best possible example to explain this point in using the Spartans and Decelea</w:t>
      </w:r>
      <w:r w:rsidR="00D76861">
        <w:rPr>
          <w:rFonts w:ascii="Times New Roman" w:hAnsi="Times New Roman" w:cs="Times New Roman"/>
          <w:sz w:val="24"/>
          <w:szCs w:val="24"/>
        </w:rPr>
        <w:t>.</w:t>
      </w:r>
      <w:r w:rsidR="00D76861">
        <w:rPr>
          <w:rStyle w:val="FootnoteReference"/>
          <w:rFonts w:ascii="Times New Roman" w:hAnsi="Times New Roman" w:cs="Times New Roman"/>
          <w:sz w:val="24"/>
          <w:szCs w:val="24"/>
        </w:rPr>
        <w:footnoteReference w:id="32"/>
      </w:r>
      <w:r w:rsidR="007F393D">
        <w:rPr>
          <w:rFonts w:ascii="Times New Roman" w:hAnsi="Times New Roman" w:cs="Times New Roman"/>
          <w:sz w:val="24"/>
          <w:szCs w:val="24"/>
        </w:rPr>
        <w:t xml:space="preserve"> The example </w:t>
      </w:r>
      <w:r w:rsidR="007F393D">
        <w:rPr>
          <w:rFonts w:ascii="Times New Roman" w:hAnsi="Times New Roman" w:cs="Times New Roman"/>
          <w:sz w:val="24"/>
          <w:szCs w:val="24"/>
        </w:rPr>
        <w:lastRenderedPageBreak/>
        <w:t>of Decelea is the most accurate as we know what happened to the Athenians after ravaging which originated from Decelea.</w:t>
      </w:r>
      <w:r w:rsidR="007F393D">
        <w:rPr>
          <w:rStyle w:val="FootnoteReference"/>
          <w:rFonts w:ascii="Times New Roman" w:hAnsi="Times New Roman" w:cs="Times New Roman"/>
          <w:sz w:val="24"/>
          <w:szCs w:val="24"/>
        </w:rPr>
        <w:footnoteReference w:id="33"/>
      </w:r>
      <w:r w:rsidR="00CE1FA0">
        <w:rPr>
          <w:rFonts w:ascii="Times New Roman" w:hAnsi="Times New Roman" w:cs="Times New Roman"/>
          <w:sz w:val="24"/>
          <w:szCs w:val="24"/>
        </w:rPr>
        <w:t xml:space="preserve"> Thorne does not talk on this subject too much, possibly this is admitting that there is a lack of evidence on this aspe</w:t>
      </w:r>
      <w:r w:rsidR="00D25E0B">
        <w:rPr>
          <w:rFonts w:ascii="Times New Roman" w:hAnsi="Times New Roman" w:cs="Times New Roman"/>
          <w:sz w:val="24"/>
          <w:szCs w:val="24"/>
        </w:rPr>
        <w:t>c</w:t>
      </w:r>
      <w:r w:rsidR="002E6A62">
        <w:rPr>
          <w:rFonts w:ascii="Times New Roman" w:hAnsi="Times New Roman" w:cs="Times New Roman"/>
          <w:sz w:val="24"/>
          <w:szCs w:val="24"/>
        </w:rPr>
        <w:t>t within his school of thought. On the other hand, Hanson writes much on this topic using ancient scholars such as Xenophon and Herodotus, as well as modern scholars such as Salmon</w:t>
      </w:r>
      <w:r w:rsidR="002E6A62">
        <w:rPr>
          <w:rStyle w:val="FootnoteReference"/>
          <w:rFonts w:ascii="Times New Roman" w:hAnsi="Times New Roman" w:cs="Times New Roman"/>
          <w:sz w:val="24"/>
          <w:szCs w:val="24"/>
        </w:rPr>
        <w:footnoteReference w:id="34"/>
      </w:r>
      <w:r w:rsidR="002E6A62">
        <w:rPr>
          <w:rFonts w:ascii="Times New Roman" w:hAnsi="Times New Roman" w:cs="Times New Roman"/>
          <w:sz w:val="24"/>
          <w:szCs w:val="24"/>
        </w:rPr>
        <w:t xml:space="preserve"> and Garlan</w:t>
      </w:r>
      <w:r w:rsidR="002E6A62">
        <w:rPr>
          <w:rStyle w:val="FootnoteReference"/>
          <w:rFonts w:ascii="Times New Roman" w:hAnsi="Times New Roman" w:cs="Times New Roman"/>
          <w:sz w:val="24"/>
          <w:szCs w:val="24"/>
        </w:rPr>
        <w:footnoteReference w:id="35"/>
      </w:r>
      <w:r w:rsidR="002E6A62">
        <w:rPr>
          <w:rFonts w:ascii="Times New Roman" w:hAnsi="Times New Roman" w:cs="Times New Roman"/>
          <w:sz w:val="24"/>
          <w:szCs w:val="24"/>
        </w:rPr>
        <w:t>.</w:t>
      </w:r>
      <w:r w:rsidR="00672087">
        <w:rPr>
          <w:rFonts w:ascii="Times New Roman" w:hAnsi="Times New Roman" w:cs="Times New Roman"/>
          <w:sz w:val="24"/>
          <w:szCs w:val="24"/>
        </w:rPr>
        <w:t xml:space="preserve"> In using these sources it is clear that Hanson has more evidence on the use of fortified occupation.</w:t>
      </w:r>
      <w:r w:rsidR="00672087">
        <w:rPr>
          <w:rStyle w:val="FootnoteReference"/>
          <w:rFonts w:ascii="Times New Roman" w:hAnsi="Times New Roman" w:cs="Times New Roman"/>
          <w:sz w:val="24"/>
          <w:szCs w:val="24"/>
        </w:rPr>
        <w:footnoteReference w:id="36"/>
      </w:r>
    </w:p>
    <w:p w14:paraId="35DC6850" w14:textId="639A334A" w:rsidR="00B84FBD" w:rsidRDefault="00672087" w:rsidP="005A76B2">
      <w:pPr>
        <w:spacing w:line="480" w:lineRule="auto"/>
        <w:rPr>
          <w:rFonts w:ascii="Times New Roman" w:hAnsi="Times New Roman" w:cs="Times New Roman"/>
          <w:sz w:val="24"/>
          <w:szCs w:val="24"/>
        </w:rPr>
      </w:pPr>
      <w:r>
        <w:rPr>
          <w:rFonts w:ascii="Times New Roman" w:hAnsi="Times New Roman" w:cs="Times New Roman"/>
          <w:sz w:val="24"/>
          <w:szCs w:val="24"/>
        </w:rPr>
        <w:t xml:space="preserve">Thorne’s next section of work covers the ways in which a </w:t>
      </w:r>
      <w:r>
        <w:rPr>
          <w:rFonts w:ascii="Times New Roman" w:hAnsi="Times New Roman" w:cs="Times New Roman"/>
          <w:i/>
          <w:sz w:val="24"/>
          <w:szCs w:val="24"/>
        </w:rPr>
        <w:t>polis</w:t>
      </w:r>
      <w:r>
        <w:rPr>
          <w:rFonts w:ascii="Times New Roman" w:hAnsi="Times New Roman" w:cs="Times New Roman"/>
          <w:sz w:val="24"/>
          <w:szCs w:val="24"/>
        </w:rPr>
        <w:t xml:space="preserve"> would have been able to defend against the methods of devastation that he had previously mentioned.</w:t>
      </w:r>
      <w:r w:rsidR="003F5939">
        <w:rPr>
          <w:rFonts w:ascii="Times New Roman" w:hAnsi="Times New Roman" w:cs="Times New Roman"/>
          <w:sz w:val="24"/>
          <w:szCs w:val="24"/>
        </w:rPr>
        <w:t xml:space="preserve"> The first measure given that could be taken to limit the damage of raiders is the construction of a “farm tower.” Thorne uses the work of Pritchett well as it describes how the towers would have helped the defenders and what would have happened during an attack on the farm land.</w:t>
      </w:r>
      <w:r w:rsidR="003F5939">
        <w:rPr>
          <w:rStyle w:val="FootnoteReference"/>
          <w:rFonts w:ascii="Times New Roman" w:hAnsi="Times New Roman" w:cs="Times New Roman"/>
          <w:sz w:val="24"/>
          <w:szCs w:val="24"/>
        </w:rPr>
        <w:footnoteReference w:id="37"/>
      </w:r>
      <w:r w:rsidR="003F5939">
        <w:rPr>
          <w:rFonts w:ascii="Times New Roman" w:hAnsi="Times New Roman" w:cs="Times New Roman"/>
          <w:sz w:val="24"/>
          <w:szCs w:val="24"/>
        </w:rPr>
        <w:t xml:space="preserve"> Thorne also mentions that in time of a general invasion, these towers would not have been much trouble to the raiders once a mass evacuation had taken place and the raiders were unopposed.</w:t>
      </w:r>
      <w:r w:rsidR="003F5939">
        <w:rPr>
          <w:rStyle w:val="FootnoteReference"/>
          <w:rFonts w:ascii="Times New Roman" w:hAnsi="Times New Roman" w:cs="Times New Roman"/>
          <w:sz w:val="24"/>
          <w:szCs w:val="24"/>
        </w:rPr>
        <w:footnoteReference w:id="38"/>
      </w:r>
      <w:r w:rsidR="00A01E8D">
        <w:rPr>
          <w:rFonts w:ascii="Times New Roman" w:hAnsi="Times New Roman" w:cs="Times New Roman"/>
          <w:sz w:val="24"/>
          <w:szCs w:val="24"/>
        </w:rPr>
        <w:t xml:space="preserve"> Thorne writes that Hanson overestimates the difficulties in entering when unopposed and then insert and extract from Hanson’s work. Thorne uses the extract to his advantage as he is able to pick the extract apart and suggest much more feasible methods of attack.</w:t>
      </w:r>
      <w:r w:rsidR="00A01E8D">
        <w:rPr>
          <w:rStyle w:val="FootnoteReference"/>
          <w:rFonts w:ascii="Times New Roman" w:hAnsi="Times New Roman" w:cs="Times New Roman"/>
          <w:sz w:val="24"/>
          <w:szCs w:val="24"/>
        </w:rPr>
        <w:footnoteReference w:id="39"/>
      </w:r>
      <w:r w:rsidR="00A01E8D">
        <w:rPr>
          <w:rFonts w:ascii="Times New Roman" w:hAnsi="Times New Roman" w:cs="Times New Roman"/>
          <w:sz w:val="24"/>
          <w:szCs w:val="24"/>
        </w:rPr>
        <w:t xml:space="preserve"> </w:t>
      </w:r>
    </w:p>
    <w:p w14:paraId="2DAE9459" w14:textId="6B13B279" w:rsidR="00A01E8D" w:rsidRDefault="00A01E8D" w:rsidP="005A76B2">
      <w:pPr>
        <w:spacing w:line="480" w:lineRule="auto"/>
        <w:rPr>
          <w:rFonts w:ascii="Times New Roman" w:hAnsi="Times New Roman" w:cs="Times New Roman"/>
          <w:sz w:val="24"/>
          <w:szCs w:val="24"/>
        </w:rPr>
      </w:pPr>
      <w:r>
        <w:rPr>
          <w:rFonts w:ascii="Times New Roman" w:hAnsi="Times New Roman" w:cs="Times New Roman"/>
          <w:sz w:val="24"/>
          <w:szCs w:val="24"/>
        </w:rPr>
        <w:t xml:space="preserve">Thorne goes on to mention that the evacuation of movable property would </w:t>
      </w:r>
      <w:r w:rsidR="00D717B0">
        <w:rPr>
          <w:rFonts w:ascii="Times New Roman" w:hAnsi="Times New Roman" w:cs="Times New Roman"/>
          <w:sz w:val="24"/>
          <w:szCs w:val="24"/>
        </w:rPr>
        <w:t xml:space="preserve">severely counter the aggressors attempt at causing devastation, this would include moving livestock </w:t>
      </w:r>
      <w:r w:rsidR="008E2F91">
        <w:rPr>
          <w:rFonts w:ascii="Times New Roman" w:hAnsi="Times New Roman" w:cs="Times New Roman"/>
          <w:sz w:val="24"/>
          <w:szCs w:val="24"/>
        </w:rPr>
        <w:t>and inanimate objects to places that include forts, fortified towns and islands.</w:t>
      </w:r>
      <w:r w:rsidR="008E2F91">
        <w:rPr>
          <w:rStyle w:val="FootnoteReference"/>
          <w:rFonts w:ascii="Times New Roman" w:hAnsi="Times New Roman" w:cs="Times New Roman"/>
          <w:sz w:val="24"/>
          <w:szCs w:val="24"/>
        </w:rPr>
        <w:footnoteReference w:id="40"/>
      </w:r>
      <w:r w:rsidR="009F5E85">
        <w:rPr>
          <w:rFonts w:ascii="Times New Roman" w:hAnsi="Times New Roman" w:cs="Times New Roman"/>
          <w:sz w:val="24"/>
          <w:szCs w:val="24"/>
        </w:rPr>
        <w:t xml:space="preserve"> Thorne gives </w:t>
      </w:r>
      <w:r w:rsidR="009F5E85">
        <w:rPr>
          <w:rFonts w:ascii="Times New Roman" w:hAnsi="Times New Roman" w:cs="Times New Roman"/>
          <w:sz w:val="24"/>
          <w:szCs w:val="24"/>
        </w:rPr>
        <w:lastRenderedPageBreak/>
        <w:t>examples of when evacuations were used in times of war, whilst giving these he mentions that the examples Hanson has used do not refer to any degree of success.</w:t>
      </w:r>
      <w:r w:rsidR="009F5E85">
        <w:rPr>
          <w:rStyle w:val="FootnoteReference"/>
          <w:rFonts w:ascii="Times New Roman" w:hAnsi="Times New Roman" w:cs="Times New Roman"/>
          <w:sz w:val="24"/>
          <w:szCs w:val="24"/>
        </w:rPr>
        <w:footnoteReference w:id="41"/>
      </w:r>
      <w:r w:rsidR="009F5E85">
        <w:rPr>
          <w:rFonts w:ascii="Times New Roman" w:hAnsi="Times New Roman" w:cs="Times New Roman"/>
          <w:sz w:val="24"/>
          <w:szCs w:val="24"/>
        </w:rPr>
        <w:t xml:space="preserve"> Thorne gives much time to discuss the weight of items people would have been able to move in such a time period during the midst of an invasion. Thorne uses the works of other modern scholars to describe how much of this weight could have been carried by the household members or their livestock.</w:t>
      </w:r>
      <w:r w:rsidR="009F5E85">
        <w:rPr>
          <w:rStyle w:val="FootnoteReference"/>
          <w:rFonts w:ascii="Times New Roman" w:hAnsi="Times New Roman" w:cs="Times New Roman"/>
          <w:sz w:val="24"/>
          <w:szCs w:val="24"/>
        </w:rPr>
        <w:footnoteReference w:id="42"/>
      </w:r>
      <w:r w:rsidR="009F5E85">
        <w:rPr>
          <w:rFonts w:ascii="Times New Roman" w:hAnsi="Times New Roman" w:cs="Times New Roman"/>
          <w:sz w:val="24"/>
          <w:szCs w:val="24"/>
        </w:rPr>
        <w:t xml:space="preserve"> </w:t>
      </w:r>
      <w:r w:rsidR="00F67A56">
        <w:rPr>
          <w:rFonts w:ascii="Times New Roman" w:hAnsi="Times New Roman" w:cs="Times New Roman"/>
          <w:sz w:val="24"/>
          <w:szCs w:val="24"/>
        </w:rPr>
        <w:t>The argument Thorne makes is a good one as he looks into the logistics behind an evacuation and giving the information on what they could have taken with them when they left. But he does give his opinion on whether taking larger animals such as oxen over periods of 40 days would have been possible as the amount of food they required (6.8kg of hay and 11kg of mash per</w:t>
      </w:r>
      <w:r w:rsidR="00F84FC9">
        <w:rPr>
          <w:rFonts w:ascii="Times New Roman" w:hAnsi="Times New Roman" w:cs="Times New Roman"/>
          <w:sz w:val="24"/>
          <w:szCs w:val="24"/>
        </w:rPr>
        <w:t xml:space="preserve"> day,)</w:t>
      </w:r>
      <w:r w:rsidR="00F67A56">
        <w:rPr>
          <w:rStyle w:val="FootnoteReference"/>
          <w:rFonts w:ascii="Times New Roman" w:hAnsi="Times New Roman" w:cs="Times New Roman"/>
          <w:sz w:val="24"/>
          <w:szCs w:val="24"/>
        </w:rPr>
        <w:footnoteReference w:id="43"/>
      </w:r>
      <w:r w:rsidR="009F5E85">
        <w:rPr>
          <w:rFonts w:ascii="Times New Roman" w:hAnsi="Times New Roman" w:cs="Times New Roman"/>
          <w:sz w:val="24"/>
          <w:szCs w:val="24"/>
        </w:rPr>
        <w:t xml:space="preserve"> </w:t>
      </w:r>
      <w:r w:rsidR="00F84FC9">
        <w:rPr>
          <w:rFonts w:ascii="Times New Roman" w:hAnsi="Times New Roman" w:cs="Times New Roman"/>
          <w:sz w:val="24"/>
          <w:szCs w:val="24"/>
        </w:rPr>
        <w:t xml:space="preserve">was too large for the amount  a </w:t>
      </w:r>
      <w:r w:rsidR="00F84FC9">
        <w:rPr>
          <w:rFonts w:ascii="Times New Roman" w:hAnsi="Times New Roman" w:cs="Times New Roman"/>
          <w:i/>
          <w:sz w:val="24"/>
          <w:szCs w:val="24"/>
        </w:rPr>
        <w:t>polis</w:t>
      </w:r>
      <w:r w:rsidR="009F5E85">
        <w:rPr>
          <w:rFonts w:ascii="Times New Roman" w:hAnsi="Times New Roman" w:cs="Times New Roman"/>
          <w:sz w:val="24"/>
          <w:szCs w:val="24"/>
        </w:rPr>
        <w:t xml:space="preserve"> </w:t>
      </w:r>
      <w:r w:rsidR="00F84FC9">
        <w:rPr>
          <w:rFonts w:ascii="Times New Roman" w:hAnsi="Times New Roman" w:cs="Times New Roman"/>
          <w:sz w:val="24"/>
          <w:szCs w:val="24"/>
        </w:rPr>
        <w:t>would have during an invasion.</w:t>
      </w:r>
      <w:r w:rsidR="00F84FC9">
        <w:rPr>
          <w:rStyle w:val="FootnoteReference"/>
          <w:rFonts w:ascii="Times New Roman" w:hAnsi="Times New Roman" w:cs="Times New Roman"/>
          <w:sz w:val="24"/>
          <w:szCs w:val="24"/>
        </w:rPr>
        <w:footnoteReference w:id="44"/>
      </w:r>
      <w:r w:rsidR="009F5E85">
        <w:rPr>
          <w:rFonts w:ascii="Times New Roman" w:hAnsi="Times New Roman" w:cs="Times New Roman"/>
          <w:sz w:val="24"/>
          <w:szCs w:val="24"/>
        </w:rPr>
        <w:t xml:space="preserve">   </w:t>
      </w:r>
    </w:p>
    <w:p w14:paraId="6DB2B647" w14:textId="0C595B52" w:rsidR="00F84FC9" w:rsidRDefault="00B01E3D" w:rsidP="005A76B2">
      <w:pPr>
        <w:spacing w:line="480" w:lineRule="auto"/>
        <w:rPr>
          <w:rFonts w:ascii="Times New Roman" w:hAnsi="Times New Roman" w:cs="Times New Roman"/>
          <w:sz w:val="24"/>
          <w:szCs w:val="24"/>
        </w:rPr>
      </w:pPr>
      <w:r>
        <w:rPr>
          <w:rFonts w:ascii="Times New Roman" w:hAnsi="Times New Roman" w:cs="Times New Roman"/>
          <w:sz w:val="24"/>
          <w:szCs w:val="24"/>
        </w:rPr>
        <w:t>At the beginning of Thornes article he states that: “Hanson used the devastation of Attica as a case study, I urge that the case of Attica is almost certainly the most misleading one available.”</w:t>
      </w:r>
      <w:r>
        <w:rPr>
          <w:rStyle w:val="FootnoteReference"/>
          <w:rFonts w:ascii="Times New Roman" w:hAnsi="Times New Roman" w:cs="Times New Roman"/>
          <w:sz w:val="24"/>
          <w:szCs w:val="24"/>
        </w:rPr>
        <w:footnoteReference w:id="45"/>
      </w:r>
      <w:r w:rsidR="006E109A">
        <w:rPr>
          <w:rFonts w:ascii="Times New Roman" w:hAnsi="Times New Roman" w:cs="Times New Roman"/>
          <w:sz w:val="24"/>
          <w:szCs w:val="24"/>
        </w:rPr>
        <w:t xml:space="preserve"> In saying this Thorne clearly argues that Hanson is using this specific example as it portrays his argument in a perfect light, whilst dismaying the views of Thorne. Thorne argues that the invasion of Attica in 431 – 425 did in fact cause economic troubles for Athens.</w:t>
      </w:r>
      <w:r w:rsidR="006E109A">
        <w:rPr>
          <w:rStyle w:val="FootnoteReference"/>
          <w:rFonts w:ascii="Times New Roman" w:hAnsi="Times New Roman" w:cs="Times New Roman"/>
          <w:sz w:val="24"/>
          <w:szCs w:val="24"/>
        </w:rPr>
        <w:footnoteReference w:id="46"/>
      </w:r>
      <w:r w:rsidR="006E109A">
        <w:rPr>
          <w:rFonts w:ascii="Times New Roman" w:hAnsi="Times New Roman" w:cs="Times New Roman"/>
          <w:sz w:val="24"/>
          <w:szCs w:val="24"/>
        </w:rPr>
        <w:t xml:space="preserve"> Using the works of Thucydides and that of some careful estimations Thorne is able to create a table showing the number of days the invasion lasted and how much grain the Peloponnesian’s would have needed to attain whilst in Attica.</w:t>
      </w:r>
      <w:r w:rsidR="006E109A">
        <w:rPr>
          <w:rStyle w:val="FootnoteReference"/>
          <w:rFonts w:ascii="Times New Roman" w:hAnsi="Times New Roman" w:cs="Times New Roman"/>
          <w:sz w:val="24"/>
          <w:szCs w:val="24"/>
        </w:rPr>
        <w:footnoteReference w:id="47"/>
      </w:r>
      <w:r w:rsidR="006E109A">
        <w:rPr>
          <w:rFonts w:ascii="Times New Roman" w:hAnsi="Times New Roman" w:cs="Times New Roman"/>
          <w:sz w:val="24"/>
          <w:szCs w:val="24"/>
        </w:rPr>
        <w:t xml:space="preserve"> After he has stated this he then moves on to Hanson’s argument that the agriculture processes were labour intensive and </w:t>
      </w:r>
      <w:r w:rsidR="006E109A">
        <w:rPr>
          <w:rFonts w:ascii="Times New Roman" w:hAnsi="Times New Roman" w:cs="Times New Roman"/>
          <w:sz w:val="24"/>
          <w:szCs w:val="24"/>
        </w:rPr>
        <w:lastRenderedPageBreak/>
        <w:t>not capital.</w:t>
      </w:r>
      <w:r w:rsidR="006E109A">
        <w:rPr>
          <w:rStyle w:val="FootnoteReference"/>
          <w:rFonts w:ascii="Times New Roman" w:hAnsi="Times New Roman" w:cs="Times New Roman"/>
          <w:sz w:val="24"/>
          <w:szCs w:val="24"/>
        </w:rPr>
        <w:footnoteReference w:id="48"/>
      </w:r>
      <w:r w:rsidR="006E109A">
        <w:rPr>
          <w:rFonts w:ascii="Times New Roman" w:hAnsi="Times New Roman" w:cs="Times New Roman"/>
          <w:sz w:val="24"/>
          <w:szCs w:val="24"/>
        </w:rPr>
        <w:t xml:space="preserve"> Thorne takes Hanson’s argument and makes the point that even if the process was labour intensive the loss of the capital from the grain taken, which would be around 200 talents,</w:t>
      </w:r>
      <w:r w:rsidR="006E109A">
        <w:rPr>
          <w:rStyle w:val="FootnoteReference"/>
          <w:rFonts w:ascii="Times New Roman" w:hAnsi="Times New Roman" w:cs="Times New Roman"/>
          <w:sz w:val="24"/>
          <w:szCs w:val="24"/>
        </w:rPr>
        <w:footnoteReference w:id="49"/>
      </w:r>
      <w:r w:rsidR="006E109A">
        <w:rPr>
          <w:rFonts w:ascii="Times New Roman" w:hAnsi="Times New Roman" w:cs="Times New Roman"/>
          <w:sz w:val="24"/>
          <w:szCs w:val="24"/>
        </w:rPr>
        <w:t xml:space="preserve"> , would h</w:t>
      </w:r>
      <w:r w:rsidR="003168B9">
        <w:rPr>
          <w:rFonts w:ascii="Times New Roman" w:hAnsi="Times New Roman" w:cs="Times New Roman"/>
          <w:sz w:val="24"/>
          <w:szCs w:val="24"/>
        </w:rPr>
        <w:t>ave made an impact on the economy of Athens</w:t>
      </w:r>
      <w:r w:rsidR="006E109A">
        <w:rPr>
          <w:rFonts w:ascii="Times New Roman" w:hAnsi="Times New Roman" w:cs="Times New Roman"/>
          <w:sz w:val="24"/>
          <w:szCs w:val="24"/>
        </w:rPr>
        <w:t>.</w:t>
      </w:r>
      <w:r w:rsidR="003168B9">
        <w:rPr>
          <w:rFonts w:ascii="Times New Roman" w:hAnsi="Times New Roman" w:cs="Times New Roman"/>
          <w:sz w:val="24"/>
          <w:szCs w:val="24"/>
        </w:rPr>
        <w:t xml:space="preserve"> The impact was expected to be so large that the city of Athens would not have been able to last as long as she did.</w:t>
      </w:r>
      <w:r w:rsidR="003168B9">
        <w:rPr>
          <w:rStyle w:val="FootnoteReference"/>
          <w:rFonts w:ascii="Times New Roman" w:hAnsi="Times New Roman" w:cs="Times New Roman"/>
          <w:sz w:val="24"/>
          <w:szCs w:val="24"/>
        </w:rPr>
        <w:footnoteReference w:id="50"/>
      </w:r>
      <w:r w:rsidR="006E109A">
        <w:rPr>
          <w:rFonts w:ascii="Times New Roman" w:hAnsi="Times New Roman" w:cs="Times New Roman"/>
          <w:sz w:val="24"/>
          <w:szCs w:val="24"/>
        </w:rPr>
        <w:t xml:space="preserve"> </w:t>
      </w:r>
    </w:p>
    <w:p w14:paraId="5B10FEC7" w14:textId="72FF48C3" w:rsidR="003168B9" w:rsidRDefault="003168B9" w:rsidP="005A76B2">
      <w:pPr>
        <w:spacing w:line="480" w:lineRule="auto"/>
        <w:rPr>
          <w:rFonts w:ascii="Times New Roman" w:hAnsi="Times New Roman" w:cs="Times New Roman"/>
          <w:sz w:val="24"/>
          <w:szCs w:val="24"/>
        </w:rPr>
      </w:pPr>
      <w:r>
        <w:rPr>
          <w:rFonts w:ascii="Times New Roman" w:hAnsi="Times New Roman" w:cs="Times New Roman"/>
          <w:sz w:val="24"/>
          <w:szCs w:val="24"/>
        </w:rPr>
        <w:t>Thorne does mention the Athens would have survived purely on the import of grain to the city from the Pontic region.</w:t>
      </w:r>
      <w:r>
        <w:rPr>
          <w:rStyle w:val="FootnoteReference"/>
          <w:rFonts w:ascii="Times New Roman" w:hAnsi="Times New Roman" w:cs="Times New Roman"/>
          <w:sz w:val="24"/>
          <w:szCs w:val="24"/>
        </w:rPr>
        <w:footnoteReference w:id="51"/>
      </w:r>
      <w:r>
        <w:rPr>
          <w:rFonts w:ascii="Times New Roman" w:hAnsi="Times New Roman" w:cs="Times New Roman"/>
          <w:sz w:val="24"/>
          <w:szCs w:val="24"/>
        </w:rPr>
        <w:t xml:space="preserve"> This opinion is reinforced by the </w:t>
      </w:r>
      <w:r>
        <w:rPr>
          <w:rFonts w:ascii="Times New Roman" w:hAnsi="Times New Roman" w:cs="Times New Roman"/>
          <w:i/>
          <w:sz w:val="24"/>
          <w:szCs w:val="24"/>
        </w:rPr>
        <w:t>Hellenika</w:t>
      </w:r>
      <w:r>
        <w:rPr>
          <w:rFonts w:ascii="Times New Roman" w:hAnsi="Times New Roman" w:cs="Times New Roman"/>
          <w:sz w:val="24"/>
          <w:szCs w:val="24"/>
        </w:rPr>
        <w:t xml:space="preserve"> written by Xenephon as he mentions that Agis, the Spartan king, could see the ships of grain being transported to Athens.</w:t>
      </w:r>
      <w:r>
        <w:rPr>
          <w:rStyle w:val="FootnoteReference"/>
          <w:rFonts w:ascii="Times New Roman" w:hAnsi="Times New Roman" w:cs="Times New Roman"/>
          <w:sz w:val="24"/>
          <w:szCs w:val="24"/>
        </w:rPr>
        <w:footnoteReference w:id="52"/>
      </w:r>
      <w:r>
        <w:rPr>
          <w:rFonts w:ascii="Times New Roman" w:hAnsi="Times New Roman" w:cs="Times New Roman"/>
          <w:sz w:val="24"/>
          <w:szCs w:val="24"/>
        </w:rPr>
        <w:t xml:space="preserve"> Thorne does well to mention this as if left out of his article, other modern scholars could attempt to dismay his work by stating he had not thought of this fact. </w:t>
      </w:r>
    </w:p>
    <w:p w14:paraId="46975068" w14:textId="2351EE26" w:rsidR="003168B9" w:rsidRDefault="003168B9" w:rsidP="005A76B2">
      <w:pPr>
        <w:spacing w:line="480" w:lineRule="auto"/>
        <w:rPr>
          <w:rFonts w:ascii="Times New Roman" w:hAnsi="Times New Roman" w:cs="Times New Roman"/>
          <w:sz w:val="24"/>
          <w:szCs w:val="24"/>
        </w:rPr>
      </w:pPr>
      <w:r>
        <w:rPr>
          <w:rFonts w:ascii="Times New Roman" w:hAnsi="Times New Roman" w:cs="Times New Roman"/>
          <w:sz w:val="24"/>
          <w:szCs w:val="24"/>
        </w:rPr>
        <w:t xml:space="preserve">Throughout his article, Thorne builds his argument that the impact of devastation was much higher than the works of Hanson suggest. Using his fellow modern scholars and pinpointing the relevant ancient scholarship Thorne does well to convince the reader that his opinions on the subject matter are more historically accurate than that of Hanson. </w:t>
      </w:r>
      <w:r w:rsidR="008360B3">
        <w:rPr>
          <w:rFonts w:ascii="Times New Roman" w:hAnsi="Times New Roman" w:cs="Times New Roman"/>
          <w:sz w:val="24"/>
          <w:szCs w:val="24"/>
        </w:rPr>
        <w:t xml:space="preserve">Although, Thorne doesn’t completely disregard the work of Hanson, it is good that modern scholars review the work of their peers to keep up to date with recent finds and ideas. </w:t>
      </w:r>
    </w:p>
    <w:p w14:paraId="1929E806" w14:textId="5DE91C3D" w:rsidR="008360B3" w:rsidRDefault="008360B3" w:rsidP="005A76B2">
      <w:pPr>
        <w:spacing w:line="480" w:lineRule="auto"/>
        <w:rPr>
          <w:rFonts w:ascii="Times New Roman" w:hAnsi="Times New Roman" w:cs="Times New Roman"/>
          <w:sz w:val="24"/>
          <w:szCs w:val="24"/>
        </w:rPr>
      </w:pPr>
    </w:p>
    <w:p w14:paraId="52ED401A" w14:textId="6A820A58" w:rsidR="008360B3" w:rsidRDefault="008360B3" w:rsidP="005A76B2">
      <w:pPr>
        <w:spacing w:line="480" w:lineRule="auto"/>
        <w:rPr>
          <w:rFonts w:ascii="Times New Roman" w:hAnsi="Times New Roman" w:cs="Times New Roman"/>
          <w:sz w:val="24"/>
          <w:szCs w:val="24"/>
        </w:rPr>
      </w:pPr>
    </w:p>
    <w:p w14:paraId="19D3B33A" w14:textId="694F8A68" w:rsidR="008360B3" w:rsidRDefault="008360B3" w:rsidP="005A76B2">
      <w:pPr>
        <w:spacing w:line="480" w:lineRule="auto"/>
        <w:rPr>
          <w:rFonts w:ascii="Times New Roman" w:hAnsi="Times New Roman" w:cs="Times New Roman"/>
          <w:sz w:val="24"/>
          <w:szCs w:val="24"/>
        </w:rPr>
      </w:pPr>
    </w:p>
    <w:p w14:paraId="2B7DB61D" w14:textId="46C3F670" w:rsidR="008360B3" w:rsidRDefault="008360B3" w:rsidP="005A76B2">
      <w:pPr>
        <w:spacing w:line="480" w:lineRule="auto"/>
        <w:rPr>
          <w:rFonts w:ascii="Times New Roman" w:hAnsi="Times New Roman" w:cs="Times New Roman"/>
          <w:sz w:val="24"/>
          <w:szCs w:val="24"/>
        </w:rPr>
      </w:pPr>
    </w:p>
    <w:p w14:paraId="66D1F8E2" w14:textId="651EA3AC" w:rsidR="008360B3" w:rsidRDefault="008360B3" w:rsidP="005A76B2">
      <w:pPr>
        <w:spacing w:line="480" w:lineRule="auto"/>
        <w:rPr>
          <w:rFonts w:ascii="Times New Roman" w:hAnsi="Times New Roman" w:cs="Times New Roman"/>
          <w:sz w:val="24"/>
          <w:szCs w:val="24"/>
        </w:rPr>
      </w:pPr>
    </w:p>
    <w:p w14:paraId="6379F0E0" w14:textId="03506200" w:rsidR="008360B3" w:rsidRDefault="008360B3" w:rsidP="005A76B2">
      <w:pPr>
        <w:spacing w:line="480" w:lineRule="auto"/>
        <w:rPr>
          <w:rFonts w:ascii="Times New Roman" w:hAnsi="Times New Roman" w:cs="Times New Roman"/>
          <w:sz w:val="24"/>
          <w:szCs w:val="24"/>
        </w:rPr>
      </w:pPr>
    </w:p>
    <w:p w14:paraId="3DCC43F6" w14:textId="1E6B0D01" w:rsidR="008360B3" w:rsidRDefault="008360B3" w:rsidP="005A76B2">
      <w:pPr>
        <w:spacing w:line="480" w:lineRule="auto"/>
        <w:rPr>
          <w:rFonts w:ascii="Times New Roman" w:hAnsi="Times New Roman" w:cs="Times New Roman"/>
          <w:sz w:val="24"/>
          <w:szCs w:val="24"/>
        </w:rPr>
      </w:pPr>
    </w:p>
    <w:p w14:paraId="0BDEA92C" w14:textId="4CB5C0E5" w:rsidR="008360B3" w:rsidRPr="00FE3BC4" w:rsidRDefault="008360B3" w:rsidP="005A76B2">
      <w:pPr>
        <w:spacing w:line="480" w:lineRule="auto"/>
        <w:rPr>
          <w:rFonts w:ascii="Times New Roman" w:hAnsi="Times New Roman" w:cs="Times New Roman"/>
          <w:sz w:val="24"/>
          <w:szCs w:val="24"/>
          <w:u w:val="single"/>
        </w:rPr>
      </w:pPr>
      <w:r w:rsidRPr="00FE3BC4">
        <w:rPr>
          <w:rFonts w:ascii="Times New Roman" w:hAnsi="Times New Roman" w:cs="Times New Roman"/>
          <w:sz w:val="24"/>
          <w:szCs w:val="24"/>
          <w:u w:val="single"/>
        </w:rPr>
        <w:t>Bibliography</w:t>
      </w:r>
    </w:p>
    <w:p w14:paraId="73B5FA63" w14:textId="3A208AF5" w:rsidR="008360B3" w:rsidRPr="00FE3BC4" w:rsidRDefault="008360B3" w:rsidP="00FE3BC4">
      <w:pPr>
        <w:spacing w:line="480" w:lineRule="auto"/>
        <w:rPr>
          <w:rFonts w:ascii="Times New Roman" w:hAnsi="Times New Roman" w:cs="Times New Roman"/>
          <w:sz w:val="24"/>
          <w:szCs w:val="24"/>
          <w:u w:val="single"/>
        </w:rPr>
      </w:pPr>
      <w:r w:rsidRPr="00FE3BC4">
        <w:rPr>
          <w:rFonts w:ascii="Times New Roman" w:hAnsi="Times New Roman" w:cs="Times New Roman"/>
          <w:sz w:val="24"/>
          <w:szCs w:val="24"/>
          <w:u w:val="single"/>
        </w:rPr>
        <w:t>Ancient Scholarship.</w:t>
      </w:r>
    </w:p>
    <w:p w14:paraId="160EA91A" w14:textId="0F5694E1" w:rsidR="008360B3" w:rsidRDefault="008360B3" w:rsidP="00FE3BC4">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Cato the Elder, </w:t>
      </w:r>
      <w:r w:rsidR="003B54D4">
        <w:rPr>
          <w:rFonts w:ascii="Times New Roman" w:hAnsi="Times New Roman" w:cs="Times New Roman"/>
          <w:sz w:val="24"/>
          <w:szCs w:val="24"/>
        </w:rPr>
        <w:t>De Agri Cultura, William Davis Hooper (trans.) 1934. Cambridge. Harvard University Press</w:t>
      </w:r>
      <w:r>
        <w:rPr>
          <w:rFonts w:ascii="Times New Roman" w:hAnsi="Times New Roman" w:cs="Times New Roman"/>
          <w:sz w:val="24"/>
          <w:szCs w:val="24"/>
        </w:rPr>
        <w:t xml:space="preserve"> </w:t>
      </w:r>
    </w:p>
    <w:p w14:paraId="079A4180" w14:textId="68F11770" w:rsidR="00FE3BC4" w:rsidRDefault="00FE3BC4" w:rsidP="00FE3BC4">
      <w:pPr>
        <w:spacing w:line="480" w:lineRule="auto"/>
        <w:ind w:left="720"/>
        <w:rPr>
          <w:rFonts w:ascii="Times New Roman" w:hAnsi="Times New Roman" w:cs="Times New Roman"/>
          <w:sz w:val="24"/>
          <w:szCs w:val="24"/>
        </w:rPr>
      </w:pPr>
      <w:r>
        <w:rPr>
          <w:rFonts w:ascii="Times New Roman" w:hAnsi="Times New Roman" w:cs="Times New Roman"/>
          <w:sz w:val="24"/>
          <w:szCs w:val="24"/>
        </w:rPr>
        <w:t>Herodotus, The Histories, A.D Godley (trans.) 1920. Cambridge, Harvard University Press</w:t>
      </w:r>
    </w:p>
    <w:p w14:paraId="17E29588" w14:textId="13356F39" w:rsidR="008360B3" w:rsidRDefault="008360B3" w:rsidP="00FE3BC4">
      <w:pPr>
        <w:spacing w:line="480" w:lineRule="auto"/>
        <w:ind w:left="720"/>
        <w:rPr>
          <w:rFonts w:ascii="Times New Roman" w:hAnsi="Times New Roman" w:cs="Times New Roman"/>
          <w:sz w:val="24"/>
          <w:szCs w:val="24"/>
        </w:rPr>
      </w:pPr>
      <w:r w:rsidRPr="008360B3">
        <w:rPr>
          <w:rFonts w:ascii="Times New Roman" w:hAnsi="Times New Roman" w:cs="Times New Roman"/>
          <w:sz w:val="24"/>
          <w:szCs w:val="24"/>
        </w:rPr>
        <w:t>Thucydides, History of the Peloponnesian War. R. Warner (trans.) 1954. London: Penguin Books Ltd.   </w:t>
      </w:r>
    </w:p>
    <w:p w14:paraId="03F8AC03" w14:textId="251BFBBA" w:rsidR="008360B3" w:rsidRDefault="008360B3" w:rsidP="00FE3BC4">
      <w:pPr>
        <w:spacing w:line="480" w:lineRule="auto"/>
        <w:ind w:left="720"/>
        <w:rPr>
          <w:rFonts w:ascii="Times New Roman" w:hAnsi="Times New Roman" w:cs="Times New Roman"/>
          <w:sz w:val="24"/>
          <w:szCs w:val="24"/>
        </w:rPr>
      </w:pPr>
      <w:r>
        <w:rPr>
          <w:rFonts w:ascii="Times New Roman" w:hAnsi="Times New Roman" w:cs="Times New Roman"/>
          <w:sz w:val="24"/>
          <w:szCs w:val="24"/>
        </w:rPr>
        <w:t>Xenephon, Hellenika, Carlton</w:t>
      </w:r>
      <w:r w:rsidR="00FE3BC4">
        <w:rPr>
          <w:rFonts w:ascii="Times New Roman" w:hAnsi="Times New Roman" w:cs="Times New Roman"/>
          <w:sz w:val="24"/>
          <w:szCs w:val="24"/>
        </w:rPr>
        <w:t>. L. Brownson (t</w:t>
      </w:r>
      <w:r>
        <w:rPr>
          <w:rFonts w:ascii="Times New Roman" w:hAnsi="Times New Roman" w:cs="Times New Roman"/>
          <w:sz w:val="24"/>
          <w:szCs w:val="24"/>
        </w:rPr>
        <w:t>rans.) 1921. Cambridge. Harvard University Press</w:t>
      </w:r>
    </w:p>
    <w:p w14:paraId="290C0782" w14:textId="52E7EEEE" w:rsidR="008360B3" w:rsidRDefault="00FE3BC4" w:rsidP="008360B3">
      <w:pPr>
        <w:spacing w:line="480" w:lineRule="auto"/>
        <w:rPr>
          <w:rFonts w:ascii="Times New Roman" w:hAnsi="Times New Roman" w:cs="Times New Roman"/>
          <w:sz w:val="24"/>
          <w:szCs w:val="24"/>
          <w:u w:val="single"/>
        </w:rPr>
      </w:pPr>
      <w:r w:rsidRPr="00FE3BC4">
        <w:rPr>
          <w:rFonts w:ascii="Times New Roman" w:hAnsi="Times New Roman" w:cs="Times New Roman"/>
          <w:sz w:val="24"/>
          <w:szCs w:val="24"/>
          <w:u w:val="single"/>
        </w:rPr>
        <w:t>Modern Scholarship</w:t>
      </w:r>
    </w:p>
    <w:p w14:paraId="443CD3DD" w14:textId="3D3D5C3A" w:rsidR="00A90814" w:rsidRDefault="00A90814" w:rsidP="00EC357A">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Brunt, P.A. </w:t>
      </w:r>
      <w:r w:rsidRPr="00A90814">
        <w:rPr>
          <w:rFonts w:ascii="Times New Roman" w:hAnsi="Times New Roman" w:cs="Times New Roman"/>
          <w:i/>
          <w:sz w:val="24"/>
          <w:szCs w:val="24"/>
        </w:rPr>
        <w:t>Italian Manpower, 225 B.C.–A.D. 14</w:t>
      </w:r>
      <w:r>
        <w:rPr>
          <w:rFonts w:ascii="Times New Roman" w:hAnsi="Times New Roman" w:cs="Times New Roman"/>
          <w:i/>
          <w:sz w:val="24"/>
          <w:szCs w:val="24"/>
        </w:rPr>
        <w:t xml:space="preserve">. </w:t>
      </w:r>
      <w:r>
        <w:rPr>
          <w:rFonts w:ascii="Times New Roman" w:hAnsi="Times New Roman" w:cs="Times New Roman"/>
          <w:sz w:val="24"/>
          <w:szCs w:val="24"/>
        </w:rPr>
        <w:t>Oxford, Oxford University Press.</w:t>
      </w:r>
    </w:p>
    <w:p w14:paraId="57516E05" w14:textId="12D30393" w:rsidR="00EC357A" w:rsidRDefault="00EC357A" w:rsidP="00EC357A">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Coates, J.F. 1988. </w:t>
      </w:r>
      <w:r w:rsidRPr="00EC357A">
        <w:rPr>
          <w:rFonts w:ascii="Times New Roman" w:hAnsi="Times New Roman" w:cs="Times New Roman"/>
          <w:i/>
          <w:sz w:val="24"/>
          <w:szCs w:val="24"/>
        </w:rPr>
        <w:t>Report on Anglo-Hellenic Sea trials of Olymipas.</w:t>
      </w:r>
      <w:r w:rsidRPr="00A27778">
        <w:rPr>
          <w:rFonts w:ascii="Times New Roman" w:hAnsi="Times New Roman" w:cs="Times New Roman"/>
          <w:sz w:val="24"/>
          <w:szCs w:val="24"/>
        </w:rPr>
        <w:t xml:space="preserve"> The Trireme Trials</w:t>
      </w:r>
      <w:r>
        <w:rPr>
          <w:rFonts w:ascii="Times New Roman" w:hAnsi="Times New Roman" w:cs="Times New Roman"/>
          <w:i/>
          <w:sz w:val="24"/>
          <w:szCs w:val="24"/>
        </w:rPr>
        <w:t xml:space="preserve">. </w:t>
      </w:r>
      <w:r w:rsidR="00A27778">
        <w:rPr>
          <w:rFonts w:ascii="Times New Roman" w:hAnsi="Times New Roman" w:cs="Times New Roman"/>
          <w:sz w:val="24"/>
          <w:szCs w:val="24"/>
        </w:rPr>
        <w:t>London</w:t>
      </w:r>
      <w:r>
        <w:rPr>
          <w:rFonts w:ascii="Times New Roman" w:hAnsi="Times New Roman" w:cs="Times New Roman"/>
          <w:sz w:val="24"/>
          <w:szCs w:val="24"/>
        </w:rPr>
        <w:t>,</w:t>
      </w:r>
      <w:r w:rsidR="00A27778">
        <w:rPr>
          <w:rFonts w:ascii="Times New Roman" w:hAnsi="Times New Roman" w:cs="Times New Roman"/>
          <w:sz w:val="24"/>
          <w:szCs w:val="24"/>
        </w:rPr>
        <w:t xml:space="preserve"> Cambridge University Press</w:t>
      </w:r>
    </w:p>
    <w:p w14:paraId="4E3ED62E" w14:textId="72231822" w:rsidR="00A27778" w:rsidRDefault="00A27778" w:rsidP="00EC357A">
      <w:pPr>
        <w:spacing w:line="480" w:lineRule="auto"/>
        <w:ind w:left="720"/>
        <w:rPr>
          <w:rFonts w:ascii="Times New Roman" w:hAnsi="Times New Roman" w:cs="Times New Roman"/>
          <w:sz w:val="24"/>
          <w:szCs w:val="24"/>
        </w:rPr>
      </w:pPr>
      <w:r>
        <w:rPr>
          <w:rFonts w:ascii="Times New Roman" w:hAnsi="Times New Roman" w:cs="Times New Roman"/>
          <w:sz w:val="24"/>
          <w:szCs w:val="24"/>
        </w:rPr>
        <w:t>Cornell</w:t>
      </w:r>
      <w:r w:rsidR="00A90814">
        <w:rPr>
          <w:rFonts w:ascii="Times New Roman" w:hAnsi="Times New Roman" w:cs="Times New Roman"/>
          <w:sz w:val="24"/>
          <w:szCs w:val="24"/>
        </w:rPr>
        <w:t xml:space="preserve">. T.J. 1996. </w:t>
      </w:r>
      <w:r w:rsidR="00A90814" w:rsidRPr="00A90814">
        <w:rPr>
          <w:rFonts w:ascii="Times New Roman" w:hAnsi="Times New Roman" w:cs="Times New Roman"/>
          <w:sz w:val="24"/>
          <w:szCs w:val="24"/>
        </w:rPr>
        <w:t>The Effects of the Hannibalic War on Italy</w:t>
      </w:r>
      <w:r w:rsidR="00A90814">
        <w:rPr>
          <w:rFonts w:ascii="Times New Roman" w:hAnsi="Times New Roman" w:cs="Times New Roman"/>
          <w:sz w:val="24"/>
          <w:szCs w:val="24"/>
        </w:rPr>
        <w:t xml:space="preserve">. </w:t>
      </w:r>
      <w:r w:rsidR="00A90814" w:rsidRPr="00A90814">
        <w:rPr>
          <w:rFonts w:ascii="Times New Roman" w:hAnsi="Times New Roman" w:cs="Times New Roman"/>
          <w:sz w:val="24"/>
          <w:szCs w:val="24"/>
        </w:rPr>
        <w:t>The Second Punic War: A Reappraisal</w:t>
      </w:r>
      <w:r w:rsidR="00A90814">
        <w:rPr>
          <w:rFonts w:ascii="Times New Roman" w:hAnsi="Times New Roman" w:cs="Times New Roman"/>
          <w:sz w:val="24"/>
          <w:szCs w:val="24"/>
        </w:rPr>
        <w:t>. Pages 97 – 117. Oxford. Oxford University Press.</w:t>
      </w:r>
    </w:p>
    <w:p w14:paraId="555005E0" w14:textId="4761C504" w:rsidR="00A27778" w:rsidRDefault="00A27778" w:rsidP="00EC357A">
      <w:pPr>
        <w:spacing w:line="480" w:lineRule="auto"/>
        <w:ind w:left="720"/>
        <w:rPr>
          <w:rFonts w:ascii="Times New Roman" w:hAnsi="Times New Roman" w:cs="Times New Roman"/>
          <w:sz w:val="24"/>
          <w:szCs w:val="24"/>
        </w:rPr>
      </w:pPr>
      <w:r>
        <w:rPr>
          <w:rFonts w:ascii="Times New Roman" w:hAnsi="Times New Roman" w:cs="Times New Roman"/>
          <w:sz w:val="24"/>
          <w:szCs w:val="24"/>
        </w:rPr>
        <w:t>Foxhall, L. 1993</w:t>
      </w:r>
      <w:r w:rsidRPr="00A27778">
        <w:rPr>
          <w:rFonts w:ascii="Times New Roman" w:hAnsi="Times New Roman" w:cs="Times New Roman"/>
          <w:i/>
          <w:sz w:val="24"/>
          <w:szCs w:val="24"/>
        </w:rPr>
        <w:t>. Farming and fighting in Ancient Greece</w:t>
      </w:r>
      <w:r>
        <w:rPr>
          <w:rFonts w:ascii="Times New Roman" w:hAnsi="Times New Roman" w:cs="Times New Roman"/>
          <w:sz w:val="24"/>
          <w:szCs w:val="24"/>
        </w:rPr>
        <w:t xml:space="preserve">. Warfare and society in the Greek World. London. Pages 142 – 143 </w:t>
      </w:r>
    </w:p>
    <w:p w14:paraId="0CCFFD41" w14:textId="0BEA64ED" w:rsidR="00A90814" w:rsidRPr="00EC357A" w:rsidRDefault="00A90814" w:rsidP="00EC357A">
      <w:pPr>
        <w:spacing w:line="480" w:lineRule="auto"/>
        <w:ind w:left="720"/>
        <w:rPr>
          <w:rFonts w:ascii="Times New Roman" w:hAnsi="Times New Roman" w:cs="Times New Roman"/>
          <w:sz w:val="24"/>
          <w:szCs w:val="24"/>
        </w:rPr>
      </w:pPr>
      <w:r w:rsidRPr="00A90814">
        <w:rPr>
          <w:rFonts w:ascii="Times New Roman" w:hAnsi="Times New Roman" w:cs="Times New Roman"/>
          <w:sz w:val="24"/>
          <w:szCs w:val="24"/>
        </w:rPr>
        <w:t>Garlan, Y. 1968. “Fortifications et histoire grecque.” In Vernant 245–260</w:t>
      </w:r>
    </w:p>
    <w:p w14:paraId="67FF35EA" w14:textId="4C5FA464" w:rsidR="00EC357A" w:rsidRDefault="00EC357A" w:rsidP="00EC357A">
      <w:pPr>
        <w:spacing w:line="480" w:lineRule="auto"/>
        <w:ind w:left="720"/>
        <w:rPr>
          <w:rFonts w:ascii="Times New Roman" w:hAnsi="Times New Roman" w:cs="Times New Roman"/>
          <w:sz w:val="24"/>
          <w:szCs w:val="24"/>
        </w:rPr>
      </w:pPr>
      <w:r>
        <w:rPr>
          <w:rFonts w:ascii="Times New Roman" w:hAnsi="Times New Roman" w:cs="Times New Roman"/>
          <w:sz w:val="24"/>
          <w:szCs w:val="24"/>
        </w:rPr>
        <w:lastRenderedPageBreak/>
        <w:t xml:space="preserve">Hanson, V. 1988. </w:t>
      </w:r>
      <w:r w:rsidRPr="00EC357A">
        <w:rPr>
          <w:rFonts w:ascii="Times New Roman" w:hAnsi="Times New Roman" w:cs="Times New Roman"/>
          <w:i/>
          <w:sz w:val="24"/>
          <w:szCs w:val="24"/>
        </w:rPr>
        <w:t>Warfare and Agriculture in Classical Greece</w:t>
      </w:r>
      <w:r>
        <w:rPr>
          <w:rFonts w:ascii="Times New Roman" w:hAnsi="Times New Roman" w:cs="Times New Roman"/>
          <w:sz w:val="24"/>
          <w:szCs w:val="24"/>
        </w:rPr>
        <w:t>. London. University of California Press</w:t>
      </w:r>
    </w:p>
    <w:p w14:paraId="0C3262E7" w14:textId="3A2E7FBC" w:rsidR="00A27778" w:rsidRDefault="00A27778" w:rsidP="00EC357A">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Pritchett, W.K. 1991. </w:t>
      </w:r>
      <w:r>
        <w:rPr>
          <w:rFonts w:ascii="Times New Roman" w:hAnsi="Times New Roman" w:cs="Times New Roman"/>
          <w:i/>
          <w:sz w:val="24"/>
          <w:szCs w:val="24"/>
        </w:rPr>
        <w:t>The Greek State at War V</w:t>
      </w:r>
      <w:r>
        <w:rPr>
          <w:rFonts w:ascii="Times New Roman" w:hAnsi="Times New Roman" w:cs="Times New Roman"/>
          <w:sz w:val="24"/>
          <w:szCs w:val="24"/>
        </w:rPr>
        <w:t xml:space="preserve">. Berkeley. University of California Press. </w:t>
      </w:r>
    </w:p>
    <w:p w14:paraId="24E72C82" w14:textId="78BE66B0" w:rsidR="00A90814" w:rsidRPr="00A27778" w:rsidRDefault="00A90814" w:rsidP="00EC357A">
      <w:pPr>
        <w:spacing w:line="480" w:lineRule="auto"/>
        <w:ind w:left="720"/>
        <w:rPr>
          <w:rFonts w:ascii="Times New Roman" w:hAnsi="Times New Roman" w:cs="Times New Roman"/>
          <w:sz w:val="24"/>
          <w:szCs w:val="24"/>
        </w:rPr>
      </w:pPr>
      <w:r w:rsidRPr="00A90814">
        <w:rPr>
          <w:rFonts w:ascii="Times New Roman" w:hAnsi="Times New Roman" w:cs="Times New Roman"/>
          <w:sz w:val="24"/>
          <w:szCs w:val="24"/>
        </w:rPr>
        <w:t>Salmon, E. T. 1946. “</w:t>
      </w:r>
      <w:r w:rsidRPr="00A90814">
        <w:rPr>
          <w:rFonts w:ascii="Times New Roman" w:hAnsi="Times New Roman" w:cs="Times New Roman"/>
          <w:i/>
          <w:sz w:val="24"/>
          <w:szCs w:val="24"/>
        </w:rPr>
        <w:t>The Belated Spartan Occupation of Decelea: An Explanation</w:t>
      </w:r>
      <w:r w:rsidRPr="00A90814">
        <w:rPr>
          <w:rFonts w:ascii="Times New Roman" w:hAnsi="Times New Roman" w:cs="Times New Roman"/>
          <w:sz w:val="24"/>
          <w:szCs w:val="24"/>
        </w:rPr>
        <w:t>.” </w:t>
      </w:r>
      <w:r>
        <w:rPr>
          <w:rFonts w:ascii="Times New Roman" w:hAnsi="Times New Roman" w:cs="Times New Roman"/>
          <w:iCs/>
          <w:sz w:val="24"/>
          <w:szCs w:val="24"/>
        </w:rPr>
        <w:t>Classical Review. Vol.</w:t>
      </w:r>
      <w:r w:rsidRPr="00A90814">
        <w:rPr>
          <w:rFonts w:ascii="Times New Roman" w:hAnsi="Times New Roman" w:cs="Times New Roman"/>
          <w:sz w:val="24"/>
          <w:szCs w:val="24"/>
        </w:rPr>
        <w:t>60</w:t>
      </w:r>
      <w:r>
        <w:rPr>
          <w:rFonts w:ascii="Times New Roman" w:hAnsi="Times New Roman" w:cs="Times New Roman"/>
          <w:sz w:val="24"/>
          <w:szCs w:val="24"/>
        </w:rPr>
        <w:t>. pages</w:t>
      </w:r>
      <w:bookmarkStart w:id="0" w:name="_GoBack"/>
      <w:bookmarkEnd w:id="0"/>
      <w:r w:rsidRPr="00A90814">
        <w:rPr>
          <w:rFonts w:ascii="Times New Roman" w:hAnsi="Times New Roman" w:cs="Times New Roman"/>
          <w:sz w:val="24"/>
          <w:szCs w:val="24"/>
        </w:rPr>
        <w:t> 13–14. </w:t>
      </w:r>
    </w:p>
    <w:p w14:paraId="3BEFFAA2" w14:textId="010B6E15" w:rsidR="00EC357A" w:rsidRDefault="00EC357A" w:rsidP="00EC357A">
      <w:pPr>
        <w:spacing w:line="480" w:lineRule="auto"/>
        <w:ind w:left="720"/>
        <w:rPr>
          <w:rFonts w:ascii="Times New Roman" w:hAnsi="Times New Roman" w:cs="Times New Roman"/>
          <w:sz w:val="24"/>
          <w:szCs w:val="24"/>
          <w:lang w:val="en"/>
        </w:rPr>
      </w:pPr>
      <w:r>
        <w:rPr>
          <w:rFonts w:ascii="Times New Roman" w:hAnsi="Times New Roman" w:cs="Times New Roman"/>
          <w:sz w:val="24"/>
          <w:szCs w:val="24"/>
        </w:rPr>
        <w:t xml:space="preserve">Thorne, J. 2001.  </w:t>
      </w:r>
      <w:r w:rsidRPr="00EC357A">
        <w:rPr>
          <w:rFonts w:ascii="Times New Roman" w:hAnsi="Times New Roman" w:cs="Times New Roman"/>
          <w:i/>
          <w:sz w:val="24"/>
          <w:szCs w:val="24"/>
          <w:lang w:val="en"/>
        </w:rPr>
        <w:t>Warfare and agriculture: The economic impact of devastation in classical Greece.</w:t>
      </w:r>
      <w:r>
        <w:rPr>
          <w:rFonts w:ascii="Times New Roman" w:hAnsi="Times New Roman" w:cs="Times New Roman"/>
          <w:sz w:val="24"/>
          <w:szCs w:val="24"/>
          <w:lang w:val="en"/>
        </w:rPr>
        <w:t xml:space="preserve"> Greek Roman and Byzantine Studies. Vol.42. Issue 3. Pages 225 – 253.</w:t>
      </w:r>
    </w:p>
    <w:p w14:paraId="2E8AD34D" w14:textId="190BEFE5" w:rsidR="00A27778" w:rsidRDefault="00A27778" w:rsidP="00EC357A">
      <w:pPr>
        <w:spacing w:line="480" w:lineRule="auto"/>
        <w:ind w:left="720"/>
        <w:rPr>
          <w:rFonts w:ascii="Times New Roman" w:hAnsi="Times New Roman" w:cs="Times New Roman"/>
          <w:sz w:val="24"/>
          <w:szCs w:val="24"/>
          <w:lang w:val="en"/>
        </w:rPr>
      </w:pPr>
      <w:r>
        <w:rPr>
          <w:rFonts w:ascii="Times New Roman" w:hAnsi="Times New Roman" w:cs="Times New Roman"/>
          <w:sz w:val="24"/>
          <w:szCs w:val="24"/>
          <w:lang w:val="en"/>
        </w:rPr>
        <w:t xml:space="preserve">Toynbee, A.J. 1965. </w:t>
      </w:r>
      <w:r w:rsidRPr="00E20A96">
        <w:rPr>
          <w:rFonts w:ascii="Times New Roman" w:hAnsi="Times New Roman" w:cs="Times New Roman"/>
          <w:i/>
          <w:sz w:val="24"/>
          <w:szCs w:val="24"/>
          <w:lang w:val="en"/>
        </w:rPr>
        <w:t>Hannibal’s legacy: The Hanniballic wars effects on Roman life.</w:t>
      </w:r>
      <w:r w:rsidR="00E20A96">
        <w:rPr>
          <w:rFonts w:ascii="Times New Roman" w:hAnsi="Times New Roman" w:cs="Times New Roman"/>
          <w:i/>
          <w:sz w:val="24"/>
          <w:szCs w:val="24"/>
          <w:lang w:val="en"/>
        </w:rPr>
        <w:t xml:space="preserve"> </w:t>
      </w:r>
      <w:r w:rsidR="00E20A96">
        <w:rPr>
          <w:rFonts w:ascii="Times New Roman" w:hAnsi="Times New Roman" w:cs="Times New Roman"/>
          <w:sz w:val="24"/>
          <w:szCs w:val="24"/>
          <w:lang w:val="en"/>
        </w:rPr>
        <w:t xml:space="preserve">Cambridge, Cambridge University Press. </w:t>
      </w:r>
    </w:p>
    <w:p w14:paraId="79FEEF57" w14:textId="77777777" w:rsidR="00E20A96" w:rsidRPr="00E20A96" w:rsidRDefault="00E20A96" w:rsidP="00EC357A">
      <w:pPr>
        <w:spacing w:line="480" w:lineRule="auto"/>
        <w:ind w:left="720"/>
        <w:rPr>
          <w:rFonts w:ascii="Times New Roman" w:hAnsi="Times New Roman" w:cs="Times New Roman"/>
          <w:sz w:val="24"/>
          <w:szCs w:val="24"/>
          <w:lang w:val="en"/>
        </w:rPr>
      </w:pPr>
    </w:p>
    <w:p w14:paraId="26C5F954" w14:textId="19E097B8" w:rsidR="00FE3BC4" w:rsidRPr="00FE3BC4" w:rsidRDefault="00FE3BC4" w:rsidP="00FE3BC4">
      <w:pPr>
        <w:spacing w:line="480" w:lineRule="auto"/>
        <w:ind w:left="720"/>
        <w:rPr>
          <w:rFonts w:ascii="Times New Roman" w:hAnsi="Times New Roman" w:cs="Times New Roman"/>
          <w:sz w:val="24"/>
          <w:szCs w:val="24"/>
          <w:u w:val="single"/>
        </w:rPr>
      </w:pPr>
    </w:p>
    <w:p w14:paraId="3260642C" w14:textId="77777777" w:rsidR="008360B3" w:rsidRDefault="008360B3" w:rsidP="005A76B2">
      <w:pPr>
        <w:spacing w:line="480" w:lineRule="auto"/>
        <w:rPr>
          <w:rFonts w:ascii="Times New Roman" w:hAnsi="Times New Roman" w:cs="Times New Roman"/>
          <w:sz w:val="24"/>
          <w:szCs w:val="24"/>
        </w:rPr>
      </w:pPr>
    </w:p>
    <w:p w14:paraId="2D03AE8E" w14:textId="77777777" w:rsidR="00B01E3D" w:rsidRPr="00B5328F" w:rsidRDefault="00B01E3D" w:rsidP="005A76B2">
      <w:pPr>
        <w:spacing w:line="480" w:lineRule="auto"/>
        <w:rPr>
          <w:rFonts w:ascii="Times New Roman" w:hAnsi="Times New Roman" w:cs="Times New Roman"/>
          <w:sz w:val="24"/>
          <w:szCs w:val="24"/>
        </w:rPr>
      </w:pPr>
    </w:p>
    <w:sectPr w:rsidR="00B01E3D" w:rsidRPr="00B532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53A236" w14:textId="77777777" w:rsidR="0030751F" w:rsidRDefault="0030751F" w:rsidP="00B5328F">
      <w:pPr>
        <w:spacing w:after="0" w:line="240" w:lineRule="auto"/>
      </w:pPr>
      <w:r>
        <w:separator/>
      </w:r>
    </w:p>
  </w:endnote>
  <w:endnote w:type="continuationSeparator" w:id="0">
    <w:p w14:paraId="76C3C227" w14:textId="77777777" w:rsidR="0030751F" w:rsidRDefault="0030751F" w:rsidP="00B53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0FF99E" w14:textId="77777777" w:rsidR="0030751F" w:rsidRDefault="0030751F" w:rsidP="00B5328F">
      <w:pPr>
        <w:spacing w:after="0" w:line="240" w:lineRule="auto"/>
      </w:pPr>
      <w:r>
        <w:separator/>
      </w:r>
    </w:p>
  </w:footnote>
  <w:footnote w:type="continuationSeparator" w:id="0">
    <w:p w14:paraId="7969E20C" w14:textId="77777777" w:rsidR="0030751F" w:rsidRDefault="0030751F" w:rsidP="00B5328F">
      <w:pPr>
        <w:spacing w:after="0" w:line="240" w:lineRule="auto"/>
      </w:pPr>
      <w:r>
        <w:continuationSeparator/>
      </w:r>
    </w:p>
  </w:footnote>
  <w:footnote w:id="1">
    <w:p w14:paraId="0704ABA3" w14:textId="762A0526" w:rsidR="00B5328F" w:rsidRDefault="00B5328F">
      <w:pPr>
        <w:pStyle w:val="FootnoteText"/>
      </w:pPr>
      <w:r>
        <w:rPr>
          <w:rStyle w:val="FootnoteReference"/>
        </w:rPr>
        <w:footnoteRef/>
      </w:r>
      <w:r w:rsidR="003B54D4">
        <w:t xml:space="preserve"> Hanso</w:t>
      </w:r>
      <w:r>
        <w:t xml:space="preserve">n, V. 1998 </w:t>
      </w:r>
    </w:p>
  </w:footnote>
  <w:footnote w:id="2">
    <w:p w14:paraId="150EDC07" w14:textId="6BA8FC63" w:rsidR="00B5328F" w:rsidRDefault="00B5328F">
      <w:pPr>
        <w:pStyle w:val="FootnoteText"/>
      </w:pPr>
      <w:r>
        <w:rPr>
          <w:rStyle w:val="FootnoteReference"/>
        </w:rPr>
        <w:footnoteRef/>
      </w:r>
      <w:r>
        <w:t xml:space="preserve"> Thorne, J. 2001 page 226</w:t>
      </w:r>
    </w:p>
  </w:footnote>
  <w:footnote w:id="3">
    <w:p w14:paraId="19AEE7FF" w14:textId="765B2FA1" w:rsidR="00684E79" w:rsidRDefault="00684E79">
      <w:pPr>
        <w:pStyle w:val="FootnoteText"/>
      </w:pPr>
      <w:r>
        <w:rPr>
          <w:rStyle w:val="FootnoteReference"/>
        </w:rPr>
        <w:footnoteRef/>
      </w:r>
      <w:r>
        <w:t xml:space="preserve"> Xen. Hell. 7.2.1</w:t>
      </w:r>
    </w:p>
  </w:footnote>
  <w:footnote w:id="4">
    <w:p w14:paraId="1A957121" w14:textId="1D80AD44" w:rsidR="00707ECD" w:rsidRDefault="00707ECD">
      <w:pPr>
        <w:pStyle w:val="FootnoteText"/>
      </w:pPr>
      <w:r>
        <w:rPr>
          <w:rStyle w:val="FootnoteReference"/>
        </w:rPr>
        <w:footnoteRef/>
      </w:r>
      <w:r>
        <w:t xml:space="preserve"> Foxhall, L. 1993</w:t>
      </w:r>
    </w:p>
  </w:footnote>
  <w:footnote w:id="5">
    <w:p w14:paraId="3613312A" w14:textId="1B6E4555" w:rsidR="005A76B2" w:rsidRDefault="005A76B2">
      <w:pPr>
        <w:pStyle w:val="FootnoteText"/>
      </w:pPr>
      <w:r>
        <w:rPr>
          <w:rStyle w:val="FootnoteReference"/>
        </w:rPr>
        <w:footnoteRef/>
      </w:r>
      <w:r>
        <w:t xml:space="preserve"> Foxhall, L. 1993</w:t>
      </w:r>
    </w:p>
  </w:footnote>
  <w:footnote w:id="6">
    <w:p w14:paraId="5F280DC0" w14:textId="3A67E07F" w:rsidR="00707ECD" w:rsidRDefault="00707ECD">
      <w:pPr>
        <w:pStyle w:val="FootnoteText"/>
      </w:pPr>
      <w:r>
        <w:rPr>
          <w:rStyle w:val="FootnoteReference"/>
        </w:rPr>
        <w:footnoteRef/>
      </w:r>
      <w:r>
        <w:t xml:space="preserve"> Thorne, J. 2001</w:t>
      </w:r>
    </w:p>
  </w:footnote>
  <w:footnote w:id="7">
    <w:p w14:paraId="68E7CD33" w14:textId="6C6162E2" w:rsidR="007D2074" w:rsidRDefault="007D2074">
      <w:pPr>
        <w:pStyle w:val="FootnoteText"/>
      </w:pPr>
      <w:r>
        <w:rPr>
          <w:rStyle w:val="FootnoteReference"/>
        </w:rPr>
        <w:footnoteRef/>
      </w:r>
      <w:r>
        <w:t xml:space="preserve">Toynbee, A.J 1965 </w:t>
      </w:r>
    </w:p>
  </w:footnote>
  <w:footnote w:id="8">
    <w:p w14:paraId="273CCA77" w14:textId="71C813D0" w:rsidR="0001404D" w:rsidRDefault="007D2074">
      <w:pPr>
        <w:pStyle w:val="FootnoteText"/>
      </w:pPr>
      <w:r>
        <w:rPr>
          <w:rStyle w:val="FootnoteReference"/>
        </w:rPr>
        <w:footnoteRef/>
      </w:r>
      <w:r>
        <w:t xml:space="preserve"> </w:t>
      </w:r>
      <w:r w:rsidR="0001404D">
        <w:t>Brunt, P.A. 1971 – Cornell, T.J. 1996</w:t>
      </w:r>
    </w:p>
  </w:footnote>
  <w:footnote w:id="9">
    <w:p w14:paraId="160D20A9" w14:textId="57C566F5" w:rsidR="00D32BDA" w:rsidRDefault="00D32BDA">
      <w:pPr>
        <w:pStyle w:val="FootnoteText"/>
      </w:pPr>
      <w:r>
        <w:rPr>
          <w:rStyle w:val="FootnoteReference"/>
        </w:rPr>
        <w:footnoteRef/>
      </w:r>
      <w:r>
        <w:t xml:space="preserve"> Cornell, T.J. 1996 pages 97 - 117</w:t>
      </w:r>
    </w:p>
  </w:footnote>
  <w:footnote w:id="10">
    <w:p w14:paraId="7878F888" w14:textId="2F72B66A" w:rsidR="008B5099" w:rsidRDefault="008B5099">
      <w:pPr>
        <w:pStyle w:val="FootnoteText"/>
      </w:pPr>
      <w:r>
        <w:rPr>
          <w:rStyle w:val="FootnoteReference"/>
        </w:rPr>
        <w:footnoteRef/>
      </w:r>
      <w:r>
        <w:t xml:space="preserve"> Thorne, J.A 2001 page 229 </w:t>
      </w:r>
    </w:p>
  </w:footnote>
  <w:footnote w:id="11">
    <w:p w14:paraId="321E2D1B" w14:textId="440B01B7" w:rsidR="001679A3" w:rsidRDefault="001679A3">
      <w:pPr>
        <w:pStyle w:val="FootnoteText"/>
      </w:pPr>
      <w:r>
        <w:rPr>
          <w:rStyle w:val="FootnoteReference"/>
        </w:rPr>
        <w:footnoteRef/>
      </w:r>
      <w:r>
        <w:t xml:space="preserve"> Thorne, J.A 2001 page 229</w:t>
      </w:r>
    </w:p>
  </w:footnote>
  <w:footnote w:id="12">
    <w:p w14:paraId="2B3BB2C1" w14:textId="5909B7E8" w:rsidR="001679A3" w:rsidRDefault="001679A3">
      <w:pPr>
        <w:pStyle w:val="FootnoteText"/>
      </w:pPr>
      <w:r>
        <w:rPr>
          <w:rStyle w:val="FootnoteReference"/>
        </w:rPr>
        <w:footnoteRef/>
      </w:r>
      <w:r>
        <w:t xml:space="preserve"> Thorne, J.A 2001 page 228</w:t>
      </w:r>
    </w:p>
  </w:footnote>
  <w:footnote w:id="13">
    <w:p w14:paraId="75782F69" w14:textId="651149BD" w:rsidR="00B31435" w:rsidRDefault="00B31435">
      <w:pPr>
        <w:pStyle w:val="FootnoteText"/>
      </w:pPr>
      <w:r>
        <w:rPr>
          <w:rStyle w:val="FootnoteReference"/>
        </w:rPr>
        <w:footnoteRef/>
      </w:r>
      <w:r>
        <w:t xml:space="preserve"> Thorne, J.A 2001 page 228</w:t>
      </w:r>
    </w:p>
  </w:footnote>
  <w:footnote w:id="14">
    <w:p w14:paraId="48C7DF05" w14:textId="2132C567" w:rsidR="00B31435" w:rsidRDefault="00B31435">
      <w:pPr>
        <w:pStyle w:val="FootnoteText"/>
      </w:pPr>
      <w:r>
        <w:rPr>
          <w:rStyle w:val="FootnoteReference"/>
        </w:rPr>
        <w:footnoteRef/>
      </w:r>
      <w:r>
        <w:t xml:space="preserve"> Thorne, J.A 2001 page 253</w:t>
      </w:r>
    </w:p>
  </w:footnote>
  <w:footnote w:id="15">
    <w:p w14:paraId="68287688" w14:textId="4A9CE449" w:rsidR="00534C48" w:rsidRDefault="00534C48">
      <w:pPr>
        <w:pStyle w:val="FootnoteText"/>
      </w:pPr>
      <w:r>
        <w:rPr>
          <w:rStyle w:val="FootnoteReference"/>
        </w:rPr>
        <w:footnoteRef/>
      </w:r>
      <w:r>
        <w:t xml:space="preserve"> Thorne, J.A 2001 page 253</w:t>
      </w:r>
    </w:p>
  </w:footnote>
  <w:footnote w:id="16">
    <w:p w14:paraId="32B9051F" w14:textId="0BE8AC3C" w:rsidR="00B3136D" w:rsidRDefault="00B3136D">
      <w:pPr>
        <w:pStyle w:val="FootnoteText"/>
      </w:pPr>
      <w:r>
        <w:rPr>
          <w:rStyle w:val="FootnoteReference"/>
        </w:rPr>
        <w:footnoteRef/>
      </w:r>
      <w:r>
        <w:t xml:space="preserve"> Thorne, J.A 2001 page 233</w:t>
      </w:r>
    </w:p>
  </w:footnote>
  <w:footnote w:id="17">
    <w:p w14:paraId="00ECE19C" w14:textId="01BB8E2B" w:rsidR="00841328" w:rsidRDefault="00841328">
      <w:pPr>
        <w:pStyle w:val="FootnoteText"/>
      </w:pPr>
      <w:r>
        <w:rPr>
          <w:rStyle w:val="FootnoteReference"/>
        </w:rPr>
        <w:footnoteRef/>
      </w:r>
      <w:r>
        <w:t xml:space="preserve"> Thorne, J.A 2001 page 233</w:t>
      </w:r>
    </w:p>
  </w:footnote>
  <w:footnote w:id="18">
    <w:p w14:paraId="66A8B6B4" w14:textId="63049481" w:rsidR="00841328" w:rsidRDefault="00841328">
      <w:pPr>
        <w:pStyle w:val="FootnoteText"/>
      </w:pPr>
      <w:r>
        <w:rPr>
          <w:rStyle w:val="FootnoteReference"/>
        </w:rPr>
        <w:footnoteRef/>
      </w:r>
      <w:r w:rsidR="009F5E85">
        <w:t xml:space="preserve"> Hanso</w:t>
      </w:r>
      <w:r>
        <w:t>n, V. 1988 page 40</w:t>
      </w:r>
    </w:p>
  </w:footnote>
  <w:footnote w:id="19">
    <w:p w14:paraId="673E6E66" w14:textId="4E97636B" w:rsidR="003B54D4" w:rsidRDefault="003B54D4">
      <w:pPr>
        <w:pStyle w:val="FootnoteText"/>
      </w:pPr>
      <w:r>
        <w:rPr>
          <w:rStyle w:val="FootnoteReference"/>
        </w:rPr>
        <w:footnoteRef/>
      </w:r>
      <w:r>
        <w:t xml:space="preserve"> Hdt. 7.173</w:t>
      </w:r>
    </w:p>
  </w:footnote>
  <w:footnote w:id="20">
    <w:p w14:paraId="3FA7823D" w14:textId="0EABEACD" w:rsidR="00913888" w:rsidRDefault="00913888">
      <w:pPr>
        <w:pStyle w:val="FootnoteText"/>
      </w:pPr>
      <w:r>
        <w:rPr>
          <w:rStyle w:val="FootnoteReference"/>
        </w:rPr>
        <w:footnoteRef/>
      </w:r>
      <w:r>
        <w:t xml:space="preserve"> Thorne, J.A 2001 page 234</w:t>
      </w:r>
    </w:p>
  </w:footnote>
  <w:footnote w:id="21">
    <w:p w14:paraId="6D4EE648" w14:textId="4850573F" w:rsidR="007065F1" w:rsidRDefault="007065F1">
      <w:pPr>
        <w:pStyle w:val="FootnoteText"/>
      </w:pPr>
      <w:r>
        <w:rPr>
          <w:rStyle w:val="FootnoteReference"/>
        </w:rPr>
        <w:footnoteRef/>
      </w:r>
      <w:r>
        <w:t xml:space="preserve"> Thorne, J.A 2001 p</w:t>
      </w:r>
      <w:r w:rsidR="00AA6BE2">
        <w:t xml:space="preserve">age </w:t>
      </w:r>
      <w:r>
        <w:t>234</w:t>
      </w:r>
    </w:p>
  </w:footnote>
  <w:footnote w:id="22">
    <w:p w14:paraId="11E29631" w14:textId="7A50CB26" w:rsidR="003E4870" w:rsidRDefault="003E4870">
      <w:pPr>
        <w:pStyle w:val="FootnoteText"/>
      </w:pPr>
      <w:r>
        <w:rPr>
          <w:rStyle w:val="FootnoteReference"/>
        </w:rPr>
        <w:footnoteRef/>
      </w:r>
      <w:r>
        <w:t xml:space="preserve"> </w:t>
      </w:r>
      <w:r w:rsidR="00E9783B">
        <w:t>Thuc. 2.25</w:t>
      </w:r>
    </w:p>
  </w:footnote>
  <w:footnote w:id="23">
    <w:p w14:paraId="433C1067" w14:textId="58667F72" w:rsidR="00AA6BE2" w:rsidRDefault="00AA6BE2">
      <w:pPr>
        <w:pStyle w:val="FootnoteText"/>
      </w:pPr>
      <w:r>
        <w:rPr>
          <w:rStyle w:val="FootnoteReference"/>
        </w:rPr>
        <w:footnoteRef/>
      </w:r>
      <w:r>
        <w:t xml:space="preserve"> Thorne, J.A 2001 page 236</w:t>
      </w:r>
    </w:p>
  </w:footnote>
  <w:footnote w:id="24">
    <w:p w14:paraId="0E67849A" w14:textId="5FD87AC6" w:rsidR="00AA6BE2" w:rsidRDefault="00AA6BE2">
      <w:pPr>
        <w:pStyle w:val="FootnoteText"/>
      </w:pPr>
      <w:r>
        <w:rPr>
          <w:rStyle w:val="FootnoteReference"/>
        </w:rPr>
        <w:footnoteRef/>
      </w:r>
      <w:r>
        <w:t xml:space="preserve"> Thuc. 2.25</w:t>
      </w:r>
    </w:p>
  </w:footnote>
  <w:footnote w:id="25">
    <w:p w14:paraId="0293006D" w14:textId="78552D66" w:rsidR="00AA6BE2" w:rsidRDefault="00AA6BE2">
      <w:pPr>
        <w:pStyle w:val="FootnoteText"/>
      </w:pPr>
      <w:r>
        <w:rPr>
          <w:rStyle w:val="FootnoteReference"/>
        </w:rPr>
        <w:footnoteRef/>
      </w:r>
      <w:r w:rsidR="00660FBF">
        <w:t xml:space="preserve"> Hanso</w:t>
      </w:r>
      <w:r>
        <w:t>n, V. 1988 page 45</w:t>
      </w:r>
    </w:p>
  </w:footnote>
  <w:footnote w:id="26">
    <w:p w14:paraId="4AFC9F89" w14:textId="4929940A" w:rsidR="000128E6" w:rsidRDefault="000128E6">
      <w:pPr>
        <w:pStyle w:val="FootnoteText"/>
      </w:pPr>
      <w:r>
        <w:rPr>
          <w:rStyle w:val="FootnoteReference"/>
        </w:rPr>
        <w:footnoteRef/>
      </w:r>
      <w:r>
        <w:t xml:space="preserve"> Thorne, J.A 2001 page 237</w:t>
      </w:r>
    </w:p>
  </w:footnote>
  <w:footnote w:id="27">
    <w:p w14:paraId="46B4877C" w14:textId="01406DC0" w:rsidR="000128E6" w:rsidRDefault="000128E6">
      <w:pPr>
        <w:pStyle w:val="FootnoteText"/>
      </w:pPr>
      <w:r>
        <w:rPr>
          <w:rStyle w:val="FootnoteReference"/>
        </w:rPr>
        <w:footnoteRef/>
      </w:r>
      <w:r w:rsidR="00A01311">
        <w:t xml:space="preserve"> Coates, </w:t>
      </w:r>
      <w:r>
        <w:t xml:space="preserve">J.F 1988 </w:t>
      </w:r>
    </w:p>
  </w:footnote>
  <w:footnote w:id="28">
    <w:p w14:paraId="177D96D3" w14:textId="6C28093B" w:rsidR="00AD1D97" w:rsidRDefault="00AD1D97">
      <w:pPr>
        <w:pStyle w:val="FootnoteText"/>
      </w:pPr>
      <w:r>
        <w:rPr>
          <w:rStyle w:val="FootnoteReference"/>
        </w:rPr>
        <w:footnoteRef/>
      </w:r>
      <w:r>
        <w:t xml:space="preserve"> Thorne, J.A 2001 page 237</w:t>
      </w:r>
    </w:p>
  </w:footnote>
  <w:footnote w:id="29">
    <w:p w14:paraId="36E01ABE" w14:textId="6911A518" w:rsidR="00E9783B" w:rsidRDefault="00E9783B">
      <w:pPr>
        <w:pStyle w:val="FootnoteText"/>
      </w:pPr>
      <w:r>
        <w:rPr>
          <w:rStyle w:val="FootnoteReference"/>
        </w:rPr>
        <w:footnoteRef/>
      </w:r>
      <w:r>
        <w:t xml:space="preserve"> Thuc, 2.23 – 2.25, 2.56, 3.91, 4.53 – 4.56, 6.105</w:t>
      </w:r>
    </w:p>
  </w:footnote>
  <w:footnote w:id="30">
    <w:p w14:paraId="61D420BA" w14:textId="2EE5058C" w:rsidR="00660FBF" w:rsidRDefault="00660FBF">
      <w:pPr>
        <w:pStyle w:val="FootnoteText"/>
      </w:pPr>
      <w:r>
        <w:rPr>
          <w:rStyle w:val="FootnoteReference"/>
        </w:rPr>
        <w:footnoteRef/>
      </w:r>
      <w:r>
        <w:t xml:space="preserve"> Hanson, V. 1988 page 56</w:t>
      </w:r>
    </w:p>
  </w:footnote>
  <w:footnote w:id="31">
    <w:p w14:paraId="1FB0F1B3" w14:textId="792686E3" w:rsidR="00660FBF" w:rsidRDefault="00660FBF">
      <w:pPr>
        <w:pStyle w:val="FootnoteText"/>
      </w:pPr>
      <w:r>
        <w:rPr>
          <w:rStyle w:val="FootnoteReference"/>
        </w:rPr>
        <w:footnoteRef/>
      </w:r>
      <w:r>
        <w:t xml:space="preserve"> Thorne, J.A 2001 page 237.</w:t>
      </w:r>
    </w:p>
  </w:footnote>
  <w:footnote w:id="32">
    <w:p w14:paraId="43285070" w14:textId="7881714F" w:rsidR="00D76861" w:rsidRDefault="00D76861">
      <w:pPr>
        <w:pStyle w:val="FootnoteText"/>
      </w:pPr>
      <w:r>
        <w:rPr>
          <w:rStyle w:val="FootnoteReference"/>
        </w:rPr>
        <w:footnoteRef/>
      </w:r>
      <w:r>
        <w:t xml:space="preserve"> Thorne, J.A 2001 page 239</w:t>
      </w:r>
    </w:p>
  </w:footnote>
  <w:footnote w:id="33">
    <w:p w14:paraId="5A43FDB8" w14:textId="16E3EF16" w:rsidR="007F393D" w:rsidRDefault="007F393D">
      <w:pPr>
        <w:pStyle w:val="FootnoteText"/>
      </w:pPr>
      <w:r>
        <w:rPr>
          <w:rStyle w:val="FootnoteReference"/>
        </w:rPr>
        <w:footnoteRef/>
      </w:r>
      <w:r>
        <w:t xml:space="preserve"> Thuc. 7.27</w:t>
      </w:r>
    </w:p>
  </w:footnote>
  <w:footnote w:id="34">
    <w:p w14:paraId="1CDEA984" w14:textId="638FCC9F" w:rsidR="002E6A62" w:rsidRDefault="002E6A62">
      <w:pPr>
        <w:pStyle w:val="FootnoteText"/>
      </w:pPr>
      <w:r>
        <w:rPr>
          <w:rStyle w:val="FootnoteReference"/>
        </w:rPr>
        <w:footnoteRef/>
      </w:r>
      <w:r>
        <w:t xml:space="preserve"> Salmon, 1946. Pages 13 - 14</w:t>
      </w:r>
    </w:p>
  </w:footnote>
  <w:footnote w:id="35">
    <w:p w14:paraId="75654B0F" w14:textId="2C5DBB47" w:rsidR="002E6A62" w:rsidRDefault="002E6A62">
      <w:pPr>
        <w:pStyle w:val="FootnoteText"/>
      </w:pPr>
      <w:r>
        <w:rPr>
          <w:rStyle w:val="FootnoteReference"/>
        </w:rPr>
        <w:footnoteRef/>
      </w:r>
      <w:r>
        <w:t xml:space="preserve"> Garlan, 1974. Pages 33 - 38</w:t>
      </w:r>
    </w:p>
  </w:footnote>
  <w:footnote w:id="36">
    <w:p w14:paraId="41182FF2" w14:textId="0E384AC2" w:rsidR="00672087" w:rsidRDefault="00672087">
      <w:pPr>
        <w:pStyle w:val="FootnoteText"/>
      </w:pPr>
      <w:r>
        <w:rPr>
          <w:rStyle w:val="FootnoteReference"/>
        </w:rPr>
        <w:footnoteRef/>
      </w:r>
      <w:r>
        <w:t xml:space="preserve"> Hanso</w:t>
      </w:r>
      <w:r w:rsidR="009F5E85">
        <w:t>n</w:t>
      </w:r>
      <w:r>
        <w:t>, V. 1988. Pages 46 - 48</w:t>
      </w:r>
    </w:p>
  </w:footnote>
  <w:footnote w:id="37">
    <w:p w14:paraId="134DC683" w14:textId="28E823EC" w:rsidR="003F5939" w:rsidRDefault="003F5939">
      <w:pPr>
        <w:pStyle w:val="FootnoteText"/>
      </w:pPr>
      <w:r>
        <w:rPr>
          <w:rStyle w:val="FootnoteReference"/>
        </w:rPr>
        <w:footnoteRef/>
      </w:r>
      <w:r>
        <w:t xml:space="preserve"> Pritchett, W.K 1991.pages 352 - 358</w:t>
      </w:r>
    </w:p>
  </w:footnote>
  <w:footnote w:id="38">
    <w:p w14:paraId="1E74C44E" w14:textId="40B70569" w:rsidR="003F5939" w:rsidRDefault="003F5939">
      <w:pPr>
        <w:pStyle w:val="FootnoteText"/>
      </w:pPr>
      <w:r>
        <w:rPr>
          <w:rStyle w:val="FootnoteReference"/>
        </w:rPr>
        <w:footnoteRef/>
      </w:r>
      <w:r>
        <w:t xml:space="preserve"> Thorne, J.A. 2001. Page 241</w:t>
      </w:r>
      <w:r w:rsidR="00A01E8D">
        <w:t xml:space="preserve"> </w:t>
      </w:r>
    </w:p>
  </w:footnote>
  <w:footnote w:id="39">
    <w:p w14:paraId="50EF81FF" w14:textId="1550AFF5" w:rsidR="00A01E8D" w:rsidRDefault="00A01E8D">
      <w:pPr>
        <w:pStyle w:val="FootnoteText"/>
      </w:pPr>
      <w:r>
        <w:rPr>
          <w:rStyle w:val="FootnoteReference"/>
        </w:rPr>
        <w:footnoteRef/>
      </w:r>
      <w:r>
        <w:t xml:space="preserve"> Thorne, J.A. 2001 page 241</w:t>
      </w:r>
    </w:p>
  </w:footnote>
  <w:footnote w:id="40">
    <w:p w14:paraId="00514944" w14:textId="63484BD5" w:rsidR="008E2F91" w:rsidRDefault="008E2F91">
      <w:pPr>
        <w:pStyle w:val="FootnoteText"/>
      </w:pPr>
      <w:r>
        <w:rPr>
          <w:rStyle w:val="FootnoteReference"/>
        </w:rPr>
        <w:footnoteRef/>
      </w:r>
      <w:r>
        <w:t xml:space="preserve"> Thorne, J.A. 2001. Page 242</w:t>
      </w:r>
      <w:r w:rsidR="009F5E85">
        <w:t xml:space="preserve"> </w:t>
      </w:r>
    </w:p>
  </w:footnote>
  <w:footnote w:id="41">
    <w:p w14:paraId="7444F289" w14:textId="47CDA801" w:rsidR="009F5E85" w:rsidRDefault="009F5E85">
      <w:pPr>
        <w:pStyle w:val="FootnoteText"/>
      </w:pPr>
      <w:r>
        <w:rPr>
          <w:rStyle w:val="FootnoteReference"/>
        </w:rPr>
        <w:footnoteRef/>
      </w:r>
      <w:r>
        <w:t xml:space="preserve"> Hanson, V. 1988. Page 104</w:t>
      </w:r>
    </w:p>
  </w:footnote>
  <w:footnote w:id="42">
    <w:p w14:paraId="6E009BC0" w14:textId="0241FA40" w:rsidR="009F5E85" w:rsidRDefault="009F5E85">
      <w:pPr>
        <w:pStyle w:val="FootnoteText"/>
      </w:pPr>
      <w:r>
        <w:rPr>
          <w:rStyle w:val="FootnoteReference"/>
        </w:rPr>
        <w:footnoteRef/>
      </w:r>
      <w:r>
        <w:t xml:space="preserve"> Thorne, J.A 2001. Page 243</w:t>
      </w:r>
    </w:p>
  </w:footnote>
  <w:footnote w:id="43">
    <w:p w14:paraId="72BF40C5" w14:textId="14B1421C" w:rsidR="00F67A56" w:rsidRDefault="00F67A56">
      <w:pPr>
        <w:pStyle w:val="FootnoteText"/>
      </w:pPr>
      <w:r>
        <w:rPr>
          <w:rStyle w:val="FootnoteReference"/>
        </w:rPr>
        <w:footnoteRef/>
      </w:r>
      <w:r>
        <w:t xml:space="preserve"> Cato. Agr</w:t>
      </w:r>
      <w:r w:rsidR="00F84FC9">
        <w:t>. 30</w:t>
      </w:r>
    </w:p>
  </w:footnote>
  <w:footnote w:id="44">
    <w:p w14:paraId="335AE14C" w14:textId="79AFDF3A" w:rsidR="00F84FC9" w:rsidRDefault="00F84FC9">
      <w:pPr>
        <w:pStyle w:val="FootnoteText"/>
      </w:pPr>
      <w:r>
        <w:rPr>
          <w:rStyle w:val="FootnoteReference"/>
        </w:rPr>
        <w:footnoteRef/>
      </w:r>
      <w:r>
        <w:t xml:space="preserve"> Thorne, J.A 2001. Page 245</w:t>
      </w:r>
    </w:p>
  </w:footnote>
  <w:footnote w:id="45">
    <w:p w14:paraId="7B315C7D" w14:textId="110E41DC" w:rsidR="00B01E3D" w:rsidRDefault="00B01E3D">
      <w:pPr>
        <w:pStyle w:val="FootnoteText"/>
      </w:pPr>
      <w:r>
        <w:rPr>
          <w:rStyle w:val="FootnoteReference"/>
        </w:rPr>
        <w:footnoteRef/>
      </w:r>
      <w:r>
        <w:t xml:space="preserve"> Thorne, J.A. 2001 page 228.</w:t>
      </w:r>
    </w:p>
  </w:footnote>
  <w:footnote w:id="46">
    <w:p w14:paraId="2C9F9BB3" w14:textId="54748AD3" w:rsidR="006E109A" w:rsidRDefault="006E109A">
      <w:pPr>
        <w:pStyle w:val="FootnoteText"/>
      </w:pPr>
      <w:r>
        <w:rPr>
          <w:rStyle w:val="FootnoteReference"/>
        </w:rPr>
        <w:footnoteRef/>
      </w:r>
      <w:r>
        <w:t xml:space="preserve"> Thorne, J.A. 2001. Page 249</w:t>
      </w:r>
    </w:p>
  </w:footnote>
  <w:footnote w:id="47">
    <w:p w14:paraId="6EF3DDD1" w14:textId="536F510D" w:rsidR="006E109A" w:rsidRDefault="006E109A">
      <w:pPr>
        <w:pStyle w:val="FootnoteText"/>
      </w:pPr>
      <w:r>
        <w:rPr>
          <w:rStyle w:val="FootnoteReference"/>
        </w:rPr>
        <w:footnoteRef/>
      </w:r>
      <w:r>
        <w:t xml:space="preserve"> Thorne, J.A. 2001. Page 249</w:t>
      </w:r>
    </w:p>
  </w:footnote>
  <w:footnote w:id="48">
    <w:p w14:paraId="64D03993" w14:textId="3AD63D59" w:rsidR="006E109A" w:rsidRDefault="006E109A">
      <w:pPr>
        <w:pStyle w:val="FootnoteText"/>
      </w:pPr>
      <w:r>
        <w:rPr>
          <w:rStyle w:val="FootnoteReference"/>
        </w:rPr>
        <w:footnoteRef/>
      </w:r>
      <w:r>
        <w:t xml:space="preserve"> Hanson, V. 1988. Page 177</w:t>
      </w:r>
    </w:p>
  </w:footnote>
  <w:footnote w:id="49">
    <w:p w14:paraId="68A4236E" w14:textId="024B189C" w:rsidR="006E109A" w:rsidRDefault="006E109A">
      <w:pPr>
        <w:pStyle w:val="FootnoteText"/>
      </w:pPr>
      <w:r>
        <w:rPr>
          <w:rStyle w:val="FootnoteReference"/>
        </w:rPr>
        <w:footnoteRef/>
      </w:r>
      <w:r>
        <w:t xml:space="preserve"> Thorne, J.A. 2001. Page 250</w:t>
      </w:r>
    </w:p>
  </w:footnote>
  <w:footnote w:id="50">
    <w:p w14:paraId="715AD9DA" w14:textId="1396697B" w:rsidR="003168B9" w:rsidRDefault="003168B9">
      <w:pPr>
        <w:pStyle w:val="FootnoteText"/>
      </w:pPr>
      <w:r>
        <w:rPr>
          <w:rStyle w:val="FootnoteReference"/>
        </w:rPr>
        <w:footnoteRef/>
      </w:r>
      <w:r>
        <w:t xml:space="preserve"> Thuc. 7.28</w:t>
      </w:r>
    </w:p>
  </w:footnote>
  <w:footnote w:id="51">
    <w:p w14:paraId="6C8C1E44" w14:textId="23567AA3" w:rsidR="003168B9" w:rsidRDefault="003168B9">
      <w:pPr>
        <w:pStyle w:val="FootnoteText"/>
      </w:pPr>
      <w:r>
        <w:rPr>
          <w:rStyle w:val="FootnoteReference"/>
        </w:rPr>
        <w:footnoteRef/>
      </w:r>
      <w:r>
        <w:t xml:space="preserve"> Thorne, J.A. 2001. Page 252</w:t>
      </w:r>
    </w:p>
  </w:footnote>
  <w:footnote w:id="52">
    <w:p w14:paraId="28B449BA" w14:textId="179C0334" w:rsidR="003168B9" w:rsidRPr="003168B9" w:rsidRDefault="003168B9">
      <w:pPr>
        <w:pStyle w:val="FootnoteText"/>
      </w:pPr>
      <w:r>
        <w:rPr>
          <w:rStyle w:val="FootnoteReference"/>
        </w:rPr>
        <w:footnoteRef/>
      </w:r>
      <w:r>
        <w:t xml:space="preserve"> Xen. Hell. 1.1.35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4FBD"/>
    <w:rsid w:val="000128E6"/>
    <w:rsid w:val="0001404D"/>
    <w:rsid w:val="001679A3"/>
    <w:rsid w:val="001B2D16"/>
    <w:rsid w:val="002262AC"/>
    <w:rsid w:val="00293236"/>
    <w:rsid w:val="002B4954"/>
    <w:rsid w:val="002E6A62"/>
    <w:rsid w:val="0030751F"/>
    <w:rsid w:val="003168B9"/>
    <w:rsid w:val="003B54D4"/>
    <w:rsid w:val="003E34E8"/>
    <w:rsid w:val="003E4870"/>
    <w:rsid w:val="003F5939"/>
    <w:rsid w:val="00534C48"/>
    <w:rsid w:val="005A76B2"/>
    <w:rsid w:val="005D18F1"/>
    <w:rsid w:val="00627955"/>
    <w:rsid w:val="00660FBF"/>
    <w:rsid w:val="00672087"/>
    <w:rsid w:val="00684E79"/>
    <w:rsid w:val="006A794B"/>
    <w:rsid w:val="006C7323"/>
    <w:rsid w:val="006E109A"/>
    <w:rsid w:val="007065F1"/>
    <w:rsid w:val="00707ECD"/>
    <w:rsid w:val="00710C4D"/>
    <w:rsid w:val="00745C45"/>
    <w:rsid w:val="007D2074"/>
    <w:rsid w:val="007F393D"/>
    <w:rsid w:val="008360B3"/>
    <w:rsid w:val="00841328"/>
    <w:rsid w:val="008B5099"/>
    <w:rsid w:val="008E2F91"/>
    <w:rsid w:val="00913888"/>
    <w:rsid w:val="009F5E85"/>
    <w:rsid w:val="00A01311"/>
    <w:rsid w:val="00A01E8D"/>
    <w:rsid w:val="00A2136C"/>
    <w:rsid w:val="00A27778"/>
    <w:rsid w:val="00A90814"/>
    <w:rsid w:val="00AA6BE2"/>
    <w:rsid w:val="00AD1D97"/>
    <w:rsid w:val="00B01E3D"/>
    <w:rsid w:val="00B3136D"/>
    <w:rsid w:val="00B31435"/>
    <w:rsid w:val="00B5328F"/>
    <w:rsid w:val="00B56D36"/>
    <w:rsid w:val="00B84FBD"/>
    <w:rsid w:val="00CC794B"/>
    <w:rsid w:val="00CE1FA0"/>
    <w:rsid w:val="00D25E0B"/>
    <w:rsid w:val="00D32BDA"/>
    <w:rsid w:val="00D64721"/>
    <w:rsid w:val="00D717B0"/>
    <w:rsid w:val="00D76861"/>
    <w:rsid w:val="00E20A96"/>
    <w:rsid w:val="00E9783B"/>
    <w:rsid w:val="00EC357A"/>
    <w:rsid w:val="00F67A56"/>
    <w:rsid w:val="00F84FC9"/>
    <w:rsid w:val="00FE3BC4"/>
    <w:rsid w:val="00FE6E0F"/>
    <w:rsid w:val="01B9DC3B"/>
    <w:rsid w:val="6230C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38138"/>
  <w15:chartTrackingRefBased/>
  <w15:docId w15:val="{44F5A453-3B47-4D24-9BF8-788073289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10C4D"/>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B532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328F"/>
    <w:rPr>
      <w:sz w:val="20"/>
      <w:szCs w:val="20"/>
    </w:rPr>
  </w:style>
  <w:style w:type="character" w:styleId="FootnoteReference">
    <w:name w:val="footnote reference"/>
    <w:basedOn w:val="DefaultParagraphFont"/>
    <w:uiPriority w:val="99"/>
    <w:semiHidden/>
    <w:unhideWhenUsed/>
    <w:rsid w:val="00B5328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357230">
      <w:bodyDiv w:val="1"/>
      <w:marLeft w:val="0"/>
      <w:marRight w:val="0"/>
      <w:marTop w:val="0"/>
      <w:marBottom w:val="0"/>
      <w:divBdr>
        <w:top w:val="none" w:sz="0" w:space="0" w:color="auto"/>
        <w:left w:val="none" w:sz="0" w:space="0" w:color="auto"/>
        <w:bottom w:val="none" w:sz="0" w:space="0" w:color="auto"/>
        <w:right w:val="none" w:sz="0" w:space="0" w:color="auto"/>
      </w:divBdr>
      <w:divsChild>
        <w:div w:id="1234193724">
          <w:marLeft w:val="0"/>
          <w:marRight w:val="0"/>
          <w:marTop w:val="0"/>
          <w:marBottom w:val="0"/>
          <w:divBdr>
            <w:top w:val="none" w:sz="0" w:space="0" w:color="auto"/>
            <w:left w:val="none" w:sz="0" w:space="0" w:color="auto"/>
            <w:bottom w:val="none" w:sz="0" w:space="0" w:color="auto"/>
            <w:right w:val="none" w:sz="0" w:space="0" w:color="auto"/>
          </w:divBdr>
          <w:divsChild>
            <w:div w:id="176701867">
              <w:marLeft w:val="0"/>
              <w:marRight w:val="0"/>
              <w:marTop w:val="0"/>
              <w:marBottom w:val="0"/>
              <w:divBdr>
                <w:top w:val="none" w:sz="0" w:space="0" w:color="auto"/>
                <w:left w:val="none" w:sz="0" w:space="0" w:color="auto"/>
                <w:bottom w:val="none" w:sz="0" w:space="0" w:color="auto"/>
                <w:right w:val="none" w:sz="0" w:space="0" w:color="auto"/>
              </w:divBdr>
              <w:divsChild>
                <w:div w:id="839809099">
                  <w:marLeft w:val="0"/>
                  <w:marRight w:val="0"/>
                  <w:marTop w:val="0"/>
                  <w:marBottom w:val="0"/>
                  <w:divBdr>
                    <w:top w:val="none" w:sz="0" w:space="0" w:color="auto"/>
                    <w:left w:val="none" w:sz="0" w:space="0" w:color="auto"/>
                    <w:bottom w:val="none" w:sz="0" w:space="0" w:color="auto"/>
                    <w:right w:val="none" w:sz="0" w:space="0" w:color="auto"/>
                  </w:divBdr>
                  <w:divsChild>
                    <w:div w:id="393548229">
                      <w:marLeft w:val="0"/>
                      <w:marRight w:val="0"/>
                      <w:marTop w:val="0"/>
                      <w:marBottom w:val="0"/>
                      <w:divBdr>
                        <w:top w:val="none" w:sz="0" w:space="0" w:color="auto"/>
                        <w:left w:val="none" w:sz="0" w:space="0" w:color="auto"/>
                        <w:bottom w:val="none" w:sz="0" w:space="0" w:color="auto"/>
                        <w:right w:val="none" w:sz="0" w:space="0" w:color="auto"/>
                      </w:divBdr>
                      <w:divsChild>
                        <w:div w:id="599725235">
                          <w:marLeft w:val="0"/>
                          <w:marRight w:val="0"/>
                          <w:marTop w:val="0"/>
                          <w:marBottom w:val="0"/>
                          <w:divBdr>
                            <w:top w:val="none" w:sz="0" w:space="0" w:color="auto"/>
                            <w:left w:val="none" w:sz="0" w:space="0" w:color="auto"/>
                            <w:bottom w:val="none" w:sz="0" w:space="0" w:color="auto"/>
                            <w:right w:val="none" w:sz="0" w:space="0" w:color="auto"/>
                          </w:divBdr>
                          <w:divsChild>
                            <w:div w:id="1498613868">
                              <w:marLeft w:val="-225"/>
                              <w:marRight w:val="-225"/>
                              <w:marTop w:val="0"/>
                              <w:marBottom w:val="0"/>
                              <w:divBdr>
                                <w:top w:val="none" w:sz="0" w:space="0" w:color="auto"/>
                                <w:left w:val="none" w:sz="0" w:space="0" w:color="auto"/>
                                <w:bottom w:val="none" w:sz="0" w:space="0" w:color="auto"/>
                                <w:right w:val="none" w:sz="0" w:space="0" w:color="auto"/>
                              </w:divBdr>
                              <w:divsChild>
                                <w:div w:id="1757243595">
                                  <w:marLeft w:val="0"/>
                                  <w:marRight w:val="0"/>
                                  <w:marTop w:val="0"/>
                                  <w:marBottom w:val="0"/>
                                  <w:divBdr>
                                    <w:top w:val="none" w:sz="0" w:space="0" w:color="auto"/>
                                    <w:left w:val="none" w:sz="0" w:space="0" w:color="auto"/>
                                    <w:bottom w:val="none" w:sz="0" w:space="0" w:color="auto"/>
                                    <w:right w:val="none" w:sz="0" w:space="0" w:color="auto"/>
                                  </w:divBdr>
                                  <w:divsChild>
                                    <w:div w:id="1023751478">
                                      <w:marLeft w:val="0"/>
                                      <w:marRight w:val="0"/>
                                      <w:marTop w:val="0"/>
                                      <w:marBottom w:val="0"/>
                                      <w:divBdr>
                                        <w:top w:val="none" w:sz="0" w:space="0" w:color="auto"/>
                                        <w:left w:val="none" w:sz="0" w:space="0" w:color="auto"/>
                                        <w:bottom w:val="none" w:sz="0" w:space="0" w:color="auto"/>
                                        <w:right w:val="none" w:sz="0" w:space="0" w:color="auto"/>
                                      </w:divBdr>
                                      <w:divsChild>
                                        <w:div w:id="2005695208">
                                          <w:marLeft w:val="0"/>
                                          <w:marRight w:val="0"/>
                                          <w:marTop w:val="0"/>
                                          <w:marBottom w:val="0"/>
                                          <w:divBdr>
                                            <w:top w:val="none" w:sz="0" w:space="0" w:color="auto"/>
                                            <w:left w:val="none" w:sz="0" w:space="0" w:color="auto"/>
                                            <w:bottom w:val="none" w:sz="0" w:space="0" w:color="auto"/>
                                            <w:right w:val="none" w:sz="0" w:space="0" w:color="auto"/>
                                          </w:divBdr>
                                          <w:divsChild>
                                            <w:div w:id="16010869">
                                              <w:marLeft w:val="0"/>
                                              <w:marRight w:val="0"/>
                                              <w:marTop w:val="0"/>
                                              <w:marBottom w:val="0"/>
                                              <w:divBdr>
                                                <w:top w:val="none" w:sz="0" w:space="0" w:color="auto"/>
                                                <w:left w:val="none" w:sz="0" w:space="0" w:color="auto"/>
                                                <w:bottom w:val="none" w:sz="0" w:space="0" w:color="auto"/>
                                                <w:right w:val="none" w:sz="0" w:space="0" w:color="auto"/>
                                              </w:divBdr>
                                              <w:divsChild>
                                                <w:div w:id="38299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49413152">
      <w:bodyDiv w:val="1"/>
      <w:marLeft w:val="0"/>
      <w:marRight w:val="0"/>
      <w:marTop w:val="0"/>
      <w:marBottom w:val="0"/>
      <w:divBdr>
        <w:top w:val="none" w:sz="0" w:space="0" w:color="auto"/>
        <w:left w:val="none" w:sz="0" w:space="0" w:color="auto"/>
        <w:bottom w:val="none" w:sz="0" w:space="0" w:color="auto"/>
        <w:right w:val="none" w:sz="0" w:space="0" w:color="auto"/>
      </w:divBdr>
      <w:divsChild>
        <w:div w:id="706683268">
          <w:marLeft w:val="0"/>
          <w:marRight w:val="0"/>
          <w:marTop w:val="0"/>
          <w:marBottom w:val="0"/>
          <w:divBdr>
            <w:top w:val="none" w:sz="0" w:space="0" w:color="auto"/>
            <w:left w:val="none" w:sz="0" w:space="0" w:color="auto"/>
            <w:bottom w:val="none" w:sz="0" w:space="0" w:color="auto"/>
            <w:right w:val="none" w:sz="0" w:space="0" w:color="auto"/>
          </w:divBdr>
          <w:divsChild>
            <w:div w:id="555120296">
              <w:marLeft w:val="0"/>
              <w:marRight w:val="0"/>
              <w:marTop w:val="0"/>
              <w:marBottom w:val="0"/>
              <w:divBdr>
                <w:top w:val="none" w:sz="0" w:space="0" w:color="auto"/>
                <w:left w:val="none" w:sz="0" w:space="0" w:color="auto"/>
                <w:bottom w:val="none" w:sz="0" w:space="0" w:color="auto"/>
                <w:right w:val="none" w:sz="0" w:space="0" w:color="auto"/>
              </w:divBdr>
              <w:divsChild>
                <w:div w:id="1359426124">
                  <w:marLeft w:val="0"/>
                  <w:marRight w:val="0"/>
                  <w:marTop w:val="0"/>
                  <w:marBottom w:val="0"/>
                  <w:divBdr>
                    <w:top w:val="none" w:sz="0" w:space="0" w:color="auto"/>
                    <w:left w:val="none" w:sz="0" w:space="0" w:color="auto"/>
                    <w:bottom w:val="none" w:sz="0" w:space="0" w:color="auto"/>
                    <w:right w:val="none" w:sz="0" w:space="0" w:color="auto"/>
                  </w:divBdr>
                  <w:divsChild>
                    <w:div w:id="129979707">
                      <w:marLeft w:val="0"/>
                      <w:marRight w:val="0"/>
                      <w:marTop w:val="0"/>
                      <w:marBottom w:val="0"/>
                      <w:divBdr>
                        <w:top w:val="none" w:sz="0" w:space="0" w:color="auto"/>
                        <w:left w:val="none" w:sz="0" w:space="0" w:color="auto"/>
                        <w:bottom w:val="none" w:sz="0" w:space="0" w:color="auto"/>
                        <w:right w:val="none" w:sz="0" w:space="0" w:color="auto"/>
                      </w:divBdr>
                      <w:divsChild>
                        <w:div w:id="890724446">
                          <w:marLeft w:val="0"/>
                          <w:marRight w:val="0"/>
                          <w:marTop w:val="0"/>
                          <w:marBottom w:val="0"/>
                          <w:divBdr>
                            <w:top w:val="none" w:sz="0" w:space="0" w:color="auto"/>
                            <w:left w:val="none" w:sz="0" w:space="0" w:color="auto"/>
                            <w:bottom w:val="none" w:sz="0" w:space="0" w:color="auto"/>
                            <w:right w:val="none" w:sz="0" w:space="0" w:color="auto"/>
                          </w:divBdr>
                          <w:divsChild>
                            <w:div w:id="1402212104">
                              <w:marLeft w:val="0"/>
                              <w:marRight w:val="0"/>
                              <w:marTop w:val="0"/>
                              <w:marBottom w:val="0"/>
                              <w:divBdr>
                                <w:top w:val="none" w:sz="0" w:space="0" w:color="auto"/>
                                <w:left w:val="none" w:sz="0" w:space="0" w:color="auto"/>
                                <w:bottom w:val="none" w:sz="0" w:space="0" w:color="auto"/>
                                <w:right w:val="none" w:sz="0" w:space="0" w:color="auto"/>
                              </w:divBdr>
                              <w:divsChild>
                                <w:div w:id="1522009597">
                                  <w:marLeft w:val="0"/>
                                  <w:marRight w:val="0"/>
                                  <w:marTop w:val="0"/>
                                  <w:marBottom w:val="0"/>
                                  <w:divBdr>
                                    <w:top w:val="none" w:sz="0" w:space="0" w:color="auto"/>
                                    <w:left w:val="none" w:sz="0" w:space="0" w:color="auto"/>
                                    <w:bottom w:val="none" w:sz="0" w:space="0" w:color="auto"/>
                                    <w:right w:val="none" w:sz="0" w:space="0" w:color="auto"/>
                                  </w:divBdr>
                                  <w:divsChild>
                                    <w:div w:id="1463813256">
                                      <w:marLeft w:val="0"/>
                                      <w:marRight w:val="0"/>
                                      <w:marTop w:val="0"/>
                                      <w:marBottom w:val="0"/>
                                      <w:divBdr>
                                        <w:top w:val="none" w:sz="0" w:space="0" w:color="auto"/>
                                        <w:left w:val="none" w:sz="0" w:space="0" w:color="auto"/>
                                        <w:bottom w:val="none" w:sz="0" w:space="0" w:color="auto"/>
                                        <w:right w:val="none" w:sz="0" w:space="0" w:color="auto"/>
                                      </w:divBdr>
                                      <w:divsChild>
                                        <w:div w:id="89279452">
                                          <w:marLeft w:val="0"/>
                                          <w:marRight w:val="0"/>
                                          <w:marTop w:val="0"/>
                                          <w:marBottom w:val="0"/>
                                          <w:divBdr>
                                            <w:top w:val="none" w:sz="0" w:space="0" w:color="auto"/>
                                            <w:left w:val="none" w:sz="0" w:space="0" w:color="auto"/>
                                            <w:bottom w:val="none" w:sz="0" w:space="0" w:color="auto"/>
                                            <w:right w:val="none" w:sz="0" w:space="0" w:color="auto"/>
                                          </w:divBdr>
                                          <w:divsChild>
                                            <w:div w:id="1223561801">
                                              <w:marLeft w:val="0"/>
                                              <w:marRight w:val="0"/>
                                              <w:marTop w:val="0"/>
                                              <w:marBottom w:val="0"/>
                                              <w:divBdr>
                                                <w:top w:val="none" w:sz="0" w:space="0" w:color="auto"/>
                                                <w:left w:val="none" w:sz="0" w:space="0" w:color="auto"/>
                                                <w:bottom w:val="none" w:sz="0" w:space="0" w:color="auto"/>
                                                <w:right w:val="none" w:sz="0" w:space="0" w:color="auto"/>
                                              </w:divBdr>
                                              <w:divsChild>
                                                <w:div w:id="1321081903">
                                                  <w:marLeft w:val="0"/>
                                                  <w:marRight w:val="0"/>
                                                  <w:marTop w:val="0"/>
                                                  <w:marBottom w:val="0"/>
                                                  <w:divBdr>
                                                    <w:top w:val="none" w:sz="0" w:space="0" w:color="auto"/>
                                                    <w:left w:val="none" w:sz="0" w:space="0" w:color="auto"/>
                                                    <w:bottom w:val="none" w:sz="0" w:space="0" w:color="auto"/>
                                                    <w:right w:val="none" w:sz="0" w:space="0" w:color="auto"/>
                                                  </w:divBdr>
                                                  <w:divsChild>
                                                    <w:div w:id="1152940846">
                                                      <w:marLeft w:val="0"/>
                                                      <w:marRight w:val="0"/>
                                                      <w:marTop w:val="0"/>
                                                      <w:marBottom w:val="0"/>
                                                      <w:divBdr>
                                                        <w:top w:val="single" w:sz="6" w:space="0" w:color="auto"/>
                                                        <w:left w:val="none" w:sz="0" w:space="0" w:color="auto"/>
                                                        <w:bottom w:val="none" w:sz="0" w:space="0" w:color="auto"/>
                                                        <w:right w:val="none" w:sz="0" w:space="0" w:color="auto"/>
                                                      </w:divBdr>
                                                      <w:divsChild>
                                                        <w:div w:id="982000117">
                                                          <w:marLeft w:val="0"/>
                                                          <w:marRight w:val="0"/>
                                                          <w:marTop w:val="0"/>
                                                          <w:marBottom w:val="0"/>
                                                          <w:divBdr>
                                                            <w:top w:val="none" w:sz="0" w:space="0" w:color="auto"/>
                                                            <w:left w:val="none" w:sz="0" w:space="0" w:color="auto"/>
                                                            <w:bottom w:val="none" w:sz="0" w:space="0" w:color="auto"/>
                                                            <w:right w:val="none" w:sz="0" w:space="0" w:color="auto"/>
                                                          </w:divBdr>
                                                          <w:divsChild>
                                                            <w:div w:id="518859780">
                                                              <w:marLeft w:val="0"/>
                                                              <w:marRight w:val="0"/>
                                                              <w:marTop w:val="0"/>
                                                              <w:marBottom w:val="0"/>
                                                              <w:divBdr>
                                                                <w:top w:val="none" w:sz="0" w:space="0" w:color="auto"/>
                                                                <w:left w:val="none" w:sz="0" w:space="0" w:color="auto"/>
                                                                <w:bottom w:val="none" w:sz="0" w:space="0" w:color="auto"/>
                                                                <w:right w:val="none" w:sz="0" w:space="0" w:color="auto"/>
                                                              </w:divBdr>
                                                              <w:divsChild>
                                                                <w:div w:id="1269461398">
                                                                  <w:marLeft w:val="0"/>
                                                                  <w:marRight w:val="0"/>
                                                                  <w:marTop w:val="0"/>
                                                                  <w:marBottom w:val="0"/>
                                                                  <w:divBdr>
                                                                    <w:top w:val="none" w:sz="0" w:space="0" w:color="auto"/>
                                                                    <w:left w:val="none" w:sz="0" w:space="0" w:color="auto"/>
                                                                    <w:bottom w:val="none" w:sz="0" w:space="0" w:color="auto"/>
                                                                    <w:right w:val="none" w:sz="0" w:space="0" w:color="auto"/>
                                                                  </w:divBdr>
                                                                  <w:divsChild>
                                                                    <w:div w:id="1208421185">
                                                                      <w:marLeft w:val="0"/>
                                                                      <w:marRight w:val="0"/>
                                                                      <w:marTop w:val="0"/>
                                                                      <w:marBottom w:val="0"/>
                                                                      <w:divBdr>
                                                                        <w:top w:val="none" w:sz="0" w:space="0" w:color="auto"/>
                                                                        <w:left w:val="none" w:sz="0" w:space="0" w:color="auto"/>
                                                                        <w:bottom w:val="none" w:sz="0" w:space="0" w:color="auto"/>
                                                                        <w:right w:val="none" w:sz="0" w:space="0" w:color="auto"/>
                                                                      </w:divBdr>
                                                                      <w:divsChild>
                                                                        <w:div w:id="745155709">
                                                                          <w:marLeft w:val="0"/>
                                                                          <w:marRight w:val="0"/>
                                                                          <w:marTop w:val="0"/>
                                                                          <w:marBottom w:val="0"/>
                                                                          <w:divBdr>
                                                                            <w:top w:val="none" w:sz="0" w:space="0" w:color="auto"/>
                                                                            <w:left w:val="none" w:sz="0" w:space="0" w:color="auto"/>
                                                                            <w:bottom w:val="none" w:sz="0" w:space="0" w:color="auto"/>
                                                                            <w:right w:val="none" w:sz="0" w:space="0" w:color="auto"/>
                                                                          </w:divBdr>
                                                                          <w:divsChild>
                                                                            <w:div w:id="117914803">
                                                                              <w:marLeft w:val="0"/>
                                                                              <w:marRight w:val="0"/>
                                                                              <w:marTop w:val="0"/>
                                                                              <w:marBottom w:val="0"/>
                                                                              <w:divBdr>
                                                                                <w:top w:val="none" w:sz="0" w:space="0" w:color="auto"/>
                                                                                <w:left w:val="none" w:sz="0" w:space="0" w:color="auto"/>
                                                                                <w:bottom w:val="none" w:sz="0" w:space="0" w:color="auto"/>
                                                                                <w:right w:val="none" w:sz="0" w:space="0" w:color="auto"/>
                                                                              </w:divBdr>
                                                                              <w:divsChild>
                                                                                <w:div w:id="41505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3346515">
      <w:bodyDiv w:val="1"/>
      <w:marLeft w:val="0"/>
      <w:marRight w:val="0"/>
      <w:marTop w:val="0"/>
      <w:marBottom w:val="0"/>
      <w:divBdr>
        <w:top w:val="none" w:sz="0" w:space="0" w:color="auto"/>
        <w:left w:val="none" w:sz="0" w:space="0" w:color="auto"/>
        <w:bottom w:val="none" w:sz="0" w:space="0" w:color="auto"/>
        <w:right w:val="none" w:sz="0" w:space="0" w:color="auto"/>
      </w:divBdr>
      <w:divsChild>
        <w:div w:id="1700664421">
          <w:marLeft w:val="0"/>
          <w:marRight w:val="0"/>
          <w:marTop w:val="0"/>
          <w:marBottom w:val="0"/>
          <w:divBdr>
            <w:top w:val="none" w:sz="0" w:space="0" w:color="auto"/>
            <w:left w:val="none" w:sz="0" w:space="0" w:color="auto"/>
            <w:bottom w:val="none" w:sz="0" w:space="0" w:color="auto"/>
            <w:right w:val="none" w:sz="0" w:space="0" w:color="auto"/>
          </w:divBdr>
          <w:divsChild>
            <w:div w:id="1253245668">
              <w:marLeft w:val="0"/>
              <w:marRight w:val="0"/>
              <w:marTop w:val="0"/>
              <w:marBottom w:val="0"/>
              <w:divBdr>
                <w:top w:val="none" w:sz="0" w:space="0" w:color="auto"/>
                <w:left w:val="none" w:sz="0" w:space="0" w:color="auto"/>
                <w:bottom w:val="none" w:sz="0" w:space="0" w:color="auto"/>
                <w:right w:val="none" w:sz="0" w:space="0" w:color="auto"/>
              </w:divBdr>
              <w:divsChild>
                <w:div w:id="1401097329">
                  <w:marLeft w:val="0"/>
                  <w:marRight w:val="0"/>
                  <w:marTop w:val="0"/>
                  <w:marBottom w:val="0"/>
                  <w:divBdr>
                    <w:top w:val="none" w:sz="0" w:space="0" w:color="auto"/>
                    <w:left w:val="none" w:sz="0" w:space="0" w:color="auto"/>
                    <w:bottom w:val="none" w:sz="0" w:space="0" w:color="auto"/>
                    <w:right w:val="none" w:sz="0" w:space="0" w:color="auto"/>
                  </w:divBdr>
                  <w:divsChild>
                    <w:div w:id="991371238">
                      <w:marLeft w:val="0"/>
                      <w:marRight w:val="0"/>
                      <w:marTop w:val="0"/>
                      <w:marBottom w:val="0"/>
                      <w:divBdr>
                        <w:top w:val="none" w:sz="0" w:space="0" w:color="auto"/>
                        <w:left w:val="none" w:sz="0" w:space="0" w:color="auto"/>
                        <w:bottom w:val="none" w:sz="0" w:space="0" w:color="auto"/>
                        <w:right w:val="none" w:sz="0" w:space="0" w:color="auto"/>
                      </w:divBdr>
                      <w:divsChild>
                        <w:div w:id="1354266537">
                          <w:marLeft w:val="0"/>
                          <w:marRight w:val="0"/>
                          <w:marTop w:val="0"/>
                          <w:marBottom w:val="0"/>
                          <w:divBdr>
                            <w:top w:val="none" w:sz="0" w:space="0" w:color="auto"/>
                            <w:left w:val="none" w:sz="0" w:space="0" w:color="auto"/>
                            <w:bottom w:val="none" w:sz="0" w:space="0" w:color="auto"/>
                            <w:right w:val="none" w:sz="0" w:space="0" w:color="auto"/>
                          </w:divBdr>
                          <w:divsChild>
                            <w:div w:id="1228342124">
                              <w:marLeft w:val="0"/>
                              <w:marRight w:val="0"/>
                              <w:marTop w:val="0"/>
                              <w:marBottom w:val="0"/>
                              <w:divBdr>
                                <w:top w:val="none" w:sz="0" w:space="0" w:color="auto"/>
                                <w:left w:val="none" w:sz="0" w:space="0" w:color="auto"/>
                                <w:bottom w:val="none" w:sz="0" w:space="0" w:color="auto"/>
                                <w:right w:val="none" w:sz="0" w:space="0" w:color="auto"/>
                              </w:divBdr>
                              <w:divsChild>
                                <w:div w:id="856777340">
                                  <w:marLeft w:val="0"/>
                                  <w:marRight w:val="0"/>
                                  <w:marTop w:val="0"/>
                                  <w:marBottom w:val="0"/>
                                  <w:divBdr>
                                    <w:top w:val="none" w:sz="0" w:space="0" w:color="auto"/>
                                    <w:left w:val="none" w:sz="0" w:space="0" w:color="auto"/>
                                    <w:bottom w:val="none" w:sz="0" w:space="0" w:color="auto"/>
                                    <w:right w:val="none" w:sz="0" w:space="0" w:color="auto"/>
                                  </w:divBdr>
                                  <w:divsChild>
                                    <w:div w:id="168101766">
                                      <w:marLeft w:val="0"/>
                                      <w:marRight w:val="0"/>
                                      <w:marTop w:val="0"/>
                                      <w:marBottom w:val="0"/>
                                      <w:divBdr>
                                        <w:top w:val="none" w:sz="0" w:space="0" w:color="auto"/>
                                        <w:left w:val="none" w:sz="0" w:space="0" w:color="auto"/>
                                        <w:bottom w:val="none" w:sz="0" w:space="0" w:color="auto"/>
                                        <w:right w:val="none" w:sz="0" w:space="0" w:color="auto"/>
                                      </w:divBdr>
                                      <w:divsChild>
                                        <w:div w:id="211157112">
                                          <w:marLeft w:val="0"/>
                                          <w:marRight w:val="0"/>
                                          <w:marTop w:val="0"/>
                                          <w:marBottom w:val="0"/>
                                          <w:divBdr>
                                            <w:top w:val="none" w:sz="0" w:space="0" w:color="auto"/>
                                            <w:left w:val="none" w:sz="0" w:space="0" w:color="auto"/>
                                            <w:bottom w:val="none" w:sz="0" w:space="0" w:color="auto"/>
                                            <w:right w:val="none" w:sz="0" w:space="0" w:color="auto"/>
                                          </w:divBdr>
                                          <w:divsChild>
                                            <w:div w:id="1987584800">
                                              <w:marLeft w:val="0"/>
                                              <w:marRight w:val="0"/>
                                              <w:marTop w:val="0"/>
                                              <w:marBottom w:val="0"/>
                                              <w:divBdr>
                                                <w:top w:val="none" w:sz="0" w:space="0" w:color="auto"/>
                                                <w:left w:val="none" w:sz="0" w:space="0" w:color="auto"/>
                                                <w:bottom w:val="none" w:sz="0" w:space="0" w:color="auto"/>
                                                <w:right w:val="none" w:sz="0" w:space="0" w:color="auto"/>
                                              </w:divBdr>
                                              <w:divsChild>
                                                <w:div w:id="704065038">
                                                  <w:marLeft w:val="0"/>
                                                  <w:marRight w:val="0"/>
                                                  <w:marTop w:val="0"/>
                                                  <w:marBottom w:val="0"/>
                                                  <w:divBdr>
                                                    <w:top w:val="none" w:sz="0" w:space="0" w:color="auto"/>
                                                    <w:left w:val="none" w:sz="0" w:space="0" w:color="auto"/>
                                                    <w:bottom w:val="none" w:sz="0" w:space="0" w:color="auto"/>
                                                    <w:right w:val="none" w:sz="0" w:space="0" w:color="auto"/>
                                                  </w:divBdr>
                                                  <w:divsChild>
                                                    <w:div w:id="108475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21A103-7096-42FB-8512-0E581ACC4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10</Pages>
  <Words>2237</Words>
  <Characters>12751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Cope (1500247)</dc:creator>
  <cp:keywords/>
  <dc:description/>
  <cp:lastModifiedBy>Michael Cope (1500247)</cp:lastModifiedBy>
  <cp:revision>35</cp:revision>
  <dcterms:created xsi:type="dcterms:W3CDTF">2018-03-05T15:04:00Z</dcterms:created>
  <dcterms:modified xsi:type="dcterms:W3CDTF">2018-03-22T16:27:00Z</dcterms:modified>
</cp:coreProperties>
</file>