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1EDAE" w14:textId="77777777" w:rsidR="00697EA8" w:rsidRPr="004C51EC" w:rsidRDefault="00697EA8" w:rsidP="00697EA8">
      <w:pPr>
        <w:pStyle w:val="ListParagraph"/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4C51EC">
        <w:rPr>
          <w:rFonts w:ascii="Arial" w:hAnsi="Arial" w:cs="Arial"/>
          <w:sz w:val="24"/>
          <w:szCs w:val="24"/>
        </w:rPr>
        <w:t xml:space="preserve">The granting of share options is an equity-settled share </w:t>
      </w:r>
      <w:r>
        <w:rPr>
          <w:rFonts w:ascii="Arial" w:hAnsi="Arial" w:cs="Arial"/>
          <w:sz w:val="24"/>
          <w:szCs w:val="24"/>
        </w:rPr>
        <w:t>–</w:t>
      </w:r>
      <w:r w:rsidRPr="004C51EC">
        <w:rPr>
          <w:rFonts w:ascii="Arial" w:hAnsi="Arial" w:cs="Arial"/>
          <w:sz w:val="24"/>
          <w:szCs w:val="24"/>
        </w:rPr>
        <w:t xml:space="preserve"> based</w:t>
      </w:r>
      <w:r>
        <w:rPr>
          <w:rFonts w:ascii="Arial" w:hAnsi="Arial" w:cs="Arial"/>
          <w:sz w:val="24"/>
          <w:szCs w:val="24"/>
        </w:rPr>
        <w:t xml:space="preserve"> </w:t>
      </w:r>
      <w:r w:rsidRPr="004C51EC">
        <w:rPr>
          <w:rFonts w:ascii="Arial" w:hAnsi="Arial" w:cs="Arial"/>
          <w:sz w:val="24"/>
          <w:szCs w:val="24"/>
        </w:rPr>
        <w:t xml:space="preserve">payment transaction. As the share options form part of the employees' remuneration, IFRS 2 requires an entity to recognise an expense equivalent to the fair value of the employees' service and a corresponding </w:t>
      </w:r>
      <w:r w:rsidRPr="004C51EC">
        <w:rPr>
          <w:rFonts w:ascii="Arial" w:hAnsi="Arial" w:cs="Arial"/>
          <w:b/>
          <w:sz w:val="24"/>
          <w:szCs w:val="24"/>
        </w:rPr>
        <w:t>increase in equity</w:t>
      </w:r>
      <w:r w:rsidRPr="004C51EC">
        <w:rPr>
          <w:rFonts w:ascii="Arial" w:hAnsi="Arial" w:cs="Arial"/>
          <w:sz w:val="24"/>
          <w:szCs w:val="24"/>
        </w:rPr>
        <w:t xml:space="preserve">. Fair value of the employees' service is usually measured in these instances by reference to the fair value of the share options </w:t>
      </w:r>
      <w:r w:rsidRPr="004C51EC">
        <w:rPr>
          <w:rFonts w:ascii="Arial" w:hAnsi="Arial" w:cs="Arial"/>
          <w:b/>
          <w:sz w:val="24"/>
          <w:szCs w:val="24"/>
        </w:rPr>
        <w:t>at the grant date</w:t>
      </w:r>
      <w:r w:rsidRPr="004C51EC">
        <w:rPr>
          <w:rFonts w:ascii="Arial" w:hAnsi="Arial" w:cs="Arial"/>
          <w:sz w:val="24"/>
          <w:szCs w:val="24"/>
        </w:rPr>
        <w:t>. The expense should be recognised over the period until the share options vest, which in this case is 3 years.</w:t>
      </w:r>
    </w:p>
    <w:p w14:paraId="3B67D7D2" w14:textId="77777777" w:rsidR="00697EA8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</w:p>
    <w:p w14:paraId="72B864B3" w14:textId="77777777" w:rsidR="00EF3C86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FB01B6">
        <w:rPr>
          <w:rFonts w:ascii="Arial" w:hAnsi="Arial" w:cs="Arial"/>
          <w:sz w:val="24"/>
          <w:szCs w:val="24"/>
        </w:rPr>
        <w:t xml:space="preserve">Athena has used the fair value of the options at 30 November 2018 to calculate the expense for the year, which is incorrect. </w:t>
      </w:r>
    </w:p>
    <w:p w14:paraId="33430B21" w14:textId="77777777" w:rsidR="00EF3C86" w:rsidRDefault="00EF3C86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</w:p>
    <w:p w14:paraId="06856FD7" w14:textId="77777777" w:rsidR="00EF3C86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FB01B6">
        <w:rPr>
          <w:rFonts w:ascii="Arial" w:hAnsi="Arial" w:cs="Arial"/>
          <w:sz w:val="24"/>
          <w:szCs w:val="24"/>
        </w:rPr>
        <w:t xml:space="preserve">The expense recorded at present amounts to 1,500 x (1,000x90%) x £7 x 1/3 = £3.15m. </w:t>
      </w:r>
    </w:p>
    <w:p w14:paraId="194CBD73" w14:textId="77777777" w:rsidR="00EF3C86" w:rsidRDefault="00EF3C86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</w:p>
    <w:p w14:paraId="6E98A304" w14:textId="77777777" w:rsidR="00EF3C86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FB01B6">
        <w:rPr>
          <w:rFonts w:ascii="Arial" w:hAnsi="Arial" w:cs="Arial"/>
          <w:sz w:val="24"/>
          <w:szCs w:val="24"/>
        </w:rPr>
        <w:t xml:space="preserve">Substituting the fair value of the option at the grant date of £6 gives a corrected expense of £2.7m </w:t>
      </w:r>
      <w:r>
        <w:rPr>
          <w:rFonts w:ascii="Arial" w:hAnsi="Arial" w:cs="Arial"/>
          <w:sz w:val="24"/>
          <w:szCs w:val="24"/>
        </w:rPr>
        <w:t>–</w:t>
      </w:r>
      <w:r w:rsidRPr="00FB01B6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Pr="00FB01B6">
        <w:rPr>
          <w:rFonts w:ascii="Arial" w:hAnsi="Arial" w:cs="Arial"/>
          <w:sz w:val="24"/>
          <w:szCs w:val="24"/>
        </w:rPr>
        <w:t xml:space="preserve">reduction of £0.45m. </w:t>
      </w:r>
    </w:p>
    <w:p w14:paraId="13C853B7" w14:textId="77777777" w:rsidR="00EF3C86" w:rsidRDefault="00EF3C86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</w:p>
    <w:p w14:paraId="19CF6231" w14:textId="05DAC34B" w:rsidR="00697EA8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FB01B6">
        <w:rPr>
          <w:rFonts w:ascii="Arial" w:hAnsi="Arial" w:cs="Arial"/>
          <w:sz w:val="24"/>
          <w:szCs w:val="24"/>
        </w:rPr>
        <w:t>Athena has incorrectly credited liabilities when it should have credited equity. Equity (and therefore capital employed) will be increased by £</w:t>
      </w:r>
      <w:r w:rsidR="00AB65DB">
        <w:rPr>
          <w:rFonts w:ascii="Arial" w:hAnsi="Arial" w:cs="Arial"/>
          <w:sz w:val="24"/>
          <w:szCs w:val="24"/>
        </w:rPr>
        <w:t>2.7</w:t>
      </w:r>
      <w:r w:rsidRPr="00FB01B6">
        <w:rPr>
          <w:rFonts w:ascii="Arial" w:hAnsi="Arial" w:cs="Arial"/>
          <w:sz w:val="24"/>
          <w:szCs w:val="24"/>
        </w:rPr>
        <w:t>m.</w:t>
      </w:r>
    </w:p>
    <w:p w14:paraId="43F6AF8B" w14:textId="77777777" w:rsidR="00697EA8" w:rsidRPr="00FB01B6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</w:p>
    <w:p w14:paraId="69B934BF" w14:textId="77777777" w:rsidR="00697EA8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FB01B6">
        <w:rPr>
          <w:rFonts w:ascii="Arial" w:hAnsi="Arial" w:cs="Arial"/>
          <w:sz w:val="24"/>
          <w:szCs w:val="24"/>
        </w:rPr>
        <w:t xml:space="preserve">Athena has confused the accounting for equity-settled share-based payment transactions </w:t>
      </w:r>
      <w:r>
        <w:rPr>
          <w:rFonts w:ascii="Arial" w:hAnsi="Arial" w:cs="Arial"/>
          <w:sz w:val="24"/>
          <w:szCs w:val="24"/>
        </w:rPr>
        <w:t>with cash-settled transactions.</w:t>
      </w:r>
    </w:p>
    <w:p w14:paraId="012967A5" w14:textId="77777777" w:rsidR="00697EA8" w:rsidRPr="00FB01B6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</w:p>
    <w:p w14:paraId="2C79D9C4" w14:textId="77777777" w:rsidR="00697EA8" w:rsidRPr="00FB01B6" w:rsidRDefault="00697EA8" w:rsidP="00697EA8">
      <w:pPr>
        <w:spacing w:after="0" w:line="240" w:lineRule="auto"/>
        <w:ind w:left="1134"/>
        <w:rPr>
          <w:rFonts w:ascii="Arial" w:hAnsi="Arial" w:cs="Arial"/>
          <w:sz w:val="24"/>
          <w:szCs w:val="24"/>
        </w:rPr>
      </w:pPr>
      <w:r w:rsidRPr="00FB01B6">
        <w:rPr>
          <w:rFonts w:ascii="Arial" w:hAnsi="Arial" w:cs="Arial"/>
          <w:sz w:val="24"/>
          <w:szCs w:val="24"/>
        </w:rPr>
        <w:t>Operating profit will be increased by £0.45m.</w:t>
      </w:r>
    </w:p>
    <w:p w14:paraId="418C6803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F2ED5"/>
    <w:multiLevelType w:val="hybridMultilevel"/>
    <w:tmpl w:val="2E6E8EB6"/>
    <w:lvl w:ilvl="0" w:tplc="0809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A8"/>
    <w:rsid w:val="00697EA8"/>
    <w:rsid w:val="009A6A88"/>
    <w:rsid w:val="00AB65DB"/>
    <w:rsid w:val="00EF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0CE9F"/>
  <w15:chartTrackingRefBased/>
  <w15:docId w15:val="{AE9A35CD-7E50-4AA7-ACFA-84F550C61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3</cp:revision>
  <dcterms:created xsi:type="dcterms:W3CDTF">2021-03-10T12:57:00Z</dcterms:created>
  <dcterms:modified xsi:type="dcterms:W3CDTF">2021-05-18T11:38:00Z</dcterms:modified>
</cp:coreProperties>
</file>