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7B2D0" w14:textId="77777777" w:rsidR="00B840A8" w:rsidRDefault="00B840A8" w:rsidP="006F5430">
      <w:pPr>
        <w:spacing w:line="360" w:lineRule="auto"/>
      </w:pPr>
    </w:p>
    <w:p w14:paraId="65F254DA" w14:textId="77777777" w:rsidR="003970DD" w:rsidRDefault="003970DD" w:rsidP="006F5430">
      <w:pPr>
        <w:spacing w:line="360" w:lineRule="auto"/>
      </w:pPr>
    </w:p>
    <w:p w14:paraId="61462EC2" w14:textId="77777777" w:rsidR="003970DD" w:rsidRDefault="003970DD" w:rsidP="006F5430">
      <w:pPr>
        <w:spacing w:line="360" w:lineRule="auto"/>
      </w:pPr>
    </w:p>
    <w:p w14:paraId="5F4D965A" w14:textId="77777777" w:rsidR="00A13F1E" w:rsidRPr="00A13F1E" w:rsidRDefault="00A13F1E" w:rsidP="00A13F1E">
      <w:pPr>
        <w:spacing w:line="360" w:lineRule="auto"/>
        <w:jc w:val="center"/>
        <w:rPr>
          <w:b/>
          <w:bCs/>
          <w:sz w:val="32"/>
          <w:szCs w:val="32"/>
        </w:rPr>
      </w:pPr>
      <w:r w:rsidRPr="00A13F1E">
        <w:rPr>
          <w:b/>
          <w:bCs/>
          <w:sz w:val="32"/>
          <w:szCs w:val="32"/>
        </w:rPr>
        <w:t>LCLM5003 Project Management</w:t>
      </w:r>
    </w:p>
    <w:p w14:paraId="3E8DDE93" w14:textId="77777777" w:rsidR="00A13F1E" w:rsidRPr="00A13F1E" w:rsidRDefault="00A13F1E" w:rsidP="00A13F1E">
      <w:pPr>
        <w:spacing w:line="360" w:lineRule="auto"/>
        <w:jc w:val="center"/>
        <w:rPr>
          <w:b/>
          <w:bCs/>
          <w:sz w:val="32"/>
          <w:szCs w:val="32"/>
        </w:rPr>
      </w:pPr>
      <w:r w:rsidRPr="00A13F1E">
        <w:rPr>
          <w:b/>
          <w:bCs/>
          <w:sz w:val="32"/>
          <w:szCs w:val="32"/>
        </w:rPr>
        <w:t>Project Portfolio</w:t>
      </w:r>
    </w:p>
    <w:p w14:paraId="63A08C1C" w14:textId="77777777" w:rsidR="00A13F1E" w:rsidRPr="00A13F1E" w:rsidRDefault="00A13F1E" w:rsidP="00A13F1E">
      <w:pPr>
        <w:spacing w:line="360" w:lineRule="auto"/>
        <w:jc w:val="center"/>
        <w:rPr>
          <w:b/>
          <w:bCs/>
          <w:sz w:val="32"/>
          <w:szCs w:val="32"/>
        </w:rPr>
      </w:pPr>
      <w:r w:rsidRPr="00A13F1E">
        <w:rPr>
          <w:b/>
          <w:bCs/>
          <w:sz w:val="32"/>
          <w:szCs w:val="32"/>
        </w:rPr>
        <w:t>Digital Passenger Flow and Logistics Coordination System</w:t>
      </w:r>
    </w:p>
    <w:p w14:paraId="212BFECB" w14:textId="77777777" w:rsidR="00A13F1E" w:rsidRPr="00A13F1E" w:rsidRDefault="00A13F1E" w:rsidP="00A13F1E">
      <w:pPr>
        <w:spacing w:line="360" w:lineRule="auto"/>
        <w:jc w:val="center"/>
        <w:rPr>
          <w:sz w:val="32"/>
          <w:szCs w:val="32"/>
        </w:rPr>
      </w:pPr>
      <w:r w:rsidRPr="00A13F1E">
        <w:rPr>
          <w:b/>
          <w:bCs/>
          <w:sz w:val="32"/>
          <w:szCs w:val="32"/>
        </w:rPr>
        <w:t>Part A: Project Proposal Poster</w:t>
      </w:r>
      <w:r w:rsidRPr="00A13F1E">
        <w:rPr>
          <w:sz w:val="32"/>
          <w:szCs w:val="32"/>
        </w:rPr>
        <w:br/>
      </w:r>
      <w:r w:rsidRPr="00A13F1E">
        <w:rPr>
          <w:b/>
          <w:bCs/>
          <w:sz w:val="32"/>
          <w:szCs w:val="32"/>
        </w:rPr>
        <w:t>Part B: Critical Reflection on Tutor and Peer Feedback</w:t>
      </w:r>
      <w:r w:rsidRPr="00A13F1E">
        <w:rPr>
          <w:sz w:val="32"/>
          <w:szCs w:val="32"/>
        </w:rPr>
        <w:br/>
      </w:r>
      <w:r w:rsidRPr="00A13F1E">
        <w:rPr>
          <w:b/>
          <w:bCs/>
          <w:sz w:val="32"/>
          <w:szCs w:val="32"/>
        </w:rPr>
        <w:t>Part C: Project Management Plan</w:t>
      </w:r>
    </w:p>
    <w:p w14:paraId="394B56F9" w14:textId="77777777" w:rsidR="003970DD" w:rsidRDefault="003970DD" w:rsidP="006F5430">
      <w:pPr>
        <w:spacing w:line="360" w:lineRule="auto"/>
      </w:pPr>
    </w:p>
    <w:p w14:paraId="247E5111" w14:textId="77777777" w:rsidR="00250B5C" w:rsidRDefault="00250B5C" w:rsidP="006F5430">
      <w:pPr>
        <w:spacing w:line="360" w:lineRule="auto"/>
      </w:pPr>
    </w:p>
    <w:p w14:paraId="0B6EAF8F" w14:textId="77777777" w:rsidR="00250B5C" w:rsidRDefault="00250B5C" w:rsidP="006F5430">
      <w:pPr>
        <w:spacing w:line="360" w:lineRule="auto"/>
      </w:pPr>
    </w:p>
    <w:p w14:paraId="4997AA5D" w14:textId="77777777" w:rsidR="00250B5C" w:rsidRDefault="00250B5C" w:rsidP="006F5430">
      <w:pPr>
        <w:spacing w:line="360" w:lineRule="auto"/>
      </w:pPr>
    </w:p>
    <w:p w14:paraId="05A81B27" w14:textId="77777777" w:rsidR="00250B5C" w:rsidRDefault="00250B5C" w:rsidP="006F5430">
      <w:pPr>
        <w:spacing w:line="360" w:lineRule="auto"/>
      </w:pPr>
    </w:p>
    <w:p w14:paraId="140FB0CE" w14:textId="49725C5D" w:rsidR="00A13F1E" w:rsidRDefault="00766EA5" w:rsidP="006F5430">
      <w:pPr>
        <w:spacing w:line="360" w:lineRule="auto"/>
      </w:pPr>
      <w:r>
        <w:t>Student name: Marius Croicu</w:t>
      </w:r>
    </w:p>
    <w:p w14:paraId="38F9450A" w14:textId="330BF755" w:rsidR="00C15300" w:rsidRDefault="00C15300" w:rsidP="006F5430">
      <w:pPr>
        <w:spacing w:line="360" w:lineRule="auto"/>
      </w:pPr>
      <w:r>
        <w:t xml:space="preserve">Student ID: </w:t>
      </w:r>
      <w:r w:rsidRPr="00C15300">
        <w:t>2322337</w:t>
      </w:r>
    </w:p>
    <w:p w14:paraId="403F57CF" w14:textId="77777777" w:rsidR="00250B5C" w:rsidRDefault="00250B5C" w:rsidP="006F5430">
      <w:pPr>
        <w:spacing w:line="360" w:lineRule="auto"/>
      </w:pPr>
    </w:p>
    <w:p w14:paraId="1B95BD3B" w14:textId="77777777" w:rsidR="00250B5C" w:rsidRDefault="00250B5C" w:rsidP="006F5430">
      <w:pPr>
        <w:spacing w:line="360" w:lineRule="auto"/>
      </w:pPr>
    </w:p>
    <w:p w14:paraId="5C402753" w14:textId="77777777" w:rsidR="00250B5C" w:rsidRDefault="00250B5C" w:rsidP="006F5430">
      <w:pPr>
        <w:spacing w:line="360" w:lineRule="auto"/>
      </w:pPr>
    </w:p>
    <w:p w14:paraId="1A3690DE" w14:textId="77777777" w:rsidR="00250B5C" w:rsidRDefault="00250B5C" w:rsidP="006F5430">
      <w:pPr>
        <w:spacing w:line="360" w:lineRule="auto"/>
      </w:pPr>
    </w:p>
    <w:p w14:paraId="5F432EFD" w14:textId="77777777" w:rsidR="002A6BBC" w:rsidRDefault="002A6BBC" w:rsidP="006F5430">
      <w:pPr>
        <w:spacing w:line="360" w:lineRule="auto"/>
      </w:pPr>
    </w:p>
    <w:p w14:paraId="3D1EE277" w14:textId="77777777" w:rsidR="002A6BBC" w:rsidRDefault="002A6BBC" w:rsidP="006F5430">
      <w:pPr>
        <w:spacing w:line="360" w:lineRule="auto"/>
      </w:pPr>
    </w:p>
    <w:p w14:paraId="1D7C059D" w14:textId="77777777" w:rsidR="00250B5C" w:rsidRDefault="00250B5C" w:rsidP="006F5430">
      <w:pPr>
        <w:spacing w:line="360" w:lineRule="auto"/>
      </w:pPr>
    </w:p>
    <w:p w14:paraId="4CD065E7" w14:textId="065D780E" w:rsidR="00250B5C" w:rsidRDefault="00250B5C" w:rsidP="006F5430">
      <w:pPr>
        <w:spacing w:line="360" w:lineRule="auto"/>
      </w:pPr>
      <w:r>
        <w:lastRenderedPageBreak/>
        <w:t>Part A: Poster</w:t>
      </w:r>
    </w:p>
    <w:p w14:paraId="0D1442B6" w14:textId="77777777" w:rsidR="00250B5C" w:rsidRDefault="00250B5C" w:rsidP="006F5430">
      <w:pPr>
        <w:spacing w:line="360" w:lineRule="auto"/>
      </w:pPr>
    </w:p>
    <w:p w14:paraId="601B560F" w14:textId="3EA41DC2" w:rsidR="00250B5C" w:rsidRDefault="00250B5C" w:rsidP="006F5430">
      <w:pPr>
        <w:spacing w:line="360" w:lineRule="auto"/>
        <w:ind w:left="-567"/>
      </w:pPr>
      <w:r>
        <w:rPr>
          <w:noProof/>
        </w:rPr>
        <w:drawing>
          <wp:inline distT="0" distB="0" distL="0" distR="0" wp14:anchorId="39167624" wp14:editId="1454B29C">
            <wp:extent cx="6695249" cy="3765984"/>
            <wp:effectExtent l="0" t="0" r="0" b="6350"/>
            <wp:docPr id="15241458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145892" name=""/>
                    <pic:cNvPicPr/>
                  </pic:nvPicPr>
                  <pic:blipFill>
                    <a:blip r:embed="rId5">
                      <a:extLst>
                        <a:ext uri="{96DAC541-7B7A-43D3-8B79-37D633B846F1}">
                          <asvg:svgBlip xmlns:asvg="http://schemas.microsoft.com/office/drawing/2016/SVG/main" r:embed="rId6"/>
                        </a:ext>
                      </a:extLst>
                    </a:blip>
                    <a:stretch>
                      <a:fillRect/>
                    </a:stretch>
                  </pic:blipFill>
                  <pic:spPr>
                    <a:xfrm>
                      <a:off x="0" y="0"/>
                      <a:ext cx="6704251" cy="3771048"/>
                    </a:xfrm>
                    <a:prstGeom prst="rect">
                      <a:avLst/>
                    </a:prstGeom>
                  </pic:spPr>
                </pic:pic>
              </a:graphicData>
            </a:graphic>
          </wp:inline>
        </w:drawing>
      </w:r>
    </w:p>
    <w:p w14:paraId="0A1342BE" w14:textId="77777777" w:rsidR="00250B5C" w:rsidRDefault="00250B5C" w:rsidP="002765BF">
      <w:pPr>
        <w:spacing w:line="360" w:lineRule="auto"/>
      </w:pPr>
    </w:p>
    <w:p w14:paraId="69A7BBF6" w14:textId="77777777" w:rsidR="002A6BBC" w:rsidRDefault="002A6BBC" w:rsidP="006F5430">
      <w:pPr>
        <w:spacing w:line="360" w:lineRule="auto"/>
        <w:ind w:left="-567"/>
        <w:rPr>
          <w:rFonts w:ascii="Arial" w:hAnsi="Arial" w:cs="Arial"/>
          <w:b/>
          <w:bCs/>
          <w:sz w:val="24"/>
          <w:szCs w:val="24"/>
        </w:rPr>
      </w:pPr>
    </w:p>
    <w:p w14:paraId="2F4DCB8D" w14:textId="77777777" w:rsidR="002A6BBC" w:rsidRDefault="002A6BBC" w:rsidP="006F5430">
      <w:pPr>
        <w:spacing w:line="360" w:lineRule="auto"/>
        <w:ind w:left="-567"/>
        <w:rPr>
          <w:rFonts w:ascii="Arial" w:hAnsi="Arial" w:cs="Arial"/>
          <w:b/>
          <w:bCs/>
          <w:sz w:val="24"/>
          <w:szCs w:val="24"/>
        </w:rPr>
      </w:pPr>
    </w:p>
    <w:p w14:paraId="09496D3D" w14:textId="77777777" w:rsidR="002A6BBC" w:rsidRDefault="002A6BBC" w:rsidP="006F5430">
      <w:pPr>
        <w:spacing w:line="360" w:lineRule="auto"/>
        <w:ind w:left="-567"/>
        <w:rPr>
          <w:rFonts w:ascii="Arial" w:hAnsi="Arial" w:cs="Arial"/>
          <w:b/>
          <w:bCs/>
          <w:sz w:val="24"/>
          <w:szCs w:val="24"/>
        </w:rPr>
      </w:pPr>
    </w:p>
    <w:p w14:paraId="03B64809" w14:textId="77777777" w:rsidR="002A6BBC" w:rsidRDefault="002A6BBC" w:rsidP="006F5430">
      <w:pPr>
        <w:spacing w:line="360" w:lineRule="auto"/>
        <w:ind w:left="-567"/>
        <w:rPr>
          <w:rFonts w:ascii="Arial" w:hAnsi="Arial" w:cs="Arial"/>
          <w:b/>
          <w:bCs/>
          <w:sz w:val="24"/>
          <w:szCs w:val="24"/>
        </w:rPr>
      </w:pPr>
    </w:p>
    <w:p w14:paraId="3C046188" w14:textId="77777777" w:rsidR="002A6BBC" w:rsidRDefault="002A6BBC" w:rsidP="006F5430">
      <w:pPr>
        <w:spacing w:line="360" w:lineRule="auto"/>
        <w:ind w:left="-567"/>
        <w:rPr>
          <w:rFonts w:ascii="Arial" w:hAnsi="Arial" w:cs="Arial"/>
          <w:b/>
          <w:bCs/>
          <w:sz w:val="24"/>
          <w:szCs w:val="24"/>
        </w:rPr>
      </w:pPr>
    </w:p>
    <w:p w14:paraId="1DA1E0F4" w14:textId="77777777" w:rsidR="002A6BBC" w:rsidRDefault="002A6BBC" w:rsidP="006F5430">
      <w:pPr>
        <w:spacing w:line="360" w:lineRule="auto"/>
        <w:ind w:left="-567"/>
        <w:rPr>
          <w:rFonts w:ascii="Arial" w:hAnsi="Arial" w:cs="Arial"/>
          <w:b/>
          <w:bCs/>
          <w:sz w:val="24"/>
          <w:szCs w:val="24"/>
        </w:rPr>
      </w:pPr>
    </w:p>
    <w:p w14:paraId="359B8123" w14:textId="77777777" w:rsidR="002A6BBC" w:rsidRDefault="002A6BBC" w:rsidP="006F5430">
      <w:pPr>
        <w:spacing w:line="360" w:lineRule="auto"/>
        <w:ind w:left="-567"/>
        <w:rPr>
          <w:rFonts w:ascii="Arial" w:hAnsi="Arial" w:cs="Arial"/>
          <w:b/>
          <w:bCs/>
          <w:sz w:val="24"/>
          <w:szCs w:val="24"/>
        </w:rPr>
      </w:pPr>
    </w:p>
    <w:p w14:paraId="420AB7BF" w14:textId="77777777" w:rsidR="002A6BBC" w:rsidRDefault="002A6BBC" w:rsidP="006F5430">
      <w:pPr>
        <w:spacing w:line="360" w:lineRule="auto"/>
        <w:ind w:left="-567"/>
        <w:rPr>
          <w:rFonts w:ascii="Arial" w:hAnsi="Arial" w:cs="Arial"/>
          <w:b/>
          <w:bCs/>
          <w:sz w:val="24"/>
          <w:szCs w:val="24"/>
        </w:rPr>
      </w:pPr>
    </w:p>
    <w:p w14:paraId="6AA48924" w14:textId="77777777" w:rsidR="002A6BBC" w:rsidRDefault="002A6BBC" w:rsidP="006F5430">
      <w:pPr>
        <w:spacing w:line="360" w:lineRule="auto"/>
        <w:ind w:left="-567"/>
        <w:rPr>
          <w:rFonts w:ascii="Arial" w:hAnsi="Arial" w:cs="Arial"/>
          <w:b/>
          <w:bCs/>
          <w:sz w:val="24"/>
          <w:szCs w:val="24"/>
        </w:rPr>
      </w:pPr>
    </w:p>
    <w:p w14:paraId="1494FACD" w14:textId="77777777" w:rsidR="002A6BBC" w:rsidRDefault="002A6BBC" w:rsidP="006F5430">
      <w:pPr>
        <w:spacing w:line="360" w:lineRule="auto"/>
        <w:ind w:left="-567"/>
        <w:rPr>
          <w:rFonts w:ascii="Arial" w:hAnsi="Arial" w:cs="Arial"/>
          <w:b/>
          <w:bCs/>
          <w:sz w:val="24"/>
          <w:szCs w:val="24"/>
        </w:rPr>
      </w:pPr>
    </w:p>
    <w:p w14:paraId="17AE2197" w14:textId="77777777" w:rsidR="002A6BBC" w:rsidRDefault="002A6BBC" w:rsidP="006F5430">
      <w:pPr>
        <w:spacing w:line="360" w:lineRule="auto"/>
        <w:ind w:left="-567"/>
        <w:rPr>
          <w:rFonts w:ascii="Arial" w:hAnsi="Arial" w:cs="Arial"/>
          <w:b/>
          <w:bCs/>
          <w:sz w:val="24"/>
          <w:szCs w:val="24"/>
        </w:rPr>
      </w:pPr>
    </w:p>
    <w:p w14:paraId="3148032C" w14:textId="32663FE6" w:rsidR="006F5430" w:rsidRPr="006F5430" w:rsidRDefault="006F5430" w:rsidP="006F5430">
      <w:pPr>
        <w:spacing w:line="360" w:lineRule="auto"/>
        <w:ind w:left="-567"/>
        <w:rPr>
          <w:rFonts w:ascii="Arial" w:hAnsi="Arial" w:cs="Arial"/>
          <w:b/>
          <w:bCs/>
          <w:sz w:val="24"/>
          <w:szCs w:val="24"/>
        </w:rPr>
      </w:pPr>
      <w:r w:rsidRPr="006F5430">
        <w:rPr>
          <w:rFonts w:ascii="Arial" w:hAnsi="Arial" w:cs="Arial"/>
          <w:b/>
          <w:bCs/>
          <w:sz w:val="24"/>
          <w:szCs w:val="24"/>
        </w:rPr>
        <w:lastRenderedPageBreak/>
        <w:t>Part B – Critical Reflection on Tutor and Peer Feedback</w:t>
      </w:r>
    </w:p>
    <w:p w14:paraId="32AE8694"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t xml:space="preserve">The feedback on the project proposal was useful because it confirmed that the central idea was relevant, while also showing where the final project management plan needed more depth. Feedback is most valuable when a learner does not simply acknowledge comments but uses them to improve later work (Boud and Molloy, 2013). Carless and Boud (2018) similarly explain that feedback literacy involves interpreting comments, making judgements and taking action. This approach guided the changes planned for Part C. </w:t>
      </w:r>
    </w:p>
    <w:p w14:paraId="6C6D9C34"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t>A main strength identified was the clear connection between the transport hub closure and the proposed digital passenger flow and logistics coordination system. The poster explained why a digital response could be delivered faster than full physical redevelopment. It also showed how passenger information, freight coordination, accessibility support and stakeholder updates would operate as connected workstreams. The six-month timeline made the proposal easy to understand and communicated a sense of urgency. Another positive feature was the defined scope. Separating the digital system from major rail construction, road widening and commercial redevelopment demonstrated that the project had realistic boundaries.</w:t>
      </w:r>
    </w:p>
    <w:p w14:paraId="440E58D2"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t>However, the feedback also indicated that several areas were too general. The SMART objectives included deadlines, but some lacked measurable performance targets. For example, the objective to “improve multi-operator communication” did not explain how improvement would be assessed. In the final plan, this objective will be supported by indicators such as system adoption rates, reductions in passenger enquiries, data-update response times and the percentage of transport operators sharing live information. These measures will make project performance easier to monitor.</w:t>
      </w:r>
    </w:p>
    <w:p w14:paraId="757259B6"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t xml:space="preserve">The stakeholder section also required greater analysis. The poster grouped stakeholders according to their power and interest, but it did not explain their individual expectations, possible resistance or communication requirements. This is important because stakeholder engagement involves systematic identification, analysis, planning and action rather than simply listing interested groups (APM, 2019). Part C will therefore include a power-interest matrix, a responsibility allocation table and a communication plan covering the local authority, transport operators, disabled passengers, technology suppliers, freight companies and local businesses. </w:t>
      </w:r>
    </w:p>
    <w:p w14:paraId="3EE88AC3"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lastRenderedPageBreak/>
        <w:t xml:space="preserve">Risk analysis was another area requiring improvement. Supplier delay, cybersecurity, poor adoption and data errors were identified, but probability, impact, ownership and responses were not presented. The revised plan will include a scored risk register with named owners, preventive controls, contingency actions and review dates. This follows PMI (2021), which treats risk and uncertainty as continuing project management responsibilities rather than a one-off list. </w:t>
      </w:r>
    </w:p>
    <w:p w14:paraId="7A202730" w14:textId="77777777" w:rsidR="006F5430" w:rsidRPr="006F5430" w:rsidRDefault="006F5430" w:rsidP="006F5430">
      <w:pPr>
        <w:spacing w:line="360" w:lineRule="auto"/>
        <w:ind w:left="-567"/>
        <w:rPr>
          <w:rFonts w:ascii="Arial" w:hAnsi="Arial" w:cs="Arial"/>
          <w:sz w:val="24"/>
          <w:szCs w:val="24"/>
        </w:rPr>
      </w:pPr>
      <w:r w:rsidRPr="006F5430">
        <w:rPr>
          <w:rFonts w:ascii="Arial" w:hAnsi="Arial" w:cs="Arial"/>
          <w:sz w:val="24"/>
          <w:szCs w:val="24"/>
        </w:rPr>
        <w:t>Finally, the hybrid methodology needs stronger justification. Part C will explain which deliverables require fixed Waterfall controls and which digital components would benefit from Agile testing and user feedback. Overall, the feedback has made the project more specific, measurable and practical. The original concept remains suitable, but the final plan will provide clearer governance, stronger stakeholder involvement and more detailed evidence of how delivery will be controlled.</w:t>
      </w:r>
    </w:p>
    <w:p w14:paraId="75DA3E22" w14:textId="77777777" w:rsidR="00250B5C" w:rsidRDefault="00250B5C" w:rsidP="006F5430">
      <w:pPr>
        <w:spacing w:line="360" w:lineRule="auto"/>
        <w:ind w:left="-567"/>
        <w:rPr>
          <w:rFonts w:ascii="Arial" w:hAnsi="Arial" w:cs="Arial"/>
          <w:sz w:val="24"/>
          <w:szCs w:val="24"/>
        </w:rPr>
      </w:pPr>
    </w:p>
    <w:p w14:paraId="3D52B24E" w14:textId="77777777" w:rsidR="006F5430" w:rsidRDefault="006F5430" w:rsidP="006F5430">
      <w:pPr>
        <w:spacing w:line="360" w:lineRule="auto"/>
        <w:ind w:left="-567"/>
        <w:rPr>
          <w:rFonts w:ascii="Arial" w:hAnsi="Arial" w:cs="Arial"/>
          <w:sz w:val="24"/>
          <w:szCs w:val="24"/>
        </w:rPr>
      </w:pPr>
    </w:p>
    <w:p w14:paraId="17674451" w14:textId="77777777" w:rsidR="006F5430" w:rsidRDefault="006F5430" w:rsidP="006F5430">
      <w:pPr>
        <w:spacing w:line="360" w:lineRule="auto"/>
        <w:ind w:left="-567"/>
        <w:rPr>
          <w:rFonts w:ascii="Arial" w:hAnsi="Arial" w:cs="Arial"/>
          <w:sz w:val="24"/>
          <w:szCs w:val="24"/>
        </w:rPr>
      </w:pPr>
    </w:p>
    <w:p w14:paraId="7F43EEED" w14:textId="77777777" w:rsidR="006F5430" w:rsidRDefault="006F5430" w:rsidP="006F5430">
      <w:pPr>
        <w:spacing w:line="360" w:lineRule="auto"/>
        <w:ind w:left="-567"/>
        <w:rPr>
          <w:rFonts w:ascii="Arial" w:hAnsi="Arial" w:cs="Arial"/>
          <w:sz w:val="24"/>
          <w:szCs w:val="24"/>
        </w:rPr>
      </w:pPr>
    </w:p>
    <w:p w14:paraId="4F6B5FF9" w14:textId="77777777" w:rsidR="006F5430" w:rsidRDefault="006F5430" w:rsidP="006F5430">
      <w:pPr>
        <w:spacing w:line="360" w:lineRule="auto"/>
        <w:ind w:left="-567"/>
        <w:rPr>
          <w:rFonts w:ascii="Arial" w:hAnsi="Arial" w:cs="Arial"/>
          <w:sz w:val="24"/>
          <w:szCs w:val="24"/>
        </w:rPr>
      </w:pPr>
    </w:p>
    <w:p w14:paraId="6FECCF0E" w14:textId="77777777" w:rsidR="006F5430" w:rsidRDefault="006F5430" w:rsidP="006F5430">
      <w:pPr>
        <w:spacing w:line="360" w:lineRule="auto"/>
        <w:ind w:left="-567"/>
        <w:rPr>
          <w:rFonts w:ascii="Arial" w:hAnsi="Arial" w:cs="Arial"/>
          <w:sz w:val="24"/>
          <w:szCs w:val="24"/>
        </w:rPr>
      </w:pPr>
    </w:p>
    <w:p w14:paraId="51EF1CF1" w14:textId="77777777" w:rsidR="006F5430" w:rsidRDefault="006F5430" w:rsidP="006F5430">
      <w:pPr>
        <w:spacing w:line="360" w:lineRule="auto"/>
        <w:ind w:left="-567"/>
        <w:rPr>
          <w:rFonts w:ascii="Arial" w:hAnsi="Arial" w:cs="Arial"/>
          <w:sz w:val="24"/>
          <w:szCs w:val="24"/>
        </w:rPr>
      </w:pPr>
    </w:p>
    <w:p w14:paraId="0314ECB1" w14:textId="77777777" w:rsidR="006F5430" w:rsidRDefault="006F5430" w:rsidP="006F5430">
      <w:pPr>
        <w:spacing w:line="360" w:lineRule="auto"/>
        <w:ind w:left="-567"/>
        <w:rPr>
          <w:rFonts w:ascii="Arial" w:hAnsi="Arial" w:cs="Arial"/>
          <w:sz w:val="24"/>
          <w:szCs w:val="24"/>
        </w:rPr>
      </w:pPr>
    </w:p>
    <w:p w14:paraId="39FC1474" w14:textId="77777777" w:rsidR="002765BF" w:rsidRDefault="002765BF" w:rsidP="006F5430">
      <w:pPr>
        <w:spacing w:line="360" w:lineRule="auto"/>
        <w:ind w:left="-567"/>
        <w:rPr>
          <w:rFonts w:ascii="Arial" w:hAnsi="Arial" w:cs="Arial"/>
          <w:sz w:val="24"/>
          <w:szCs w:val="24"/>
        </w:rPr>
      </w:pPr>
    </w:p>
    <w:p w14:paraId="7F6BD42E" w14:textId="77777777" w:rsidR="002765BF" w:rsidRDefault="002765BF" w:rsidP="006F5430">
      <w:pPr>
        <w:spacing w:line="360" w:lineRule="auto"/>
        <w:ind w:left="-567"/>
        <w:rPr>
          <w:rFonts w:ascii="Arial" w:hAnsi="Arial" w:cs="Arial"/>
          <w:sz w:val="24"/>
          <w:szCs w:val="24"/>
        </w:rPr>
      </w:pPr>
    </w:p>
    <w:p w14:paraId="37FC2FEE" w14:textId="77777777" w:rsidR="002765BF" w:rsidRDefault="002765BF" w:rsidP="006F5430">
      <w:pPr>
        <w:spacing w:line="360" w:lineRule="auto"/>
        <w:ind w:left="-567"/>
        <w:rPr>
          <w:rFonts w:ascii="Arial" w:hAnsi="Arial" w:cs="Arial"/>
          <w:sz w:val="24"/>
          <w:szCs w:val="24"/>
        </w:rPr>
      </w:pPr>
    </w:p>
    <w:p w14:paraId="60F379F3" w14:textId="77777777" w:rsidR="002765BF" w:rsidRDefault="002765BF" w:rsidP="006F5430">
      <w:pPr>
        <w:spacing w:line="360" w:lineRule="auto"/>
        <w:ind w:left="-567"/>
        <w:rPr>
          <w:rFonts w:ascii="Arial" w:hAnsi="Arial" w:cs="Arial"/>
          <w:sz w:val="24"/>
          <w:szCs w:val="24"/>
        </w:rPr>
      </w:pPr>
    </w:p>
    <w:p w14:paraId="745CD0BF" w14:textId="77777777" w:rsidR="002765BF" w:rsidRDefault="002765BF" w:rsidP="006F5430">
      <w:pPr>
        <w:spacing w:line="360" w:lineRule="auto"/>
        <w:ind w:left="-567"/>
        <w:rPr>
          <w:rFonts w:ascii="Arial" w:hAnsi="Arial" w:cs="Arial"/>
          <w:sz w:val="24"/>
          <w:szCs w:val="24"/>
        </w:rPr>
      </w:pPr>
    </w:p>
    <w:p w14:paraId="3B58F2AD" w14:textId="77777777" w:rsidR="006F5430" w:rsidRDefault="006F5430" w:rsidP="006F5430">
      <w:pPr>
        <w:spacing w:line="360" w:lineRule="auto"/>
        <w:ind w:left="-567"/>
        <w:rPr>
          <w:rFonts w:ascii="Arial" w:hAnsi="Arial" w:cs="Arial"/>
          <w:sz w:val="24"/>
          <w:szCs w:val="24"/>
        </w:rPr>
      </w:pPr>
    </w:p>
    <w:p w14:paraId="0AFBC34B" w14:textId="77777777" w:rsidR="006F5430" w:rsidRDefault="006F5430" w:rsidP="006F5430">
      <w:pPr>
        <w:spacing w:line="360" w:lineRule="auto"/>
        <w:ind w:left="-567"/>
        <w:rPr>
          <w:rFonts w:ascii="Arial" w:hAnsi="Arial" w:cs="Arial"/>
          <w:sz w:val="24"/>
          <w:szCs w:val="24"/>
        </w:rPr>
      </w:pPr>
    </w:p>
    <w:p w14:paraId="4BAB2217"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lastRenderedPageBreak/>
        <w:t>Part C: Project Management Plan</w:t>
      </w:r>
    </w:p>
    <w:p w14:paraId="7F47B4A7"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Digital Passenger Flow and Logistics Coordination System</w:t>
      </w:r>
    </w:p>
    <w:p w14:paraId="7CEA64DF"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1. Introduction</w:t>
      </w:r>
    </w:p>
    <w:p w14:paraId="472CC91B"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closure of the central transport hub has disrupted passenger journeys, bus and rail connections, freight movement and local business activity. A full physical redevelopment will be necessary, but it cannot provide an immediate response because planning, procurement and construction will take considerable time. The proposed Digital Passenger Flow and Logistics Coordination System offers a faster intervention by improving information, coordination and accessibility while the permanent hub is being redeveloped.</w:t>
      </w:r>
    </w:p>
    <w:p w14:paraId="1C2BE1A9"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will combine a passenger information platform, digital signage, accessible route information, a freight coordination dashboard and a shared communication process for transport operators. Project management is essential because delivery depends on several organisations, external suppliers, data-sharing arrangements, public communication and a fixed six-month deadline. PMI (2021) argues that project methods should be adapted to the project environment and focused on value. For this reason, the plan uses a hybrid approach, combining formal governance and procurement controls with iterative software development and user testing.</w:t>
      </w:r>
    </w:p>
    <w:p w14:paraId="5A7CC37F"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2. Project Description</w:t>
      </w:r>
    </w:p>
    <w:p w14:paraId="7F64B454"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2.1 Aim and expected outcomes</w:t>
      </w:r>
    </w:p>
    <w:p w14:paraId="5566E882"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aim is to implement a digital coordination system that improves passenger movement, freight planning, accessibility and stakeholder communication during the transport hub closure.</w:t>
      </w:r>
    </w:p>
    <w:p w14:paraId="67F2B5F1"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main outputs are:</w:t>
      </w:r>
    </w:p>
    <w:p w14:paraId="653ABBE9" w14:textId="77777777" w:rsidR="008231F3" w:rsidRPr="008231F3" w:rsidRDefault="008231F3" w:rsidP="008231F3">
      <w:pPr>
        <w:numPr>
          <w:ilvl w:val="0"/>
          <w:numId w:val="1"/>
        </w:numPr>
        <w:spacing w:line="360" w:lineRule="auto"/>
        <w:rPr>
          <w:rFonts w:ascii="Arial" w:hAnsi="Arial" w:cs="Arial"/>
          <w:sz w:val="24"/>
          <w:szCs w:val="24"/>
        </w:rPr>
      </w:pPr>
      <w:r w:rsidRPr="008231F3">
        <w:rPr>
          <w:rFonts w:ascii="Arial" w:hAnsi="Arial" w:cs="Arial"/>
          <w:sz w:val="24"/>
          <w:szCs w:val="24"/>
        </w:rPr>
        <w:t xml:space="preserve">a mobile-friendly passenger information platform; </w:t>
      </w:r>
    </w:p>
    <w:p w14:paraId="1947BFED" w14:textId="77777777" w:rsidR="008231F3" w:rsidRPr="008231F3" w:rsidRDefault="008231F3" w:rsidP="008231F3">
      <w:pPr>
        <w:numPr>
          <w:ilvl w:val="0"/>
          <w:numId w:val="1"/>
        </w:numPr>
        <w:spacing w:line="360" w:lineRule="auto"/>
        <w:rPr>
          <w:rFonts w:ascii="Arial" w:hAnsi="Arial" w:cs="Arial"/>
          <w:sz w:val="24"/>
          <w:szCs w:val="24"/>
        </w:rPr>
      </w:pPr>
      <w:r w:rsidRPr="008231F3">
        <w:rPr>
          <w:rFonts w:ascii="Arial" w:hAnsi="Arial" w:cs="Arial"/>
          <w:sz w:val="24"/>
          <w:szCs w:val="24"/>
        </w:rPr>
        <w:t xml:space="preserve">digital signs at temporary transport locations; </w:t>
      </w:r>
    </w:p>
    <w:p w14:paraId="709A983F" w14:textId="77777777" w:rsidR="008231F3" w:rsidRPr="008231F3" w:rsidRDefault="008231F3" w:rsidP="008231F3">
      <w:pPr>
        <w:numPr>
          <w:ilvl w:val="0"/>
          <w:numId w:val="1"/>
        </w:numPr>
        <w:spacing w:line="360" w:lineRule="auto"/>
        <w:rPr>
          <w:rFonts w:ascii="Arial" w:hAnsi="Arial" w:cs="Arial"/>
          <w:sz w:val="24"/>
          <w:szCs w:val="24"/>
        </w:rPr>
      </w:pPr>
      <w:r w:rsidRPr="008231F3">
        <w:rPr>
          <w:rFonts w:ascii="Arial" w:hAnsi="Arial" w:cs="Arial"/>
          <w:sz w:val="24"/>
          <w:szCs w:val="24"/>
        </w:rPr>
        <w:t xml:space="preserve">a freight dashboard showing route changes and loading restrictions; </w:t>
      </w:r>
    </w:p>
    <w:p w14:paraId="75CFAF15" w14:textId="77777777" w:rsidR="008231F3" w:rsidRPr="008231F3" w:rsidRDefault="008231F3" w:rsidP="008231F3">
      <w:pPr>
        <w:numPr>
          <w:ilvl w:val="0"/>
          <w:numId w:val="1"/>
        </w:numPr>
        <w:spacing w:line="360" w:lineRule="auto"/>
        <w:rPr>
          <w:rFonts w:ascii="Arial" w:hAnsi="Arial" w:cs="Arial"/>
          <w:sz w:val="24"/>
          <w:szCs w:val="24"/>
        </w:rPr>
      </w:pPr>
      <w:r w:rsidRPr="008231F3">
        <w:rPr>
          <w:rFonts w:ascii="Arial" w:hAnsi="Arial" w:cs="Arial"/>
          <w:sz w:val="24"/>
          <w:szCs w:val="24"/>
        </w:rPr>
        <w:t xml:space="preserve">accessible journey information; </w:t>
      </w:r>
    </w:p>
    <w:p w14:paraId="3B7C9EC2" w14:textId="77777777" w:rsidR="008231F3" w:rsidRPr="008231F3" w:rsidRDefault="008231F3" w:rsidP="008231F3">
      <w:pPr>
        <w:numPr>
          <w:ilvl w:val="0"/>
          <w:numId w:val="1"/>
        </w:numPr>
        <w:spacing w:line="360" w:lineRule="auto"/>
        <w:rPr>
          <w:rFonts w:ascii="Arial" w:hAnsi="Arial" w:cs="Arial"/>
          <w:sz w:val="24"/>
          <w:szCs w:val="24"/>
        </w:rPr>
      </w:pPr>
      <w:r w:rsidRPr="008231F3">
        <w:rPr>
          <w:rFonts w:ascii="Arial" w:hAnsi="Arial" w:cs="Arial"/>
          <w:sz w:val="24"/>
          <w:szCs w:val="24"/>
        </w:rPr>
        <w:t xml:space="preserve">a shared data and communication protocol for participating operators. </w:t>
      </w:r>
    </w:p>
    <w:p w14:paraId="36E34222"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lastRenderedPageBreak/>
        <w:t>The Transport Data Strategy identifies accurate and timely data as important for improving passenger experience and transport decision-making (DfT, 2023). The proposed system therefore focuses on reliable information rather than attempting to replace physical transport infrastructure.</w:t>
      </w:r>
    </w:p>
    <w:p w14:paraId="476CDB08"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2.2 SMART objectives</w:t>
      </w:r>
    </w:p>
    <w:p w14:paraId="361BA317"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will:</w:t>
      </w:r>
    </w:p>
    <w:p w14:paraId="5D4C7362"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Launch the passenger platform by the end of Month 6. </w:t>
      </w:r>
    </w:p>
    <w:p w14:paraId="58F3621F"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Install and test all approved digital signs by the end of Month 5. </w:t>
      </w:r>
    </w:p>
    <w:p w14:paraId="0C083235"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Connect at least 80% of participating operators to the shared data process before launch. </w:t>
      </w:r>
    </w:p>
    <w:p w14:paraId="317AC0CB"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Provide verified accessible information for all main temporary routes. </w:t>
      </w:r>
    </w:p>
    <w:p w14:paraId="4D4305A9"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Reduce route-related passenger enquiries by at least 20% during the pilot compared with the Month 1 baseline. </w:t>
      </w:r>
    </w:p>
    <w:p w14:paraId="1F3CFD09"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Train all nominated staff before launch. </w:t>
      </w:r>
    </w:p>
    <w:p w14:paraId="01C4178B" w14:textId="77777777" w:rsidR="008231F3" w:rsidRPr="008231F3" w:rsidRDefault="008231F3" w:rsidP="008231F3">
      <w:pPr>
        <w:numPr>
          <w:ilvl w:val="0"/>
          <w:numId w:val="2"/>
        </w:numPr>
        <w:spacing w:line="360" w:lineRule="auto"/>
        <w:rPr>
          <w:rFonts w:ascii="Arial" w:hAnsi="Arial" w:cs="Arial"/>
          <w:sz w:val="24"/>
          <w:szCs w:val="24"/>
        </w:rPr>
      </w:pPr>
      <w:r w:rsidRPr="008231F3">
        <w:rPr>
          <w:rFonts w:ascii="Arial" w:hAnsi="Arial" w:cs="Arial"/>
          <w:sz w:val="24"/>
          <w:szCs w:val="24"/>
        </w:rPr>
        <w:t xml:space="preserve">Resolve all critical security and accessibility defects before final approval. </w:t>
      </w:r>
    </w:p>
    <w:p w14:paraId="5AC7D7BB"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These objectives allow progress and project success to be measured more clearly.</w:t>
      </w:r>
    </w:p>
    <w:p w14:paraId="3FAC0F88"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2.3 Methodology and governance</w:t>
      </w:r>
    </w:p>
    <w:p w14:paraId="46DCA2C8"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A hybrid methodology is appropriate because different parts of the project require different levels of flexibility. Predictive controls will be used for procurement, budget approval, hardware installation, data agreements and formal acceptance. These activities depend on fixed responsibilities and documented decisions. Agile methods will be used for platform development, dashboard design and user testing. Development will be organised into two-week cycles, with demonstrations provided to operator representatives and user groups.</w:t>
      </w:r>
    </w:p>
    <w:p w14:paraId="195DAC59"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Hybrid approaches can retain formal control while allowing digital products to improve through repeated feedback (Gemino, Reich and Serrador, 2021). However, project methods should fit the governance environment rather than being applied mechanically (Joslin and Müller, 2015).</w:t>
      </w:r>
    </w:p>
    <w:p w14:paraId="39A99611"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lastRenderedPageBreak/>
        <w:t>The choice also recognises the limitations of both methods. A fully predictive model would provide strong documentation but could lock the project into early assumptions before passengers and operators have tested the platform. A completely Agile model would offer flexibility, although it may provide insufficient control for public procurement, hardware installation and data protection approval. The hybrid model therefore separates flexible product development from activities requiring formal authorisation. This reduces the risk of excessive bureaucracy or uncontrolled change.</w:t>
      </w:r>
    </w:p>
    <w:p w14:paraId="39EEEBCF"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local authority will act as project sponsor. A project board will include the sponsor, project manager, finance representative, technology lead, transport operations representative and accessibility representative. Decision gates will take place at the end of Months 1, 3 and 5.</w:t>
      </w:r>
    </w:p>
    <w:p w14:paraId="1DD931AD"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3. Scope and Boundaries</w:t>
      </w:r>
    </w:p>
    <w:p w14:paraId="30538CA5"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Clear scope is important because the closure creates many problems that cannot all be resolved by one six-month digital project. Uncontrolled additions can increase cost and delay delivery (Kerzner, 2022).</w:t>
      </w:r>
    </w:p>
    <w:p w14:paraId="104764C5"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1: Scope and boundaries</w:t>
      </w:r>
    </w:p>
    <w:p w14:paraId="3B02DE49" w14:textId="77777777" w:rsidR="002765BF" w:rsidRDefault="002765BF" w:rsidP="008231F3">
      <w:pPr>
        <w:spacing w:line="360" w:lineRule="auto"/>
        <w:ind w:left="-567"/>
        <w:rPr>
          <w:rFonts w:ascii="Arial" w:hAnsi="Arial" w:cs="Arial"/>
          <w:sz w:val="24"/>
          <w:szCs w:val="24"/>
        </w:rPr>
      </w:pPr>
    </w:p>
    <w:tbl>
      <w:tblPr>
        <w:tblStyle w:val="PlainTable3"/>
        <w:tblW w:w="0" w:type="auto"/>
        <w:tblLook w:val="04A0" w:firstRow="1" w:lastRow="0" w:firstColumn="1" w:lastColumn="0" w:noHBand="0" w:noVBand="1"/>
      </w:tblPr>
      <w:tblGrid>
        <w:gridCol w:w="5200"/>
        <w:gridCol w:w="3826"/>
      </w:tblGrid>
      <w:tr w:rsidR="006307DF" w:rsidRPr="006307DF" w14:paraId="4C0A33E3" w14:textId="77777777" w:rsidTr="006307D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7D218E15"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In scope</w:t>
            </w:r>
          </w:p>
        </w:tc>
        <w:tc>
          <w:tcPr>
            <w:tcW w:w="0" w:type="auto"/>
            <w:hideMark/>
          </w:tcPr>
          <w:p w14:paraId="0B54B757" w14:textId="77777777" w:rsidR="006307DF" w:rsidRPr="006307DF" w:rsidRDefault="006307DF" w:rsidP="006307DF">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6307DF">
              <w:rPr>
                <w:rFonts w:ascii="Arial" w:hAnsi="Arial" w:cs="Arial"/>
                <w:sz w:val="24"/>
                <w:szCs w:val="24"/>
              </w:rPr>
              <w:t>Outside scope</w:t>
            </w:r>
          </w:p>
        </w:tc>
      </w:tr>
      <w:tr w:rsidR="006307DF" w:rsidRPr="006307DF" w14:paraId="4ACE30A8" w14:textId="77777777" w:rsidTr="00630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75568B"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Passenger information platform</w:t>
            </w:r>
          </w:p>
        </w:tc>
        <w:tc>
          <w:tcPr>
            <w:tcW w:w="0" w:type="auto"/>
            <w:hideMark/>
          </w:tcPr>
          <w:p w14:paraId="3685EC7C" w14:textId="77777777" w:rsidR="006307DF" w:rsidRPr="006307DF" w:rsidRDefault="006307DF" w:rsidP="006307D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07DF">
              <w:rPr>
                <w:rFonts w:ascii="Arial" w:hAnsi="Arial" w:cs="Arial"/>
                <w:sz w:val="24"/>
                <w:szCs w:val="24"/>
              </w:rPr>
              <w:t>Full reconstruction of the hub</w:t>
            </w:r>
          </w:p>
        </w:tc>
      </w:tr>
      <w:tr w:rsidR="006307DF" w:rsidRPr="006307DF" w14:paraId="58C289A5" w14:textId="77777777" w:rsidTr="006307DF">
        <w:tc>
          <w:tcPr>
            <w:cnfStyle w:val="001000000000" w:firstRow="0" w:lastRow="0" w:firstColumn="1" w:lastColumn="0" w:oddVBand="0" w:evenVBand="0" w:oddHBand="0" w:evenHBand="0" w:firstRowFirstColumn="0" w:firstRowLastColumn="0" w:lastRowFirstColumn="0" w:lastRowLastColumn="0"/>
            <w:tcW w:w="0" w:type="auto"/>
            <w:hideMark/>
          </w:tcPr>
          <w:p w14:paraId="632D6E2D"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Digital signage</w:t>
            </w:r>
          </w:p>
        </w:tc>
        <w:tc>
          <w:tcPr>
            <w:tcW w:w="0" w:type="auto"/>
            <w:hideMark/>
          </w:tcPr>
          <w:p w14:paraId="60E8A9AF" w14:textId="77777777" w:rsidR="006307DF" w:rsidRPr="006307DF" w:rsidRDefault="006307DF" w:rsidP="006307D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307DF">
              <w:rPr>
                <w:rFonts w:ascii="Arial" w:hAnsi="Arial" w:cs="Arial"/>
                <w:sz w:val="24"/>
                <w:szCs w:val="24"/>
              </w:rPr>
              <w:t>Major rail or road works</w:t>
            </w:r>
          </w:p>
        </w:tc>
      </w:tr>
      <w:tr w:rsidR="006307DF" w:rsidRPr="006307DF" w14:paraId="2DFA744F" w14:textId="77777777" w:rsidTr="00630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276E6F"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Freight coordination dashboard</w:t>
            </w:r>
          </w:p>
        </w:tc>
        <w:tc>
          <w:tcPr>
            <w:tcW w:w="0" w:type="auto"/>
            <w:hideMark/>
          </w:tcPr>
          <w:p w14:paraId="15C47CF5" w14:textId="77777777" w:rsidR="006307DF" w:rsidRPr="006307DF" w:rsidRDefault="006307DF" w:rsidP="006307D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07DF">
              <w:rPr>
                <w:rFonts w:ascii="Arial" w:hAnsi="Arial" w:cs="Arial"/>
                <w:sz w:val="24"/>
                <w:szCs w:val="24"/>
              </w:rPr>
              <w:t>New buses, trains or ticketing systems</w:t>
            </w:r>
          </w:p>
        </w:tc>
      </w:tr>
      <w:tr w:rsidR="006307DF" w:rsidRPr="006307DF" w14:paraId="745D8E1F" w14:textId="77777777" w:rsidTr="006307DF">
        <w:tc>
          <w:tcPr>
            <w:cnfStyle w:val="001000000000" w:firstRow="0" w:lastRow="0" w:firstColumn="1" w:lastColumn="0" w:oddVBand="0" w:evenVBand="0" w:oddHBand="0" w:evenHBand="0" w:firstRowFirstColumn="0" w:firstRowLastColumn="0" w:lastRowFirstColumn="0" w:lastRowLastColumn="0"/>
            <w:tcW w:w="0" w:type="auto"/>
            <w:hideMark/>
          </w:tcPr>
          <w:p w14:paraId="7C4CC21A"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Accessible journey information</w:t>
            </w:r>
          </w:p>
        </w:tc>
        <w:tc>
          <w:tcPr>
            <w:tcW w:w="0" w:type="auto"/>
            <w:hideMark/>
          </w:tcPr>
          <w:p w14:paraId="27BF639F" w14:textId="77777777" w:rsidR="006307DF" w:rsidRPr="006307DF" w:rsidRDefault="006307DF" w:rsidP="006307D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307DF">
              <w:rPr>
                <w:rFonts w:ascii="Arial" w:hAnsi="Arial" w:cs="Arial"/>
                <w:sz w:val="24"/>
                <w:szCs w:val="24"/>
              </w:rPr>
              <w:t>Commercial redevelopment</w:t>
            </w:r>
          </w:p>
        </w:tc>
      </w:tr>
      <w:tr w:rsidR="006307DF" w:rsidRPr="006307DF" w14:paraId="4A1F8585" w14:textId="77777777" w:rsidTr="00630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22206A"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Operator data interfaces</w:t>
            </w:r>
          </w:p>
        </w:tc>
        <w:tc>
          <w:tcPr>
            <w:tcW w:w="0" w:type="auto"/>
            <w:hideMark/>
          </w:tcPr>
          <w:p w14:paraId="6C4264BD" w14:textId="77777777" w:rsidR="006307DF" w:rsidRPr="006307DF" w:rsidRDefault="006307DF" w:rsidP="006307D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07DF">
              <w:rPr>
                <w:rFonts w:ascii="Arial" w:hAnsi="Arial" w:cs="Arial"/>
                <w:sz w:val="24"/>
                <w:szCs w:val="24"/>
              </w:rPr>
              <w:t>Long-term transport strategy</w:t>
            </w:r>
          </w:p>
        </w:tc>
      </w:tr>
      <w:tr w:rsidR="006307DF" w:rsidRPr="006307DF" w14:paraId="08348F78" w14:textId="77777777" w:rsidTr="006307DF">
        <w:tc>
          <w:tcPr>
            <w:cnfStyle w:val="001000000000" w:firstRow="0" w:lastRow="0" w:firstColumn="1" w:lastColumn="0" w:oddVBand="0" w:evenVBand="0" w:oddHBand="0" w:evenHBand="0" w:firstRowFirstColumn="0" w:firstRowLastColumn="0" w:lastRowFirstColumn="0" w:lastRowLastColumn="0"/>
            <w:tcW w:w="0" w:type="auto"/>
            <w:hideMark/>
          </w:tcPr>
          <w:p w14:paraId="365217A8"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Staff training and public communication</w:t>
            </w:r>
          </w:p>
        </w:tc>
        <w:tc>
          <w:tcPr>
            <w:tcW w:w="0" w:type="auto"/>
            <w:hideMark/>
          </w:tcPr>
          <w:p w14:paraId="066267CB" w14:textId="77777777" w:rsidR="006307DF" w:rsidRPr="006307DF" w:rsidRDefault="006307DF" w:rsidP="006307D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6307DF">
              <w:rPr>
                <w:rFonts w:ascii="Arial" w:hAnsi="Arial" w:cs="Arial"/>
                <w:sz w:val="24"/>
                <w:szCs w:val="24"/>
              </w:rPr>
              <w:t>Unrelated city projects</w:t>
            </w:r>
          </w:p>
        </w:tc>
      </w:tr>
      <w:tr w:rsidR="006307DF" w:rsidRPr="006307DF" w14:paraId="0B0964E9" w14:textId="77777777" w:rsidTr="006307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70B553" w14:textId="77777777" w:rsidR="006307DF" w:rsidRPr="006307DF" w:rsidRDefault="006307DF" w:rsidP="006307DF">
            <w:pPr>
              <w:spacing w:after="160" w:line="360" w:lineRule="auto"/>
              <w:rPr>
                <w:rFonts w:ascii="Arial" w:hAnsi="Arial" w:cs="Arial"/>
                <w:sz w:val="24"/>
                <w:szCs w:val="24"/>
              </w:rPr>
            </w:pPr>
            <w:r w:rsidRPr="006307DF">
              <w:rPr>
                <w:rFonts w:ascii="Arial" w:hAnsi="Arial" w:cs="Arial"/>
                <w:sz w:val="24"/>
                <w:szCs w:val="24"/>
              </w:rPr>
              <w:t>Cybersecurity and privacy testing</w:t>
            </w:r>
          </w:p>
        </w:tc>
        <w:tc>
          <w:tcPr>
            <w:tcW w:w="0" w:type="auto"/>
            <w:hideMark/>
          </w:tcPr>
          <w:p w14:paraId="75E91CF9" w14:textId="77777777" w:rsidR="006307DF" w:rsidRPr="006307DF" w:rsidRDefault="006307DF" w:rsidP="006307D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6307DF">
              <w:rPr>
                <w:rFonts w:ascii="Arial" w:hAnsi="Arial" w:cs="Arial"/>
                <w:sz w:val="24"/>
                <w:szCs w:val="24"/>
              </w:rPr>
              <w:t>Permanent infrastructure works</w:t>
            </w:r>
          </w:p>
        </w:tc>
      </w:tr>
    </w:tbl>
    <w:p w14:paraId="0E5A5CAF" w14:textId="77777777" w:rsidR="002765BF" w:rsidRDefault="002765BF" w:rsidP="006307DF">
      <w:pPr>
        <w:spacing w:line="360" w:lineRule="auto"/>
        <w:rPr>
          <w:rFonts w:ascii="Arial" w:hAnsi="Arial" w:cs="Arial"/>
          <w:sz w:val="24"/>
          <w:szCs w:val="24"/>
        </w:rPr>
      </w:pPr>
    </w:p>
    <w:p w14:paraId="61B4718F" w14:textId="77777777" w:rsidR="002765BF" w:rsidRDefault="002765BF" w:rsidP="008231F3">
      <w:pPr>
        <w:spacing w:line="360" w:lineRule="auto"/>
        <w:ind w:left="-567"/>
        <w:rPr>
          <w:rFonts w:ascii="Arial" w:hAnsi="Arial" w:cs="Arial"/>
          <w:sz w:val="24"/>
          <w:szCs w:val="24"/>
        </w:rPr>
      </w:pPr>
    </w:p>
    <w:p w14:paraId="59E232C4" w14:textId="3BA27021"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assumes that operators will share agreed data and nominate staff for testing. Temporary sign locations must also be available. The main constraints are the six-month deadline, supplier capacity, data quality and an indicative budget ceiling of £1.25 million.</w:t>
      </w:r>
    </w:p>
    <w:p w14:paraId="55C25CE6"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Acceptance will require more than technical completion. The platform must display agreed information accurately, digital signs must operate at approved locations, authorised staff must be able to update content, and the accessibility representative must confirm that core user journeys have passed testing. Benefits that depend on permanent redevelopment, such as increased station capacity, remain outside project accountability. This prevents the digital project from being judged against outcomes it cannot deliver.</w:t>
      </w:r>
    </w:p>
    <w:p w14:paraId="1C72B946"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Any change affecting cost, time, security or major deliverables will require a formal change request. The project manager will assess its effect, but the project board will approve or reject the change.</w:t>
      </w:r>
    </w:p>
    <w:p w14:paraId="783A8479"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4. Work Breakdown Structure</w:t>
      </w:r>
    </w:p>
    <w:p w14:paraId="77F9122F"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work breakdown structure divides the project into manageable work packages. This supports scheduling, costing and responsibility allocation (Nicholas and Steyn, 2020).</w:t>
      </w:r>
    </w:p>
    <w:p w14:paraId="293B9B92"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2: Work breakdown structure</w:t>
      </w:r>
    </w:p>
    <w:p w14:paraId="5538F262" w14:textId="77777777" w:rsidR="006307DF" w:rsidRDefault="006307DF" w:rsidP="008231F3">
      <w:pPr>
        <w:spacing w:line="360" w:lineRule="auto"/>
        <w:ind w:left="-567"/>
        <w:rPr>
          <w:rFonts w:ascii="Arial" w:hAnsi="Arial" w:cs="Arial"/>
          <w:sz w:val="24"/>
          <w:szCs w:val="24"/>
        </w:rPr>
      </w:pPr>
    </w:p>
    <w:tbl>
      <w:tblPr>
        <w:tblStyle w:val="PlainTable4"/>
        <w:tblW w:w="0" w:type="auto"/>
        <w:tblLook w:val="04A0" w:firstRow="1" w:lastRow="0" w:firstColumn="1" w:lastColumn="0" w:noHBand="0" w:noVBand="1"/>
      </w:tblPr>
      <w:tblGrid>
        <w:gridCol w:w="776"/>
        <w:gridCol w:w="3439"/>
        <w:gridCol w:w="4811"/>
      </w:tblGrid>
      <w:tr w:rsidR="001A4BD5" w:rsidRPr="001A4BD5" w14:paraId="71D17824" w14:textId="77777777" w:rsidTr="001A4B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CC2D43"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WBS</w:t>
            </w:r>
          </w:p>
        </w:tc>
        <w:tc>
          <w:tcPr>
            <w:tcW w:w="0" w:type="auto"/>
            <w:hideMark/>
          </w:tcPr>
          <w:p w14:paraId="20F151A3" w14:textId="77777777" w:rsidR="001A4BD5" w:rsidRPr="001A4BD5" w:rsidRDefault="001A4BD5" w:rsidP="001A4BD5">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Work package</w:t>
            </w:r>
          </w:p>
        </w:tc>
        <w:tc>
          <w:tcPr>
            <w:tcW w:w="0" w:type="auto"/>
            <w:hideMark/>
          </w:tcPr>
          <w:p w14:paraId="64D59C13" w14:textId="77777777" w:rsidR="001A4BD5" w:rsidRPr="001A4BD5" w:rsidRDefault="001A4BD5" w:rsidP="001A4BD5">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Main output</w:t>
            </w:r>
          </w:p>
        </w:tc>
      </w:tr>
      <w:tr w:rsidR="001A4BD5" w:rsidRPr="001A4BD5" w14:paraId="0564B5CD" w14:textId="77777777" w:rsidTr="001A4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FAE4DB"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1.0</w:t>
            </w:r>
          </w:p>
        </w:tc>
        <w:tc>
          <w:tcPr>
            <w:tcW w:w="0" w:type="auto"/>
            <w:hideMark/>
          </w:tcPr>
          <w:p w14:paraId="332A6F10"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Initiation</w:t>
            </w:r>
          </w:p>
        </w:tc>
        <w:tc>
          <w:tcPr>
            <w:tcW w:w="0" w:type="auto"/>
            <w:hideMark/>
          </w:tcPr>
          <w:p w14:paraId="7DF399EB"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Charter, governance and baseline</w:t>
            </w:r>
          </w:p>
        </w:tc>
      </w:tr>
      <w:tr w:rsidR="001A4BD5" w:rsidRPr="001A4BD5" w14:paraId="5E1B07BC" w14:textId="77777777" w:rsidTr="001A4BD5">
        <w:tc>
          <w:tcPr>
            <w:cnfStyle w:val="001000000000" w:firstRow="0" w:lastRow="0" w:firstColumn="1" w:lastColumn="0" w:oddVBand="0" w:evenVBand="0" w:oddHBand="0" w:evenHBand="0" w:firstRowFirstColumn="0" w:firstRowLastColumn="0" w:lastRowFirstColumn="0" w:lastRowLastColumn="0"/>
            <w:tcW w:w="0" w:type="auto"/>
            <w:hideMark/>
          </w:tcPr>
          <w:p w14:paraId="039F1C78"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2.0</w:t>
            </w:r>
          </w:p>
        </w:tc>
        <w:tc>
          <w:tcPr>
            <w:tcW w:w="0" w:type="auto"/>
            <w:hideMark/>
          </w:tcPr>
          <w:p w14:paraId="0A13D468"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Requirements and procurement</w:t>
            </w:r>
          </w:p>
        </w:tc>
        <w:tc>
          <w:tcPr>
            <w:tcW w:w="0" w:type="auto"/>
            <w:hideMark/>
          </w:tcPr>
          <w:p w14:paraId="35C83EB9"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Approved requirements and supplier contract</w:t>
            </w:r>
          </w:p>
        </w:tc>
      </w:tr>
      <w:tr w:rsidR="001A4BD5" w:rsidRPr="001A4BD5" w14:paraId="27E53F42" w14:textId="77777777" w:rsidTr="001A4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04B0E8"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3.0</w:t>
            </w:r>
          </w:p>
        </w:tc>
        <w:tc>
          <w:tcPr>
            <w:tcW w:w="0" w:type="auto"/>
            <w:hideMark/>
          </w:tcPr>
          <w:p w14:paraId="2503868E"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Data governance</w:t>
            </w:r>
          </w:p>
        </w:tc>
        <w:tc>
          <w:tcPr>
            <w:tcW w:w="0" w:type="auto"/>
            <w:hideMark/>
          </w:tcPr>
          <w:p w14:paraId="134DBA00"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Data-sharing and privacy arrangements</w:t>
            </w:r>
          </w:p>
        </w:tc>
      </w:tr>
      <w:tr w:rsidR="001A4BD5" w:rsidRPr="001A4BD5" w14:paraId="279049AD" w14:textId="77777777" w:rsidTr="001A4BD5">
        <w:tc>
          <w:tcPr>
            <w:cnfStyle w:val="001000000000" w:firstRow="0" w:lastRow="0" w:firstColumn="1" w:lastColumn="0" w:oddVBand="0" w:evenVBand="0" w:oddHBand="0" w:evenHBand="0" w:firstRowFirstColumn="0" w:firstRowLastColumn="0" w:lastRowFirstColumn="0" w:lastRowLastColumn="0"/>
            <w:tcW w:w="0" w:type="auto"/>
            <w:hideMark/>
          </w:tcPr>
          <w:p w14:paraId="20B895BA"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4.0</w:t>
            </w:r>
          </w:p>
        </w:tc>
        <w:tc>
          <w:tcPr>
            <w:tcW w:w="0" w:type="auto"/>
            <w:hideMark/>
          </w:tcPr>
          <w:p w14:paraId="6454D6BC"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Solution design</w:t>
            </w:r>
          </w:p>
        </w:tc>
        <w:tc>
          <w:tcPr>
            <w:tcW w:w="0" w:type="auto"/>
            <w:hideMark/>
          </w:tcPr>
          <w:p w14:paraId="25BEE628"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Architecture, prototypes and signage design</w:t>
            </w:r>
          </w:p>
        </w:tc>
      </w:tr>
      <w:tr w:rsidR="001A4BD5" w:rsidRPr="001A4BD5" w14:paraId="7F25E4ED" w14:textId="77777777" w:rsidTr="001A4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5672DB7"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5.0</w:t>
            </w:r>
          </w:p>
        </w:tc>
        <w:tc>
          <w:tcPr>
            <w:tcW w:w="0" w:type="auto"/>
            <w:hideMark/>
          </w:tcPr>
          <w:p w14:paraId="4251A457"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Development</w:t>
            </w:r>
          </w:p>
        </w:tc>
        <w:tc>
          <w:tcPr>
            <w:tcW w:w="0" w:type="auto"/>
            <w:hideMark/>
          </w:tcPr>
          <w:p w14:paraId="511A75CC"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Passenger platform and freight dashboard</w:t>
            </w:r>
          </w:p>
        </w:tc>
      </w:tr>
      <w:tr w:rsidR="001A4BD5" w:rsidRPr="001A4BD5" w14:paraId="398FCB5D" w14:textId="77777777" w:rsidTr="001A4BD5">
        <w:tc>
          <w:tcPr>
            <w:cnfStyle w:val="001000000000" w:firstRow="0" w:lastRow="0" w:firstColumn="1" w:lastColumn="0" w:oddVBand="0" w:evenVBand="0" w:oddHBand="0" w:evenHBand="0" w:firstRowFirstColumn="0" w:firstRowLastColumn="0" w:lastRowFirstColumn="0" w:lastRowLastColumn="0"/>
            <w:tcW w:w="0" w:type="auto"/>
            <w:hideMark/>
          </w:tcPr>
          <w:p w14:paraId="6BCC65C9"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6.0</w:t>
            </w:r>
          </w:p>
        </w:tc>
        <w:tc>
          <w:tcPr>
            <w:tcW w:w="0" w:type="auto"/>
            <w:hideMark/>
          </w:tcPr>
          <w:p w14:paraId="1B69BC71"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Integration and installation</w:t>
            </w:r>
          </w:p>
        </w:tc>
        <w:tc>
          <w:tcPr>
            <w:tcW w:w="0" w:type="auto"/>
            <w:hideMark/>
          </w:tcPr>
          <w:p w14:paraId="426F0E99"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Operator interfaces and installed signs</w:t>
            </w:r>
          </w:p>
        </w:tc>
      </w:tr>
      <w:tr w:rsidR="001A4BD5" w:rsidRPr="001A4BD5" w14:paraId="46F3C7F1" w14:textId="77777777" w:rsidTr="001A4B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798913"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lastRenderedPageBreak/>
              <w:t>7.0</w:t>
            </w:r>
          </w:p>
        </w:tc>
        <w:tc>
          <w:tcPr>
            <w:tcW w:w="0" w:type="auto"/>
            <w:hideMark/>
          </w:tcPr>
          <w:p w14:paraId="3D8C7305"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Testing and pilot</w:t>
            </w:r>
          </w:p>
        </w:tc>
        <w:tc>
          <w:tcPr>
            <w:tcW w:w="0" w:type="auto"/>
            <w:hideMark/>
          </w:tcPr>
          <w:p w14:paraId="50256DD8" w14:textId="77777777" w:rsidR="001A4BD5" w:rsidRPr="001A4BD5" w:rsidRDefault="001A4BD5" w:rsidP="001A4BD5">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1A4BD5">
              <w:rPr>
                <w:rFonts w:ascii="Arial" w:hAnsi="Arial" w:cs="Arial"/>
                <w:sz w:val="24"/>
                <w:szCs w:val="24"/>
              </w:rPr>
              <w:t>Functional, security and accessibility approval</w:t>
            </w:r>
          </w:p>
        </w:tc>
      </w:tr>
      <w:tr w:rsidR="001A4BD5" w:rsidRPr="001A4BD5" w14:paraId="236FD012" w14:textId="77777777" w:rsidTr="001A4BD5">
        <w:tc>
          <w:tcPr>
            <w:cnfStyle w:val="001000000000" w:firstRow="0" w:lastRow="0" w:firstColumn="1" w:lastColumn="0" w:oddVBand="0" w:evenVBand="0" w:oddHBand="0" w:evenHBand="0" w:firstRowFirstColumn="0" w:firstRowLastColumn="0" w:lastRowFirstColumn="0" w:lastRowLastColumn="0"/>
            <w:tcW w:w="0" w:type="auto"/>
            <w:hideMark/>
          </w:tcPr>
          <w:p w14:paraId="114A458A" w14:textId="77777777" w:rsidR="001A4BD5" w:rsidRPr="001A4BD5" w:rsidRDefault="001A4BD5" w:rsidP="001A4BD5">
            <w:pPr>
              <w:spacing w:after="160" w:line="360" w:lineRule="auto"/>
              <w:rPr>
                <w:rFonts w:ascii="Arial" w:hAnsi="Arial" w:cs="Arial"/>
                <w:sz w:val="24"/>
                <w:szCs w:val="24"/>
              </w:rPr>
            </w:pPr>
            <w:r w:rsidRPr="001A4BD5">
              <w:rPr>
                <w:rFonts w:ascii="Arial" w:hAnsi="Arial" w:cs="Arial"/>
                <w:sz w:val="24"/>
                <w:szCs w:val="24"/>
              </w:rPr>
              <w:t>8.0</w:t>
            </w:r>
          </w:p>
        </w:tc>
        <w:tc>
          <w:tcPr>
            <w:tcW w:w="0" w:type="auto"/>
            <w:hideMark/>
          </w:tcPr>
          <w:p w14:paraId="695A8291"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Training and launch</w:t>
            </w:r>
          </w:p>
        </w:tc>
        <w:tc>
          <w:tcPr>
            <w:tcW w:w="0" w:type="auto"/>
            <w:hideMark/>
          </w:tcPr>
          <w:p w14:paraId="504FE0CC" w14:textId="77777777" w:rsidR="001A4BD5" w:rsidRPr="001A4BD5" w:rsidRDefault="001A4BD5" w:rsidP="001A4BD5">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A4BD5">
              <w:rPr>
                <w:rFonts w:ascii="Arial" w:hAnsi="Arial" w:cs="Arial"/>
                <w:sz w:val="24"/>
                <w:szCs w:val="24"/>
              </w:rPr>
              <w:t>Trained staff, public launch and handover</w:t>
            </w:r>
          </w:p>
        </w:tc>
      </w:tr>
    </w:tbl>
    <w:p w14:paraId="0FF683A5" w14:textId="77777777" w:rsidR="006307DF" w:rsidRDefault="006307DF" w:rsidP="006307DF">
      <w:pPr>
        <w:spacing w:line="360" w:lineRule="auto"/>
        <w:rPr>
          <w:rFonts w:ascii="Arial" w:hAnsi="Arial" w:cs="Arial"/>
          <w:sz w:val="24"/>
          <w:szCs w:val="24"/>
        </w:rPr>
      </w:pPr>
    </w:p>
    <w:p w14:paraId="4A412D61" w14:textId="77777777" w:rsidR="006307DF" w:rsidRDefault="006307DF" w:rsidP="008231F3">
      <w:pPr>
        <w:spacing w:line="360" w:lineRule="auto"/>
        <w:ind w:left="-567"/>
        <w:rPr>
          <w:rFonts w:ascii="Arial" w:hAnsi="Arial" w:cs="Arial"/>
          <w:sz w:val="24"/>
          <w:szCs w:val="24"/>
        </w:rPr>
      </w:pPr>
    </w:p>
    <w:p w14:paraId="6CBBD70F" w14:textId="7F25051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Each package will have an owner, budget, completion date and acceptance criteria. Software work will be reviewed every two weeks, while procurement and installation will be monitored against the approved baseline.</w:t>
      </w:r>
    </w:p>
    <w:p w14:paraId="7D363C27"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5. Quad Chart</w:t>
      </w:r>
    </w:p>
    <w:p w14:paraId="24AE9EFA"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3: Project Quad Chart</w:t>
      </w:r>
    </w:p>
    <w:p w14:paraId="7BCA17BD" w14:textId="77777777" w:rsidR="008231F3" w:rsidRPr="008231F3" w:rsidRDefault="008231F3" w:rsidP="008231F3">
      <w:pPr>
        <w:spacing w:line="360" w:lineRule="auto"/>
        <w:ind w:left="-567"/>
        <w:rPr>
          <w:rFonts w:ascii="Arial" w:hAnsi="Arial" w:cs="Arial"/>
          <w:vanish/>
          <w:sz w:val="24"/>
          <w:szCs w:val="24"/>
        </w:rPr>
      </w:pPr>
    </w:p>
    <w:p w14:paraId="1DE17175" w14:textId="77777777" w:rsidR="001A4BD5" w:rsidRDefault="001A4BD5" w:rsidP="008231F3">
      <w:pPr>
        <w:spacing w:line="360" w:lineRule="auto"/>
        <w:ind w:left="-567"/>
        <w:rPr>
          <w:rFonts w:ascii="Arial" w:hAnsi="Arial" w:cs="Arial"/>
          <w:sz w:val="24"/>
          <w:szCs w:val="24"/>
        </w:rPr>
      </w:pPr>
    </w:p>
    <w:tbl>
      <w:tblPr>
        <w:tblStyle w:val="PlainTable3"/>
        <w:tblW w:w="0" w:type="auto"/>
        <w:tblLook w:val="04A0" w:firstRow="1" w:lastRow="0" w:firstColumn="1" w:lastColumn="0" w:noHBand="0" w:noVBand="1"/>
      </w:tblPr>
      <w:tblGrid>
        <w:gridCol w:w="5257"/>
        <w:gridCol w:w="3231"/>
      </w:tblGrid>
      <w:tr w:rsidR="00FD04F3" w:rsidRPr="00FD04F3" w14:paraId="7EB7CFFB" w14:textId="77777777" w:rsidTr="00FD04F3">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C83C393"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Purpose and benefits</w:t>
            </w:r>
          </w:p>
        </w:tc>
        <w:tc>
          <w:tcPr>
            <w:tcW w:w="0" w:type="auto"/>
            <w:hideMark/>
          </w:tcPr>
          <w:p w14:paraId="75F2CD38" w14:textId="77777777" w:rsidR="00FD04F3" w:rsidRPr="00FD04F3" w:rsidRDefault="00FD04F3" w:rsidP="00FD04F3">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Main deliverables</w:t>
            </w:r>
          </w:p>
        </w:tc>
      </w:tr>
      <w:tr w:rsidR="00FD04F3" w:rsidRPr="00FD04F3" w14:paraId="26D8EE5D"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B2CD16"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Reduce passenger confusion</w:t>
            </w:r>
          </w:p>
        </w:tc>
        <w:tc>
          <w:tcPr>
            <w:tcW w:w="0" w:type="auto"/>
            <w:hideMark/>
          </w:tcPr>
          <w:p w14:paraId="2272BD67"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Passenger platform</w:t>
            </w:r>
          </w:p>
        </w:tc>
      </w:tr>
      <w:tr w:rsidR="00FD04F3" w:rsidRPr="00FD04F3" w14:paraId="2E933C6C" w14:textId="77777777" w:rsidTr="00FD04F3">
        <w:tc>
          <w:tcPr>
            <w:cnfStyle w:val="001000000000" w:firstRow="0" w:lastRow="0" w:firstColumn="1" w:lastColumn="0" w:oddVBand="0" w:evenVBand="0" w:oddHBand="0" w:evenHBand="0" w:firstRowFirstColumn="0" w:firstRowLastColumn="0" w:lastRowFirstColumn="0" w:lastRowLastColumn="0"/>
            <w:tcW w:w="0" w:type="auto"/>
            <w:hideMark/>
          </w:tcPr>
          <w:p w14:paraId="6B3D265F"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Improve operator coordination</w:t>
            </w:r>
          </w:p>
        </w:tc>
        <w:tc>
          <w:tcPr>
            <w:tcW w:w="0" w:type="auto"/>
            <w:hideMark/>
          </w:tcPr>
          <w:p w14:paraId="23F5FA62" w14:textId="77777777" w:rsidR="00FD04F3" w:rsidRPr="00FD04F3" w:rsidRDefault="00FD04F3" w:rsidP="00FD04F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Digital signage</w:t>
            </w:r>
          </w:p>
        </w:tc>
      </w:tr>
      <w:tr w:rsidR="00FD04F3" w:rsidRPr="00FD04F3" w14:paraId="333798DD"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181C543"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Support freight and local business</w:t>
            </w:r>
          </w:p>
        </w:tc>
        <w:tc>
          <w:tcPr>
            <w:tcW w:w="0" w:type="auto"/>
            <w:hideMark/>
          </w:tcPr>
          <w:p w14:paraId="4A7986DD"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Freight dashboard</w:t>
            </w:r>
          </w:p>
        </w:tc>
      </w:tr>
      <w:tr w:rsidR="00FD04F3" w:rsidRPr="00FD04F3" w14:paraId="74A90655" w14:textId="77777777" w:rsidTr="00FD04F3">
        <w:tc>
          <w:tcPr>
            <w:cnfStyle w:val="001000000000" w:firstRow="0" w:lastRow="0" w:firstColumn="1" w:lastColumn="0" w:oddVBand="0" w:evenVBand="0" w:oddHBand="0" w:evenHBand="0" w:firstRowFirstColumn="0" w:firstRowLastColumn="0" w:lastRowFirstColumn="0" w:lastRowLastColumn="0"/>
            <w:tcW w:w="0" w:type="auto"/>
            <w:hideMark/>
          </w:tcPr>
          <w:p w14:paraId="76F0222F"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Improve accessibility</w:t>
            </w:r>
          </w:p>
        </w:tc>
        <w:tc>
          <w:tcPr>
            <w:tcW w:w="0" w:type="auto"/>
            <w:hideMark/>
          </w:tcPr>
          <w:p w14:paraId="755C6559" w14:textId="77777777" w:rsidR="00FD04F3" w:rsidRPr="00FD04F3" w:rsidRDefault="00FD04F3" w:rsidP="00FD04F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Accessible route information</w:t>
            </w:r>
          </w:p>
        </w:tc>
      </w:tr>
      <w:tr w:rsidR="00FD04F3" w:rsidRPr="00FD04F3" w14:paraId="06CCAFCC"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364E697"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Build capability for the future hub</w:t>
            </w:r>
          </w:p>
        </w:tc>
        <w:tc>
          <w:tcPr>
            <w:tcW w:w="0" w:type="auto"/>
            <w:hideMark/>
          </w:tcPr>
          <w:p w14:paraId="20EEDE23"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Data-sharing protocol</w:t>
            </w:r>
          </w:p>
        </w:tc>
      </w:tr>
      <w:tr w:rsidR="00FD04F3" w:rsidRPr="00FD04F3" w14:paraId="07B1D364" w14:textId="77777777" w:rsidTr="00FD04F3">
        <w:tc>
          <w:tcPr>
            <w:cnfStyle w:val="001000000000" w:firstRow="0" w:lastRow="0" w:firstColumn="1" w:lastColumn="0" w:oddVBand="0" w:evenVBand="0" w:oddHBand="0" w:evenHBand="0" w:firstRowFirstColumn="0" w:firstRowLastColumn="0" w:lastRowFirstColumn="0" w:lastRowLastColumn="0"/>
            <w:tcW w:w="0" w:type="auto"/>
            <w:hideMark/>
          </w:tcPr>
          <w:p w14:paraId="433A9F6F" w14:textId="77777777" w:rsidR="00FD04F3" w:rsidRPr="00FD04F3" w:rsidRDefault="00FD04F3" w:rsidP="00FD04F3">
            <w:pPr>
              <w:spacing w:after="160" w:line="360" w:lineRule="auto"/>
              <w:rPr>
                <w:rFonts w:ascii="Arial" w:hAnsi="Arial" w:cs="Arial"/>
                <w:b w:val="0"/>
                <w:bCs w:val="0"/>
                <w:sz w:val="24"/>
                <w:szCs w:val="24"/>
              </w:rPr>
            </w:pPr>
            <w:r w:rsidRPr="00FD04F3">
              <w:rPr>
                <w:rFonts w:ascii="Arial" w:hAnsi="Arial" w:cs="Arial"/>
                <w:b w:val="0"/>
                <w:bCs w:val="0"/>
                <w:sz w:val="24"/>
                <w:szCs w:val="24"/>
              </w:rPr>
              <w:t>Schedule and resources</w:t>
            </w:r>
          </w:p>
        </w:tc>
        <w:tc>
          <w:tcPr>
            <w:tcW w:w="0" w:type="auto"/>
            <w:hideMark/>
          </w:tcPr>
          <w:p w14:paraId="3B03466F" w14:textId="77777777" w:rsidR="00FD04F3" w:rsidRPr="00FD04F3" w:rsidRDefault="00FD04F3" w:rsidP="00FD04F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Risks and dependencies</w:t>
            </w:r>
          </w:p>
        </w:tc>
      </w:tr>
      <w:tr w:rsidR="00FD04F3" w:rsidRPr="00FD04F3" w14:paraId="099660C8"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07463F"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Six-month duration</w:t>
            </w:r>
          </w:p>
        </w:tc>
        <w:tc>
          <w:tcPr>
            <w:tcW w:w="0" w:type="auto"/>
            <w:hideMark/>
          </w:tcPr>
          <w:p w14:paraId="4E1EAB17"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Procurement delay</w:t>
            </w:r>
          </w:p>
        </w:tc>
      </w:tr>
      <w:tr w:rsidR="00FD04F3" w:rsidRPr="00FD04F3" w14:paraId="71A2D764" w14:textId="77777777" w:rsidTr="00FD04F3">
        <w:tc>
          <w:tcPr>
            <w:cnfStyle w:val="001000000000" w:firstRow="0" w:lastRow="0" w:firstColumn="1" w:lastColumn="0" w:oddVBand="0" w:evenVBand="0" w:oddHBand="0" w:evenHBand="0" w:firstRowFirstColumn="0" w:firstRowLastColumn="0" w:lastRowFirstColumn="0" w:lastRowLastColumn="0"/>
            <w:tcW w:w="0" w:type="auto"/>
            <w:hideMark/>
          </w:tcPr>
          <w:p w14:paraId="690BA0CF"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£1.25 million indicative budget</w:t>
            </w:r>
          </w:p>
        </w:tc>
        <w:tc>
          <w:tcPr>
            <w:tcW w:w="0" w:type="auto"/>
            <w:hideMark/>
          </w:tcPr>
          <w:p w14:paraId="7E252253" w14:textId="77777777" w:rsidR="00FD04F3" w:rsidRPr="00FD04F3" w:rsidRDefault="00FD04F3" w:rsidP="00FD04F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Poor operator data</w:t>
            </w:r>
          </w:p>
        </w:tc>
      </w:tr>
      <w:tr w:rsidR="00FD04F3" w:rsidRPr="00FD04F3" w14:paraId="759B146B"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F2E004E"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Around 18 core and specialist staff</w:t>
            </w:r>
          </w:p>
        </w:tc>
        <w:tc>
          <w:tcPr>
            <w:tcW w:w="0" w:type="auto"/>
            <w:hideMark/>
          </w:tcPr>
          <w:p w14:paraId="72CE763E"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Cybersecurity incidents</w:t>
            </w:r>
          </w:p>
        </w:tc>
      </w:tr>
      <w:tr w:rsidR="00FD04F3" w:rsidRPr="00FD04F3" w14:paraId="258E5028" w14:textId="77777777" w:rsidTr="00FD04F3">
        <w:tc>
          <w:tcPr>
            <w:cnfStyle w:val="001000000000" w:firstRow="0" w:lastRow="0" w:firstColumn="1" w:lastColumn="0" w:oddVBand="0" w:evenVBand="0" w:oddHBand="0" w:evenHBand="0" w:firstRowFirstColumn="0" w:firstRowLastColumn="0" w:lastRowFirstColumn="0" w:lastRowLastColumn="0"/>
            <w:tcW w:w="0" w:type="auto"/>
            <w:hideMark/>
          </w:tcPr>
          <w:p w14:paraId="596B3C4A"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Three decision gates</w:t>
            </w:r>
          </w:p>
        </w:tc>
        <w:tc>
          <w:tcPr>
            <w:tcW w:w="0" w:type="auto"/>
            <w:hideMark/>
          </w:tcPr>
          <w:p w14:paraId="01F4C09F" w14:textId="77777777" w:rsidR="00FD04F3" w:rsidRPr="00FD04F3" w:rsidRDefault="00FD04F3" w:rsidP="00FD04F3">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D04F3">
              <w:rPr>
                <w:rFonts w:ascii="Arial" w:hAnsi="Arial" w:cs="Arial"/>
                <w:sz w:val="24"/>
                <w:szCs w:val="24"/>
              </w:rPr>
              <w:t>Low user adoption</w:t>
            </w:r>
          </w:p>
        </w:tc>
      </w:tr>
      <w:tr w:rsidR="00FD04F3" w:rsidRPr="00FD04F3" w14:paraId="58CF0837" w14:textId="77777777" w:rsidTr="00FD04F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A5D171" w14:textId="77777777" w:rsidR="00FD04F3" w:rsidRPr="00FD04F3" w:rsidRDefault="00FD04F3" w:rsidP="00FD04F3">
            <w:pPr>
              <w:spacing w:after="160" w:line="360" w:lineRule="auto"/>
              <w:rPr>
                <w:rFonts w:ascii="Arial" w:hAnsi="Arial" w:cs="Arial"/>
                <w:sz w:val="24"/>
                <w:szCs w:val="24"/>
              </w:rPr>
            </w:pPr>
            <w:r w:rsidRPr="00FD04F3">
              <w:rPr>
                <w:rFonts w:ascii="Arial" w:hAnsi="Arial" w:cs="Arial"/>
                <w:sz w:val="24"/>
                <w:szCs w:val="24"/>
              </w:rPr>
              <w:t>Four-week pilot</w:t>
            </w:r>
          </w:p>
        </w:tc>
        <w:tc>
          <w:tcPr>
            <w:tcW w:w="0" w:type="auto"/>
            <w:hideMark/>
          </w:tcPr>
          <w:p w14:paraId="7760D4C2" w14:textId="77777777" w:rsidR="00FD04F3" w:rsidRPr="00FD04F3" w:rsidRDefault="00FD04F3" w:rsidP="00FD04F3">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D04F3">
              <w:rPr>
                <w:rFonts w:ascii="Arial" w:hAnsi="Arial" w:cs="Arial"/>
                <w:sz w:val="24"/>
                <w:szCs w:val="24"/>
              </w:rPr>
              <w:t>Accessibility defects</w:t>
            </w:r>
          </w:p>
        </w:tc>
      </w:tr>
    </w:tbl>
    <w:p w14:paraId="2A3E75C0" w14:textId="77777777" w:rsidR="001A4BD5" w:rsidRDefault="001A4BD5" w:rsidP="001A4BD5">
      <w:pPr>
        <w:spacing w:line="360" w:lineRule="auto"/>
        <w:rPr>
          <w:rFonts w:ascii="Arial" w:hAnsi="Arial" w:cs="Arial"/>
          <w:sz w:val="24"/>
          <w:szCs w:val="24"/>
        </w:rPr>
      </w:pPr>
    </w:p>
    <w:p w14:paraId="365BB427" w14:textId="77777777" w:rsidR="001A4BD5" w:rsidRDefault="001A4BD5" w:rsidP="008231F3">
      <w:pPr>
        <w:spacing w:line="360" w:lineRule="auto"/>
        <w:ind w:left="-567"/>
        <w:rPr>
          <w:rFonts w:ascii="Arial" w:hAnsi="Arial" w:cs="Arial"/>
          <w:sz w:val="24"/>
          <w:szCs w:val="24"/>
        </w:rPr>
      </w:pPr>
    </w:p>
    <w:p w14:paraId="7FB468D9" w14:textId="39380D1C"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lastRenderedPageBreak/>
        <w:t>The value of the project is wider than time and cost performance. Success also depends on whether passengers, operators and local businesses experience practical benefits (Mir and Pinnington, 2014).</w:t>
      </w:r>
    </w:p>
    <w:p w14:paraId="47274564"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6. Gantt Chart and Schedule</w:t>
      </w:r>
    </w:p>
    <w:p w14:paraId="489DF135"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will run for 24 weeks. Some activities overlap to meet the urgent deadline.</w:t>
      </w:r>
    </w:p>
    <w:p w14:paraId="6E3B5CF6"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4: High-level Gantt Chart</w:t>
      </w:r>
    </w:p>
    <w:p w14:paraId="19C5ADFD" w14:textId="77777777" w:rsidR="00FD04F3" w:rsidRDefault="00FD04F3" w:rsidP="008231F3">
      <w:pPr>
        <w:spacing w:line="360" w:lineRule="auto"/>
        <w:ind w:left="-567"/>
        <w:rPr>
          <w:rFonts w:ascii="Arial" w:hAnsi="Arial" w:cs="Arial"/>
          <w:sz w:val="24"/>
          <w:szCs w:val="24"/>
        </w:rPr>
      </w:pPr>
    </w:p>
    <w:p w14:paraId="423E68AB" w14:textId="77777777" w:rsidR="00FD04F3" w:rsidRDefault="00FD04F3" w:rsidP="008231F3">
      <w:pPr>
        <w:spacing w:line="360" w:lineRule="auto"/>
        <w:ind w:left="-567"/>
        <w:rPr>
          <w:rFonts w:ascii="Arial" w:hAnsi="Arial" w:cs="Arial"/>
          <w:sz w:val="24"/>
          <w:szCs w:val="24"/>
        </w:rPr>
      </w:pPr>
    </w:p>
    <w:tbl>
      <w:tblPr>
        <w:tblStyle w:val="PlainTable3"/>
        <w:tblW w:w="0" w:type="auto"/>
        <w:tblLook w:val="04A0" w:firstRow="1" w:lastRow="0" w:firstColumn="1" w:lastColumn="0" w:noHBand="0" w:noVBand="1"/>
      </w:tblPr>
      <w:tblGrid>
        <w:gridCol w:w="5630"/>
        <w:gridCol w:w="550"/>
        <w:gridCol w:w="550"/>
        <w:gridCol w:w="550"/>
        <w:gridCol w:w="550"/>
        <w:gridCol w:w="550"/>
        <w:gridCol w:w="550"/>
      </w:tblGrid>
      <w:tr w:rsidR="000105EC" w:rsidRPr="000105EC" w14:paraId="7001FCC0" w14:textId="77777777" w:rsidTr="000105E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3D8B6E78"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Activity</w:t>
            </w:r>
          </w:p>
        </w:tc>
        <w:tc>
          <w:tcPr>
            <w:tcW w:w="0" w:type="auto"/>
            <w:hideMark/>
          </w:tcPr>
          <w:p w14:paraId="2919BF25"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M1</w:t>
            </w:r>
          </w:p>
        </w:tc>
        <w:tc>
          <w:tcPr>
            <w:tcW w:w="0" w:type="auto"/>
            <w:hideMark/>
          </w:tcPr>
          <w:p w14:paraId="5BC6C834"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M2</w:t>
            </w:r>
          </w:p>
        </w:tc>
        <w:tc>
          <w:tcPr>
            <w:tcW w:w="0" w:type="auto"/>
            <w:hideMark/>
          </w:tcPr>
          <w:p w14:paraId="73FB63F4"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M3</w:t>
            </w:r>
          </w:p>
        </w:tc>
        <w:tc>
          <w:tcPr>
            <w:tcW w:w="0" w:type="auto"/>
            <w:hideMark/>
          </w:tcPr>
          <w:p w14:paraId="0E368B85"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M4</w:t>
            </w:r>
          </w:p>
        </w:tc>
        <w:tc>
          <w:tcPr>
            <w:tcW w:w="0" w:type="auto"/>
            <w:hideMark/>
          </w:tcPr>
          <w:p w14:paraId="5D9314CD"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M5</w:t>
            </w:r>
          </w:p>
        </w:tc>
        <w:tc>
          <w:tcPr>
            <w:tcW w:w="0" w:type="auto"/>
            <w:hideMark/>
          </w:tcPr>
          <w:p w14:paraId="6E91F21C" w14:textId="77777777" w:rsidR="000105EC" w:rsidRPr="000105EC" w:rsidRDefault="000105EC" w:rsidP="000105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M6</w:t>
            </w:r>
          </w:p>
        </w:tc>
      </w:tr>
      <w:tr w:rsidR="000105EC" w:rsidRPr="000105EC" w14:paraId="41B41B24" w14:textId="77777777" w:rsidTr="00010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4A5733"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Initiation and requirements</w:t>
            </w:r>
          </w:p>
        </w:tc>
        <w:tc>
          <w:tcPr>
            <w:tcW w:w="0" w:type="auto"/>
            <w:hideMark/>
          </w:tcPr>
          <w:p w14:paraId="1A000656"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0DFFDDAC"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2BE7CD74"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76C196EE"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7BC826B6"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488216DE"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105EC" w:rsidRPr="000105EC" w14:paraId="0F934EE2" w14:textId="77777777" w:rsidTr="000105EC">
        <w:tc>
          <w:tcPr>
            <w:cnfStyle w:val="001000000000" w:firstRow="0" w:lastRow="0" w:firstColumn="1" w:lastColumn="0" w:oddVBand="0" w:evenVBand="0" w:oddHBand="0" w:evenHBand="0" w:firstRowFirstColumn="0" w:firstRowLastColumn="0" w:lastRowFirstColumn="0" w:lastRowLastColumn="0"/>
            <w:tcW w:w="0" w:type="auto"/>
            <w:hideMark/>
          </w:tcPr>
          <w:p w14:paraId="3581FB69"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Procurement and data agreements</w:t>
            </w:r>
          </w:p>
        </w:tc>
        <w:tc>
          <w:tcPr>
            <w:tcW w:w="0" w:type="auto"/>
            <w:hideMark/>
          </w:tcPr>
          <w:p w14:paraId="5696C1FC"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709CCE64"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4AA6B71B"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78CB6C7C"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2F0DBD8B"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3D2D57EF"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0105EC" w:rsidRPr="000105EC" w14:paraId="7F2D6D78" w14:textId="77777777" w:rsidTr="00010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45EC86"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System and accessibility design</w:t>
            </w:r>
          </w:p>
        </w:tc>
        <w:tc>
          <w:tcPr>
            <w:tcW w:w="0" w:type="auto"/>
            <w:hideMark/>
          </w:tcPr>
          <w:p w14:paraId="128FA1E8"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2B42F0DD"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421F0EE0"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3C8A70E1"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261948D9"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330C6FE5"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105EC" w:rsidRPr="000105EC" w14:paraId="6434FA12" w14:textId="77777777" w:rsidTr="000105EC">
        <w:tc>
          <w:tcPr>
            <w:cnfStyle w:val="001000000000" w:firstRow="0" w:lastRow="0" w:firstColumn="1" w:lastColumn="0" w:oddVBand="0" w:evenVBand="0" w:oddHBand="0" w:evenHBand="0" w:firstRowFirstColumn="0" w:firstRowLastColumn="0" w:lastRowFirstColumn="0" w:lastRowLastColumn="0"/>
            <w:tcW w:w="0" w:type="auto"/>
            <w:hideMark/>
          </w:tcPr>
          <w:p w14:paraId="0CCD872A"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Platform and dashboard development</w:t>
            </w:r>
          </w:p>
        </w:tc>
        <w:tc>
          <w:tcPr>
            <w:tcW w:w="0" w:type="auto"/>
            <w:hideMark/>
          </w:tcPr>
          <w:p w14:paraId="43C6FF65"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444094D1"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7C99E891"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377C104B"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2D89CC69"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1A73B6B5"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0105EC" w:rsidRPr="000105EC" w14:paraId="5C352EAC" w14:textId="77777777" w:rsidTr="00010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6A66D8"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Data integration</w:t>
            </w:r>
          </w:p>
        </w:tc>
        <w:tc>
          <w:tcPr>
            <w:tcW w:w="0" w:type="auto"/>
            <w:hideMark/>
          </w:tcPr>
          <w:p w14:paraId="0FF8524D"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447A01AE"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179F4269"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53C37396"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0C36193D"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1272E12D"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105EC" w:rsidRPr="000105EC" w14:paraId="3706B66F" w14:textId="77777777" w:rsidTr="000105EC">
        <w:tc>
          <w:tcPr>
            <w:cnfStyle w:val="001000000000" w:firstRow="0" w:lastRow="0" w:firstColumn="1" w:lastColumn="0" w:oddVBand="0" w:evenVBand="0" w:oddHBand="0" w:evenHBand="0" w:firstRowFirstColumn="0" w:firstRowLastColumn="0" w:lastRowFirstColumn="0" w:lastRowLastColumn="0"/>
            <w:tcW w:w="0" w:type="auto"/>
            <w:hideMark/>
          </w:tcPr>
          <w:p w14:paraId="7F4C6694"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Sign production and installation</w:t>
            </w:r>
          </w:p>
        </w:tc>
        <w:tc>
          <w:tcPr>
            <w:tcW w:w="0" w:type="auto"/>
            <w:hideMark/>
          </w:tcPr>
          <w:p w14:paraId="310843C3"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251C5D65"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4C379F18"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0CDF266D"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67D1DABE"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78C19F3C"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r w:rsidR="000105EC" w:rsidRPr="000105EC" w14:paraId="0016EDC8" w14:textId="77777777" w:rsidTr="00010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91A10F"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Testing and accessibility review</w:t>
            </w:r>
          </w:p>
        </w:tc>
        <w:tc>
          <w:tcPr>
            <w:tcW w:w="0" w:type="auto"/>
            <w:hideMark/>
          </w:tcPr>
          <w:p w14:paraId="48DC8308"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4E9BA7CA"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4480E113"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1F4776F0"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13AA9148"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1194448F"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r>
      <w:tr w:rsidR="000105EC" w:rsidRPr="000105EC" w14:paraId="1D749E21" w14:textId="77777777" w:rsidTr="000105EC">
        <w:tc>
          <w:tcPr>
            <w:cnfStyle w:val="001000000000" w:firstRow="0" w:lastRow="0" w:firstColumn="1" w:lastColumn="0" w:oddVBand="0" w:evenVBand="0" w:oddHBand="0" w:evenHBand="0" w:firstRowFirstColumn="0" w:firstRowLastColumn="0" w:lastRowFirstColumn="0" w:lastRowLastColumn="0"/>
            <w:tcW w:w="0" w:type="auto"/>
            <w:hideMark/>
          </w:tcPr>
          <w:p w14:paraId="0AACBE3E"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Training and communication</w:t>
            </w:r>
          </w:p>
        </w:tc>
        <w:tc>
          <w:tcPr>
            <w:tcW w:w="0" w:type="auto"/>
            <w:hideMark/>
          </w:tcPr>
          <w:p w14:paraId="200B06ED"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62156E48"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6B34B305"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5FC4B21D"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0" w:type="auto"/>
            <w:hideMark/>
          </w:tcPr>
          <w:p w14:paraId="17F1E093"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3541194E" w14:textId="77777777" w:rsidR="000105EC" w:rsidRPr="000105EC" w:rsidRDefault="000105EC" w:rsidP="000105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r>
      <w:tr w:rsidR="000105EC" w:rsidRPr="000105EC" w14:paraId="4F44266D" w14:textId="77777777" w:rsidTr="000105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E314D5" w14:textId="77777777" w:rsidR="000105EC" w:rsidRPr="000105EC" w:rsidRDefault="000105EC" w:rsidP="000105EC">
            <w:pPr>
              <w:spacing w:after="160" w:line="360" w:lineRule="auto"/>
              <w:rPr>
                <w:rFonts w:ascii="Arial" w:hAnsi="Arial" w:cs="Arial"/>
                <w:sz w:val="24"/>
                <w:szCs w:val="24"/>
              </w:rPr>
            </w:pPr>
            <w:r w:rsidRPr="000105EC">
              <w:rPr>
                <w:rFonts w:ascii="Arial" w:hAnsi="Arial" w:cs="Arial"/>
                <w:sz w:val="24"/>
                <w:szCs w:val="24"/>
              </w:rPr>
              <w:t>Pilot, launch and handover</w:t>
            </w:r>
          </w:p>
        </w:tc>
        <w:tc>
          <w:tcPr>
            <w:tcW w:w="0" w:type="auto"/>
            <w:hideMark/>
          </w:tcPr>
          <w:p w14:paraId="2BA2F5BD"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25BA1CA4"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6FE99644"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6F36B4F9"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0" w:type="auto"/>
            <w:hideMark/>
          </w:tcPr>
          <w:p w14:paraId="20C9A17B"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c>
          <w:tcPr>
            <w:tcW w:w="0" w:type="auto"/>
            <w:hideMark/>
          </w:tcPr>
          <w:p w14:paraId="7244AA3F" w14:textId="77777777" w:rsidR="000105EC" w:rsidRPr="000105EC" w:rsidRDefault="000105EC" w:rsidP="000105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0105EC">
              <w:rPr>
                <w:rFonts w:ascii="Arial" w:hAnsi="Arial" w:cs="Arial"/>
                <w:sz w:val="24"/>
                <w:szCs w:val="24"/>
              </w:rPr>
              <w:t>●</w:t>
            </w:r>
          </w:p>
        </w:tc>
      </w:tr>
    </w:tbl>
    <w:p w14:paraId="5B7C10F4" w14:textId="77777777" w:rsidR="00FD04F3" w:rsidRDefault="00FD04F3" w:rsidP="00FD04F3">
      <w:pPr>
        <w:spacing w:line="360" w:lineRule="auto"/>
        <w:rPr>
          <w:rFonts w:ascii="Arial" w:hAnsi="Arial" w:cs="Arial"/>
          <w:sz w:val="24"/>
          <w:szCs w:val="24"/>
        </w:rPr>
      </w:pPr>
    </w:p>
    <w:p w14:paraId="0C8512F4" w14:textId="6F423F1C"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schedule contains limited flexibility because installation and public launch depend on earlier technical work. Design and procurement overlap, but only low-risk preparation will begin before supplier approval. A dependency log will identify which activities can continue and which require formal sign-off. Where delay occurs, recovery options may include additional development capacity, prioritising minimum launch functions or installing signs in phases. Quality and security testing will not be removed simply to protect the launch date.</w:t>
      </w:r>
    </w:p>
    <w:p w14:paraId="6834C5DF"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lastRenderedPageBreak/>
        <w:t>The critical path runs through supplier appointment, design approval, data integration, testing and launch. A delay in data agreements could prevent the platform from receiving accurate information even if software development is complete. High-risk activities will therefore be reviewed weekly.</w:t>
      </w:r>
    </w:p>
    <w:p w14:paraId="4B97F4CC"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Work-package managers will report milestone completion, overdue tasks and forecast finish dates. A delay of more than five working days will be escalated when it threatens final launch.</w:t>
      </w:r>
    </w:p>
    <w:p w14:paraId="1F970875"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7. Stakeholder Involvement</w:t>
      </w:r>
    </w:p>
    <w:p w14:paraId="002C3BE3"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Stakeholder engagement requires analysis and planned action, not only communication after decisions have been made (APM, 2019). Different groups may also judge success differently. Senior managers may focus on cost and schedule, while passengers may focus on accuracy, usability and accessibility (Davis, 2014).</w:t>
      </w:r>
    </w:p>
    <w:p w14:paraId="3C021C9A"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5: Stakeholder engagement plan</w:t>
      </w:r>
    </w:p>
    <w:p w14:paraId="2CC20CA1" w14:textId="77777777" w:rsidR="000105EC" w:rsidRDefault="000105EC" w:rsidP="008231F3">
      <w:pPr>
        <w:spacing w:line="360" w:lineRule="auto"/>
        <w:ind w:left="-567"/>
        <w:rPr>
          <w:rFonts w:ascii="Arial" w:hAnsi="Arial" w:cs="Arial"/>
          <w:sz w:val="24"/>
          <w:szCs w:val="24"/>
        </w:rPr>
      </w:pPr>
    </w:p>
    <w:tbl>
      <w:tblPr>
        <w:tblStyle w:val="PlainTable4"/>
        <w:tblW w:w="0" w:type="auto"/>
        <w:tblLook w:val="04A0" w:firstRow="1" w:lastRow="0" w:firstColumn="1" w:lastColumn="0" w:noHBand="0" w:noVBand="1"/>
      </w:tblPr>
      <w:tblGrid>
        <w:gridCol w:w="3094"/>
        <w:gridCol w:w="2965"/>
        <w:gridCol w:w="2967"/>
      </w:tblGrid>
      <w:tr w:rsidR="00C037EC" w:rsidRPr="00C037EC" w14:paraId="168E8425" w14:textId="77777777" w:rsidTr="00C037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687208"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Stakeholder</w:t>
            </w:r>
          </w:p>
        </w:tc>
        <w:tc>
          <w:tcPr>
            <w:tcW w:w="0" w:type="auto"/>
            <w:hideMark/>
          </w:tcPr>
          <w:p w14:paraId="70EB8F2B" w14:textId="77777777" w:rsidR="00C037EC" w:rsidRPr="00C037EC" w:rsidRDefault="00C037EC" w:rsidP="00C037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Main concern</w:t>
            </w:r>
          </w:p>
        </w:tc>
        <w:tc>
          <w:tcPr>
            <w:tcW w:w="0" w:type="auto"/>
            <w:hideMark/>
          </w:tcPr>
          <w:p w14:paraId="17E064FA" w14:textId="77777777" w:rsidR="00C037EC" w:rsidRPr="00C037EC" w:rsidRDefault="00C037EC" w:rsidP="00C037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Engagement</w:t>
            </w:r>
          </w:p>
        </w:tc>
      </w:tr>
      <w:tr w:rsidR="00C037EC" w:rsidRPr="00C037EC" w14:paraId="73FE7D65" w14:textId="77777777" w:rsidTr="00C03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703131"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Local authority sponsor</w:t>
            </w:r>
          </w:p>
        </w:tc>
        <w:tc>
          <w:tcPr>
            <w:tcW w:w="0" w:type="auto"/>
            <w:hideMark/>
          </w:tcPr>
          <w:p w14:paraId="0F1C1605"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Value and accountability</w:t>
            </w:r>
          </w:p>
        </w:tc>
        <w:tc>
          <w:tcPr>
            <w:tcW w:w="0" w:type="auto"/>
            <w:hideMark/>
          </w:tcPr>
          <w:p w14:paraId="438582FA"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Weekly report and monthly board</w:t>
            </w:r>
          </w:p>
        </w:tc>
      </w:tr>
      <w:tr w:rsidR="00C037EC" w:rsidRPr="00C037EC" w14:paraId="179F0340" w14:textId="77777777" w:rsidTr="00C037EC">
        <w:tc>
          <w:tcPr>
            <w:cnfStyle w:val="001000000000" w:firstRow="0" w:lastRow="0" w:firstColumn="1" w:lastColumn="0" w:oddVBand="0" w:evenVBand="0" w:oddHBand="0" w:evenHBand="0" w:firstRowFirstColumn="0" w:firstRowLastColumn="0" w:lastRowFirstColumn="0" w:lastRowLastColumn="0"/>
            <w:tcW w:w="0" w:type="auto"/>
            <w:hideMark/>
          </w:tcPr>
          <w:p w14:paraId="051D7DF6"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Bus and rail operators</w:t>
            </w:r>
          </w:p>
        </w:tc>
        <w:tc>
          <w:tcPr>
            <w:tcW w:w="0" w:type="auto"/>
            <w:hideMark/>
          </w:tcPr>
          <w:p w14:paraId="5775F9FE"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Data accuracy and disruption</w:t>
            </w:r>
          </w:p>
        </w:tc>
        <w:tc>
          <w:tcPr>
            <w:tcW w:w="0" w:type="auto"/>
            <w:hideMark/>
          </w:tcPr>
          <w:p w14:paraId="640464E1"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Weekly workshops</w:t>
            </w:r>
          </w:p>
        </w:tc>
      </w:tr>
      <w:tr w:rsidR="00C037EC" w:rsidRPr="00C037EC" w14:paraId="74B96EA5" w14:textId="77777777" w:rsidTr="00C03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4C7D39"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Technology supplier</w:t>
            </w:r>
          </w:p>
        </w:tc>
        <w:tc>
          <w:tcPr>
            <w:tcW w:w="0" w:type="auto"/>
            <w:hideMark/>
          </w:tcPr>
          <w:p w14:paraId="736CDEC7"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Requirements and decisions</w:t>
            </w:r>
          </w:p>
        </w:tc>
        <w:tc>
          <w:tcPr>
            <w:tcW w:w="0" w:type="auto"/>
            <w:hideMark/>
          </w:tcPr>
          <w:p w14:paraId="32AB67CA"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Daily technical contact</w:t>
            </w:r>
          </w:p>
        </w:tc>
      </w:tr>
      <w:tr w:rsidR="00C037EC" w:rsidRPr="00C037EC" w14:paraId="2362523A" w14:textId="77777777" w:rsidTr="00C037EC">
        <w:tc>
          <w:tcPr>
            <w:cnfStyle w:val="001000000000" w:firstRow="0" w:lastRow="0" w:firstColumn="1" w:lastColumn="0" w:oddVBand="0" w:evenVBand="0" w:oddHBand="0" w:evenHBand="0" w:firstRowFirstColumn="0" w:firstRowLastColumn="0" w:lastRowFirstColumn="0" w:lastRowLastColumn="0"/>
            <w:tcW w:w="0" w:type="auto"/>
            <w:hideMark/>
          </w:tcPr>
          <w:p w14:paraId="08D6ADF9"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Freight operators</w:t>
            </w:r>
          </w:p>
        </w:tc>
        <w:tc>
          <w:tcPr>
            <w:tcW w:w="0" w:type="auto"/>
            <w:hideMark/>
          </w:tcPr>
          <w:p w14:paraId="2EDCF104"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Route and loading access</w:t>
            </w:r>
          </w:p>
        </w:tc>
        <w:tc>
          <w:tcPr>
            <w:tcW w:w="0" w:type="auto"/>
            <w:hideMark/>
          </w:tcPr>
          <w:p w14:paraId="6D16EBD6"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Fortnightly working group</w:t>
            </w:r>
          </w:p>
        </w:tc>
      </w:tr>
      <w:tr w:rsidR="00C037EC" w:rsidRPr="00C037EC" w14:paraId="4C17452F" w14:textId="77777777" w:rsidTr="00C03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93AB0"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Disabled passengers and groups</w:t>
            </w:r>
          </w:p>
        </w:tc>
        <w:tc>
          <w:tcPr>
            <w:tcW w:w="0" w:type="auto"/>
            <w:hideMark/>
          </w:tcPr>
          <w:p w14:paraId="2D4D2D95"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Inclusive and reliable information</w:t>
            </w:r>
          </w:p>
        </w:tc>
        <w:tc>
          <w:tcPr>
            <w:tcW w:w="0" w:type="auto"/>
            <w:hideMark/>
          </w:tcPr>
          <w:p w14:paraId="04DA7716"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Design sessions and user testing</w:t>
            </w:r>
          </w:p>
        </w:tc>
      </w:tr>
      <w:tr w:rsidR="00C037EC" w:rsidRPr="00C037EC" w14:paraId="16A9A070" w14:textId="77777777" w:rsidTr="00C037EC">
        <w:tc>
          <w:tcPr>
            <w:cnfStyle w:val="001000000000" w:firstRow="0" w:lastRow="0" w:firstColumn="1" w:lastColumn="0" w:oddVBand="0" w:evenVBand="0" w:oddHBand="0" w:evenHBand="0" w:firstRowFirstColumn="0" w:firstRowLastColumn="0" w:lastRowFirstColumn="0" w:lastRowLastColumn="0"/>
            <w:tcW w:w="0" w:type="auto"/>
            <w:hideMark/>
          </w:tcPr>
          <w:p w14:paraId="33C5ECC6"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Commuters</w:t>
            </w:r>
          </w:p>
        </w:tc>
        <w:tc>
          <w:tcPr>
            <w:tcW w:w="0" w:type="auto"/>
            <w:hideMark/>
          </w:tcPr>
          <w:p w14:paraId="4B193375"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Accurate journey information</w:t>
            </w:r>
          </w:p>
        </w:tc>
        <w:tc>
          <w:tcPr>
            <w:tcW w:w="0" w:type="auto"/>
            <w:hideMark/>
          </w:tcPr>
          <w:p w14:paraId="20D7ECF1"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Surveys and pilot feedback</w:t>
            </w:r>
          </w:p>
        </w:tc>
      </w:tr>
      <w:tr w:rsidR="00C037EC" w:rsidRPr="00C037EC" w14:paraId="599826FB" w14:textId="77777777" w:rsidTr="00C037E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7C95B9"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lastRenderedPageBreak/>
              <w:t>Local businesses</w:t>
            </w:r>
          </w:p>
        </w:tc>
        <w:tc>
          <w:tcPr>
            <w:tcW w:w="0" w:type="auto"/>
            <w:hideMark/>
          </w:tcPr>
          <w:p w14:paraId="3A88940D"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Customer and delivery access</w:t>
            </w:r>
          </w:p>
        </w:tc>
        <w:tc>
          <w:tcPr>
            <w:tcW w:w="0" w:type="auto"/>
            <w:hideMark/>
          </w:tcPr>
          <w:p w14:paraId="24A49941" w14:textId="77777777" w:rsidR="00C037EC" w:rsidRPr="00C037EC"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C037EC">
              <w:rPr>
                <w:rFonts w:ascii="Arial" w:hAnsi="Arial" w:cs="Arial"/>
                <w:sz w:val="24"/>
                <w:szCs w:val="24"/>
              </w:rPr>
              <w:t>Monthly forum</w:t>
            </w:r>
          </w:p>
        </w:tc>
      </w:tr>
      <w:tr w:rsidR="00C037EC" w:rsidRPr="00C037EC" w14:paraId="4415DB77" w14:textId="77777777" w:rsidTr="00C037EC">
        <w:tc>
          <w:tcPr>
            <w:cnfStyle w:val="001000000000" w:firstRow="0" w:lastRow="0" w:firstColumn="1" w:lastColumn="0" w:oddVBand="0" w:evenVBand="0" w:oddHBand="0" w:evenHBand="0" w:firstRowFirstColumn="0" w:firstRowLastColumn="0" w:lastRowFirstColumn="0" w:lastRowLastColumn="0"/>
            <w:tcW w:w="0" w:type="auto"/>
            <w:hideMark/>
          </w:tcPr>
          <w:p w14:paraId="3D1C5941" w14:textId="77777777" w:rsidR="00C037EC" w:rsidRPr="00C037EC" w:rsidRDefault="00C037EC" w:rsidP="00C037EC">
            <w:pPr>
              <w:spacing w:after="160" w:line="360" w:lineRule="auto"/>
              <w:rPr>
                <w:rFonts w:ascii="Arial" w:hAnsi="Arial" w:cs="Arial"/>
                <w:sz w:val="24"/>
                <w:szCs w:val="24"/>
              </w:rPr>
            </w:pPr>
            <w:r w:rsidRPr="00C037EC">
              <w:rPr>
                <w:rFonts w:ascii="Arial" w:hAnsi="Arial" w:cs="Arial"/>
                <w:sz w:val="24"/>
                <w:szCs w:val="24"/>
              </w:rPr>
              <w:t>Emergency services</w:t>
            </w:r>
          </w:p>
        </w:tc>
        <w:tc>
          <w:tcPr>
            <w:tcW w:w="0" w:type="auto"/>
            <w:hideMark/>
          </w:tcPr>
          <w:p w14:paraId="0398E5F0"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Safe routes and access</w:t>
            </w:r>
          </w:p>
        </w:tc>
        <w:tc>
          <w:tcPr>
            <w:tcW w:w="0" w:type="auto"/>
            <w:hideMark/>
          </w:tcPr>
          <w:p w14:paraId="1BB9DB11" w14:textId="77777777" w:rsidR="00C037EC" w:rsidRPr="00C037EC"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C037EC">
              <w:rPr>
                <w:rFonts w:ascii="Arial" w:hAnsi="Arial" w:cs="Arial"/>
                <w:sz w:val="24"/>
                <w:szCs w:val="24"/>
              </w:rPr>
              <w:t>Formal design consultation</w:t>
            </w:r>
          </w:p>
        </w:tc>
      </w:tr>
    </w:tbl>
    <w:p w14:paraId="5006C43F" w14:textId="77777777" w:rsidR="000105EC" w:rsidRDefault="000105EC" w:rsidP="000105EC">
      <w:pPr>
        <w:spacing w:line="360" w:lineRule="auto"/>
        <w:rPr>
          <w:rFonts w:ascii="Arial" w:hAnsi="Arial" w:cs="Arial"/>
          <w:sz w:val="24"/>
          <w:szCs w:val="24"/>
        </w:rPr>
      </w:pPr>
    </w:p>
    <w:p w14:paraId="536C3E48" w14:textId="77777777" w:rsidR="000105EC" w:rsidRDefault="000105EC" w:rsidP="008231F3">
      <w:pPr>
        <w:spacing w:line="360" w:lineRule="auto"/>
        <w:ind w:left="-567"/>
        <w:rPr>
          <w:rFonts w:ascii="Arial" w:hAnsi="Arial" w:cs="Arial"/>
          <w:sz w:val="24"/>
          <w:szCs w:val="24"/>
        </w:rPr>
      </w:pPr>
    </w:p>
    <w:p w14:paraId="22367C5E" w14:textId="77777777" w:rsidR="000105EC" w:rsidRDefault="000105EC" w:rsidP="008231F3">
      <w:pPr>
        <w:spacing w:line="360" w:lineRule="auto"/>
        <w:ind w:left="-567"/>
        <w:rPr>
          <w:rFonts w:ascii="Arial" w:hAnsi="Arial" w:cs="Arial"/>
          <w:sz w:val="24"/>
          <w:szCs w:val="24"/>
        </w:rPr>
      </w:pPr>
    </w:p>
    <w:p w14:paraId="1F8E2BF7" w14:textId="7A9E33CF"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Disabled passengers will be involved from the requirements stage rather than only during final testing. The Inclusive Transport Strategy states that disabled people should be able to travel confidently and without unnecessary barriers (DfT, 2018). Accessibility will therefore be treated as a core acceptance requirement.</w:t>
      </w:r>
    </w:p>
    <w:p w14:paraId="2C396C16"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Trust is also important because the system relies on several organisations sharing information. Structured stakeholder management can improve trust in project environments (de Oliveira and Rabechini, 2019). Meeting records, decisions, responsibilities and escalation routes will therefore be transparent.</w:t>
      </w:r>
    </w:p>
    <w:p w14:paraId="31F45B2A"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8. Allocation of Resources</w:t>
      </w:r>
    </w:p>
    <w:p w14:paraId="065A2591"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requires technical, operational, financial, accessibility and communication expertise.</w:t>
      </w:r>
    </w:p>
    <w:p w14:paraId="4B5FCDD8"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6: Key resources</w:t>
      </w:r>
    </w:p>
    <w:p w14:paraId="676B38E6" w14:textId="77777777" w:rsidR="002765BF" w:rsidRDefault="002765BF" w:rsidP="008231F3">
      <w:pPr>
        <w:spacing w:line="360" w:lineRule="auto"/>
        <w:ind w:left="-567"/>
        <w:rPr>
          <w:rFonts w:ascii="Arial" w:hAnsi="Arial" w:cs="Arial"/>
          <w:b/>
          <w:bCs/>
          <w:sz w:val="24"/>
          <w:szCs w:val="24"/>
        </w:rPr>
      </w:pPr>
    </w:p>
    <w:tbl>
      <w:tblPr>
        <w:tblStyle w:val="PlainTable4"/>
        <w:tblW w:w="0" w:type="auto"/>
        <w:tblLook w:val="04A0" w:firstRow="1" w:lastRow="0" w:firstColumn="1" w:lastColumn="0" w:noHBand="0" w:noVBand="1"/>
      </w:tblPr>
      <w:tblGrid>
        <w:gridCol w:w="3965"/>
        <w:gridCol w:w="4388"/>
      </w:tblGrid>
      <w:tr w:rsidR="00C037EC" w:rsidRPr="005C042B" w14:paraId="3813568C" w14:textId="77777777" w:rsidTr="005C042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65C99F"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Resource</w:t>
            </w:r>
          </w:p>
        </w:tc>
        <w:tc>
          <w:tcPr>
            <w:tcW w:w="0" w:type="auto"/>
            <w:hideMark/>
          </w:tcPr>
          <w:p w14:paraId="79F49C0B" w14:textId="77777777" w:rsidR="00C037EC" w:rsidRPr="005C042B" w:rsidRDefault="00C037EC" w:rsidP="00C037EC">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5C042B">
              <w:rPr>
                <w:rFonts w:ascii="Arial" w:hAnsi="Arial" w:cs="Arial"/>
                <w:b w:val="0"/>
                <w:bCs w:val="0"/>
                <w:sz w:val="24"/>
                <w:szCs w:val="24"/>
              </w:rPr>
              <w:t>Responsibility</w:t>
            </w:r>
          </w:p>
        </w:tc>
      </w:tr>
      <w:tr w:rsidR="00C037EC" w:rsidRPr="005C042B" w14:paraId="585F443F"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EBF8C6"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Project sponsor</w:t>
            </w:r>
          </w:p>
        </w:tc>
        <w:tc>
          <w:tcPr>
            <w:tcW w:w="0" w:type="auto"/>
            <w:hideMark/>
          </w:tcPr>
          <w:p w14:paraId="6FB39B71"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Strategic authority and funding</w:t>
            </w:r>
          </w:p>
        </w:tc>
      </w:tr>
      <w:tr w:rsidR="00C037EC" w:rsidRPr="005C042B" w14:paraId="4A5EB4FB"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59CA0B03"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Project manager</w:t>
            </w:r>
          </w:p>
        </w:tc>
        <w:tc>
          <w:tcPr>
            <w:tcW w:w="0" w:type="auto"/>
            <w:hideMark/>
          </w:tcPr>
          <w:p w14:paraId="37156209"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Planning, coordination and control</w:t>
            </w:r>
          </w:p>
        </w:tc>
      </w:tr>
      <w:tr w:rsidR="00C037EC" w:rsidRPr="005C042B" w14:paraId="125C3BDC"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51E67D"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Product owner</w:t>
            </w:r>
          </w:p>
        </w:tc>
        <w:tc>
          <w:tcPr>
            <w:tcW w:w="0" w:type="auto"/>
            <w:hideMark/>
          </w:tcPr>
          <w:p w14:paraId="17041311"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Requirement priorities</w:t>
            </w:r>
          </w:p>
        </w:tc>
      </w:tr>
      <w:tr w:rsidR="00C037EC" w:rsidRPr="005C042B" w14:paraId="052E1E40"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777121BD"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Technical architect</w:t>
            </w:r>
          </w:p>
        </w:tc>
        <w:tc>
          <w:tcPr>
            <w:tcW w:w="0" w:type="auto"/>
            <w:hideMark/>
          </w:tcPr>
          <w:p w14:paraId="4A28400D"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System design and standards</w:t>
            </w:r>
          </w:p>
        </w:tc>
      </w:tr>
      <w:tr w:rsidR="00C037EC" w:rsidRPr="005C042B" w14:paraId="0EEDEA45"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4B2376"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Four developers</w:t>
            </w:r>
          </w:p>
        </w:tc>
        <w:tc>
          <w:tcPr>
            <w:tcW w:w="0" w:type="auto"/>
            <w:hideMark/>
          </w:tcPr>
          <w:p w14:paraId="3E9C5822"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Platform and dashboard development</w:t>
            </w:r>
          </w:p>
        </w:tc>
      </w:tr>
      <w:tr w:rsidR="00C037EC" w:rsidRPr="005C042B" w14:paraId="557866C2"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58410B58"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lastRenderedPageBreak/>
              <w:t>Two integration specialists</w:t>
            </w:r>
          </w:p>
        </w:tc>
        <w:tc>
          <w:tcPr>
            <w:tcW w:w="0" w:type="auto"/>
            <w:hideMark/>
          </w:tcPr>
          <w:p w14:paraId="525D043D"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Operator data interfaces</w:t>
            </w:r>
          </w:p>
        </w:tc>
      </w:tr>
      <w:tr w:rsidR="00C037EC" w:rsidRPr="005C042B" w14:paraId="21E07730"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0B0F13"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Cybersecurity specialist</w:t>
            </w:r>
          </w:p>
        </w:tc>
        <w:tc>
          <w:tcPr>
            <w:tcW w:w="0" w:type="auto"/>
            <w:hideMark/>
          </w:tcPr>
          <w:p w14:paraId="4E4E0346"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Security controls and testing</w:t>
            </w:r>
          </w:p>
        </w:tc>
      </w:tr>
      <w:tr w:rsidR="00C037EC" w:rsidRPr="005C042B" w14:paraId="7D0D9313"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3B492F59"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Data protection adviser</w:t>
            </w:r>
          </w:p>
        </w:tc>
        <w:tc>
          <w:tcPr>
            <w:tcW w:w="0" w:type="auto"/>
            <w:hideMark/>
          </w:tcPr>
          <w:p w14:paraId="01AA4B0B"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Privacy and data-sharing compliance</w:t>
            </w:r>
          </w:p>
        </w:tc>
      </w:tr>
      <w:tr w:rsidR="00C037EC" w:rsidRPr="005C042B" w14:paraId="528EDB72"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D034F2"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UX and accessibility specialist</w:t>
            </w:r>
          </w:p>
        </w:tc>
        <w:tc>
          <w:tcPr>
            <w:tcW w:w="0" w:type="auto"/>
            <w:hideMark/>
          </w:tcPr>
          <w:p w14:paraId="2A8BDC4A"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Inclusive design and testing</w:t>
            </w:r>
          </w:p>
        </w:tc>
      </w:tr>
      <w:tr w:rsidR="00C037EC" w:rsidRPr="005C042B" w14:paraId="6FD1BFC4"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4D859914"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Procurement and finance officers</w:t>
            </w:r>
          </w:p>
        </w:tc>
        <w:tc>
          <w:tcPr>
            <w:tcW w:w="0" w:type="auto"/>
            <w:hideMark/>
          </w:tcPr>
          <w:p w14:paraId="194E66FD"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Contract and cost control</w:t>
            </w:r>
          </w:p>
        </w:tc>
      </w:tr>
      <w:tr w:rsidR="00C037EC" w:rsidRPr="005C042B" w14:paraId="3ADEE36E" w14:textId="77777777" w:rsidTr="005C042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B6A375"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Communications and training leads</w:t>
            </w:r>
          </w:p>
        </w:tc>
        <w:tc>
          <w:tcPr>
            <w:tcW w:w="0" w:type="auto"/>
            <w:hideMark/>
          </w:tcPr>
          <w:p w14:paraId="65A9B703" w14:textId="77777777" w:rsidR="00C037EC" w:rsidRPr="005C042B" w:rsidRDefault="00C037EC" w:rsidP="00C037EC">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5C042B">
              <w:rPr>
                <w:rFonts w:ascii="Arial" w:hAnsi="Arial" w:cs="Arial"/>
                <w:sz w:val="24"/>
                <w:szCs w:val="24"/>
              </w:rPr>
              <w:t>Public information and staff preparation</w:t>
            </w:r>
          </w:p>
        </w:tc>
      </w:tr>
      <w:tr w:rsidR="00C037EC" w:rsidRPr="005C042B" w14:paraId="344A0DAA" w14:textId="77777777" w:rsidTr="005C042B">
        <w:tc>
          <w:tcPr>
            <w:cnfStyle w:val="001000000000" w:firstRow="0" w:lastRow="0" w:firstColumn="1" w:lastColumn="0" w:oddVBand="0" w:evenVBand="0" w:oddHBand="0" w:evenHBand="0" w:firstRowFirstColumn="0" w:firstRowLastColumn="0" w:lastRowFirstColumn="0" w:lastRowLastColumn="0"/>
            <w:tcW w:w="0" w:type="auto"/>
            <w:hideMark/>
          </w:tcPr>
          <w:p w14:paraId="13C7B7AC" w14:textId="77777777" w:rsidR="00C037EC" w:rsidRPr="005C042B" w:rsidRDefault="00C037EC" w:rsidP="00C037EC">
            <w:pPr>
              <w:spacing w:after="160" w:line="360" w:lineRule="auto"/>
              <w:rPr>
                <w:rFonts w:ascii="Arial" w:hAnsi="Arial" w:cs="Arial"/>
                <w:b w:val="0"/>
                <w:bCs w:val="0"/>
                <w:sz w:val="24"/>
                <w:szCs w:val="24"/>
              </w:rPr>
            </w:pPr>
            <w:r w:rsidRPr="005C042B">
              <w:rPr>
                <w:rFonts w:ascii="Arial" w:hAnsi="Arial" w:cs="Arial"/>
                <w:b w:val="0"/>
                <w:bCs w:val="0"/>
                <w:sz w:val="24"/>
                <w:szCs w:val="24"/>
              </w:rPr>
              <w:t>Installation team</w:t>
            </w:r>
          </w:p>
        </w:tc>
        <w:tc>
          <w:tcPr>
            <w:tcW w:w="0" w:type="auto"/>
            <w:hideMark/>
          </w:tcPr>
          <w:p w14:paraId="6FDE0A9D" w14:textId="77777777" w:rsidR="00C037EC" w:rsidRPr="005C042B" w:rsidRDefault="00C037EC" w:rsidP="00C037EC">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5C042B">
              <w:rPr>
                <w:rFonts w:ascii="Arial" w:hAnsi="Arial" w:cs="Arial"/>
                <w:sz w:val="24"/>
                <w:szCs w:val="24"/>
              </w:rPr>
              <w:t>Sign installation and testing</w:t>
            </w:r>
          </w:p>
        </w:tc>
      </w:tr>
    </w:tbl>
    <w:p w14:paraId="25ED4CF3" w14:textId="77777777" w:rsidR="002765BF" w:rsidRDefault="002765BF" w:rsidP="00C037EC">
      <w:pPr>
        <w:spacing w:line="360" w:lineRule="auto"/>
        <w:rPr>
          <w:rFonts w:ascii="Arial" w:hAnsi="Arial" w:cs="Arial"/>
          <w:b/>
          <w:bCs/>
          <w:sz w:val="24"/>
          <w:szCs w:val="24"/>
        </w:rPr>
      </w:pPr>
    </w:p>
    <w:p w14:paraId="769E8609" w14:textId="77777777" w:rsidR="002765BF" w:rsidRDefault="002765BF" w:rsidP="008231F3">
      <w:pPr>
        <w:spacing w:line="360" w:lineRule="auto"/>
        <w:ind w:left="-567"/>
        <w:rPr>
          <w:rFonts w:ascii="Arial" w:hAnsi="Arial" w:cs="Arial"/>
          <w:b/>
          <w:bCs/>
          <w:sz w:val="24"/>
          <w:szCs w:val="24"/>
        </w:rPr>
      </w:pPr>
    </w:p>
    <w:p w14:paraId="725EDAF8" w14:textId="1BADD3AE"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7: Indicative budget</w:t>
      </w:r>
    </w:p>
    <w:p w14:paraId="677917D8" w14:textId="77777777" w:rsidR="00F5219D" w:rsidRDefault="00F5219D" w:rsidP="008231F3">
      <w:pPr>
        <w:spacing w:line="360" w:lineRule="auto"/>
        <w:ind w:left="-567"/>
        <w:rPr>
          <w:rFonts w:ascii="Arial" w:hAnsi="Arial" w:cs="Arial"/>
          <w:sz w:val="24"/>
          <w:szCs w:val="24"/>
        </w:rPr>
      </w:pPr>
    </w:p>
    <w:tbl>
      <w:tblPr>
        <w:tblStyle w:val="PlainTable3"/>
        <w:tblW w:w="0" w:type="auto"/>
        <w:tblLook w:val="04A0" w:firstRow="1" w:lastRow="0" w:firstColumn="1" w:lastColumn="0" w:noHBand="0" w:noVBand="1"/>
      </w:tblPr>
      <w:tblGrid>
        <w:gridCol w:w="5528"/>
        <w:gridCol w:w="1418"/>
      </w:tblGrid>
      <w:tr w:rsidR="002765BF" w:rsidRPr="002765BF" w14:paraId="7BCD4DD8" w14:textId="77777777" w:rsidTr="002765B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16FBCFD4"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Cost category</w:t>
            </w:r>
          </w:p>
        </w:tc>
        <w:tc>
          <w:tcPr>
            <w:tcW w:w="0" w:type="auto"/>
            <w:hideMark/>
          </w:tcPr>
          <w:p w14:paraId="5560C0B2" w14:textId="77777777" w:rsidR="002765BF" w:rsidRPr="002765BF" w:rsidRDefault="002765BF" w:rsidP="002765BF">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4"/>
                <w:szCs w:val="24"/>
              </w:rPr>
            </w:pPr>
            <w:r w:rsidRPr="002765BF">
              <w:rPr>
                <w:rFonts w:ascii="Arial" w:hAnsi="Arial" w:cs="Arial"/>
                <w:sz w:val="24"/>
                <w:szCs w:val="24"/>
              </w:rPr>
              <w:t>Amount</w:t>
            </w:r>
          </w:p>
        </w:tc>
      </w:tr>
      <w:tr w:rsidR="002765BF" w:rsidRPr="002765BF" w14:paraId="0BCE17FF" w14:textId="77777777" w:rsidTr="00276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3047DD"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Project management and governance</w:t>
            </w:r>
          </w:p>
        </w:tc>
        <w:tc>
          <w:tcPr>
            <w:tcW w:w="0" w:type="auto"/>
            <w:hideMark/>
          </w:tcPr>
          <w:p w14:paraId="6D41AE71" w14:textId="77777777" w:rsidR="002765BF" w:rsidRPr="002765BF" w:rsidRDefault="002765BF" w:rsidP="002765B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65BF">
              <w:rPr>
                <w:rFonts w:ascii="Arial" w:hAnsi="Arial" w:cs="Arial"/>
                <w:sz w:val="24"/>
                <w:szCs w:val="24"/>
              </w:rPr>
              <w:t>£140,000</w:t>
            </w:r>
          </w:p>
        </w:tc>
      </w:tr>
      <w:tr w:rsidR="002765BF" w:rsidRPr="002765BF" w14:paraId="73AB1DE9" w14:textId="77777777" w:rsidTr="002765BF">
        <w:tc>
          <w:tcPr>
            <w:cnfStyle w:val="001000000000" w:firstRow="0" w:lastRow="0" w:firstColumn="1" w:lastColumn="0" w:oddVBand="0" w:evenVBand="0" w:oddHBand="0" w:evenHBand="0" w:firstRowFirstColumn="0" w:firstRowLastColumn="0" w:lastRowFirstColumn="0" w:lastRowLastColumn="0"/>
            <w:tcW w:w="0" w:type="auto"/>
            <w:hideMark/>
          </w:tcPr>
          <w:p w14:paraId="7C7B3753"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Software and integration</w:t>
            </w:r>
          </w:p>
        </w:tc>
        <w:tc>
          <w:tcPr>
            <w:tcW w:w="0" w:type="auto"/>
            <w:hideMark/>
          </w:tcPr>
          <w:p w14:paraId="1E065301" w14:textId="77777777" w:rsidR="002765BF" w:rsidRPr="002765BF" w:rsidRDefault="002765BF" w:rsidP="002765B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65BF">
              <w:rPr>
                <w:rFonts w:ascii="Arial" w:hAnsi="Arial" w:cs="Arial"/>
                <w:sz w:val="24"/>
                <w:szCs w:val="24"/>
              </w:rPr>
              <w:t>£420,000</w:t>
            </w:r>
          </w:p>
        </w:tc>
      </w:tr>
      <w:tr w:rsidR="002765BF" w:rsidRPr="002765BF" w14:paraId="76108636" w14:textId="77777777" w:rsidTr="00276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A7579A"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Digital signage and installation</w:t>
            </w:r>
          </w:p>
        </w:tc>
        <w:tc>
          <w:tcPr>
            <w:tcW w:w="0" w:type="auto"/>
            <w:hideMark/>
          </w:tcPr>
          <w:p w14:paraId="5CD86E68" w14:textId="77777777" w:rsidR="002765BF" w:rsidRPr="002765BF" w:rsidRDefault="002765BF" w:rsidP="002765B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65BF">
              <w:rPr>
                <w:rFonts w:ascii="Arial" w:hAnsi="Arial" w:cs="Arial"/>
                <w:sz w:val="24"/>
                <w:szCs w:val="24"/>
              </w:rPr>
              <w:t>£300,000</w:t>
            </w:r>
          </w:p>
        </w:tc>
      </w:tr>
      <w:tr w:rsidR="002765BF" w:rsidRPr="002765BF" w14:paraId="449F97DB" w14:textId="77777777" w:rsidTr="002765BF">
        <w:tc>
          <w:tcPr>
            <w:cnfStyle w:val="001000000000" w:firstRow="0" w:lastRow="0" w:firstColumn="1" w:lastColumn="0" w:oddVBand="0" w:evenVBand="0" w:oddHBand="0" w:evenHBand="0" w:firstRowFirstColumn="0" w:firstRowLastColumn="0" w:lastRowFirstColumn="0" w:lastRowLastColumn="0"/>
            <w:tcW w:w="0" w:type="auto"/>
            <w:hideMark/>
          </w:tcPr>
          <w:p w14:paraId="72F9BE2D"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Security, privacy and testing</w:t>
            </w:r>
          </w:p>
        </w:tc>
        <w:tc>
          <w:tcPr>
            <w:tcW w:w="0" w:type="auto"/>
            <w:hideMark/>
          </w:tcPr>
          <w:p w14:paraId="7201A839" w14:textId="77777777" w:rsidR="002765BF" w:rsidRPr="002765BF" w:rsidRDefault="002765BF" w:rsidP="002765B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65BF">
              <w:rPr>
                <w:rFonts w:ascii="Arial" w:hAnsi="Arial" w:cs="Arial"/>
                <w:sz w:val="24"/>
                <w:szCs w:val="24"/>
              </w:rPr>
              <w:t>£100,000</w:t>
            </w:r>
          </w:p>
        </w:tc>
      </w:tr>
      <w:tr w:rsidR="002765BF" w:rsidRPr="002765BF" w14:paraId="220F396D" w14:textId="77777777" w:rsidTr="00276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9917DDB"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Accessibility and user testing</w:t>
            </w:r>
          </w:p>
        </w:tc>
        <w:tc>
          <w:tcPr>
            <w:tcW w:w="0" w:type="auto"/>
            <w:hideMark/>
          </w:tcPr>
          <w:p w14:paraId="1D961779" w14:textId="77777777" w:rsidR="002765BF" w:rsidRPr="002765BF" w:rsidRDefault="002765BF" w:rsidP="002765B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65BF">
              <w:rPr>
                <w:rFonts w:ascii="Arial" w:hAnsi="Arial" w:cs="Arial"/>
                <w:sz w:val="24"/>
                <w:szCs w:val="24"/>
              </w:rPr>
              <w:t>£70,000</w:t>
            </w:r>
          </w:p>
        </w:tc>
      </w:tr>
      <w:tr w:rsidR="002765BF" w:rsidRPr="002765BF" w14:paraId="09927E1B" w14:textId="77777777" w:rsidTr="002765BF">
        <w:tc>
          <w:tcPr>
            <w:cnfStyle w:val="001000000000" w:firstRow="0" w:lastRow="0" w:firstColumn="1" w:lastColumn="0" w:oddVBand="0" w:evenVBand="0" w:oddHBand="0" w:evenHBand="0" w:firstRowFirstColumn="0" w:firstRowLastColumn="0" w:lastRowFirstColumn="0" w:lastRowLastColumn="0"/>
            <w:tcW w:w="0" w:type="auto"/>
            <w:hideMark/>
          </w:tcPr>
          <w:p w14:paraId="3D1AD47A"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Training and communication</w:t>
            </w:r>
          </w:p>
        </w:tc>
        <w:tc>
          <w:tcPr>
            <w:tcW w:w="0" w:type="auto"/>
            <w:hideMark/>
          </w:tcPr>
          <w:p w14:paraId="495629E8" w14:textId="77777777" w:rsidR="002765BF" w:rsidRPr="002765BF" w:rsidRDefault="002765BF" w:rsidP="002765B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65BF">
              <w:rPr>
                <w:rFonts w:ascii="Arial" w:hAnsi="Arial" w:cs="Arial"/>
                <w:sz w:val="24"/>
                <w:szCs w:val="24"/>
              </w:rPr>
              <w:t>£90,000</w:t>
            </w:r>
          </w:p>
        </w:tc>
      </w:tr>
      <w:tr w:rsidR="002765BF" w:rsidRPr="002765BF" w14:paraId="260E059F" w14:textId="77777777" w:rsidTr="002765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3FC7699"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Contingency</w:t>
            </w:r>
          </w:p>
        </w:tc>
        <w:tc>
          <w:tcPr>
            <w:tcW w:w="0" w:type="auto"/>
            <w:hideMark/>
          </w:tcPr>
          <w:p w14:paraId="175EAC8B" w14:textId="77777777" w:rsidR="002765BF" w:rsidRPr="002765BF" w:rsidRDefault="002765BF" w:rsidP="002765BF">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2765BF">
              <w:rPr>
                <w:rFonts w:ascii="Arial" w:hAnsi="Arial" w:cs="Arial"/>
                <w:sz w:val="24"/>
                <w:szCs w:val="24"/>
              </w:rPr>
              <w:t>£130,000</w:t>
            </w:r>
          </w:p>
        </w:tc>
      </w:tr>
      <w:tr w:rsidR="002765BF" w:rsidRPr="002765BF" w14:paraId="4257BBED" w14:textId="77777777" w:rsidTr="002765BF">
        <w:tc>
          <w:tcPr>
            <w:cnfStyle w:val="001000000000" w:firstRow="0" w:lastRow="0" w:firstColumn="1" w:lastColumn="0" w:oddVBand="0" w:evenVBand="0" w:oddHBand="0" w:evenHBand="0" w:firstRowFirstColumn="0" w:firstRowLastColumn="0" w:lastRowFirstColumn="0" w:lastRowLastColumn="0"/>
            <w:tcW w:w="0" w:type="auto"/>
            <w:hideMark/>
          </w:tcPr>
          <w:p w14:paraId="02FA764A" w14:textId="77777777" w:rsidR="002765BF" w:rsidRPr="002765BF" w:rsidRDefault="002765BF" w:rsidP="002765BF">
            <w:pPr>
              <w:spacing w:after="160" w:line="360" w:lineRule="auto"/>
              <w:rPr>
                <w:rFonts w:ascii="Arial" w:hAnsi="Arial" w:cs="Arial"/>
                <w:sz w:val="24"/>
                <w:szCs w:val="24"/>
              </w:rPr>
            </w:pPr>
            <w:r w:rsidRPr="002765BF">
              <w:rPr>
                <w:rFonts w:ascii="Arial" w:hAnsi="Arial" w:cs="Arial"/>
                <w:sz w:val="24"/>
                <w:szCs w:val="24"/>
              </w:rPr>
              <w:t>Total</w:t>
            </w:r>
          </w:p>
        </w:tc>
        <w:tc>
          <w:tcPr>
            <w:tcW w:w="0" w:type="auto"/>
            <w:hideMark/>
          </w:tcPr>
          <w:p w14:paraId="5D9899F9" w14:textId="77777777" w:rsidR="002765BF" w:rsidRPr="002765BF" w:rsidRDefault="002765BF" w:rsidP="002765BF">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2765BF">
              <w:rPr>
                <w:rFonts w:ascii="Arial" w:hAnsi="Arial" w:cs="Arial"/>
                <w:b/>
                <w:bCs/>
                <w:sz w:val="24"/>
                <w:szCs w:val="24"/>
              </w:rPr>
              <w:t>£1,250,000</w:t>
            </w:r>
          </w:p>
        </w:tc>
      </w:tr>
    </w:tbl>
    <w:p w14:paraId="01B28389" w14:textId="77777777" w:rsidR="00F5219D" w:rsidRDefault="00F5219D" w:rsidP="002765BF">
      <w:pPr>
        <w:spacing w:line="360" w:lineRule="auto"/>
        <w:rPr>
          <w:rFonts w:ascii="Arial" w:hAnsi="Arial" w:cs="Arial"/>
          <w:sz w:val="24"/>
          <w:szCs w:val="24"/>
        </w:rPr>
      </w:pPr>
    </w:p>
    <w:p w14:paraId="1E4584A3" w14:textId="2B94ACB6"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 xml:space="preserve">Resource decisions involve trade-offs. Increasing the number of developers may shorten coding activity, but it will not solve delays caused by unavailable operator data or governance decisions. Investment is therefore spread across integration, accessibility, security and communication rather than concentrated only on software. Supplier payments </w:t>
      </w:r>
      <w:r w:rsidRPr="008231F3">
        <w:rPr>
          <w:rFonts w:ascii="Arial" w:hAnsi="Arial" w:cs="Arial"/>
          <w:sz w:val="24"/>
          <w:szCs w:val="24"/>
        </w:rPr>
        <w:lastRenderedPageBreak/>
        <w:t>will be linked to accepted milestones, providing financial control where deliverables do not meet agreed standards.</w:t>
      </w:r>
    </w:p>
    <w:p w14:paraId="6BFE35F5"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contingency will be controlled by the sponsor. Monthly reports will compare actual expenditure, committed costs and forecast final cost. Specialist staff will be booked early because accessibility and cybersecurity expertise may be limited.</w:t>
      </w:r>
    </w:p>
    <w:p w14:paraId="1268E28E"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9. Risk Analysis</w:t>
      </w:r>
    </w:p>
    <w:p w14:paraId="5CC82073"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Risk management will continue throughout delivery. Formal risk processes are most useful when risks are clearly communicated, owned and acted upon (de Bakker, Boonstra and Wortmann, 2010).</w:t>
      </w:r>
    </w:p>
    <w:p w14:paraId="0491C4D5" w14:textId="77777777" w:rsid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Table 8: Risk register</w:t>
      </w:r>
    </w:p>
    <w:tbl>
      <w:tblPr>
        <w:tblStyle w:val="PlainTable1"/>
        <w:tblW w:w="0" w:type="auto"/>
        <w:tblLook w:val="04A0" w:firstRow="1" w:lastRow="0" w:firstColumn="1" w:lastColumn="0" w:noHBand="0" w:noVBand="1"/>
      </w:tblPr>
      <w:tblGrid>
        <w:gridCol w:w="2984"/>
        <w:gridCol w:w="843"/>
        <w:gridCol w:w="5189"/>
      </w:tblGrid>
      <w:tr w:rsidR="00F5219D" w:rsidRPr="00F5219D" w14:paraId="093DBF69" w14:textId="77777777" w:rsidTr="00F521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3058F4C"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Risk</w:t>
            </w:r>
          </w:p>
        </w:tc>
        <w:tc>
          <w:tcPr>
            <w:tcW w:w="0" w:type="auto"/>
            <w:hideMark/>
          </w:tcPr>
          <w:p w14:paraId="275719AC" w14:textId="77777777" w:rsidR="00F5219D" w:rsidRPr="00F5219D" w:rsidRDefault="00F5219D" w:rsidP="00F5219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F5219D">
              <w:rPr>
                <w:rFonts w:ascii="Arial" w:hAnsi="Arial" w:cs="Arial"/>
                <w:b w:val="0"/>
                <w:bCs w:val="0"/>
                <w:sz w:val="24"/>
                <w:szCs w:val="24"/>
              </w:rPr>
              <w:t>Score</w:t>
            </w:r>
          </w:p>
        </w:tc>
        <w:tc>
          <w:tcPr>
            <w:tcW w:w="0" w:type="auto"/>
            <w:hideMark/>
          </w:tcPr>
          <w:p w14:paraId="5380A4C3" w14:textId="77777777" w:rsidR="00F5219D" w:rsidRPr="00F5219D" w:rsidRDefault="00F5219D" w:rsidP="00F5219D">
            <w:pPr>
              <w:spacing w:after="160" w:line="360" w:lineRule="auto"/>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24"/>
                <w:szCs w:val="24"/>
              </w:rPr>
            </w:pPr>
            <w:r w:rsidRPr="00F5219D">
              <w:rPr>
                <w:rFonts w:ascii="Arial" w:hAnsi="Arial" w:cs="Arial"/>
                <w:b w:val="0"/>
                <w:bCs w:val="0"/>
                <w:sz w:val="24"/>
                <w:szCs w:val="24"/>
              </w:rPr>
              <w:t>Response and owner</w:t>
            </w:r>
          </w:p>
        </w:tc>
      </w:tr>
      <w:tr w:rsidR="00F5219D" w:rsidRPr="00F5219D" w14:paraId="01CF0486" w14:textId="77777777" w:rsidTr="00F52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0E4C835"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Supplier appointment delay</w:t>
            </w:r>
          </w:p>
        </w:tc>
        <w:tc>
          <w:tcPr>
            <w:tcW w:w="0" w:type="auto"/>
            <w:hideMark/>
          </w:tcPr>
          <w:p w14:paraId="03E1616A"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16</w:t>
            </w:r>
          </w:p>
        </w:tc>
        <w:tc>
          <w:tcPr>
            <w:tcW w:w="0" w:type="auto"/>
            <w:hideMark/>
          </w:tcPr>
          <w:p w14:paraId="7862CFE9"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Early market engagement and fixed deadlines; Procurement Officer</w:t>
            </w:r>
          </w:p>
        </w:tc>
      </w:tr>
      <w:tr w:rsidR="00F5219D" w:rsidRPr="00F5219D" w14:paraId="35734982" w14:textId="77777777" w:rsidTr="00F5219D">
        <w:tc>
          <w:tcPr>
            <w:cnfStyle w:val="001000000000" w:firstRow="0" w:lastRow="0" w:firstColumn="1" w:lastColumn="0" w:oddVBand="0" w:evenVBand="0" w:oddHBand="0" w:evenHBand="0" w:firstRowFirstColumn="0" w:firstRowLastColumn="0" w:lastRowFirstColumn="0" w:lastRowLastColumn="0"/>
            <w:tcW w:w="0" w:type="auto"/>
            <w:hideMark/>
          </w:tcPr>
          <w:p w14:paraId="7DED4B4A"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Operator data cannot be integrated</w:t>
            </w:r>
          </w:p>
        </w:tc>
        <w:tc>
          <w:tcPr>
            <w:tcW w:w="0" w:type="auto"/>
            <w:hideMark/>
          </w:tcPr>
          <w:p w14:paraId="136E4216"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20</w:t>
            </w:r>
          </w:p>
        </w:tc>
        <w:tc>
          <w:tcPr>
            <w:tcW w:w="0" w:type="auto"/>
            <w:hideMark/>
          </w:tcPr>
          <w:p w14:paraId="07E9F547"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Technical review and fallback formats; Technical Architect</w:t>
            </w:r>
          </w:p>
        </w:tc>
      </w:tr>
      <w:tr w:rsidR="00F5219D" w:rsidRPr="00F5219D" w14:paraId="355D6657" w14:textId="77777777" w:rsidTr="00F52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D7DA38"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Cyberattack or unauthorised access</w:t>
            </w:r>
          </w:p>
        </w:tc>
        <w:tc>
          <w:tcPr>
            <w:tcW w:w="0" w:type="auto"/>
            <w:hideMark/>
          </w:tcPr>
          <w:p w14:paraId="4DDB4F97"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15</w:t>
            </w:r>
          </w:p>
        </w:tc>
        <w:tc>
          <w:tcPr>
            <w:tcW w:w="0" w:type="auto"/>
            <w:hideMark/>
          </w:tcPr>
          <w:p w14:paraId="71892500"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Access controls, encryption and testing; Security Specialist</w:t>
            </w:r>
          </w:p>
        </w:tc>
      </w:tr>
      <w:tr w:rsidR="00F5219D" w:rsidRPr="00F5219D" w14:paraId="30284A0E" w14:textId="77777777" w:rsidTr="00F5219D">
        <w:tc>
          <w:tcPr>
            <w:cnfStyle w:val="001000000000" w:firstRow="0" w:lastRow="0" w:firstColumn="1" w:lastColumn="0" w:oddVBand="0" w:evenVBand="0" w:oddHBand="0" w:evenHBand="0" w:firstRowFirstColumn="0" w:firstRowLastColumn="0" w:lastRowFirstColumn="0" w:lastRowLastColumn="0"/>
            <w:tcW w:w="0" w:type="auto"/>
            <w:hideMark/>
          </w:tcPr>
          <w:p w14:paraId="5B2BDC77"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Inaccurate passenger information</w:t>
            </w:r>
          </w:p>
        </w:tc>
        <w:tc>
          <w:tcPr>
            <w:tcW w:w="0" w:type="auto"/>
            <w:hideMark/>
          </w:tcPr>
          <w:p w14:paraId="3CB5984C"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16</w:t>
            </w:r>
          </w:p>
        </w:tc>
        <w:tc>
          <w:tcPr>
            <w:tcW w:w="0" w:type="auto"/>
            <w:hideMark/>
          </w:tcPr>
          <w:p w14:paraId="1DA07800"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Automated validation and emergency updates; Product Owner</w:t>
            </w:r>
          </w:p>
        </w:tc>
      </w:tr>
      <w:tr w:rsidR="00F5219D" w:rsidRPr="00F5219D" w14:paraId="45E8074A" w14:textId="77777777" w:rsidTr="00F52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4ADBB74"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Low user or operator adoption</w:t>
            </w:r>
          </w:p>
        </w:tc>
        <w:tc>
          <w:tcPr>
            <w:tcW w:w="0" w:type="auto"/>
            <w:hideMark/>
          </w:tcPr>
          <w:p w14:paraId="67FD05BD"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12</w:t>
            </w:r>
          </w:p>
        </w:tc>
        <w:tc>
          <w:tcPr>
            <w:tcW w:w="0" w:type="auto"/>
            <w:hideMark/>
          </w:tcPr>
          <w:p w14:paraId="70D21121"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User involvement, training and communication; Communications Lead</w:t>
            </w:r>
          </w:p>
        </w:tc>
      </w:tr>
      <w:tr w:rsidR="00F5219D" w:rsidRPr="00F5219D" w14:paraId="6B9BDDBB" w14:textId="77777777" w:rsidTr="00F5219D">
        <w:tc>
          <w:tcPr>
            <w:cnfStyle w:val="001000000000" w:firstRow="0" w:lastRow="0" w:firstColumn="1" w:lastColumn="0" w:oddVBand="0" w:evenVBand="0" w:oddHBand="0" w:evenHBand="0" w:firstRowFirstColumn="0" w:firstRowLastColumn="0" w:lastRowFirstColumn="0" w:lastRowLastColumn="0"/>
            <w:tcW w:w="0" w:type="auto"/>
            <w:hideMark/>
          </w:tcPr>
          <w:p w14:paraId="716C75BA"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Accessibility requirements not met</w:t>
            </w:r>
          </w:p>
        </w:tc>
        <w:tc>
          <w:tcPr>
            <w:tcW w:w="0" w:type="auto"/>
            <w:hideMark/>
          </w:tcPr>
          <w:p w14:paraId="68ED4439"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15</w:t>
            </w:r>
          </w:p>
        </w:tc>
        <w:tc>
          <w:tcPr>
            <w:tcW w:w="0" w:type="auto"/>
            <w:hideMark/>
          </w:tcPr>
          <w:p w14:paraId="715F2F06"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Early specialist review and formal testing; Accessibility Specialist</w:t>
            </w:r>
          </w:p>
        </w:tc>
      </w:tr>
      <w:tr w:rsidR="00F5219D" w:rsidRPr="00F5219D" w14:paraId="3049F0D8" w14:textId="77777777" w:rsidTr="00F52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5964625"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Scope increase</w:t>
            </w:r>
          </w:p>
        </w:tc>
        <w:tc>
          <w:tcPr>
            <w:tcW w:w="0" w:type="auto"/>
            <w:hideMark/>
          </w:tcPr>
          <w:p w14:paraId="010DD2FC"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12</w:t>
            </w:r>
          </w:p>
        </w:tc>
        <w:tc>
          <w:tcPr>
            <w:tcW w:w="0" w:type="auto"/>
            <w:hideMark/>
          </w:tcPr>
          <w:p w14:paraId="0A63C359"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Formal change control; Project Manager</w:t>
            </w:r>
          </w:p>
        </w:tc>
      </w:tr>
      <w:tr w:rsidR="00F5219D" w:rsidRPr="00F5219D" w14:paraId="742E40BE" w14:textId="77777777" w:rsidTr="00F5219D">
        <w:tc>
          <w:tcPr>
            <w:cnfStyle w:val="001000000000" w:firstRow="0" w:lastRow="0" w:firstColumn="1" w:lastColumn="0" w:oddVBand="0" w:evenVBand="0" w:oddHBand="0" w:evenHBand="0" w:firstRowFirstColumn="0" w:firstRowLastColumn="0" w:lastRowFirstColumn="0" w:lastRowLastColumn="0"/>
            <w:tcW w:w="0" w:type="auto"/>
            <w:hideMark/>
          </w:tcPr>
          <w:p w14:paraId="1FA966B3"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t>Data-sharing approval delay</w:t>
            </w:r>
          </w:p>
        </w:tc>
        <w:tc>
          <w:tcPr>
            <w:tcW w:w="0" w:type="auto"/>
            <w:hideMark/>
          </w:tcPr>
          <w:p w14:paraId="40D5A327"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15</w:t>
            </w:r>
          </w:p>
        </w:tc>
        <w:tc>
          <w:tcPr>
            <w:tcW w:w="0" w:type="auto"/>
            <w:hideMark/>
          </w:tcPr>
          <w:p w14:paraId="5EE0E140" w14:textId="77777777" w:rsidR="00F5219D" w:rsidRPr="00F5219D" w:rsidRDefault="00F5219D" w:rsidP="00F5219D">
            <w:pPr>
              <w:spacing w:after="16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F5219D">
              <w:rPr>
                <w:rFonts w:ascii="Arial" w:hAnsi="Arial" w:cs="Arial"/>
                <w:sz w:val="24"/>
                <w:szCs w:val="24"/>
              </w:rPr>
              <w:t>Early privacy and legal review; Data Protection Adviser</w:t>
            </w:r>
          </w:p>
        </w:tc>
      </w:tr>
      <w:tr w:rsidR="00F5219D" w:rsidRPr="00F5219D" w14:paraId="65AB153E" w14:textId="77777777" w:rsidTr="00F521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D76B9D4" w14:textId="77777777" w:rsidR="00F5219D" w:rsidRPr="00F5219D" w:rsidRDefault="00F5219D" w:rsidP="00F5219D">
            <w:pPr>
              <w:spacing w:after="160" w:line="360" w:lineRule="auto"/>
              <w:rPr>
                <w:rFonts w:ascii="Arial" w:hAnsi="Arial" w:cs="Arial"/>
                <w:b w:val="0"/>
                <w:bCs w:val="0"/>
                <w:sz w:val="24"/>
                <w:szCs w:val="24"/>
              </w:rPr>
            </w:pPr>
            <w:r w:rsidRPr="00F5219D">
              <w:rPr>
                <w:rFonts w:ascii="Arial" w:hAnsi="Arial" w:cs="Arial"/>
                <w:b w:val="0"/>
                <w:bCs w:val="0"/>
                <w:sz w:val="24"/>
                <w:szCs w:val="24"/>
              </w:rPr>
              <w:lastRenderedPageBreak/>
              <w:t>Budget overspend</w:t>
            </w:r>
          </w:p>
        </w:tc>
        <w:tc>
          <w:tcPr>
            <w:tcW w:w="0" w:type="auto"/>
            <w:hideMark/>
          </w:tcPr>
          <w:p w14:paraId="3EC3B6C8"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12</w:t>
            </w:r>
          </w:p>
        </w:tc>
        <w:tc>
          <w:tcPr>
            <w:tcW w:w="0" w:type="auto"/>
            <w:hideMark/>
          </w:tcPr>
          <w:p w14:paraId="7547FC68" w14:textId="77777777" w:rsidR="00F5219D" w:rsidRPr="00F5219D" w:rsidRDefault="00F5219D" w:rsidP="00F5219D">
            <w:pPr>
              <w:spacing w:after="160"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F5219D">
              <w:rPr>
                <w:rFonts w:ascii="Arial" w:hAnsi="Arial" w:cs="Arial"/>
                <w:sz w:val="24"/>
                <w:szCs w:val="24"/>
              </w:rPr>
              <w:t>Monthly forecasts and controlled contingency; Finance Officer</w:t>
            </w:r>
          </w:p>
        </w:tc>
      </w:tr>
    </w:tbl>
    <w:p w14:paraId="7CF3335F" w14:textId="77777777" w:rsidR="00B36801" w:rsidRPr="008231F3" w:rsidRDefault="00B36801" w:rsidP="00F5219D">
      <w:pPr>
        <w:spacing w:line="360" w:lineRule="auto"/>
        <w:rPr>
          <w:rFonts w:ascii="Arial" w:hAnsi="Arial" w:cs="Arial"/>
          <w:b/>
          <w:bCs/>
          <w:sz w:val="24"/>
          <w:szCs w:val="24"/>
        </w:rPr>
      </w:pPr>
    </w:p>
    <w:p w14:paraId="5166BFD2"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Probability and impact will each be scored from one to five. Scores of 16 to 25 are very high, 11 to 15 are high, 6 to 10 are moderate and 1 to 5 are low. Scoring supports prioritisation but does not replace professional judgement. A privacy breach, for example, may require immediate attention even when its probability is considered low because the legal and reputational consequences could be severe.</w:t>
      </w:r>
    </w:p>
    <w:p w14:paraId="6DD9A936"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Risk owners will identify early warning signs, such as missed data tests, delayed approvals or repeated accessibility defects. Cybersecurity will be organised around governance, identification, protection, detection, response and recovery, reflecting the NIST Cybersecurity Framework 2.0 (NIST, 2024).</w:t>
      </w:r>
    </w:p>
    <w:p w14:paraId="523D7939"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Privacy will be considered from the design stage. The ICO explains that data protection by design should operate throughout the system lifecycle. Access will therefore be role-based, personal data will be minimised and data-sharing agreements will define permitted use.</w:t>
      </w:r>
    </w:p>
    <w:p w14:paraId="1B605C3F"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High and very-high risks will be reviewed weekly. Once a risk occurs, it will become an issue with a named owner, action date and escalation level.</w:t>
      </w:r>
    </w:p>
    <w:p w14:paraId="5ABF9CE0"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10. Monitoring, Quality and Change Control</w:t>
      </w:r>
    </w:p>
    <w:p w14:paraId="03F21BDD"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Performance will be measured through schedule, cost, quality and stakeholder outcomes. The main indicators are:</w:t>
      </w:r>
    </w:p>
    <w:p w14:paraId="7A23A2A2"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milestone and schedule variance; </w:t>
      </w:r>
    </w:p>
    <w:p w14:paraId="44230747"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actual and forecast cost; </w:t>
      </w:r>
    </w:p>
    <w:p w14:paraId="0EDB1453"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unresolved critical defects; </w:t>
      </w:r>
    </w:p>
    <w:p w14:paraId="05A76C5A"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percentage of operators connected; </w:t>
      </w:r>
    </w:p>
    <w:p w14:paraId="02F47504"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platform availability; </w:t>
      </w:r>
    </w:p>
    <w:p w14:paraId="7739D665"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time taken for information updates; </w:t>
      </w:r>
    </w:p>
    <w:p w14:paraId="00E2C687"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passenger enquiry levels; </w:t>
      </w:r>
    </w:p>
    <w:p w14:paraId="16E6C764"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lastRenderedPageBreak/>
        <w:t xml:space="preserve">accessibility test results; </w:t>
      </w:r>
    </w:p>
    <w:p w14:paraId="2E7C1076"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training completion; </w:t>
      </w:r>
    </w:p>
    <w:p w14:paraId="689048A2" w14:textId="77777777" w:rsidR="008231F3" w:rsidRPr="008231F3" w:rsidRDefault="008231F3" w:rsidP="008231F3">
      <w:pPr>
        <w:numPr>
          <w:ilvl w:val="0"/>
          <w:numId w:val="3"/>
        </w:numPr>
        <w:spacing w:line="360" w:lineRule="auto"/>
        <w:rPr>
          <w:rFonts w:ascii="Arial" w:hAnsi="Arial" w:cs="Arial"/>
          <w:sz w:val="24"/>
          <w:szCs w:val="24"/>
        </w:rPr>
      </w:pPr>
      <w:r w:rsidRPr="008231F3">
        <w:rPr>
          <w:rFonts w:ascii="Arial" w:hAnsi="Arial" w:cs="Arial"/>
          <w:sz w:val="24"/>
          <w:szCs w:val="24"/>
        </w:rPr>
        <w:t xml:space="preserve">user satisfaction. </w:t>
      </w:r>
    </w:p>
    <w:p w14:paraId="023F552C"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Quality reviews will take place after requirements approval, prototype approval, technical testing, pilot completion and final acceptance. Agile development cycles will allow defects and user concerns to be identified before the whole system is complete. Agile practices can improve project success, but only when supported by clear objectives and disciplined governance (Serrador and Pinto, 2015).</w:t>
      </w:r>
    </w:p>
    <w:p w14:paraId="52B31A67"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A project dashboard will be issued weekly to workstream leaders and monthly to the project board. Change requests will identify the reason, cost, schedule effect, risk and effect on benefits. Governance is important because it connects project decisions with organisational accountability and strategy (Too and Weaver, 2014).</w:t>
      </w:r>
    </w:p>
    <w:p w14:paraId="3C08BBB6" w14:textId="77777777" w:rsidR="008231F3" w:rsidRPr="008231F3" w:rsidRDefault="008231F3" w:rsidP="008231F3">
      <w:pPr>
        <w:spacing w:line="360" w:lineRule="auto"/>
        <w:ind w:left="-567"/>
        <w:rPr>
          <w:rFonts w:ascii="Arial" w:hAnsi="Arial" w:cs="Arial"/>
          <w:b/>
          <w:bCs/>
          <w:sz w:val="24"/>
          <w:szCs w:val="24"/>
        </w:rPr>
      </w:pPr>
      <w:r w:rsidRPr="008231F3">
        <w:rPr>
          <w:rFonts w:ascii="Arial" w:hAnsi="Arial" w:cs="Arial"/>
          <w:b/>
          <w:bCs/>
          <w:sz w:val="24"/>
          <w:szCs w:val="24"/>
        </w:rPr>
        <w:t>11. Conclusion</w:t>
      </w:r>
    </w:p>
    <w:p w14:paraId="3615FAE0"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Digital Passenger Flow and Logistics Coordination System provides a practical response to the transport hub closure. It will not replace long-term redevelopment, but it can reduce passenger confusion, improve freight coordination and support local businesses during the disruption.</w:t>
      </w:r>
    </w:p>
    <w:p w14:paraId="04464157"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project has clear boundaries, measurable objectives, defined work packages and formal decision gates. A hybrid method gives control over procurement, budget, data and installation while allowing software to be tested and improved through feedback. Stakeholder involvement is planned according to influence and need, with particular attention given to disabled passengers and transport operators.</w:t>
      </w:r>
    </w:p>
    <w:p w14:paraId="1645518B" w14:textId="77777777" w:rsidR="008231F3" w:rsidRPr="008231F3" w:rsidRDefault="008231F3" w:rsidP="008231F3">
      <w:pPr>
        <w:spacing w:line="360" w:lineRule="auto"/>
        <w:ind w:left="-567"/>
        <w:rPr>
          <w:rFonts w:ascii="Arial" w:hAnsi="Arial" w:cs="Arial"/>
          <w:sz w:val="24"/>
          <w:szCs w:val="24"/>
        </w:rPr>
      </w:pPr>
      <w:r w:rsidRPr="008231F3">
        <w:rPr>
          <w:rFonts w:ascii="Arial" w:hAnsi="Arial" w:cs="Arial"/>
          <w:sz w:val="24"/>
          <w:szCs w:val="24"/>
        </w:rPr>
        <w:t>The main risks concern procurement, data integration, cybersecurity, inaccurate information and limited adoption. Early testing, named risk ownership and regular governance reviews make these risks more manageable. Subject to approval of funding, procurement and operator participation, the project should proceed as an urgent but controlled investment.</w:t>
      </w:r>
    </w:p>
    <w:p w14:paraId="7E541C66" w14:textId="77777777" w:rsidR="006F5430" w:rsidRDefault="006F5430" w:rsidP="006F5430">
      <w:pPr>
        <w:spacing w:line="360" w:lineRule="auto"/>
        <w:ind w:left="-567"/>
        <w:rPr>
          <w:rFonts w:ascii="Arial" w:hAnsi="Arial" w:cs="Arial"/>
          <w:sz w:val="24"/>
          <w:szCs w:val="24"/>
        </w:rPr>
      </w:pPr>
    </w:p>
    <w:p w14:paraId="38F032E1" w14:textId="77777777" w:rsidR="004266B3" w:rsidRDefault="004266B3" w:rsidP="006F5430">
      <w:pPr>
        <w:spacing w:line="360" w:lineRule="auto"/>
        <w:ind w:left="-567"/>
        <w:rPr>
          <w:rFonts w:ascii="Arial" w:hAnsi="Arial" w:cs="Arial"/>
          <w:sz w:val="24"/>
          <w:szCs w:val="24"/>
        </w:rPr>
      </w:pPr>
    </w:p>
    <w:p w14:paraId="462F5286" w14:textId="6B410111" w:rsidR="004266B3" w:rsidRPr="004266B3" w:rsidRDefault="004266B3" w:rsidP="004266B3">
      <w:pPr>
        <w:spacing w:line="360" w:lineRule="auto"/>
        <w:ind w:left="-567"/>
        <w:rPr>
          <w:rFonts w:ascii="Arial" w:hAnsi="Arial" w:cs="Arial"/>
          <w:b/>
          <w:bCs/>
          <w:sz w:val="24"/>
          <w:szCs w:val="24"/>
        </w:rPr>
      </w:pPr>
      <w:r w:rsidRPr="004266B3">
        <w:rPr>
          <w:rFonts w:ascii="Arial" w:hAnsi="Arial" w:cs="Arial"/>
          <w:b/>
          <w:bCs/>
          <w:sz w:val="24"/>
          <w:szCs w:val="24"/>
        </w:rPr>
        <w:lastRenderedPageBreak/>
        <w:t>Reference</w:t>
      </w:r>
    </w:p>
    <w:p w14:paraId="207DABB5"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Association for Project Management (APM) (2019) </w:t>
      </w:r>
      <w:r w:rsidRPr="004266B3">
        <w:rPr>
          <w:rFonts w:ascii="Arial" w:hAnsi="Arial" w:cs="Arial"/>
          <w:i/>
          <w:iCs/>
          <w:sz w:val="24"/>
          <w:szCs w:val="24"/>
        </w:rPr>
        <w:t>APM Body of Knowledge</w:t>
      </w:r>
      <w:r w:rsidRPr="004266B3">
        <w:rPr>
          <w:rFonts w:ascii="Arial" w:hAnsi="Arial" w:cs="Arial"/>
          <w:sz w:val="24"/>
          <w:szCs w:val="24"/>
        </w:rPr>
        <w:t>. 7th edn. Princes Risborough: Association for Project Management.</w:t>
      </w:r>
    </w:p>
    <w:p w14:paraId="10310E1B"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Boud, D. and Molloy, E. (2013) ‘Rethinking models of feedback for learning: the challenge of design’, </w:t>
      </w:r>
      <w:r w:rsidRPr="004266B3">
        <w:rPr>
          <w:rFonts w:ascii="Arial" w:hAnsi="Arial" w:cs="Arial"/>
          <w:i/>
          <w:iCs/>
          <w:sz w:val="24"/>
          <w:szCs w:val="24"/>
        </w:rPr>
        <w:t>Assessment &amp; Evaluation in Higher Education</w:t>
      </w:r>
      <w:r w:rsidRPr="004266B3">
        <w:rPr>
          <w:rFonts w:ascii="Arial" w:hAnsi="Arial" w:cs="Arial"/>
          <w:sz w:val="24"/>
          <w:szCs w:val="24"/>
        </w:rPr>
        <w:t>, 38(6), pp. 698–712. doi: 10.1080/02602938.2012.691462.</w:t>
      </w:r>
    </w:p>
    <w:p w14:paraId="44F6E2FF"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Carless, D. and Boud, D. (2018) ‘The development of student feedback literacy: enabling uptake of feedback’, </w:t>
      </w:r>
      <w:r w:rsidRPr="004266B3">
        <w:rPr>
          <w:rFonts w:ascii="Arial" w:hAnsi="Arial" w:cs="Arial"/>
          <w:i/>
          <w:iCs/>
          <w:sz w:val="24"/>
          <w:szCs w:val="24"/>
        </w:rPr>
        <w:t>Assessment &amp; Evaluation in Higher Education</w:t>
      </w:r>
      <w:r w:rsidRPr="004266B3">
        <w:rPr>
          <w:rFonts w:ascii="Arial" w:hAnsi="Arial" w:cs="Arial"/>
          <w:sz w:val="24"/>
          <w:szCs w:val="24"/>
        </w:rPr>
        <w:t>, 43(8), pp. 1315–1325. doi: 10.1080/02602938.2018.1463354.</w:t>
      </w:r>
    </w:p>
    <w:p w14:paraId="4E6F2B86"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Davis, K. (2014) ‘Different stakeholder groups and their perceptions of project success’, </w:t>
      </w:r>
      <w:r w:rsidRPr="004266B3">
        <w:rPr>
          <w:rFonts w:ascii="Arial" w:hAnsi="Arial" w:cs="Arial"/>
          <w:i/>
          <w:iCs/>
          <w:sz w:val="24"/>
          <w:szCs w:val="24"/>
        </w:rPr>
        <w:t>International Journal of Project Management</w:t>
      </w:r>
      <w:r w:rsidRPr="004266B3">
        <w:rPr>
          <w:rFonts w:ascii="Arial" w:hAnsi="Arial" w:cs="Arial"/>
          <w:sz w:val="24"/>
          <w:szCs w:val="24"/>
        </w:rPr>
        <w:t>, 32(2), pp. 189–201. doi: 10.1016/j.ijproman.2013.02.006.</w:t>
      </w:r>
    </w:p>
    <w:p w14:paraId="19E59A2F"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de Bakker, K., Boonstra, A. and Wortmann, H. (2010) ‘Does risk management contribute to IT project success? A meta-analysis of empirical evidence’, </w:t>
      </w:r>
      <w:r w:rsidRPr="004266B3">
        <w:rPr>
          <w:rFonts w:ascii="Arial" w:hAnsi="Arial" w:cs="Arial"/>
          <w:i/>
          <w:iCs/>
          <w:sz w:val="24"/>
          <w:szCs w:val="24"/>
        </w:rPr>
        <w:t>International Journal of Project Management</w:t>
      </w:r>
      <w:r w:rsidRPr="004266B3">
        <w:rPr>
          <w:rFonts w:ascii="Arial" w:hAnsi="Arial" w:cs="Arial"/>
          <w:sz w:val="24"/>
          <w:szCs w:val="24"/>
        </w:rPr>
        <w:t>, 28(5), pp. 493–503. doi: 10.1016/j.ijproman.2009.07.002.</w:t>
      </w:r>
    </w:p>
    <w:p w14:paraId="1858C323"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Department for Transport (DfT) (2018) </w:t>
      </w:r>
      <w:r w:rsidRPr="004266B3">
        <w:rPr>
          <w:rFonts w:ascii="Arial" w:hAnsi="Arial" w:cs="Arial"/>
          <w:i/>
          <w:iCs/>
          <w:sz w:val="24"/>
          <w:szCs w:val="24"/>
        </w:rPr>
        <w:t>The Inclusive Transport Strategy: Achieving Equal Access for Disabled People</w:t>
      </w:r>
      <w:r w:rsidRPr="004266B3">
        <w:rPr>
          <w:rFonts w:ascii="Arial" w:hAnsi="Arial" w:cs="Arial"/>
          <w:sz w:val="24"/>
          <w:szCs w:val="24"/>
        </w:rPr>
        <w:t>. London: Department for Transport. Available at: GOV.UK (Accessed: 8 July 2026).</w:t>
      </w:r>
    </w:p>
    <w:p w14:paraId="2042C2D3"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Department for Transport (DfT) (2023) </w:t>
      </w:r>
      <w:r w:rsidRPr="004266B3">
        <w:rPr>
          <w:rFonts w:ascii="Arial" w:hAnsi="Arial" w:cs="Arial"/>
          <w:i/>
          <w:iCs/>
          <w:sz w:val="24"/>
          <w:szCs w:val="24"/>
        </w:rPr>
        <w:t>Transport Data Strategy: Innovation Through Data</w:t>
      </w:r>
      <w:r w:rsidRPr="004266B3">
        <w:rPr>
          <w:rFonts w:ascii="Arial" w:hAnsi="Arial" w:cs="Arial"/>
          <w:sz w:val="24"/>
          <w:szCs w:val="24"/>
        </w:rPr>
        <w:t>. London: Department for Transport. Available at: GOV.UK (Accessed: 10 July 2026).</w:t>
      </w:r>
    </w:p>
    <w:p w14:paraId="3C38D977"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Gemino, A., Reich, B.H. and Serrador, P.M. (2021) ‘Agile, traditional, and hybrid approaches to project success: Is hybrid a poor second choice?’, </w:t>
      </w:r>
      <w:r w:rsidRPr="004266B3">
        <w:rPr>
          <w:rFonts w:ascii="Arial" w:hAnsi="Arial" w:cs="Arial"/>
          <w:i/>
          <w:iCs/>
          <w:sz w:val="24"/>
          <w:szCs w:val="24"/>
        </w:rPr>
        <w:t>Project Management Journal</w:t>
      </w:r>
      <w:r w:rsidRPr="004266B3">
        <w:rPr>
          <w:rFonts w:ascii="Arial" w:hAnsi="Arial" w:cs="Arial"/>
          <w:sz w:val="24"/>
          <w:szCs w:val="24"/>
        </w:rPr>
        <w:t>, 52(2), pp. 161–175. doi: 10.1177/8756972820973082.</w:t>
      </w:r>
    </w:p>
    <w:p w14:paraId="6BFB88A3"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Information Commissioner’s Office (ICO) (n.d.) </w:t>
      </w:r>
      <w:r w:rsidRPr="004266B3">
        <w:rPr>
          <w:rFonts w:ascii="Arial" w:hAnsi="Arial" w:cs="Arial"/>
          <w:i/>
          <w:iCs/>
          <w:sz w:val="24"/>
          <w:szCs w:val="24"/>
        </w:rPr>
        <w:t>Data Protection by Design and by Default</w:t>
      </w:r>
      <w:r w:rsidRPr="004266B3">
        <w:rPr>
          <w:rFonts w:ascii="Arial" w:hAnsi="Arial" w:cs="Arial"/>
          <w:sz w:val="24"/>
          <w:szCs w:val="24"/>
        </w:rPr>
        <w:t>. Available at: Information Commissioner’s Office website (Accessed: 11 July 2026).</w:t>
      </w:r>
    </w:p>
    <w:p w14:paraId="2BB5D053"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Joslin, R. and Müller, R. (2015) ‘Relationships between a project management methodology and project success in different project governance contexts’, </w:t>
      </w:r>
      <w:r w:rsidRPr="004266B3">
        <w:rPr>
          <w:rFonts w:ascii="Arial" w:hAnsi="Arial" w:cs="Arial"/>
          <w:i/>
          <w:iCs/>
          <w:sz w:val="24"/>
          <w:szCs w:val="24"/>
        </w:rPr>
        <w:t>International Journal of Project Management</w:t>
      </w:r>
      <w:r w:rsidRPr="004266B3">
        <w:rPr>
          <w:rFonts w:ascii="Arial" w:hAnsi="Arial" w:cs="Arial"/>
          <w:sz w:val="24"/>
          <w:szCs w:val="24"/>
        </w:rPr>
        <w:t>, 33(6), pp. 1377–1392. doi: 10.1016/j.ijproman.2015.03.005.</w:t>
      </w:r>
    </w:p>
    <w:p w14:paraId="7905C469"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lastRenderedPageBreak/>
        <w:t xml:space="preserve">Kerzner, H. (2022) </w:t>
      </w:r>
      <w:r w:rsidRPr="004266B3">
        <w:rPr>
          <w:rFonts w:ascii="Arial" w:hAnsi="Arial" w:cs="Arial"/>
          <w:i/>
          <w:iCs/>
          <w:sz w:val="24"/>
          <w:szCs w:val="24"/>
        </w:rPr>
        <w:t>Project Management: A Systems Approach to Planning, Scheduling, and Controlling</w:t>
      </w:r>
      <w:r w:rsidRPr="004266B3">
        <w:rPr>
          <w:rFonts w:ascii="Arial" w:hAnsi="Arial" w:cs="Arial"/>
          <w:sz w:val="24"/>
          <w:szCs w:val="24"/>
        </w:rPr>
        <w:t>. 13th edn. Hoboken, NJ: Wiley.</w:t>
      </w:r>
    </w:p>
    <w:p w14:paraId="6D4CDC30"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Mir, F.A. and Pinnington, A.H. (2014) ‘Exploring the value of project management: Linking project management performance and project success’, </w:t>
      </w:r>
      <w:r w:rsidRPr="004266B3">
        <w:rPr>
          <w:rFonts w:ascii="Arial" w:hAnsi="Arial" w:cs="Arial"/>
          <w:i/>
          <w:iCs/>
          <w:sz w:val="24"/>
          <w:szCs w:val="24"/>
        </w:rPr>
        <w:t>International Journal of Project Management</w:t>
      </w:r>
      <w:r w:rsidRPr="004266B3">
        <w:rPr>
          <w:rFonts w:ascii="Arial" w:hAnsi="Arial" w:cs="Arial"/>
          <w:sz w:val="24"/>
          <w:szCs w:val="24"/>
        </w:rPr>
        <w:t>, 32(2), pp. 202–217. doi: 10.1016/j.ijproman.2013.05.012.</w:t>
      </w:r>
    </w:p>
    <w:p w14:paraId="38A81AF1"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National Institute of Standards and Technology (NIST) (2024) </w:t>
      </w:r>
      <w:r w:rsidRPr="004266B3">
        <w:rPr>
          <w:rFonts w:ascii="Arial" w:hAnsi="Arial" w:cs="Arial"/>
          <w:i/>
          <w:iCs/>
          <w:sz w:val="24"/>
          <w:szCs w:val="24"/>
        </w:rPr>
        <w:t>The NIST Cybersecurity Framework 2.0</w:t>
      </w:r>
      <w:r w:rsidRPr="004266B3">
        <w:rPr>
          <w:rFonts w:ascii="Arial" w:hAnsi="Arial" w:cs="Arial"/>
          <w:sz w:val="24"/>
          <w:szCs w:val="24"/>
        </w:rPr>
        <w:t>. NIST CSWP 29. Gaithersburg, MD: National Institute of Standards and Technology. Available at: NIST website (Accessed: 12 July 2026). doi: 10.6028/NIST.CSWP.29.</w:t>
      </w:r>
    </w:p>
    <w:p w14:paraId="241E72FC"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Nicholas, J.M. and Steyn, H. (2020) </w:t>
      </w:r>
      <w:r w:rsidRPr="004266B3">
        <w:rPr>
          <w:rFonts w:ascii="Arial" w:hAnsi="Arial" w:cs="Arial"/>
          <w:i/>
          <w:iCs/>
          <w:sz w:val="24"/>
          <w:szCs w:val="24"/>
        </w:rPr>
        <w:t>Project Management for Engineering, Business and Technology</w:t>
      </w:r>
      <w:r w:rsidRPr="004266B3">
        <w:rPr>
          <w:rFonts w:ascii="Arial" w:hAnsi="Arial" w:cs="Arial"/>
          <w:sz w:val="24"/>
          <w:szCs w:val="24"/>
        </w:rPr>
        <w:t>. 6th edn. Abingdon: Routledge.</w:t>
      </w:r>
    </w:p>
    <w:p w14:paraId="3F2DE272"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Oliveira, G.F. de and Rabechini, R. Jr (2019) ‘Stakeholder management influence on trust in a project: A quantitative study’, </w:t>
      </w:r>
      <w:r w:rsidRPr="004266B3">
        <w:rPr>
          <w:rFonts w:ascii="Arial" w:hAnsi="Arial" w:cs="Arial"/>
          <w:i/>
          <w:iCs/>
          <w:sz w:val="24"/>
          <w:szCs w:val="24"/>
        </w:rPr>
        <w:t>International Journal of Project Management</w:t>
      </w:r>
      <w:r w:rsidRPr="004266B3">
        <w:rPr>
          <w:rFonts w:ascii="Arial" w:hAnsi="Arial" w:cs="Arial"/>
          <w:sz w:val="24"/>
          <w:szCs w:val="24"/>
        </w:rPr>
        <w:t>, 37(1), pp. 131–144. doi: 10.1016/j.ijproman.2018.11.001.</w:t>
      </w:r>
    </w:p>
    <w:p w14:paraId="5E551265"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Oppong, G.D., Chan, A.P.C. and Dansoh, A. (2017) ‘A review of stakeholder management performance attributes in construction projects’, </w:t>
      </w:r>
      <w:r w:rsidRPr="004266B3">
        <w:rPr>
          <w:rFonts w:ascii="Arial" w:hAnsi="Arial" w:cs="Arial"/>
          <w:i/>
          <w:iCs/>
          <w:sz w:val="24"/>
          <w:szCs w:val="24"/>
        </w:rPr>
        <w:t>International Journal of Project Management</w:t>
      </w:r>
      <w:r w:rsidRPr="004266B3">
        <w:rPr>
          <w:rFonts w:ascii="Arial" w:hAnsi="Arial" w:cs="Arial"/>
          <w:sz w:val="24"/>
          <w:szCs w:val="24"/>
        </w:rPr>
        <w:t>, 35(6), pp. 1037–1051. doi: 10.1016/j.ijproman.2017.04.015.</w:t>
      </w:r>
    </w:p>
    <w:p w14:paraId="00AF8483"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Project Management Institute (PMI) (2021) </w:t>
      </w:r>
      <w:r w:rsidRPr="004266B3">
        <w:rPr>
          <w:rFonts w:ascii="Arial" w:hAnsi="Arial" w:cs="Arial"/>
          <w:i/>
          <w:iCs/>
          <w:sz w:val="24"/>
          <w:szCs w:val="24"/>
        </w:rPr>
        <w:t>A Guide to the Project Management Body of Knowledge: PMBOK Guide</w:t>
      </w:r>
      <w:r w:rsidRPr="004266B3">
        <w:rPr>
          <w:rFonts w:ascii="Arial" w:hAnsi="Arial" w:cs="Arial"/>
          <w:sz w:val="24"/>
          <w:szCs w:val="24"/>
        </w:rPr>
        <w:t>. 7th edn. Newtown Square, PA: Project Management Institute.</w:t>
      </w:r>
    </w:p>
    <w:p w14:paraId="687B4491"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Serrador, P. and Pinto, J.K. (2015) ‘Does Agile work? A quantitative analysis of Agile project success’, </w:t>
      </w:r>
      <w:r w:rsidRPr="004266B3">
        <w:rPr>
          <w:rFonts w:ascii="Arial" w:hAnsi="Arial" w:cs="Arial"/>
          <w:i/>
          <w:iCs/>
          <w:sz w:val="24"/>
          <w:szCs w:val="24"/>
        </w:rPr>
        <w:t>International Journal of Project Management</w:t>
      </w:r>
      <w:r w:rsidRPr="004266B3">
        <w:rPr>
          <w:rFonts w:ascii="Arial" w:hAnsi="Arial" w:cs="Arial"/>
          <w:sz w:val="24"/>
          <w:szCs w:val="24"/>
        </w:rPr>
        <w:t>, 33(5), pp. 1040–1051. doi: 10.1016/j.ijproman.2015.01.006.</w:t>
      </w:r>
    </w:p>
    <w:p w14:paraId="5C026A9B" w14:textId="77777777" w:rsidR="004266B3" w:rsidRPr="004266B3" w:rsidRDefault="004266B3" w:rsidP="004266B3">
      <w:pPr>
        <w:spacing w:line="360" w:lineRule="auto"/>
        <w:ind w:left="-567"/>
        <w:rPr>
          <w:rFonts w:ascii="Arial" w:hAnsi="Arial" w:cs="Arial"/>
          <w:sz w:val="24"/>
          <w:szCs w:val="24"/>
        </w:rPr>
      </w:pPr>
      <w:r w:rsidRPr="004266B3">
        <w:rPr>
          <w:rFonts w:ascii="Arial" w:hAnsi="Arial" w:cs="Arial"/>
          <w:sz w:val="24"/>
          <w:szCs w:val="24"/>
        </w:rPr>
        <w:t xml:space="preserve">Too, E.G. and Weaver, P. (2014) ‘The management of project management: A conceptual framework for project governance’, </w:t>
      </w:r>
      <w:r w:rsidRPr="004266B3">
        <w:rPr>
          <w:rFonts w:ascii="Arial" w:hAnsi="Arial" w:cs="Arial"/>
          <w:i/>
          <w:iCs/>
          <w:sz w:val="24"/>
          <w:szCs w:val="24"/>
        </w:rPr>
        <w:t>International Journal of Project Management</w:t>
      </w:r>
      <w:r w:rsidRPr="004266B3">
        <w:rPr>
          <w:rFonts w:ascii="Arial" w:hAnsi="Arial" w:cs="Arial"/>
          <w:sz w:val="24"/>
          <w:szCs w:val="24"/>
        </w:rPr>
        <w:t>, 32(8), pp. 1382–1394. doi: 10.1016/j.ijproman.2013.07.006.</w:t>
      </w:r>
    </w:p>
    <w:p w14:paraId="3B73F5AE" w14:textId="77777777" w:rsidR="004266B3" w:rsidRPr="00250B5C" w:rsidRDefault="004266B3" w:rsidP="006F5430">
      <w:pPr>
        <w:spacing w:line="360" w:lineRule="auto"/>
        <w:ind w:left="-567"/>
        <w:rPr>
          <w:rFonts w:ascii="Arial" w:hAnsi="Arial" w:cs="Arial"/>
          <w:sz w:val="24"/>
          <w:szCs w:val="24"/>
        </w:rPr>
      </w:pPr>
    </w:p>
    <w:sectPr w:rsidR="004266B3" w:rsidRPr="00250B5C" w:rsidSect="00250B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24691"/>
    <w:multiLevelType w:val="multilevel"/>
    <w:tmpl w:val="DD083D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5659F8"/>
    <w:multiLevelType w:val="multilevel"/>
    <w:tmpl w:val="801C2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9D3A32"/>
    <w:multiLevelType w:val="multilevel"/>
    <w:tmpl w:val="BB2AB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3844336">
    <w:abstractNumId w:val="1"/>
  </w:num>
  <w:num w:numId="2" w16cid:durableId="336156965">
    <w:abstractNumId w:val="2"/>
  </w:num>
  <w:num w:numId="3" w16cid:durableId="6860973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156"/>
    <w:rsid w:val="000105EC"/>
    <w:rsid w:val="001A4BD5"/>
    <w:rsid w:val="00250B5C"/>
    <w:rsid w:val="002765BF"/>
    <w:rsid w:val="002A6BBC"/>
    <w:rsid w:val="003970DD"/>
    <w:rsid w:val="004266B3"/>
    <w:rsid w:val="00437156"/>
    <w:rsid w:val="004C4488"/>
    <w:rsid w:val="005C042B"/>
    <w:rsid w:val="006307DF"/>
    <w:rsid w:val="006F5430"/>
    <w:rsid w:val="00766EA5"/>
    <w:rsid w:val="008231F3"/>
    <w:rsid w:val="009F1CC3"/>
    <w:rsid w:val="00A13F1E"/>
    <w:rsid w:val="00B36801"/>
    <w:rsid w:val="00B840A8"/>
    <w:rsid w:val="00C037EC"/>
    <w:rsid w:val="00C15300"/>
    <w:rsid w:val="00C526FA"/>
    <w:rsid w:val="00C533EB"/>
    <w:rsid w:val="00F5219D"/>
    <w:rsid w:val="00FD04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071639"/>
  <w15:chartTrackingRefBased/>
  <w15:docId w15:val="{7418DB05-9B3B-4296-B7A3-84E97C078A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71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371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3715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3715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3715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3715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715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715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715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15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3715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3715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3715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3715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3715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715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715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7156"/>
    <w:rPr>
      <w:rFonts w:eastAsiaTheme="majorEastAsia" w:cstheme="majorBidi"/>
      <w:color w:val="272727" w:themeColor="text1" w:themeTint="D8"/>
    </w:rPr>
  </w:style>
  <w:style w:type="paragraph" w:styleId="Title">
    <w:name w:val="Title"/>
    <w:basedOn w:val="Normal"/>
    <w:next w:val="Normal"/>
    <w:link w:val="TitleChar"/>
    <w:uiPriority w:val="10"/>
    <w:qFormat/>
    <w:rsid w:val="004371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715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715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715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7156"/>
    <w:pPr>
      <w:spacing w:before="160"/>
      <w:jc w:val="center"/>
    </w:pPr>
    <w:rPr>
      <w:i/>
      <w:iCs/>
      <w:color w:val="404040" w:themeColor="text1" w:themeTint="BF"/>
    </w:rPr>
  </w:style>
  <w:style w:type="character" w:customStyle="1" w:styleId="QuoteChar">
    <w:name w:val="Quote Char"/>
    <w:basedOn w:val="DefaultParagraphFont"/>
    <w:link w:val="Quote"/>
    <w:uiPriority w:val="29"/>
    <w:rsid w:val="00437156"/>
    <w:rPr>
      <w:i/>
      <w:iCs/>
      <w:color w:val="404040" w:themeColor="text1" w:themeTint="BF"/>
    </w:rPr>
  </w:style>
  <w:style w:type="paragraph" w:styleId="ListParagraph">
    <w:name w:val="List Paragraph"/>
    <w:basedOn w:val="Normal"/>
    <w:uiPriority w:val="34"/>
    <w:qFormat/>
    <w:rsid w:val="00437156"/>
    <w:pPr>
      <w:ind w:left="720"/>
      <w:contextualSpacing/>
    </w:pPr>
  </w:style>
  <w:style w:type="character" w:styleId="IntenseEmphasis">
    <w:name w:val="Intense Emphasis"/>
    <w:basedOn w:val="DefaultParagraphFont"/>
    <w:uiPriority w:val="21"/>
    <w:qFormat/>
    <w:rsid w:val="00437156"/>
    <w:rPr>
      <w:i/>
      <w:iCs/>
      <w:color w:val="0F4761" w:themeColor="accent1" w:themeShade="BF"/>
    </w:rPr>
  </w:style>
  <w:style w:type="paragraph" w:styleId="IntenseQuote">
    <w:name w:val="Intense Quote"/>
    <w:basedOn w:val="Normal"/>
    <w:next w:val="Normal"/>
    <w:link w:val="IntenseQuoteChar"/>
    <w:uiPriority w:val="30"/>
    <w:qFormat/>
    <w:rsid w:val="004371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37156"/>
    <w:rPr>
      <w:i/>
      <w:iCs/>
      <w:color w:val="0F4761" w:themeColor="accent1" w:themeShade="BF"/>
    </w:rPr>
  </w:style>
  <w:style w:type="character" w:styleId="IntenseReference">
    <w:name w:val="Intense Reference"/>
    <w:basedOn w:val="DefaultParagraphFont"/>
    <w:uiPriority w:val="32"/>
    <w:qFormat/>
    <w:rsid w:val="00437156"/>
    <w:rPr>
      <w:b/>
      <w:bCs/>
      <w:smallCaps/>
      <w:color w:val="0F4761" w:themeColor="accent1" w:themeShade="BF"/>
      <w:spacing w:val="5"/>
    </w:rPr>
  </w:style>
  <w:style w:type="table" w:styleId="TableGridLight">
    <w:name w:val="Grid Table Light"/>
    <w:basedOn w:val="TableNormal"/>
    <w:uiPriority w:val="40"/>
    <w:rsid w:val="00B3680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F5219D"/>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3">
    <w:name w:val="Plain Table 3"/>
    <w:basedOn w:val="TableNormal"/>
    <w:uiPriority w:val="43"/>
    <w:rsid w:val="002765BF"/>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eGrid">
    <w:name w:val="Table Grid"/>
    <w:basedOn w:val="TableNormal"/>
    <w:uiPriority w:val="39"/>
    <w:rsid w:val="001A4B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1A4BD5"/>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yperlink">
    <w:name w:val="Hyperlink"/>
    <w:basedOn w:val="DefaultParagraphFont"/>
    <w:uiPriority w:val="99"/>
    <w:unhideWhenUsed/>
    <w:rsid w:val="00C15300"/>
    <w:rPr>
      <w:color w:val="467886" w:themeColor="hyperlink"/>
      <w:u w:val="single"/>
    </w:rPr>
  </w:style>
  <w:style w:type="character" w:styleId="UnresolvedMention">
    <w:name w:val="Unresolved Mention"/>
    <w:basedOn w:val="DefaultParagraphFont"/>
    <w:uiPriority w:val="99"/>
    <w:semiHidden/>
    <w:unhideWhenUsed/>
    <w:rsid w:val="00C153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sv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18</Pages>
  <Words>3410</Words>
  <Characters>21693</Characters>
  <Application>Microsoft Office Word</Application>
  <DocSecurity>0</DocSecurity>
  <Lines>638</Lines>
  <Paragraphs>374</Paragraphs>
  <ScaleCrop>false</ScaleCrop>
  <Company/>
  <LinksUpToDate>false</LinksUpToDate>
  <CharactersWithSpaces>24729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 a</cp:lastModifiedBy>
  <cp:revision>19</cp:revision>
  <dcterms:created xsi:type="dcterms:W3CDTF">2026-07-19T15:13:00Z</dcterms:created>
  <dcterms:modified xsi:type="dcterms:W3CDTF">2026-07-19T17:22:00Z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3ef5b84d-5015-4766-b136-474978c96e18</vt:lpwstr>
  </property>
</Properties>
</file>