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D6DE1" w14:textId="77777777" w:rsidR="000032AC" w:rsidRDefault="000032AC">
      <w:pPr>
        <w:pStyle w:val="Normal1"/>
        <w:rPr>
          <w:b/>
          <w:highlight w:val="yellow"/>
        </w:rPr>
      </w:pPr>
    </w:p>
    <w:p w14:paraId="51CD0D81" w14:textId="77777777" w:rsidR="000032AC" w:rsidRDefault="000032AC">
      <w:pPr>
        <w:pStyle w:val="Normal1"/>
        <w:rPr>
          <w:b/>
        </w:rPr>
      </w:pPr>
    </w:p>
    <w:p w14:paraId="428BF39E" w14:textId="77777777" w:rsidR="000032AC" w:rsidRDefault="000032AC">
      <w:pPr>
        <w:pStyle w:val="Normal1"/>
      </w:pPr>
    </w:p>
    <w:p w14:paraId="64B2285B" w14:textId="77777777" w:rsidR="00B6790C" w:rsidRDefault="00B6790C">
      <w:pPr>
        <w:pStyle w:val="Normal1"/>
        <w:jc w:val="center"/>
        <w:rPr>
          <w:b/>
          <w:sz w:val="32"/>
          <w:szCs w:val="32"/>
        </w:rPr>
      </w:pPr>
    </w:p>
    <w:p w14:paraId="5323E2C5" w14:textId="77777777" w:rsidR="00B6790C" w:rsidRDefault="00B6790C">
      <w:pPr>
        <w:pStyle w:val="Normal1"/>
        <w:jc w:val="center"/>
        <w:rPr>
          <w:b/>
          <w:sz w:val="32"/>
          <w:szCs w:val="32"/>
        </w:rPr>
      </w:pPr>
    </w:p>
    <w:p w14:paraId="0E0DC181" w14:textId="21C30F04" w:rsidR="000032AC" w:rsidRDefault="00000000">
      <w:pPr>
        <w:pStyle w:val="Normal1"/>
        <w:jc w:val="center"/>
        <w:rPr>
          <w:b/>
          <w:sz w:val="32"/>
          <w:szCs w:val="32"/>
        </w:rPr>
      </w:pPr>
      <w:r>
        <w:rPr>
          <w:b/>
          <w:sz w:val="32"/>
          <w:szCs w:val="32"/>
        </w:rPr>
        <w:t>LCMB7001</w:t>
      </w:r>
    </w:p>
    <w:p w14:paraId="40C521D1" w14:textId="77777777" w:rsidR="000032AC" w:rsidRDefault="000032AC">
      <w:pPr>
        <w:pStyle w:val="Normal1"/>
        <w:jc w:val="center"/>
        <w:rPr>
          <w:b/>
          <w:sz w:val="32"/>
          <w:szCs w:val="32"/>
        </w:rPr>
      </w:pPr>
    </w:p>
    <w:p w14:paraId="65AF325B" w14:textId="77777777" w:rsidR="000032AC" w:rsidRDefault="00000000">
      <w:pPr>
        <w:pStyle w:val="Normal1"/>
        <w:jc w:val="center"/>
        <w:rPr>
          <w:b/>
          <w:sz w:val="32"/>
          <w:szCs w:val="32"/>
        </w:rPr>
      </w:pPr>
      <w:r>
        <w:rPr>
          <w:b/>
          <w:sz w:val="32"/>
          <w:szCs w:val="32"/>
        </w:rPr>
        <w:t>Marketing Management Assessment 1</w:t>
      </w:r>
    </w:p>
    <w:p w14:paraId="0D2BA853" w14:textId="77777777" w:rsidR="000032AC" w:rsidRDefault="00000000">
      <w:pPr>
        <w:pStyle w:val="Normal1"/>
        <w:jc w:val="center"/>
        <w:rPr>
          <w:b/>
          <w:sz w:val="32"/>
          <w:szCs w:val="32"/>
        </w:rPr>
      </w:pPr>
      <w:r>
        <w:rPr>
          <w:b/>
          <w:sz w:val="32"/>
          <w:szCs w:val="32"/>
        </w:rPr>
        <w:t>Priyanka Mithil Raval</w:t>
      </w:r>
    </w:p>
    <w:p w14:paraId="5EE534C5" w14:textId="77777777" w:rsidR="000032AC" w:rsidRDefault="00000000">
      <w:pPr>
        <w:pStyle w:val="Normal1"/>
        <w:jc w:val="center"/>
        <w:rPr>
          <w:b/>
          <w:sz w:val="32"/>
          <w:szCs w:val="32"/>
        </w:rPr>
      </w:pPr>
      <w:r>
        <w:rPr>
          <w:b/>
          <w:sz w:val="32"/>
          <w:szCs w:val="32"/>
        </w:rPr>
        <w:t>Student ID: 2225567</w:t>
      </w:r>
    </w:p>
    <w:p w14:paraId="1A264163" w14:textId="77777777" w:rsidR="000032AC" w:rsidRDefault="000032AC">
      <w:pPr>
        <w:pStyle w:val="Normal1"/>
        <w:rPr>
          <w:b/>
        </w:rPr>
      </w:pPr>
    </w:p>
    <w:p w14:paraId="48A721F2" w14:textId="22BF8300" w:rsidR="00B6790C" w:rsidRDefault="00B6790C">
      <w:pPr>
        <w:rPr>
          <w:b/>
        </w:rPr>
      </w:pPr>
      <w:r>
        <w:rPr>
          <w:b/>
        </w:rPr>
        <w:br w:type="page"/>
      </w:r>
    </w:p>
    <w:sdt>
      <w:sdtPr>
        <w:rPr>
          <w:rFonts w:ascii="Times New Roman" w:hAnsi="Times New Roman" w:cs="Times New Roman"/>
          <w:sz w:val="24"/>
          <w:szCs w:val="24"/>
        </w:rPr>
        <w:id w:val="-1773695079"/>
        <w:docPartObj>
          <w:docPartGallery w:val="Table of Contents"/>
          <w:docPartUnique/>
        </w:docPartObj>
      </w:sdtPr>
      <w:sdtEndPr>
        <w:rPr>
          <w:rFonts w:eastAsia="Times New Roman"/>
          <w:b/>
          <w:bCs/>
          <w:noProof/>
          <w:color w:val="auto"/>
          <w:lang w:val="en"/>
        </w:rPr>
      </w:sdtEndPr>
      <w:sdtContent>
        <w:p w14:paraId="2C2194D4" w14:textId="41C64EF5" w:rsidR="00B6790C" w:rsidRPr="00B6790C" w:rsidRDefault="00B6790C" w:rsidP="00B6790C">
          <w:pPr>
            <w:pStyle w:val="TOCHeading"/>
            <w:jc w:val="center"/>
            <w:rPr>
              <w:rFonts w:ascii="Times New Roman" w:hAnsi="Times New Roman" w:cs="Times New Roman"/>
              <w:b/>
              <w:bCs/>
              <w:color w:val="000000" w:themeColor="text1"/>
              <w:sz w:val="24"/>
              <w:szCs w:val="24"/>
            </w:rPr>
          </w:pPr>
          <w:r w:rsidRPr="00B6790C">
            <w:rPr>
              <w:rFonts w:ascii="Times New Roman" w:hAnsi="Times New Roman" w:cs="Times New Roman"/>
              <w:b/>
              <w:bCs/>
              <w:color w:val="000000" w:themeColor="text1"/>
              <w:sz w:val="24"/>
              <w:szCs w:val="24"/>
            </w:rPr>
            <w:t>Table of Contents</w:t>
          </w:r>
        </w:p>
        <w:p w14:paraId="6DAAFCDB" w14:textId="4340D115"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r w:rsidRPr="00B6790C">
            <w:fldChar w:fldCharType="begin"/>
          </w:r>
          <w:r w:rsidRPr="00B6790C">
            <w:instrText xml:space="preserve"> TOC \o "1-3" \h \z \u </w:instrText>
          </w:r>
          <w:r w:rsidRPr="00B6790C">
            <w:fldChar w:fldCharType="separate"/>
          </w:r>
          <w:hyperlink w:anchor="_Toc144145563" w:history="1">
            <w:r w:rsidRPr="00F705A8">
              <w:rPr>
                <w:rStyle w:val="Hyperlink"/>
                <w:noProof/>
              </w:rPr>
              <w:t>Introduction and background information</w:t>
            </w:r>
            <w:r>
              <w:rPr>
                <w:noProof/>
                <w:webHidden/>
              </w:rPr>
              <w:tab/>
            </w:r>
            <w:r>
              <w:rPr>
                <w:noProof/>
                <w:webHidden/>
              </w:rPr>
              <w:fldChar w:fldCharType="begin"/>
            </w:r>
            <w:r>
              <w:rPr>
                <w:noProof/>
                <w:webHidden/>
              </w:rPr>
              <w:instrText xml:space="preserve"> PAGEREF _Toc144145563 \h </w:instrText>
            </w:r>
            <w:r>
              <w:rPr>
                <w:noProof/>
                <w:webHidden/>
              </w:rPr>
            </w:r>
            <w:r>
              <w:rPr>
                <w:noProof/>
                <w:webHidden/>
              </w:rPr>
              <w:fldChar w:fldCharType="separate"/>
            </w:r>
            <w:r>
              <w:rPr>
                <w:noProof/>
                <w:webHidden/>
              </w:rPr>
              <w:t>2</w:t>
            </w:r>
            <w:r>
              <w:rPr>
                <w:noProof/>
                <w:webHidden/>
              </w:rPr>
              <w:fldChar w:fldCharType="end"/>
            </w:r>
          </w:hyperlink>
        </w:p>
        <w:p w14:paraId="53B35E36" w14:textId="62C6D867"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64" w:history="1">
            <w:r w:rsidRPr="00F705A8">
              <w:rPr>
                <w:rStyle w:val="Hyperlink"/>
                <w:noProof/>
              </w:rPr>
              <w:t>Understanding communication and communication models to improve communication tactics of the organisation</w:t>
            </w:r>
            <w:r>
              <w:rPr>
                <w:noProof/>
                <w:webHidden/>
              </w:rPr>
              <w:tab/>
            </w:r>
            <w:r>
              <w:rPr>
                <w:noProof/>
                <w:webHidden/>
              </w:rPr>
              <w:fldChar w:fldCharType="begin"/>
            </w:r>
            <w:r>
              <w:rPr>
                <w:noProof/>
                <w:webHidden/>
              </w:rPr>
              <w:instrText xml:space="preserve"> PAGEREF _Toc144145564 \h </w:instrText>
            </w:r>
            <w:r>
              <w:rPr>
                <w:noProof/>
                <w:webHidden/>
              </w:rPr>
            </w:r>
            <w:r>
              <w:rPr>
                <w:noProof/>
                <w:webHidden/>
              </w:rPr>
              <w:fldChar w:fldCharType="separate"/>
            </w:r>
            <w:r>
              <w:rPr>
                <w:noProof/>
                <w:webHidden/>
              </w:rPr>
              <w:t>2</w:t>
            </w:r>
            <w:r>
              <w:rPr>
                <w:noProof/>
                <w:webHidden/>
              </w:rPr>
              <w:fldChar w:fldCharType="end"/>
            </w:r>
          </w:hyperlink>
        </w:p>
        <w:p w14:paraId="233212D0" w14:textId="31B0DD39"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65" w:history="1">
            <w:r w:rsidRPr="00F705A8">
              <w:rPr>
                <w:rStyle w:val="Hyperlink"/>
                <w:noProof/>
              </w:rPr>
              <w:t>Understanding Integrated Marketing Communications to increase brand awareness through the use of innovative promotional strategies</w:t>
            </w:r>
            <w:r>
              <w:rPr>
                <w:noProof/>
                <w:webHidden/>
              </w:rPr>
              <w:tab/>
            </w:r>
            <w:r>
              <w:rPr>
                <w:noProof/>
                <w:webHidden/>
              </w:rPr>
              <w:fldChar w:fldCharType="begin"/>
            </w:r>
            <w:r>
              <w:rPr>
                <w:noProof/>
                <w:webHidden/>
              </w:rPr>
              <w:instrText xml:space="preserve"> PAGEREF _Toc144145565 \h </w:instrText>
            </w:r>
            <w:r>
              <w:rPr>
                <w:noProof/>
                <w:webHidden/>
              </w:rPr>
            </w:r>
            <w:r>
              <w:rPr>
                <w:noProof/>
                <w:webHidden/>
              </w:rPr>
              <w:fldChar w:fldCharType="separate"/>
            </w:r>
            <w:r>
              <w:rPr>
                <w:noProof/>
                <w:webHidden/>
              </w:rPr>
              <w:t>4</w:t>
            </w:r>
            <w:r>
              <w:rPr>
                <w:noProof/>
                <w:webHidden/>
              </w:rPr>
              <w:fldChar w:fldCharType="end"/>
            </w:r>
          </w:hyperlink>
        </w:p>
        <w:p w14:paraId="53087D31" w14:textId="53FB747F"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66" w:history="1">
            <w:r w:rsidRPr="00F705A8">
              <w:rPr>
                <w:rStyle w:val="Hyperlink"/>
                <w:noProof/>
              </w:rPr>
              <w:t>Branding and brand equity</w:t>
            </w:r>
            <w:r>
              <w:rPr>
                <w:noProof/>
                <w:webHidden/>
              </w:rPr>
              <w:tab/>
            </w:r>
            <w:r>
              <w:rPr>
                <w:noProof/>
                <w:webHidden/>
              </w:rPr>
              <w:fldChar w:fldCharType="begin"/>
            </w:r>
            <w:r>
              <w:rPr>
                <w:noProof/>
                <w:webHidden/>
              </w:rPr>
              <w:instrText xml:space="preserve"> PAGEREF _Toc144145566 \h </w:instrText>
            </w:r>
            <w:r>
              <w:rPr>
                <w:noProof/>
                <w:webHidden/>
              </w:rPr>
            </w:r>
            <w:r>
              <w:rPr>
                <w:noProof/>
                <w:webHidden/>
              </w:rPr>
              <w:fldChar w:fldCharType="separate"/>
            </w:r>
            <w:r>
              <w:rPr>
                <w:noProof/>
                <w:webHidden/>
              </w:rPr>
              <w:t>6</w:t>
            </w:r>
            <w:r>
              <w:rPr>
                <w:noProof/>
                <w:webHidden/>
              </w:rPr>
              <w:fldChar w:fldCharType="end"/>
            </w:r>
          </w:hyperlink>
        </w:p>
        <w:p w14:paraId="07B7B385" w14:textId="4D5F8F13"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67" w:history="1">
            <w:r w:rsidRPr="00F705A8">
              <w:rPr>
                <w:rStyle w:val="Hyperlink"/>
                <w:noProof/>
              </w:rPr>
              <w:t>Relating Aaker's Brand Equity Model to The Midlands Greek and Cypriot Association</w:t>
            </w:r>
            <w:r>
              <w:rPr>
                <w:noProof/>
                <w:webHidden/>
              </w:rPr>
              <w:tab/>
            </w:r>
            <w:r>
              <w:rPr>
                <w:noProof/>
                <w:webHidden/>
              </w:rPr>
              <w:fldChar w:fldCharType="begin"/>
            </w:r>
            <w:r>
              <w:rPr>
                <w:noProof/>
                <w:webHidden/>
              </w:rPr>
              <w:instrText xml:space="preserve"> PAGEREF _Toc144145567 \h </w:instrText>
            </w:r>
            <w:r>
              <w:rPr>
                <w:noProof/>
                <w:webHidden/>
              </w:rPr>
            </w:r>
            <w:r>
              <w:rPr>
                <w:noProof/>
                <w:webHidden/>
              </w:rPr>
              <w:fldChar w:fldCharType="separate"/>
            </w:r>
            <w:r>
              <w:rPr>
                <w:noProof/>
                <w:webHidden/>
              </w:rPr>
              <w:t>7</w:t>
            </w:r>
            <w:r>
              <w:rPr>
                <w:noProof/>
                <w:webHidden/>
              </w:rPr>
              <w:fldChar w:fldCharType="end"/>
            </w:r>
          </w:hyperlink>
        </w:p>
        <w:p w14:paraId="2D6EAC51" w14:textId="3B96296A" w:rsidR="00B6790C" w:rsidRDefault="00B6790C">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68" w:history="1">
            <w:r w:rsidRPr="00F705A8">
              <w:rPr>
                <w:rStyle w:val="Hyperlink"/>
                <w:noProof/>
              </w:rPr>
              <w:t>The Advantages and Disadvantages of Aaker's Brand Equity Model</w:t>
            </w:r>
            <w:r>
              <w:rPr>
                <w:noProof/>
                <w:webHidden/>
              </w:rPr>
              <w:tab/>
            </w:r>
            <w:r>
              <w:rPr>
                <w:noProof/>
                <w:webHidden/>
              </w:rPr>
              <w:fldChar w:fldCharType="begin"/>
            </w:r>
            <w:r>
              <w:rPr>
                <w:noProof/>
                <w:webHidden/>
              </w:rPr>
              <w:instrText xml:space="preserve"> PAGEREF _Toc144145568 \h </w:instrText>
            </w:r>
            <w:r>
              <w:rPr>
                <w:noProof/>
                <w:webHidden/>
              </w:rPr>
            </w:r>
            <w:r>
              <w:rPr>
                <w:noProof/>
                <w:webHidden/>
              </w:rPr>
              <w:fldChar w:fldCharType="separate"/>
            </w:r>
            <w:r>
              <w:rPr>
                <w:noProof/>
                <w:webHidden/>
              </w:rPr>
              <w:t>8</w:t>
            </w:r>
            <w:r>
              <w:rPr>
                <w:noProof/>
                <w:webHidden/>
              </w:rPr>
              <w:fldChar w:fldCharType="end"/>
            </w:r>
          </w:hyperlink>
        </w:p>
        <w:p w14:paraId="09D55F58" w14:textId="68CED97F"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69" w:history="1">
            <w:r w:rsidRPr="00F705A8">
              <w:rPr>
                <w:rStyle w:val="Hyperlink"/>
                <w:noProof/>
              </w:rPr>
              <w:t>Discussing the customer journey, customer touchpoints and customer journey maps the organisation</w:t>
            </w:r>
            <w:r>
              <w:rPr>
                <w:noProof/>
                <w:webHidden/>
              </w:rPr>
              <w:tab/>
            </w:r>
            <w:r>
              <w:rPr>
                <w:noProof/>
                <w:webHidden/>
              </w:rPr>
              <w:fldChar w:fldCharType="begin"/>
            </w:r>
            <w:r>
              <w:rPr>
                <w:noProof/>
                <w:webHidden/>
              </w:rPr>
              <w:instrText xml:space="preserve"> PAGEREF _Toc144145569 \h </w:instrText>
            </w:r>
            <w:r>
              <w:rPr>
                <w:noProof/>
                <w:webHidden/>
              </w:rPr>
            </w:r>
            <w:r>
              <w:rPr>
                <w:noProof/>
                <w:webHidden/>
              </w:rPr>
              <w:fldChar w:fldCharType="separate"/>
            </w:r>
            <w:r>
              <w:rPr>
                <w:noProof/>
                <w:webHidden/>
              </w:rPr>
              <w:t>8</w:t>
            </w:r>
            <w:r>
              <w:rPr>
                <w:noProof/>
                <w:webHidden/>
              </w:rPr>
              <w:fldChar w:fldCharType="end"/>
            </w:r>
          </w:hyperlink>
        </w:p>
        <w:p w14:paraId="59B7641F" w14:textId="1D1131C7"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70" w:history="1">
            <w:r w:rsidRPr="00F705A8">
              <w:rPr>
                <w:rStyle w:val="Hyperlink"/>
                <w:noProof/>
              </w:rPr>
              <w:t>The Total Engagement Model related to the Association</w:t>
            </w:r>
            <w:r>
              <w:rPr>
                <w:noProof/>
                <w:webHidden/>
              </w:rPr>
              <w:tab/>
            </w:r>
            <w:r>
              <w:rPr>
                <w:noProof/>
                <w:webHidden/>
              </w:rPr>
              <w:fldChar w:fldCharType="begin"/>
            </w:r>
            <w:r>
              <w:rPr>
                <w:noProof/>
                <w:webHidden/>
              </w:rPr>
              <w:instrText xml:space="preserve"> PAGEREF _Toc144145570 \h </w:instrText>
            </w:r>
            <w:r>
              <w:rPr>
                <w:noProof/>
                <w:webHidden/>
              </w:rPr>
            </w:r>
            <w:r>
              <w:rPr>
                <w:noProof/>
                <w:webHidden/>
              </w:rPr>
              <w:fldChar w:fldCharType="separate"/>
            </w:r>
            <w:r>
              <w:rPr>
                <w:noProof/>
                <w:webHidden/>
              </w:rPr>
              <w:t>10</w:t>
            </w:r>
            <w:r>
              <w:rPr>
                <w:noProof/>
                <w:webHidden/>
              </w:rPr>
              <w:fldChar w:fldCharType="end"/>
            </w:r>
          </w:hyperlink>
        </w:p>
        <w:p w14:paraId="6B88D918" w14:textId="6B01C87A" w:rsidR="00B6790C" w:rsidRDefault="00B6790C">
          <w:pPr>
            <w:pStyle w:val="TOC2"/>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71" w:history="1">
            <w:r w:rsidRPr="00F705A8">
              <w:rPr>
                <w:rStyle w:val="Hyperlink"/>
                <w:noProof/>
              </w:rPr>
              <w:t>Step for creating engaged customers for the association</w:t>
            </w:r>
            <w:r>
              <w:rPr>
                <w:noProof/>
                <w:webHidden/>
              </w:rPr>
              <w:tab/>
            </w:r>
            <w:r>
              <w:rPr>
                <w:noProof/>
                <w:webHidden/>
              </w:rPr>
              <w:fldChar w:fldCharType="begin"/>
            </w:r>
            <w:r>
              <w:rPr>
                <w:noProof/>
                <w:webHidden/>
              </w:rPr>
              <w:instrText xml:space="preserve"> PAGEREF _Toc144145571 \h </w:instrText>
            </w:r>
            <w:r>
              <w:rPr>
                <w:noProof/>
                <w:webHidden/>
              </w:rPr>
            </w:r>
            <w:r>
              <w:rPr>
                <w:noProof/>
                <w:webHidden/>
              </w:rPr>
              <w:fldChar w:fldCharType="separate"/>
            </w:r>
            <w:r>
              <w:rPr>
                <w:noProof/>
                <w:webHidden/>
              </w:rPr>
              <w:t>11</w:t>
            </w:r>
            <w:r>
              <w:rPr>
                <w:noProof/>
                <w:webHidden/>
              </w:rPr>
              <w:fldChar w:fldCharType="end"/>
            </w:r>
          </w:hyperlink>
        </w:p>
        <w:p w14:paraId="7BFD53C5" w14:textId="05158C81"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72" w:history="1">
            <w:r w:rsidRPr="00F705A8">
              <w:rPr>
                <w:rStyle w:val="Hyperlink"/>
                <w:noProof/>
              </w:rPr>
              <w:t>Conclusion</w:t>
            </w:r>
            <w:r>
              <w:rPr>
                <w:noProof/>
                <w:webHidden/>
              </w:rPr>
              <w:tab/>
            </w:r>
            <w:r>
              <w:rPr>
                <w:noProof/>
                <w:webHidden/>
              </w:rPr>
              <w:fldChar w:fldCharType="begin"/>
            </w:r>
            <w:r>
              <w:rPr>
                <w:noProof/>
                <w:webHidden/>
              </w:rPr>
              <w:instrText xml:space="preserve"> PAGEREF _Toc144145572 \h </w:instrText>
            </w:r>
            <w:r>
              <w:rPr>
                <w:noProof/>
                <w:webHidden/>
              </w:rPr>
            </w:r>
            <w:r>
              <w:rPr>
                <w:noProof/>
                <w:webHidden/>
              </w:rPr>
              <w:fldChar w:fldCharType="separate"/>
            </w:r>
            <w:r>
              <w:rPr>
                <w:noProof/>
                <w:webHidden/>
              </w:rPr>
              <w:t>12</w:t>
            </w:r>
            <w:r>
              <w:rPr>
                <w:noProof/>
                <w:webHidden/>
              </w:rPr>
              <w:fldChar w:fldCharType="end"/>
            </w:r>
          </w:hyperlink>
        </w:p>
        <w:p w14:paraId="408395B1" w14:textId="0699D5F9" w:rsidR="00B6790C" w:rsidRDefault="00B6790C">
          <w:pPr>
            <w:pStyle w:val="TOC1"/>
            <w:tabs>
              <w:tab w:val="right" w:leader="dot" w:pos="9350"/>
            </w:tabs>
            <w:rPr>
              <w:rFonts w:asciiTheme="minorHAnsi" w:eastAsiaTheme="minorEastAsia" w:hAnsiTheme="minorHAnsi" w:cstheme="minorBidi"/>
              <w:noProof/>
              <w:kern w:val="2"/>
              <w:sz w:val="22"/>
              <w:szCs w:val="22"/>
              <w:lang w:val="en-IN" w:eastAsia="en-IN"/>
              <w14:ligatures w14:val="standardContextual"/>
            </w:rPr>
          </w:pPr>
          <w:hyperlink w:anchor="_Toc144145573" w:history="1">
            <w:r w:rsidRPr="00F705A8">
              <w:rPr>
                <w:rStyle w:val="Hyperlink"/>
                <w:noProof/>
              </w:rPr>
              <w:t>References</w:t>
            </w:r>
            <w:r>
              <w:rPr>
                <w:noProof/>
                <w:webHidden/>
              </w:rPr>
              <w:tab/>
            </w:r>
            <w:r>
              <w:rPr>
                <w:noProof/>
                <w:webHidden/>
              </w:rPr>
              <w:fldChar w:fldCharType="begin"/>
            </w:r>
            <w:r>
              <w:rPr>
                <w:noProof/>
                <w:webHidden/>
              </w:rPr>
              <w:instrText xml:space="preserve"> PAGEREF _Toc144145573 \h </w:instrText>
            </w:r>
            <w:r>
              <w:rPr>
                <w:noProof/>
                <w:webHidden/>
              </w:rPr>
            </w:r>
            <w:r>
              <w:rPr>
                <w:noProof/>
                <w:webHidden/>
              </w:rPr>
              <w:fldChar w:fldCharType="separate"/>
            </w:r>
            <w:r>
              <w:rPr>
                <w:noProof/>
                <w:webHidden/>
              </w:rPr>
              <w:t>13</w:t>
            </w:r>
            <w:r>
              <w:rPr>
                <w:noProof/>
                <w:webHidden/>
              </w:rPr>
              <w:fldChar w:fldCharType="end"/>
            </w:r>
          </w:hyperlink>
        </w:p>
        <w:p w14:paraId="1F5759DE" w14:textId="13127B26" w:rsidR="00B6790C" w:rsidRPr="00B6790C" w:rsidRDefault="00B6790C">
          <w:r w:rsidRPr="00B6790C">
            <w:rPr>
              <w:b/>
              <w:bCs/>
              <w:noProof/>
            </w:rPr>
            <w:fldChar w:fldCharType="end"/>
          </w:r>
        </w:p>
      </w:sdtContent>
    </w:sdt>
    <w:p w14:paraId="20FFCD36" w14:textId="77777777" w:rsidR="00B6790C" w:rsidRDefault="00B6790C" w:rsidP="00B6790C">
      <w:pPr>
        <w:pStyle w:val="Normal1"/>
        <w:jc w:val="center"/>
        <w:rPr>
          <w:b/>
        </w:rPr>
      </w:pPr>
    </w:p>
    <w:p w14:paraId="42384D1E" w14:textId="77777777" w:rsidR="00B6790C" w:rsidRDefault="00B6790C">
      <w:pPr>
        <w:rPr>
          <w:b/>
        </w:rPr>
      </w:pPr>
      <w:r>
        <w:rPr>
          <w:b/>
        </w:rPr>
        <w:br w:type="page"/>
      </w:r>
    </w:p>
    <w:p w14:paraId="28114BE7" w14:textId="107060A5" w:rsidR="000032AC" w:rsidRDefault="00B6790C" w:rsidP="00B6790C">
      <w:pPr>
        <w:pStyle w:val="Normal1"/>
        <w:jc w:val="center"/>
        <w:rPr>
          <w:b/>
        </w:rPr>
      </w:pPr>
      <w:r>
        <w:rPr>
          <w:b/>
        </w:rPr>
        <w:lastRenderedPageBreak/>
        <w:t>List of figures</w:t>
      </w:r>
    </w:p>
    <w:p w14:paraId="300B9990" w14:textId="277A49A0" w:rsidR="00B6790C" w:rsidRDefault="00B6790C">
      <w:pPr>
        <w:pStyle w:val="TableofFigures"/>
        <w:tabs>
          <w:tab w:val="right" w:leader="dot" w:pos="9350"/>
        </w:tabs>
        <w:rPr>
          <w:noProof/>
        </w:rPr>
      </w:pPr>
      <w:r>
        <w:rPr>
          <w:b/>
        </w:rPr>
        <w:fldChar w:fldCharType="begin"/>
      </w:r>
      <w:r>
        <w:rPr>
          <w:b/>
        </w:rPr>
        <w:instrText xml:space="preserve"> TOC \h \z \t "Heading 4" \c </w:instrText>
      </w:r>
      <w:r>
        <w:rPr>
          <w:b/>
        </w:rPr>
        <w:fldChar w:fldCharType="separate"/>
      </w:r>
      <w:hyperlink w:anchor="_Toc144145593" w:history="1">
        <w:r w:rsidRPr="00C17B02">
          <w:rPr>
            <w:rStyle w:val="Hyperlink"/>
            <w:noProof/>
          </w:rPr>
          <w:t>Figure 1: Berlo’s SMCR Model (1960)</w:t>
        </w:r>
        <w:r>
          <w:rPr>
            <w:noProof/>
            <w:webHidden/>
          </w:rPr>
          <w:tab/>
        </w:r>
        <w:r>
          <w:rPr>
            <w:noProof/>
            <w:webHidden/>
          </w:rPr>
          <w:fldChar w:fldCharType="begin"/>
        </w:r>
        <w:r>
          <w:rPr>
            <w:noProof/>
            <w:webHidden/>
          </w:rPr>
          <w:instrText xml:space="preserve"> PAGEREF _Toc144145593 \h </w:instrText>
        </w:r>
        <w:r>
          <w:rPr>
            <w:noProof/>
            <w:webHidden/>
          </w:rPr>
        </w:r>
        <w:r>
          <w:rPr>
            <w:noProof/>
            <w:webHidden/>
          </w:rPr>
          <w:fldChar w:fldCharType="separate"/>
        </w:r>
        <w:r>
          <w:rPr>
            <w:noProof/>
            <w:webHidden/>
          </w:rPr>
          <w:t>4</w:t>
        </w:r>
        <w:r>
          <w:rPr>
            <w:noProof/>
            <w:webHidden/>
          </w:rPr>
          <w:fldChar w:fldCharType="end"/>
        </w:r>
      </w:hyperlink>
    </w:p>
    <w:p w14:paraId="480F0699" w14:textId="2CF2F198" w:rsidR="00B6790C" w:rsidRDefault="00B6790C">
      <w:pPr>
        <w:pStyle w:val="TableofFigures"/>
        <w:tabs>
          <w:tab w:val="right" w:leader="dot" w:pos="9350"/>
        </w:tabs>
        <w:rPr>
          <w:noProof/>
        </w:rPr>
      </w:pPr>
      <w:hyperlink w:anchor="_Toc144145594" w:history="1">
        <w:r w:rsidRPr="00C17B02">
          <w:rPr>
            <w:rStyle w:val="Hyperlink"/>
            <w:noProof/>
          </w:rPr>
          <w:t>Figure 2: A customer journey map for the Midlands Greek and Cypriot Association</w:t>
        </w:r>
        <w:r>
          <w:rPr>
            <w:noProof/>
            <w:webHidden/>
          </w:rPr>
          <w:tab/>
        </w:r>
        <w:r>
          <w:rPr>
            <w:noProof/>
            <w:webHidden/>
          </w:rPr>
          <w:fldChar w:fldCharType="begin"/>
        </w:r>
        <w:r>
          <w:rPr>
            <w:noProof/>
            <w:webHidden/>
          </w:rPr>
          <w:instrText xml:space="preserve"> PAGEREF _Toc144145594 \h </w:instrText>
        </w:r>
        <w:r>
          <w:rPr>
            <w:noProof/>
            <w:webHidden/>
          </w:rPr>
        </w:r>
        <w:r>
          <w:rPr>
            <w:noProof/>
            <w:webHidden/>
          </w:rPr>
          <w:fldChar w:fldCharType="separate"/>
        </w:r>
        <w:r>
          <w:rPr>
            <w:noProof/>
            <w:webHidden/>
          </w:rPr>
          <w:t>10</w:t>
        </w:r>
        <w:r>
          <w:rPr>
            <w:noProof/>
            <w:webHidden/>
          </w:rPr>
          <w:fldChar w:fldCharType="end"/>
        </w:r>
      </w:hyperlink>
    </w:p>
    <w:p w14:paraId="037CFAE5" w14:textId="12D1F3BC" w:rsidR="00B6790C" w:rsidRDefault="00B6790C">
      <w:pPr>
        <w:pStyle w:val="TableofFigures"/>
        <w:tabs>
          <w:tab w:val="right" w:leader="dot" w:pos="9350"/>
        </w:tabs>
        <w:rPr>
          <w:noProof/>
        </w:rPr>
      </w:pPr>
      <w:hyperlink w:anchor="_Toc144145595" w:history="1">
        <w:r w:rsidRPr="00C17B02">
          <w:rPr>
            <w:rStyle w:val="Hyperlink"/>
            <w:noProof/>
          </w:rPr>
          <w:t>Figure 3: The total engagement model</w:t>
        </w:r>
        <w:r>
          <w:rPr>
            <w:noProof/>
            <w:webHidden/>
          </w:rPr>
          <w:tab/>
        </w:r>
        <w:r>
          <w:rPr>
            <w:noProof/>
            <w:webHidden/>
          </w:rPr>
          <w:fldChar w:fldCharType="begin"/>
        </w:r>
        <w:r>
          <w:rPr>
            <w:noProof/>
            <w:webHidden/>
          </w:rPr>
          <w:instrText xml:space="preserve"> PAGEREF _Toc144145595 \h </w:instrText>
        </w:r>
        <w:r>
          <w:rPr>
            <w:noProof/>
            <w:webHidden/>
          </w:rPr>
        </w:r>
        <w:r>
          <w:rPr>
            <w:noProof/>
            <w:webHidden/>
          </w:rPr>
          <w:fldChar w:fldCharType="separate"/>
        </w:r>
        <w:r>
          <w:rPr>
            <w:noProof/>
            <w:webHidden/>
          </w:rPr>
          <w:t>11</w:t>
        </w:r>
        <w:r>
          <w:rPr>
            <w:noProof/>
            <w:webHidden/>
          </w:rPr>
          <w:fldChar w:fldCharType="end"/>
        </w:r>
      </w:hyperlink>
    </w:p>
    <w:p w14:paraId="78158DDF" w14:textId="6CB1D877" w:rsidR="00B6790C" w:rsidRDefault="00B6790C">
      <w:pPr>
        <w:pStyle w:val="Normal1"/>
        <w:rPr>
          <w:b/>
        </w:rPr>
      </w:pPr>
      <w:r>
        <w:rPr>
          <w:b/>
        </w:rPr>
        <w:fldChar w:fldCharType="end"/>
      </w:r>
    </w:p>
    <w:p w14:paraId="4ECE167B" w14:textId="77777777" w:rsidR="000032AC" w:rsidRDefault="00000000">
      <w:pPr>
        <w:pStyle w:val="Heading1"/>
      </w:pPr>
      <w:bookmarkStart w:id="0" w:name="_q7smiyimz9c7" w:colFirst="0" w:colLast="0"/>
      <w:bookmarkEnd w:id="0"/>
      <w:r>
        <w:br w:type="page"/>
      </w:r>
    </w:p>
    <w:p w14:paraId="53415728" w14:textId="77777777" w:rsidR="000032AC" w:rsidRDefault="00000000">
      <w:pPr>
        <w:pStyle w:val="Heading1"/>
      </w:pPr>
      <w:bookmarkStart w:id="1" w:name="_preo3l9vbx4l" w:colFirst="0" w:colLast="0"/>
      <w:bookmarkStart w:id="2" w:name="_Toc144145563"/>
      <w:bookmarkEnd w:id="1"/>
      <w:r>
        <w:lastRenderedPageBreak/>
        <w:t>Introduction and background information</w:t>
      </w:r>
      <w:bookmarkEnd w:id="2"/>
    </w:p>
    <w:p w14:paraId="0CB977A5" w14:textId="77777777" w:rsidR="000032AC" w:rsidRDefault="00000000">
      <w:pPr>
        <w:pStyle w:val="Normal1"/>
      </w:pPr>
      <w:r>
        <w:t xml:space="preserve">The Midlands Greek and Cypriot Association or MGCA stand as a cornerstone for cultural enrichment and community Unity within the Midlands region of the United Kingdom. Established with the vision of preserving and celebrating the rich traditions and heritage of the Greek and Cypriot communities in 1974, the MGCA has played a pivotal role since its foundation (Midlandsgreek.org, 2023). The association is based in Magnet Centre, Park Approach, Birmingham B23 7SJ, United Kingdom, including a traditional taverna, a banqueting suite, a Greek school and then an orthodox church which gained exempt charitable status from HMRC in 2008 (Cypriotfederation.org.uk, 2023). Their mission is to promote and preserve the Greek and Cypriot culture and heritage in the Midland and provide a platform for the Greek and Cypriot communities to come together and celebrate they are culture (Midlandsgreek.org, 2023). The association is governed by directors and funded by membership fees, donations and fundraising events. The Midlands Greek and Cypriot Association or MGCA is a valuable asset to the community in the Midlands that plays an important role in promoting the Hellenic culture and heritage in the region. The report provides a detailed understanding of the critical examination regarding the marketing activities and their contribution to the </w:t>
      </w:r>
      <w:proofErr w:type="spellStart"/>
      <w:r>
        <w:t>organisation’s</w:t>
      </w:r>
      <w:proofErr w:type="spellEnd"/>
      <w:r>
        <w:t xml:space="preserve"> success and how innovative Strategies and brand equity models can be implemented to amplify their impact. Also, it includes the exploration of customer journeys and touchpoints that define the relationship of the association with their members and considers the total engagement model to enhance community involvement and advocacy.</w:t>
      </w:r>
    </w:p>
    <w:p w14:paraId="422FADD0" w14:textId="77777777" w:rsidR="000032AC" w:rsidRDefault="00000000">
      <w:pPr>
        <w:pStyle w:val="Heading1"/>
      </w:pPr>
      <w:bookmarkStart w:id="3" w:name="_hadccnnon4lw" w:colFirst="0" w:colLast="0"/>
      <w:bookmarkStart w:id="4" w:name="_Toc144145564"/>
      <w:bookmarkEnd w:id="3"/>
      <w:r>
        <w:t xml:space="preserve">Understanding communication and communication models to improve communication tactics of the </w:t>
      </w:r>
      <w:proofErr w:type="spellStart"/>
      <w:r>
        <w:t>organisation</w:t>
      </w:r>
      <w:bookmarkEnd w:id="4"/>
      <w:proofErr w:type="spellEnd"/>
      <w:r>
        <w:t xml:space="preserve"> </w:t>
      </w:r>
    </w:p>
    <w:p w14:paraId="3A2BD93B" w14:textId="77777777" w:rsidR="000032AC" w:rsidRDefault="00000000">
      <w:pPr>
        <w:pStyle w:val="Normal1"/>
      </w:pPr>
      <w:r>
        <w:t>Communication is the process of exchanging information, ideas thoughts or feelings between individuals or entities through different mediums or channels. Communication involves including information by the sender, transmitting the information through a chosen channel and recording it by the receiver with the ultimate goal of mutual understanding (</w:t>
      </w:r>
      <w:proofErr w:type="spellStart"/>
      <w:r>
        <w:t>Shinkarenko</w:t>
      </w:r>
      <w:proofErr w:type="spellEnd"/>
      <w:r>
        <w:t xml:space="preserve">, 2023). There are different types of Business models in order to understand the complexity and nuance involved in effective communication for an </w:t>
      </w:r>
      <w:proofErr w:type="spellStart"/>
      <w:r>
        <w:t>organisation</w:t>
      </w:r>
      <w:proofErr w:type="spellEnd"/>
      <w:r>
        <w:t xml:space="preserve">. The models include Aristotle's Model of Communication. Berlo's Model of Communication. Shannon and Weaver Model of Communication. Schramm's Model of Communication and others. Berlo's Model of </w:t>
      </w:r>
      <w:r>
        <w:lastRenderedPageBreak/>
        <w:t xml:space="preserve">Communication has been chosen for explaining briefly to understand the context of communication within the </w:t>
      </w:r>
      <w:proofErr w:type="spellStart"/>
      <w:r>
        <w:t>organisation</w:t>
      </w:r>
      <w:proofErr w:type="spellEnd"/>
      <w:r>
        <w:t xml:space="preserve"> of The Midlands Greek and Cypriot Association or MGCA. Since Berlo's Model takes into account the varied audience and cultural linkages, it ensures accurate message encoding and cultural context, making it appropriate for the MGCA's communication strategy. Also, by using Berlo's Model, MGCA can improve its strategies, fostering closer ties and improved understanding between parties. </w:t>
      </w:r>
    </w:p>
    <w:p w14:paraId="3F399003" w14:textId="0B2267E3" w:rsidR="000032AC" w:rsidRDefault="00000000">
      <w:pPr>
        <w:pStyle w:val="Normal1"/>
      </w:pPr>
      <w:r>
        <w:t xml:space="preserve">The communication models help to understand the internal and external information of an </w:t>
      </w:r>
      <w:proofErr w:type="spellStart"/>
      <w:r>
        <w:t>organisation</w:t>
      </w:r>
      <w:proofErr w:type="spellEnd"/>
      <w:r>
        <w:t xml:space="preserve"> and communicate them to its audience in order to fulfil their goals and vision (Monteiro</w:t>
      </w:r>
      <w:r>
        <w:rPr>
          <w:i/>
        </w:rPr>
        <w:t xml:space="preserve"> et al. </w:t>
      </w:r>
      <w:r>
        <w:t xml:space="preserve">2020). David K. Berlo created Berlo's Model of Communication in 1960, and it stresses the complexity and subtleties that go into good communication (Hagiu and </w:t>
      </w:r>
      <w:proofErr w:type="spellStart"/>
      <w:r>
        <w:t>Bortoș</w:t>
      </w:r>
      <w:proofErr w:type="spellEnd"/>
      <w:r>
        <w:t xml:space="preserve">, 2021). Source, message, channel, and receiver are its four basic parts, with context serving as the overall process's guiding factor and the model is also known as the SMCR Model (Eke, 2020). The source is the individual or entity that initiates the communication by encoding the message in the case of the Midlands Greek and Cypriot Association or MGCA. The source could be the association's leadership or marketing team who are responsible for conveying messages about the Cultural Event and community initiative and other relevant information. Additionally, the message is the information, idea or content to which a source intends to communicate. In the context of MGCA, the messages might include the event announcement, cultural program details or updates about the community activities within the </w:t>
      </w:r>
      <w:proofErr w:type="spellStart"/>
      <w:r>
        <w:t>organisation</w:t>
      </w:r>
      <w:proofErr w:type="spellEnd"/>
      <w:r>
        <w:t xml:space="preserve">. The channel refers to the medium or platform true which the message is transmitted from the source to the receiver (Di Domenico </w:t>
      </w:r>
      <w:r>
        <w:rPr>
          <w:i/>
        </w:rPr>
        <w:t>et al.</w:t>
      </w:r>
      <w:r>
        <w:t xml:space="preserve"> 2021). It can include different communication channels like social media, email, letters and physical events for MGCA. Moreover, the receiver is the individual or audience intended to receive and decode the message. For the MGCA, this can be the people who interact with the association's communications from the Greek and Cypriot communities in the Midlands.</w:t>
      </w:r>
    </w:p>
    <w:p w14:paraId="1E56AC4B" w14:textId="77777777" w:rsidR="000032AC" w:rsidRDefault="00000000">
      <w:pPr>
        <w:pStyle w:val="Normal1"/>
        <w:jc w:val="center"/>
      </w:pPr>
      <w:r>
        <w:rPr>
          <w:noProof/>
        </w:rPr>
        <w:lastRenderedPageBreak/>
        <w:drawing>
          <wp:inline distT="114300" distB="114300" distL="114300" distR="114300" wp14:anchorId="0DE825E0" wp14:editId="1E01AE36">
            <wp:extent cx="5943600" cy="28702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5943600" cy="2870200"/>
                    </a:xfrm>
                    <a:prstGeom prst="rect">
                      <a:avLst/>
                    </a:prstGeom>
                    <a:ln w="25400">
                      <a:solidFill>
                        <a:srgbClr val="000000"/>
                      </a:solidFill>
                      <a:prstDash val="solid"/>
                    </a:ln>
                  </pic:spPr>
                </pic:pic>
              </a:graphicData>
            </a:graphic>
          </wp:inline>
        </w:drawing>
      </w:r>
    </w:p>
    <w:p w14:paraId="7E1C6D9E" w14:textId="77777777" w:rsidR="000032AC" w:rsidRDefault="00000000">
      <w:pPr>
        <w:pStyle w:val="Heading4"/>
      </w:pPr>
      <w:bookmarkStart w:id="5" w:name="_nalkjzpi5y0t" w:colFirst="0" w:colLast="0"/>
      <w:bookmarkStart w:id="6" w:name="_Toc144145593"/>
      <w:bookmarkEnd w:id="5"/>
      <w:r>
        <w:t>Figure 1: Berlo’s SMCR Model (1960)</w:t>
      </w:r>
      <w:bookmarkEnd w:id="6"/>
    </w:p>
    <w:p w14:paraId="23A64554" w14:textId="77777777" w:rsidR="000032AC" w:rsidRDefault="00000000">
      <w:pPr>
        <w:pStyle w:val="Normal1"/>
        <w:jc w:val="center"/>
      </w:pPr>
      <w:r>
        <w:t xml:space="preserve">(Source: </w:t>
      </w:r>
      <w:proofErr w:type="spellStart"/>
      <w:r>
        <w:t>Muyanga</w:t>
      </w:r>
      <w:proofErr w:type="spellEnd"/>
      <w:r>
        <w:t xml:space="preserve"> and Phiri, 2020) </w:t>
      </w:r>
    </w:p>
    <w:p w14:paraId="3CBE75F7" w14:textId="77777777" w:rsidR="000032AC" w:rsidRDefault="00000000">
      <w:pPr>
        <w:pStyle w:val="Heading1"/>
      </w:pPr>
      <w:bookmarkStart w:id="7" w:name="_1nj6p9munlzo" w:colFirst="0" w:colLast="0"/>
      <w:bookmarkStart w:id="8" w:name="_Toc144145565"/>
      <w:bookmarkEnd w:id="7"/>
      <w:r>
        <w:t>Understanding Integrated Marketing Communications to increase brand awareness through the use of innovative promotional strategies</w:t>
      </w:r>
      <w:bookmarkEnd w:id="8"/>
    </w:p>
    <w:p w14:paraId="71C06563" w14:textId="77777777" w:rsidR="000032AC" w:rsidRDefault="00000000">
      <w:pPr>
        <w:pStyle w:val="Normal1"/>
      </w:pPr>
      <w:r>
        <w:t xml:space="preserve">Integrated Marketing Communications or IMC is a strategic approach within marketing communication planning with evaluate the strategic role of different communication disciplines like advertising, public relations and different kind of marketing. This Integrated Marketing Communication combines these disciplines to provide clarity, consistency and maximum impact across all customer touchpoints. Integrated Marketing Communication is a holistic approach to marketing that uses all available channels to communicate with the target audience (Prikhodko </w:t>
      </w:r>
      <w:r>
        <w:rPr>
          <w:i/>
        </w:rPr>
        <w:t>et al.</w:t>
      </w:r>
      <w:r>
        <w:t xml:space="preserve"> 2019). The goal of IMC is to create a unified message that is delivered across all channels. In addition, IMC creates a comprehensive communication strategy that maximizes marketing impact, increases brand awareness, and ultimately increases consumer engagement and loyalty (Gómez-Rico </w:t>
      </w:r>
      <w:r>
        <w:rPr>
          <w:i/>
        </w:rPr>
        <w:t>et al.</w:t>
      </w:r>
      <w:r>
        <w:t xml:space="preserve"> 2023</w:t>
      </w:r>
      <w:proofErr w:type="gramStart"/>
      <w:r>
        <w:t>).IMC</w:t>
      </w:r>
      <w:proofErr w:type="gramEnd"/>
      <w:r>
        <w:t xml:space="preserve"> is aware of the various communications that its customers get from various online and offline sources. In order to provide MGCA with a successful and efficient brand, IMC combines multiple means of communication, including public relations, direct marketing, social media, and more. By strengthening the brand message across all channels of communication, this </w:t>
      </w:r>
      <w:r>
        <w:lastRenderedPageBreak/>
        <w:t>technique increases the effectiveness of marketing initiatives. A consistent brand image is also preserved.</w:t>
      </w:r>
    </w:p>
    <w:p w14:paraId="7CFE6CF0" w14:textId="77777777" w:rsidR="000032AC" w:rsidRDefault="00000000">
      <w:pPr>
        <w:pStyle w:val="Normal1"/>
      </w:pPr>
      <w:r>
        <w:t xml:space="preserve">The Midlands Greek and </w:t>
      </w:r>
      <w:proofErr w:type="spellStart"/>
      <w:r>
        <w:t>Cyproot</w:t>
      </w:r>
      <w:proofErr w:type="spellEnd"/>
      <w:r>
        <w:t xml:space="preserve"> Affiliation or MGCA, can utilize IMC to construct brand mindfulness in a number of ways. These propensities incorporate distinctive methodologies that offer assistance to the company realize them nowadays and make a solid brand personality that's outwardly appealing and important. This can be done by employing an unmistakable symbol, colors and geography that the brand employments to advance itself. Focused on publicizing permits MGCA to reach a more extensive gathering of people by advancing its classes, occasions and community ventures on social media. In order to fortify its brand and organize webinars and workshops on Greek and Cypriot conventions and culture, it plans to work with conspicuous individuals of the Greek and Cypriot communities (</w:t>
      </w:r>
      <w:proofErr w:type="spellStart"/>
      <w:r>
        <w:t>Katsirikou</w:t>
      </w:r>
      <w:proofErr w:type="spellEnd"/>
      <w:r>
        <w:t xml:space="preserve"> </w:t>
      </w:r>
      <w:r>
        <w:rPr>
          <w:i/>
        </w:rPr>
        <w:t>et al.</w:t>
      </w:r>
      <w:r>
        <w:t xml:space="preserve"> 2019). These influencers can share their encounters with the occasion and exercises, including genuineness and validity to the association's brand picture. MGCA can arrange occasions in participation with adjacent businesses, cultural institutions and instructive organizations. In the context of the Greek and Cypriot communities, this could offer assistance to increment reputation and advance a sense of community incorporation.</w:t>
      </w:r>
    </w:p>
    <w:p w14:paraId="47A63BA2" w14:textId="77777777" w:rsidR="000032AC" w:rsidRDefault="00000000">
      <w:pPr>
        <w:pStyle w:val="Normal1"/>
      </w:pPr>
      <w:r>
        <w:t>In addition, an organization can make interactive substance to lock in its gathering of people and empower cooperation. A narrating campaign that offers the individual stories and encounters of different MCGA individuals can offer assistance in making a passionate association with the gathering of people. Underlining the effect of affiliation on the life of a person can rouse others to get to be a portion of the community (</w:t>
      </w:r>
      <w:proofErr w:type="spellStart"/>
      <w:r>
        <w:t>Cianconi</w:t>
      </w:r>
      <w:proofErr w:type="spellEnd"/>
      <w:r>
        <w:t xml:space="preserve">, </w:t>
      </w:r>
      <w:proofErr w:type="spellStart"/>
      <w:r>
        <w:t>Betrò</w:t>
      </w:r>
      <w:proofErr w:type="spellEnd"/>
      <w:r>
        <w:t xml:space="preserve"> and </w:t>
      </w:r>
      <w:proofErr w:type="spellStart"/>
      <w:r>
        <w:t>Janiri</w:t>
      </w:r>
      <w:proofErr w:type="spellEnd"/>
      <w:r>
        <w:t xml:space="preserve">, 2020). Within the advanced age, virtual visits and geotargeting advertisements can offer assistance to an organization to reach particular zones. This methodology is especially compelling in advancing </w:t>
      </w:r>
      <w:proofErr w:type="spellStart"/>
      <w:r>
        <w:t>neighbourhood</w:t>
      </w:r>
      <w:proofErr w:type="spellEnd"/>
      <w:r>
        <w:t xml:space="preserve"> occasions and gathering a targeted gathering of people (Cutrona</w:t>
      </w:r>
      <w:r>
        <w:rPr>
          <w:i/>
        </w:rPr>
        <w:t xml:space="preserve"> et al. </w:t>
      </w:r>
      <w:r>
        <w:t xml:space="preserve">2019). Collaborating with other organizations to share social values ​​and convictions can draw in a bigger gathering of people, which can offer assistance to the organization in reaching customers and increment their validity. Hence, by utilizing IMC, MGCA can increment its brand mindfulness and action in advancing and protecting Greek and Cypriot culture and legacy within the Midlands. In order to reach its target gathering of people and increment brand mindfulness, MGCA ought to utilize different publicizing strategies such as blogging, recordings, challenges, e-mail promoting and coordinating mail, while </w:t>
      </w:r>
      <w:r>
        <w:lastRenderedPageBreak/>
        <w:t xml:space="preserve">guaranteeing that the procedures utilized are adjusted with the objectives of the affiliation. In this way, by executing these unused limited-time procedures, the organization can successfully raise mindfulness of its brand position and build up itself as a </w:t>
      </w:r>
      <w:proofErr w:type="gramStart"/>
      <w:r>
        <w:t>vibrant affiliation advertising Greek Cypriot social encounters</w:t>
      </w:r>
      <w:proofErr w:type="gramEnd"/>
      <w:r>
        <w:t xml:space="preserve"> within the Midlands.</w:t>
      </w:r>
    </w:p>
    <w:p w14:paraId="4F4A86D9" w14:textId="77777777" w:rsidR="000032AC" w:rsidRDefault="00000000">
      <w:pPr>
        <w:pStyle w:val="Heading1"/>
      </w:pPr>
      <w:bookmarkStart w:id="9" w:name="_pr9kql5nlnxp" w:colFirst="0" w:colLast="0"/>
      <w:bookmarkStart w:id="10" w:name="_Toc144145566"/>
      <w:bookmarkEnd w:id="9"/>
      <w:r>
        <w:t>Branding and brand equity</w:t>
      </w:r>
      <w:bookmarkEnd w:id="10"/>
    </w:p>
    <w:p w14:paraId="79241A3B" w14:textId="77777777" w:rsidR="000032AC" w:rsidRDefault="00000000">
      <w:pPr>
        <w:pStyle w:val="Normal1"/>
        <w:spacing w:before="0"/>
        <w:rPr>
          <w:color w:val="0E101A"/>
        </w:rPr>
      </w:pPr>
      <w:r>
        <w:rPr>
          <w:color w:val="0E101A"/>
        </w:rPr>
        <w:t xml:space="preserve">Branding is the method of giving a company, item, or benefit a special and recognizable character. This calls for the consideration of the advancement of a brand title, symbol, plan, and communication that recognizes it from its competitors. Businesses and clients can set up a reliable and positive recognition of the brand through branding. Brand equity is the power and value of a brand in the marketplace (González-Mansilla </w:t>
      </w:r>
      <w:r>
        <w:rPr>
          <w:i/>
          <w:color w:val="0E101A"/>
        </w:rPr>
        <w:t xml:space="preserve">et al. </w:t>
      </w:r>
      <w:r>
        <w:rPr>
          <w:color w:val="0E101A"/>
        </w:rPr>
        <w:t>2019). It is the result of successful branding campaigns as well as positive consumer relationships, attitudes, and experiences with the brand. Over time, brand equity is built by continually offering high-quality goods or services, operating effective marketing and advertising campaigns, and supplying satisfied consumers. There are various important brand components.</w:t>
      </w:r>
    </w:p>
    <w:p w14:paraId="790F3CBF" w14:textId="77777777" w:rsidR="000032AC" w:rsidRDefault="00000000">
      <w:pPr>
        <w:pStyle w:val="Normal1"/>
        <w:spacing w:before="0"/>
        <w:rPr>
          <w:color w:val="0E101A"/>
        </w:rPr>
      </w:pPr>
      <w:r>
        <w:rPr>
          <w:b/>
          <w:color w:val="0E101A"/>
        </w:rPr>
        <w:t>Brand Awareness</w:t>
      </w:r>
      <w:r>
        <w:rPr>
          <w:color w:val="0E101A"/>
        </w:rPr>
        <w:t>: A consumer's level of recognition and familiarity with a brand. Brand recall and brand recognition are two indicators of this.</w:t>
      </w:r>
    </w:p>
    <w:p w14:paraId="589A5A34" w14:textId="77777777" w:rsidR="000032AC" w:rsidRDefault="00000000">
      <w:pPr>
        <w:pStyle w:val="Normal1"/>
        <w:spacing w:before="0"/>
        <w:rPr>
          <w:color w:val="0E101A"/>
        </w:rPr>
      </w:pPr>
      <w:r>
        <w:rPr>
          <w:b/>
          <w:color w:val="0E101A"/>
        </w:rPr>
        <w:t>Brand Associations</w:t>
      </w:r>
      <w:r>
        <w:rPr>
          <w:color w:val="0E101A"/>
        </w:rPr>
        <w:t>: Consumers' mental connections and associations with a brand are referred to as brand associations. These can include brand-associated qualities, advantages, emotions, and values.</w:t>
      </w:r>
    </w:p>
    <w:p w14:paraId="34836F9B" w14:textId="77777777" w:rsidR="000032AC" w:rsidRDefault="00000000">
      <w:pPr>
        <w:pStyle w:val="Normal1"/>
        <w:spacing w:before="0"/>
        <w:rPr>
          <w:color w:val="0E101A"/>
        </w:rPr>
      </w:pPr>
      <w:r>
        <w:rPr>
          <w:b/>
          <w:color w:val="0E101A"/>
        </w:rPr>
        <w:t>Brand Loyalty</w:t>
      </w:r>
      <w:r>
        <w:rPr>
          <w:color w:val="0E101A"/>
        </w:rPr>
        <w:t>: The level of commitment that customers have to purchasing and repurchasing a specific brand. Brand loyalty is frequently the outcome of excellent brand encounters and pleasure.</w:t>
      </w:r>
    </w:p>
    <w:p w14:paraId="315D6AAC" w14:textId="77777777" w:rsidR="000032AC" w:rsidRDefault="00000000">
      <w:pPr>
        <w:pStyle w:val="Normal1"/>
        <w:spacing w:before="0"/>
        <w:rPr>
          <w:color w:val="0E101A"/>
        </w:rPr>
      </w:pPr>
      <w:r>
        <w:rPr>
          <w:b/>
          <w:color w:val="0E101A"/>
        </w:rPr>
        <w:t>Perceived Qualit</w:t>
      </w:r>
      <w:r>
        <w:rPr>
          <w:color w:val="0E101A"/>
        </w:rPr>
        <w:t>y: A brand's opinion of its quality and superiority in comparison to competitors. Product performance, reputation, and customer reviews can all have an impact on this.</w:t>
      </w:r>
    </w:p>
    <w:p w14:paraId="67D20865" w14:textId="77777777" w:rsidR="000032AC" w:rsidRDefault="00000000">
      <w:pPr>
        <w:pStyle w:val="Normal1"/>
        <w:spacing w:before="0"/>
        <w:rPr>
          <w:color w:val="0E101A"/>
        </w:rPr>
      </w:pPr>
      <w:r>
        <w:rPr>
          <w:b/>
          <w:color w:val="0E101A"/>
        </w:rPr>
        <w:t>Brand Assets</w:t>
      </w:r>
      <w:r>
        <w:rPr>
          <w:color w:val="0E101A"/>
        </w:rPr>
        <w:t>: The tangible and intangible assets that contribute to the brand's value, such as patents, trademarks, customer relationships, and brand reputation.</w:t>
      </w:r>
    </w:p>
    <w:p w14:paraId="7F990891" w14:textId="77777777" w:rsidR="000032AC" w:rsidRDefault="00000000">
      <w:pPr>
        <w:pStyle w:val="Normal1"/>
        <w:spacing w:before="0"/>
        <w:rPr>
          <w:color w:val="0E101A"/>
        </w:rPr>
      </w:pPr>
      <w:r>
        <w:rPr>
          <w:color w:val="0E101A"/>
        </w:rPr>
        <w:t xml:space="preserve">Building and preserving brand equity is crucial for businesses because it may result in larger market share, improved consumer loyalty, and the opportunity to charge more for goods and services. It necessitates continuous investment in brand experience, customer relationship management, and marketing (González-Mansilla </w:t>
      </w:r>
      <w:r>
        <w:rPr>
          <w:i/>
          <w:color w:val="0E101A"/>
        </w:rPr>
        <w:t>et al.</w:t>
      </w:r>
      <w:r>
        <w:rPr>
          <w:color w:val="0E101A"/>
        </w:rPr>
        <w:t xml:space="preserve"> 2019). The Midlands Greek and Cypriot Association would benefit from good branding and brand equity if it could develop positive links with Greek and Cypriot culture and cultivate a devoted following of members and supporters.</w:t>
      </w:r>
    </w:p>
    <w:p w14:paraId="2CEAA8E0" w14:textId="77777777" w:rsidR="000032AC" w:rsidRDefault="00000000">
      <w:pPr>
        <w:pStyle w:val="Heading1"/>
      </w:pPr>
      <w:bookmarkStart w:id="11" w:name="_oq9yl0i1e87h" w:colFirst="0" w:colLast="0"/>
      <w:bookmarkStart w:id="12" w:name="_Toc144145567"/>
      <w:bookmarkEnd w:id="11"/>
      <w:r>
        <w:lastRenderedPageBreak/>
        <w:t>Relating Aaker's Brand Equity Model to The Midlands Greek and Cypriot Association</w:t>
      </w:r>
      <w:bookmarkEnd w:id="12"/>
    </w:p>
    <w:p w14:paraId="415D5924" w14:textId="77777777" w:rsidR="000032AC" w:rsidRDefault="00000000">
      <w:pPr>
        <w:pStyle w:val="Normal1"/>
        <w:spacing w:before="0"/>
        <w:rPr>
          <w:color w:val="0E101A"/>
        </w:rPr>
      </w:pPr>
      <w:r>
        <w:rPr>
          <w:color w:val="0E101A"/>
        </w:rPr>
        <w:t xml:space="preserve">David Aaker, a professor of marketing, created Aaker's Brand Equity Model, a thorough framework for defining and evaluating the factors that affect a brand's power and value. Brand Loyalty, Brand Awareness, Perceived Quality, and Brand Associations are the model's four main aspects (Chi </w:t>
      </w:r>
      <w:r>
        <w:rPr>
          <w:i/>
          <w:color w:val="0E101A"/>
        </w:rPr>
        <w:t>et al.</w:t>
      </w:r>
      <w:r>
        <w:rPr>
          <w:color w:val="0E101A"/>
        </w:rPr>
        <w:t xml:space="preserve"> 2020). Let's examine the model's benefits and drawbacks for The Midlands Greek and Cypriot Association or MGCA.</w:t>
      </w:r>
    </w:p>
    <w:p w14:paraId="353183A9" w14:textId="77777777" w:rsidR="000032AC" w:rsidRDefault="00000000">
      <w:pPr>
        <w:pStyle w:val="Normal1"/>
        <w:spacing w:before="0"/>
        <w:rPr>
          <w:b/>
          <w:color w:val="0E101A"/>
        </w:rPr>
      </w:pPr>
      <w:r>
        <w:rPr>
          <w:b/>
          <w:color w:val="0E101A"/>
        </w:rPr>
        <w:t>Brand Loyalty:</w:t>
      </w:r>
    </w:p>
    <w:p w14:paraId="4794AC1B" w14:textId="77777777" w:rsidR="000032AC" w:rsidRDefault="00000000">
      <w:pPr>
        <w:pStyle w:val="Normal1"/>
        <w:spacing w:before="0"/>
        <w:rPr>
          <w:color w:val="0E101A"/>
        </w:rPr>
      </w:pPr>
      <w:r>
        <w:rPr>
          <w:color w:val="0E101A"/>
        </w:rPr>
        <w:t xml:space="preserve">The level of a customer's commitment to a brand and likelihood to continue buying its products or supporting its activities is referred to as brand loyalty. Members and supporters of the MGCA would demonstrate brand loyalty by regularly attending the association's events, engaging with its content, and actively supporting its objectives. The more brand loyalty, the more people identify with and continue to participate in the association's activities. Strong brand loyalty may result in long-term advocacy and involvement, building a committed community that supports the association's goals both financially and actively (Chi </w:t>
      </w:r>
      <w:r>
        <w:rPr>
          <w:i/>
          <w:color w:val="0E101A"/>
        </w:rPr>
        <w:t xml:space="preserve">et al. </w:t>
      </w:r>
      <w:r>
        <w:rPr>
          <w:color w:val="0E101A"/>
        </w:rPr>
        <w:t>2020). However, if a brand is overly dependent on brand loyalty, it may find it difficult to adjust to customers' shifting requirements and preferences. If members are unwilling to make changes that differ from the status quo, it might lead to resistance to innovation.</w:t>
      </w:r>
    </w:p>
    <w:p w14:paraId="2D9B6D1D" w14:textId="77777777" w:rsidR="000032AC" w:rsidRDefault="00000000">
      <w:pPr>
        <w:pStyle w:val="Normal1"/>
        <w:spacing w:before="0"/>
        <w:rPr>
          <w:color w:val="0E101A"/>
        </w:rPr>
      </w:pPr>
      <w:r>
        <w:rPr>
          <w:b/>
          <w:color w:val="0E101A"/>
        </w:rPr>
        <w:t xml:space="preserve">Brand Awareness: </w:t>
      </w:r>
      <w:r>
        <w:rPr>
          <w:color w:val="0E101A"/>
        </w:rPr>
        <w:t>The level of brand recognition and familiarity among potential customers is referred to as brand awareness (Çınar, 2020). Brand awareness for MGCA refers to how well the organization's name, purpose, and initiatives are known among the Greek and Cypriot communities in the Midlands. A strong brand name may draw in more members and supporters, boost event attendance, and strengthen the association's authority and reputation within its target market. The disadvantage is relying only on brand awareness might result in only superficial involvement. People may be aware of the brand but may not fully grasp its value proposition or engage in its activities.</w:t>
      </w:r>
    </w:p>
    <w:p w14:paraId="3EB5BB31" w14:textId="77777777" w:rsidR="000032AC" w:rsidRDefault="00000000">
      <w:pPr>
        <w:pStyle w:val="Normal1"/>
        <w:spacing w:before="0"/>
        <w:rPr>
          <w:color w:val="0E101A"/>
        </w:rPr>
      </w:pPr>
      <w:r>
        <w:rPr>
          <w:b/>
          <w:color w:val="0E101A"/>
        </w:rPr>
        <w:t>Perceived Quality:</w:t>
      </w:r>
      <w:r>
        <w:rPr>
          <w:color w:val="0E101A"/>
        </w:rPr>
        <w:t xml:space="preserve"> This refers to how customers perceive the quality of a brand's products or services. Perceived quality for MGCA would be linked to the value and effect of the events, activities, and resources it delivers to its members. Positive perceived quality can boost the association's reputation and stimulate word-of-mouth referrals, resulting in greater membership and involvement (Amoako and Boateng, 2022). On the contrary, if the perceived quality does not match the real experience, members and supporters may be disappointed and lose faith.</w:t>
      </w:r>
    </w:p>
    <w:p w14:paraId="5CDB0F7B" w14:textId="77777777" w:rsidR="000032AC" w:rsidRDefault="00000000">
      <w:pPr>
        <w:pStyle w:val="Normal1"/>
        <w:spacing w:before="0"/>
        <w:rPr>
          <w:color w:val="0E101A"/>
        </w:rPr>
      </w:pPr>
      <w:r>
        <w:rPr>
          <w:b/>
          <w:color w:val="0E101A"/>
        </w:rPr>
        <w:lastRenderedPageBreak/>
        <w:t xml:space="preserve">Brand associations: </w:t>
      </w:r>
      <w:r>
        <w:rPr>
          <w:color w:val="0E101A"/>
        </w:rPr>
        <w:t xml:space="preserve">Brand associations refer to the mental and emotional connections that individuals have with a brand. These linkages might include brand-related traits, symbols, personalities, and tales (Çınar, 2020). Brand connections for MGCA would include the feelings and impressions that members and supporters associate with the </w:t>
      </w:r>
      <w:proofErr w:type="spellStart"/>
      <w:r>
        <w:rPr>
          <w:color w:val="0E101A"/>
        </w:rPr>
        <w:t>organisation's</w:t>
      </w:r>
      <w:proofErr w:type="spellEnd"/>
      <w:r>
        <w:rPr>
          <w:color w:val="0E101A"/>
        </w:rPr>
        <w:t xml:space="preserve"> activities and identity. Strong, </w:t>
      </w:r>
      <w:proofErr w:type="spellStart"/>
      <w:r>
        <w:rPr>
          <w:color w:val="0E101A"/>
        </w:rPr>
        <w:t>favourable</w:t>
      </w:r>
      <w:proofErr w:type="spellEnd"/>
      <w:r>
        <w:rPr>
          <w:color w:val="0E101A"/>
        </w:rPr>
        <w:t xml:space="preserve"> brand connections may build a sense of belonging and emotional connection, increasing member and supporter engagement. Negative or contradictory brand connections might dissuade potential members and cause uncertainty about the objective and purpose of the group.</w:t>
      </w:r>
    </w:p>
    <w:p w14:paraId="5AEDC2DD" w14:textId="77777777" w:rsidR="000032AC" w:rsidRDefault="00000000">
      <w:pPr>
        <w:pStyle w:val="Heading2"/>
      </w:pPr>
      <w:bookmarkStart w:id="13" w:name="_xyiw7xy4qpl1" w:colFirst="0" w:colLast="0"/>
      <w:bookmarkStart w:id="14" w:name="_Toc144145568"/>
      <w:bookmarkEnd w:id="13"/>
      <w:r>
        <w:t>The Advantages and Disadvantages of Aaker's Brand Equity Model</w:t>
      </w:r>
      <w:bookmarkEnd w:id="14"/>
    </w:p>
    <w:p w14:paraId="6E5988AD" w14:textId="77777777" w:rsidR="000032AC" w:rsidRDefault="00000000">
      <w:pPr>
        <w:pStyle w:val="Normal1"/>
        <w:spacing w:before="0"/>
        <w:rPr>
          <w:b/>
          <w:color w:val="0E101A"/>
        </w:rPr>
      </w:pPr>
      <w:r>
        <w:rPr>
          <w:b/>
          <w:color w:val="0E101A"/>
        </w:rPr>
        <w:t>Advantages:</w:t>
      </w:r>
    </w:p>
    <w:p w14:paraId="7BDD405E" w14:textId="77777777" w:rsidR="000032AC" w:rsidRDefault="00000000">
      <w:pPr>
        <w:pStyle w:val="Normal1"/>
        <w:spacing w:before="0"/>
        <w:rPr>
          <w:color w:val="0E101A"/>
        </w:rPr>
      </w:pPr>
      <w:r>
        <w:rPr>
          <w:color w:val="0E101A"/>
        </w:rPr>
        <w:t xml:space="preserve">Aaker's approach provides a comprehensive picture of brand equity, taking into account numerous variables that contribute to brand strength. The model may be adjusted to the specific circumstances of any </w:t>
      </w:r>
      <w:proofErr w:type="spellStart"/>
      <w:r>
        <w:rPr>
          <w:color w:val="0E101A"/>
        </w:rPr>
        <w:t>organisation</w:t>
      </w:r>
      <w:proofErr w:type="spellEnd"/>
      <w:r>
        <w:rPr>
          <w:color w:val="0E101A"/>
        </w:rPr>
        <w:t xml:space="preserve">, such as MGCA, allowing for a more </w:t>
      </w:r>
      <w:proofErr w:type="spellStart"/>
      <w:r>
        <w:rPr>
          <w:color w:val="0E101A"/>
        </w:rPr>
        <w:t>personalised</w:t>
      </w:r>
      <w:proofErr w:type="spellEnd"/>
      <w:r>
        <w:rPr>
          <w:color w:val="0E101A"/>
        </w:rPr>
        <w:t xml:space="preserve"> approach to brand management (</w:t>
      </w:r>
      <w:proofErr w:type="spellStart"/>
      <w:r>
        <w:rPr>
          <w:color w:val="0E101A"/>
        </w:rPr>
        <w:t>Ianenko</w:t>
      </w:r>
      <w:proofErr w:type="spellEnd"/>
      <w:r>
        <w:rPr>
          <w:color w:val="0E101A"/>
        </w:rPr>
        <w:t xml:space="preserve"> </w:t>
      </w:r>
      <w:r>
        <w:rPr>
          <w:i/>
          <w:color w:val="0E101A"/>
        </w:rPr>
        <w:t>et al.</w:t>
      </w:r>
      <w:r>
        <w:rPr>
          <w:color w:val="0E101A"/>
        </w:rPr>
        <w:t xml:space="preserve"> 2020). Each component of the model may be quantified, offering practical insights into areas of strength and progress. The emphasis on aspects such as brand loyalty and brand associations </w:t>
      </w:r>
      <w:proofErr w:type="gramStart"/>
      <w:r>
        <w:rPr>
          <w:color w:val="0E101A"/>
        </w:rPr>
        <w:t>stimulates</w:t>
      </w:r>
      <w:proofErr w:type="gramEnd"/>
      <w:r>
        <w:rPr>
          <w:color w:val="0E101A"/>
        </w:rPr>
        <w:t xml:space="preserve"> long-term engagement and the development of long-term connections with stakeholders.</w:t>
      </w:r>
    </w:p>
    <w:p w14:paraId="71FB4929" w14:textId="77777777" w:rsidR="000032AC" w:rsidRDefault="00000000">
      <w:pPr>
        <w:pStyle w:val="Normal1"/>
        <w:spacing w:before="0"/>
        <w:rPr>
          <w:color w:val="0E101A"/>
        </w:rPr>
      </w:pPr>
      <w:r>
        <w:rPr>
          <w:b/>
          <w:color w:val="0E101A"/>
        </w:rPr>
        <w:t>Disadvantages</w:t>
      </w:r>
      <w:r>
        <w:rPr>
          <w:color w:val="0E101A"/>
        </w:rPr>
        <w:t>:</w:t>
      </w:r>
    </w:p>
    <w:p w14:paraId="5032A334" w14:textId="77777777" w:rsidR="000032AC" w:rsidRDefault="00000000">
      <w:pPr>
        <w:pStyle w:val="Normal1"/>
        <w:spacing w:before="0"/>
        <w:rPr>
          <w:color w:val="0E101A"/>
        </w:rPr>
      </w:pPr>
      <w:r>
        <w:rPr>
          <w:color w:val="0E101A"/>
        </w:rPr>
        <w:t xml:space="preserve">The model's various aspects may make it difficult to appropriately </w:t>
      </w:r>
      <w:proofErr w:type="spellStart"/>
      <w:r>
        <w:rPr>
          <w:color w:val="0E101A"/>
        </w:rPr>
        <w:t>prioritise</w:t>
      </w:r>
      <w:proofErr w:type="spellEnd"/>
      <w:r>
        <w:rPr>
          <w:color w:val="0E101A"/>
        </w:rPr>
        <w:t xml:space="preserve"> efforts and resources. Putting the model's methods into action can take a substantial amount of time, effort, and money (</w:t>
      </w:r>
      <w:proofErr w:type="spellStart"/>
      <w:r>
        <w:rPr>
          <w:color w:val="0E101A"/>
        </w:rPr>
        <w:t>Ianenko</w:t>
      </w:r>
      <w:proofErr w:type="spellEnd"/>
      <w:r>
        <w:rPr>
          <w:color w:val="0E101A"/>
        </w:rPr>
        <w:t xml:space="preserve"> </w:t>
      </w:r>
      <w:r>
        <w:rPr>
          <w:i/>
          <w:color w:val="0E101A"/>
        </w:rPr>
        <w:t>et al.</w:t>
      </w:r>
      <w:r>
        <w:rPr>
          <w:color w:val="0E101A"/>
        </w:rPr>
        <w:t xml:space="preserve"> 2020). The model's </w:t>
      </w:r>
      <w:proofErr w:type="spellStart"/>
      <w:r>
        <w:rPr>
          <w:color w:val="0E101A"/>
        </w:rPr>
        <w:t>organised</w:t>
      </w:r>
      <w:proofErr w:type="spellEnd"/>
      <w:r>
        <w:rPr>
          <w:color w:val="0E101A"/>
        </w:rPr>
        <w:t xml:space="preserve"> framework may not adequately represent the developing and dynamic nature of brand management in fast-paced situations.</w:t>
      </w:r>
    </w:p>
    <w:p w14:paraId="41ABDEBA" w14:textId="77777777" w:rsidR="000032AC" w:rsidRDefault="00000000">
      <w:pPr>
        <w:pStyle w:val="Normal1"/>
        <w:spacing w:before="0"/>
        <w:rPr>
          <w:b/>
        </w:rPr>
      </w:pPr>
      <w:r>
        <w:rPr>
          <w:color w:val="0E101A"/>
        </w:rPr>
        <w:t xml:space="preserve">Finally, Aaker's Brand Equity Model gives a solid foundation for </w:t>
      </w:r>
      <w:proofErr w:type="spellStart"/>
      <w:r>
        <w:rPr>
          <w:color w:val="0E101A"/>
        </w:rPr>
        <w:t>analysing</w:t>
      </w:r>
      <w:proofErr w:type="spellEnd"/>
      <w:r>
        <w:rPr>
          <w:color w:val="0E101A"/>
        </w:rPr>
        <w:t xml:space="preserve"> and improving The Midlands Greek and Cypriot Association's brand equity. The association may create a strong and enduring brand presence in its community by concentrating on characteristics such as brand loyalty, awareness, perceived quality, and brand connections. </w:t>
      </w:r>
    </w:p>
    <w:p w14:paraId="798C616E" w14:textId="77777777" w:rsidR="000032AC" w:rsidRDefault="00000000">
      <w:pPr>
        <w:pStyle w:val="Heading1"/>
      </w:pPr>
      <w:bookmarkStart w:id="15" w:name="_n8y6pty55iak" w:colFirst="0" w:colLast="0"/>
      <w:bookmarkStart w:id="16" w:name="_Toc144145569"/>
      <w:bookmarkEnd w:id="15"/>
      <w:r>
        <w:t xml:space="preserve">Discussing the customer journey, customer touchpoints and customer journey maps the </w:t>
      </w:r>
      <w:proofErr w:type="spellStart"/>
      <w:r>
        <w:t>organisation</w:t>
      </w:r>
      <w:bookmarkEnd w:id="16"/>
      <w:proofErr w:type="spellEnd"/>
      <w:r>
        <w:t xml:space="preserve"> </w:t>
      </w:r>
    </w:p>
    <w:p w14:paraId="1982AD54" w14:textId="77777777" w:rsidR="000032AC" w:rsidRDefault="00000000">
      <w:pPr>
        <w:pStyle w:val="Normal1"/>
      </w:pPr>
      <w:r>
        <w:t xml:space="preserve">The customer journey is a path that a customer takes from Awareness of a product or service to purchase and beyond. The customer touchpoints are the different points of contact that a customer </w:t>
      </w:r>
      <w:r>
        <w:lastRenderedPageBreak/>
        <w:t xml:space="preserve">has with the company during the customer journey (Shiratori, Trevisan and Mascarenhas, 2021). The customer journey map includes different stages of a customer that include awareness, interest and consideration, engagement, participation and advocacy. The journey of a customer begins with the awareness step when potential members become aware of the existence of the </w:t>
      </w:r>
      <w:proofErr w:type="spellStart"/>
      <w:r>
        <w:t>organisation</w:t>
      </w:r>
      <w:proofErr w:type="spellEnd"/>
      <w:r>
        <w:t xml:space="preserve"> named MGCA. This awareness can happen through social media advertisements, local events or word of mouth. The goal is to capture the attention of individual interest rates in the Greek and Cypriot cultures. The interested individuals then try to expand the online presence of the </w:t>
      </w:r>
      <w:proofErr w:type="spellStart"/>
      <w:r>
        <w:t>organisation</w:t>
      </w:r>
      <w:proofErr w:type="spellEnd"/>
      <w:r>
        <w:t xml:space="preserve"> by visiting their official website and following its social media accounts (</w:t>
      </w:r>
      <w:proofErr w:type="spellStart"/>
      <w:r>
        <w:t>Fraccastoro</w:t>
      </w:r>
      <w:proofErr w:type="spellEnd"/>
      <w:r>
        <w:t>, Gabrielsson and Pullins, 2021). They learn about the association’s mission, events, vision and services the profile. At this stage, the focus is non providing detailed and engaging information about nature they are interested in.</w:t>
      </w:r>
    </w:p>
    <w:p w14:paraId="45402670" w14:textId="77777777" w:rsidR="000032AC" w:rsidRDefault="00000000">
      <w:pPr>
        <w:pStyle w:val="Normal1"/>
      </w:pPr>
      <w:r>
        <w:t xml:space="preserve">Accordingly, as individuals become more engaged with the </w:t>
      </w:r>
      <w:proofErr w:type="spellStart"/>
      <w:r>
        <w:t>organisation</w:t>
      </w:r>
      <w:proofErr w:type="spellEnd"/>
      <w:r>
        <w:t xml:space="preserve"> they may participate in different events, workshops and discussions. These touchpoints provide opportunities for interaction and personal involvement that allow attendees to experience the value of MGCA. With continued engagement individuals transition into active participants in the </w:t>
      </w:r>
      <w:proofErr w:type="spellStart"/>
      <w:r>
        <w:t>organisation</w:t>
      </w:r>
      <w:proofErr w:type="spellEnd"/>
      <w:r>
        <w:t xml:space="preserve"> and attend regularly (</w:t>
      </w:r>
      <w:proofErr w:type="spellStart"/>
      <w:r>
        <w:t>Annosi</w:t>
      </w:r>
      <w:proofErr w:type="spellEnd"/>
      <w:r>
        <w:t xml:space="preserve">, Foss and Martini, 2020). They also contribute ideas and actively take part in the community initiatives led by the </w:t>
      </w:r>
      <w:proofErr w:type="spellStart"/>
      <w:r>
        <w:t>organisation</w:t>
      </w:r>
      <w:proofErr w:type="spellEnd"/>
      <w:r>
        <w:t xml:space="preserve">. The association became a more meaningful part of the cultural experiences because of their intent to promote Hellenic culture within the region. Satisfied participants who contribute to the association’s activities then become an advocate for the association. They also share they are positive experiences on social media to write testimonials and recommend the association to their friends and families This can lead to a surge of participants within the </w:t>
      </w:r>
      <w:proofErr w:type="spellStart"/>
      <w:r>
        <w:t>organisation</w:t>
      </w:r>
      <w:proofErr w:type="spellEnd"/>
      <w:r>
        <w:t xml:space="preserve">. This advocate contributes to branded and helping the community to grow further in the near future. The customers then tend to renew their membership which may happen automatically or the customer may need to take action to renew their membership. This increases the brand awareness of the association within the community which helps them to grow. Thus, the MGCA can use this customer journey map to visualize the customer journey and identify the customer touchpoints which can help the association to understand the customer experience and to identify the areas where improvement is needed in the customer journey. </w:t>
      </w:r>
    </w:p>
    <w:p w14:paraId="490F75FF" w14:textId="77777777" w:rsidR="000032AC" w:rsidRDefault="00000000">
      <w:pPr>
        <w:pStyle w:val="Normal1"/>
        <w:jc w:val="center"/>
      </w:pPr>
      <w:r>
        <w:rPr>
          <w:noProof/>
        </w:rPr>
        <w:lastRenderedPageBreak/>
        <w:drawing>
          <wp:inline distT="114300" distB="114300" distL="114300" distR="114300" wp14:anchorId="41850B0F" wp14:editId="28061631">
            <wp:extent cx="5762625" cy="134302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rcRect l="2419" t="8441"/>
                    <a:stretch>
                      <a:fillRect/>
                    </a:stretch>
                  </pic:blipFill>
                  <pic:spPr>
                    <a:xfrm>
                      <a:off x="0" y="0"/>
                      <a:ext cx="5762625" cy="1343025"/>
                    </a:xfrm>
                    <a:prstGeom prst="rect">
                      <a:avLst/>
                    </a:prstGeom>
                    <a:ln w="25400">
                      <a:solidFill>
                        <a:srgbClr val="000000"/>
                      </a:solidFill>
                      <a:prstDash val="solid"/>
                    </a:ln>
                  </pic:spPr>
                </pic:pic>
              </a:graphicData>
            </a:graphic>
          </wp:inline>
        </w:drawing>
      </w:r>
    </w:p>
    <w:p w14:paraId="712E9345" w14:textId="77777777" w:rsidR="000032AC" w:rsidRDefault="00000000">
      <w:pPr>
        <w:pStyle w:val="Heading4"/>
      </w:pPr>
      <w:bookmarkStart w:id="17" w:name="_vuk299lnihy2" w:colFirst="0" w:colLast="0"/>
      <w:bookmarkStart w:id="18" w:name="_Toc144145594"/>
      <w:bookmarkEnd w:id="17"/>
      <w:r>
        <w:t>Figure 2: A customer journey map for the Midlands Greek and Cypriot Association</w:t>
      </w:r>
      <w:bookmarkEnd w:id="18"/>
    </w:p>
    <w:p w14:paraId="22D4C3E4" w14:textId="77777777" w:rsidR="000032AC" w:rsidRDefault="00000000">
      <w:pPr>
        <w:pStyle w:val="Normal1"/>
        <w:jc w:val="center"/>
      </w:pPr>
      <w:r>
        <w:t>(Source: Self-created)</w:t>
      </w:r>
    </w:p>
    <w:p w14:paraId="576BC530" w14:textId="77777777" w:rsidR="000032AC" w:rsidRDefault="00000000">
      <w:pPr>
        <w:pStyle w:val="Normal1"/>
      </w:pPr>
      <w:r>
        <w:t xml:space="preserve">The customer journey is meticulously mapped by MGCA, providing insights into unique preferences and expectations. As a result, customized communication tactics are possible, improving the overall member experience. The mapping method also identifies possible issues and obstacles, allowing MGCA to take proactive measures to overcome them. Increased member retention and advocacy follow from this. The versatility of the route map enables continual growth because it is frequently reviewed to stay aware of changing member needs and preferences (Gratton, 2021). This ongoing evaluation makes sure that the MGCA's services are in line with the goals of its diverse community, fostering a close relationship with its members. The association can remain evolving by considering the needs and preferences of its members who is empowers the association to respond to the changes and ensure consistent offerings aligning with the aspirations of their diverse communities. Overall, the act of meticulously </w:t>
      </w:r>
      <w:proofErr w:type="spellStart"/>
      <w:r>
        <w:t>analysing</w:t>
      </w:r>
      <w:proofErr w:type="spellEnd"/>
      <w:r>
        <w:t xml:space="preserve"> and </w:t>
      </w:r>
      <w:proofErr w:type="spellStart"/>
      <w:r>
        <w:t>optimising</w:t>
      </w:r>
      <w:proofErr w:type="spellEnd"/>
      <w:r>
        <w:t xml:space="preserve"> the customer journey presents MGCA with a road map for creating profound connections creating advocacy and fostering its standing as a cultural cornerstone. Also, by embracing the strategic approach the association doesn't just offer events and activities, it cultivates a transformative and resonant experience that enriches the life of the community (Cunliffe, 2022). These activities and strategies create a strong brand position for the association as a hub for cultural vibrancy within the Midlands Greek and Cypriot communities.</w:t>
      </w:r>
    </w:p>
    <w:p w14:paraId="5C78A797" w14:textId="77777777" w:rsidR="000032AC" w:rsidRDefault="00000000">
      <w:pPr>
        <w:pStyle w:val="Heading1"/>
      </w:pPr>
      <w:bookmarkStart w:id="19" w:name="_rtppsbnms2pk" w:colFirst="0" w:colLast="0"/>
      <w:bookmarkStart w:id="20" w:name="_Toc144145570"/>
      <w:bookmarkEnd w:id="19"/>
      <w:r>
        <w:t>The Total Engagement Model related to the Association</w:t>
      </w:r>
      <w:bookmarkEnd w:id="20"/>
    </w:p>
    <w:p w14:paraId="1BC22DF0" w14:textId="41F81AB3" w:rsidR="000032AC" w:rsidRDefault="00000000">
      <w:pPr>
        <w:pStyle w:val="Normal1"/>
      </w:pPr>
      <w:r>
        <w:t xml:space="preserve">The total engagement model is a framework for understanding and measuring consumer engagement. The Total Engagement Model emphasizes the vital interaction between a company's brand, internal culture, customer experience, and customer value proposition in fostering loyal </w:t>
      </w:r>
      <w:r>
        <w:lastRenderedPageBreak/>
        <w:t xml:space="preserve">patronage. Aligning these crucial components can increase the influence of the Midlands Greek and Cypriot Association or MGCA and strengthen ties within the local community. The brand of the MGCA should be consistent with its cultural goals of heritage preservation and racial harmony. It ought to foster an internal culture consistent with these principles, giving staff members the freedom to support MGCA's projects. Events should reflect Greek and Cypriot culture and produce enduring impressions. The value proposition of MGCA should be obvious and offer distinctive cultural experiences, a sense of belonging, and an opportunity for growth (Taylor, 2019). The MGCA may expand its influence and build links with the </w:t>
      </w:r>
      <w:proofErr w:type="spellStart"/>
      <w:r>
        <w:t>neighbourhood</w:t>
      </w:r>
      <w:proofErr w:type="spellEnd"/>
      <w:r>
        <w:t xml:space="preserve"> by coordinating these vital elements.</w:t>
      </w:r>
    </w:p>
    <w:p w14:paraId="0369211D" w14:textId="77777777" w:rsidR="000032AC" w:rsidRDefault="00000000">
      <w:pPr>
        <w:pStyle w:val="Normal1"/>
        <w:jc w:val="center"/>
      </w:pPr>
      <w:r>
        <w:rPr>
          <w:noProof/>
        </w:rPr>
        <w:drawing>
          <wp:inline distT="114300" distB="114300" distL="114300" distR="114300" wp14:anchorId="0C8E242E" wp14:editId="440EAC09">
            <wp:extent cx="5398770" cy="3633788"/>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5398770" cy="3633788"/>
                    </a:xfrm>
                    <a:prstGeom prst="rect">
                      <a:avLst/>
                    </a:prstGeom>
                    <a:ln w="25400">
                      <a:solidFill>
                        <a:srgbClr val="000000"/>
                      </a:solidFill>
                      <a:prstDash val="solid"/>
                    </a:ln>
                  </pic:spPr>
                </pic:pic>
              </a:graphicData>
            </a:graphic>
          </wp:inline>
        </w:drawing>
      </w:r>
    </w:p>
    <w:p w14:paraId="73280F9A" w14:textId="77777777" w:rsidR="000032AC" w:rsidRDefault="00000000">
      <w:pPr>
        <w:pStyle w:val="Heading4"/>
      </w:pPr>
      <w:bookmarkStart w:id="21" w:name="_deju2cdqbboi" w:colFirst="0" w:colLast="0"/>
      <w:bookmarkStart w:id="22" w:name="_Toc144145595"/>
      <w:bookmarkEnd w:id="21"/>
      <w:r>
        <w:t>Figure 3: The total engagement model</w:t>
      </w:r>
      <w:bookmarkEnd w:id="22"/>
    </w:p>
    <w:p w14:paraId="62EB7E61" w14:textId="77777777" w:rsidR="000032AC" w:rsidRDefault="00000000">
      <w:pPr>
        <w:pStyle w:val="Normal1"/>
        <w:jc w:val="center"/>
      </w:pPr>
      <w:r>
        <w:t>(Source: Roberts and Alpert, 2010)</w:t>
      </w:r>
    </w:p>
    <w:p w14:paraId="7F5C3DC1" w14:textId="77777777" w:rsidR="000032AC" w:rsidRDefault="00000000">
      <w:pPr>
        <w:pStyle w:val="Heading2"/>
      </w:pPr>
      <w:bookmarkStart w:id="23" w:name="_p3q45qm7l1oq" w:colFirst="0" w:colLast="0"/>
      <w:bookmarkStart w:id="24" w:name="_Toc144145571"/>
      <w:bookmarkEnd w:id="23"/>
      <w:r>
        <w:t>Step for creating engaged customers for the association</w:t>
      </w:r>
      <w:bookmarkEnd w:id="24"/>
    </w:p>
    <w:p w14:paraId="10BA123F" w14:textId="77777777" w:rsidR="000032AC" w:rsidRDefault="00000000">
      <w:pPr>
        <w:pStyle w:val="Normal1"/>
      </w:pPr>
      <w:r>
        <w:t xml:space="preserve">The steps for creating an engaged customer for the association need a significant understanding of marketing and comprehensive analysis. The steps could include a unique value proposition, consistent communication, employee alignment and providing the best services. </w:t>
      </w:r>
    </w:p>
    <w:p w14:paraId="4D5ABB8D" w14:textId="77777777" w:rsidR="000032AC" w:rsidRDefault="00000000">
      <w:pPr>
        <w:pStyle w:val="Normal1"/>
      </w:pPr>
      <w:r>
        <w:rPr>
          <w:b/>
        </w:rPr>
        <w:lastRenderedPageBreak/>
        <w:t xml:space="preserve">Unique value proposition: </w:t>
      </w:r>
      <w:r>
        <w:t xml:space="preserve">MGCA must develop a unique value proposition rooted in a deep understanding of the desires and needs of the community underscoring the cultural enrichment and networking with a sense of belonging. </w:t>
      </w:r>
    </w:p>
    <w:p w14:paraId="2CD9E0B2" w14:textId="77777777" w:rsidR="000032AC" w:rsidRDefault="00000000">
      <w:pPr>
        <w:pStyle w:val="Normal1"/>
      </w:pPr>
      <w:r>
        <w:rPr>
          <w:b/>
        </w:rPr>
        <w:t xml:space="preserve">Consistent communication: </w:t>
      </w:r>
      <w:r>
        <w:t>MGCA must consistently communicate their value proposition through their branding and communicate marketing efforts through their website, social media and event promotions.</w:t>
      </w:r>
    </w:p>
    <w:p w14:paraId="3D8DE9A7" w14:textId="77777777" w:rsidR="000032AC" w:rsidRDefault="00000000">
      <w:pPr>
        <w:pStyle w:val="Normal1"/>
      </w:pPr>
      <w:r>
        <w:rPr>
          <w:b/>
        </w:rPr>
        <w:t xml:space="preserve">Employee alignment: </w:t>
      </w:r>
      <w:r>
        <w:t xml:space="preserve">MGCA’s internal and external culture should be aligned with its members and mission because engaged employee and members can be their advocates and improve the brand position and awareness. </w:t>
      </w:r>
    </w:p>
    <w:p w14:paraId="08496F1B" w14:textId="77777777" w:rsidR="000032AC" w:rsidRDefault="00000000">
      <w:pPr>
        <w:pStyle w:val="Normal1"/>
      </w:pPr>
      <w:r>
        <w:rPr>
          <w:b/>
        </w:rPr>
        <w:t xml:space="preserve">Provide the best service: </w:t>
      </w:r>
      <w:r>
        <w:t xml:space="preserve">Providing services like cultural events and initiatives should provide value propositions into tangible experiences (Cabeça </w:t>
      </w:r>
      <w:r>
        <w:rPr>
          <w:i/>
        </w:rPr>
        <w:t>et al.</w:t>
      </w:r>
      <w:r>
        <w:t xml:space="preserve"> 2019). Attendees should leave the interaction with the feeling that they are gaining something meaningful and memorable. </w:t>
      </w:r>
    </w:p>
    <w:p w14:paraId="04382492" w14:textId="77777777" w:rsidR="000032AC" w:rsidRDefault="00000000" w:rsidP="00B6790C">
      <w:pPr>
        <w:pStyle w:val="Heading1"/>
      </w:pPr>
      <w:bookmarkStart w:id="25" w:name="_Toc144145572"/>
      <w:r>
        <w:t>Conclusion</w:t>
      </w:r>
      <w:bookmarkEnd w:id="25"/>
      <w:r>
        <w:t xml:space="preserve"> </w:t>
      </w:r>
    </w:p>
    <w:p w14:paraId="78DFACA2" w14:textId="77777777" w:rsidR="000032AC" w:rsidRDefault="00000000">
      <w:pPr>
        <w:pStyle w:val="Normal1"/>
      </w:pPr>
      <w:r>
        <w:t xml:space="preserve">Since 1974, the UK-based Midlands Greek and Cypriot Association (MGCA) has been committed to maintaining and </w:t>
      </w:r>
      <w:proofErr w:type="spellStart"/>
      <w:r>
        <w:t>honouring</w:t>
      </w:r>
      <w:proofErr w:type="spellEnd"/>
      <w:r>
        <w:t xml:space="preserve"> Greek and Cypriot traditions. It is based in Birmingham and fosters cultural awareness and community cohesion. The study looks at MGCA's marketing initiatives, cutting-edge tactics, brand equity models, customer journey, and Total Engagement Model execution to increase impact. Understanding communication models such as Berlo's, IMC, Aaker's, and Total Engagement enables MGCA to successfully promote cultural events, increase brand recognition, and establish a strong presence, all of which support growth and success. The MGCA can enhance its communication tactics and encourage stronger bonds and better understanding between parties by utilizing Berlo's Model of Communication. In conclusion, by combining communication models, IMC, brand equity models, and a thorough customer journey strategy, MGCA efficiently communicates projects, promotes community cohesion, and protects cultural heritage among the Greek and Cypriot communities of the Midlands.</w:t>
      </w:r>
      <w:r>
        <w:br w:type="page"/>
      </w:r>
    </w:p>
    <w:p w14:paraId="6F917562" w14:textId="25C17E99" w:rsidR="00B6790C" w:rsidRDefault="00000000" w:rsidP="00B6790C">
      <w:pPr>
        <w:pStyle w:val="Heading1"/>
      </w:pPr>
      <w:bookmarkStart w:id="26" w:name="_gey6sm329h4b" w:colFirst="0" w:colLast="0"/>
      <w:bookmarkStart w:id="27" w:name="_Toc144145573"/>
      <w:bookmarkEnd w:id="26"/>
      <w:r>
        <w:lastRenderedPageBreak/>
        <w:t>References</w:t>
      </w:r>
      <w:bookmarkEnd w:id="27"/>
    </w:p>
    <w:p w14:paraId="3A511BF9" w14:textId="77777777" w:rsidR="00B6790C" w:rsidRDefault="00B6790C" w:rsidP="00B6790C">
      <w:pPr>
        <w:pStyle w:val="Normal1"/>
        <w:spacing w:before="240" w:after="240"/>
      </w:pPr>
      <w:r>
        <w:t xml:space="preserve">Amoako, K. and Boateng, E., 2022. Analysis of the effectiveness of Corporate Social Responsibility in brand marketing with AAKER Brand Equity and Daisy Wheel Models. </w:t>
      </w:r>
      <w:proofErr w:type="spellStart"/>
      <w:r>
        <w:rPr>
          <w:i/>
        </w:rPr>
        <w:t>Technium</w:t>
      </w:r>
      <w:proofErr w:type="spellEnd"/>
      <w:r>
        <w:rPr>
          <w:i/>
        </w:rPr>
        <w:t xml:space="preserve"> Soc. Sci. J.</w:t>
      </w:r>
      <w:r>
        <w:t xml:space="preserve">, </w:t>
      </w:r>
      <w:r>
        <w:rPr>
          <w:i/>
        </w:rPr>
        <w:t>30</w:t>
      </w:r>
      <w:r>
        <w:t>, p.484.</w:t>
      </w:r>
    </w:p>
    <w:p w14:paraId="54AB0489" w14:textId="77777777" w:rsidR="00B6790C" w:rsidRDefault="00B6790C" w:rsidP="00B6790C">
      <w:pPr>
        <w:pStyle w:val="Normal1"/>
      </w:pPr>
      <w:proofErr w:type="spellStart"/>
      <w:r>
        <w:t>Annosi</w:t>
      </w:r>
      <w:proofErr w:type="spellEnd"/>
      <w:r>
        <w:t>, M.C., Foss, N. and Martini, A., 2020. When agile harms learning and innovation:(and what can be done about it). California Management Review, 63(1), pp.61-80.</w:t>
      </w:r>
    </w:p>
    <w:p w14:paraId="3FD9D6E2" w14:textId="77777777" w:rsidR="00B6790C" w:rsidRDefault="00B6790C" w:rsidP="00B6790C">
      <w:pPr>
        <w:pStyle w:val="Normal1"/>
      </w:pPr>
      <w:r>
        <w:t>Cabeça, S.M., Gonçalves, A.R., Marques, J.F. and Tavares, M., 2019. Mapping intangibilities in creative tourism territories through tangible objects: A methodological approach for developing creative tourism offers. Tourism &amp; Management Studies, 15(1SI), pp.42-49.</w:t>
      </w:r>
    </w:p>
    <w:p w14:paraId="23157126" w14:textId="77777777" w:rsidR="00B6790C" w:rsidRDefault="00B6790C" w:rsidP="00B6790C">
      <w:pPr>
        <w:pStyle w:val="Normal1"/>
        <w:spacing w:before="240" w:after="240"/>
      </w:pPr>
      <w:r>
        <w:t xml:space="preserve">Chi, H.K., Huang, K.C. and Nguyen, H.M., 2020. Elements of destination brand equity and destination familiarity regarding travel intention. </w:t>
      </w:r>
      <w:r>
        <w:rPr>
          <w:i/>
        </w:rPr>
        <w:t>Journal of Retailing and Consumer Services</w:t>
      </w:r>
      <w:r>
        <w:t xml:space="preserve">, </w:t>
      </w:r>
      <w:r>
        <w:rPr>
          <w:i/>
        </w:rPr>
        <w:t>52</w:t>
      </w:r>
      <w:r>
        <w:t>, p.101728.</w:t>
      </w:r>
    </w:p>
    <w:p w14:paraId="08A27881" w14:textId="77777777" w:rsidR="00B6790C" w:rsidRDefault="00B6790C" w:rsidP="00B6790C">
      <w:pPr>
        <w:pStyle w:val="Normal1"/>
      </w:pPr>
      <w:proofErr w:type="spellStart"/>
      <w:r>
        <w:t>Cianconi</w:t>
      </w:r>
      <w:proofErr w:type="spellEnd"/>
      <w:r>
        <w:t xml:space="preserve">, P., </w:t>
      </w:r>
      <w:proofErr w:type="spellStart"/>
      <w:r>
        <w:t>Betrò</w:t>
      </w:r>
      <w:proofErr w:type="spellEnd"/>
      <w:r>
        <w:t xml:space="preserve">, S. and </w:t>
      </w:r>
      <w:proofErr w:type="spellStart"/>
      <w:r>
        <w:t>Janiri</w:t>
      </w:r>
      <w:proofErr w:type="spellEnd"/>
      <w:r>
        <w:t>, L., 2020. The impact of climate change on mental health: a systematic descriptive review. Frontiers in psychiatry, 11, p.74.</w:t>
      </w:r>
    </w:p>
    <w:p w14:paraId="5BF59B18" w14:textId="77777777" w:rsidR="00B6790C" w:rsidRDefault="00B6790C" w:rsidP="00B6790C">
      <w:pPr>
        <w:pStyle w:val="Normal1"/>
        <w:spacing w:before="240" w:after="240"/>
      </w:pPr>
      <w:r>
        <w:t xml:space="preserve">Çınar, K., 2020. Customer based brand equity models in hotel industry: A literature review. </w:t>
      </w:r>
      <w:r>
        <w:rPr>
          <w:i/>
        </w:rPr>
        <w:t>Strategic Innovative Marketing and Tourism: 8th ICSIMAT, Northern Aegean, Greece, 2019</w:t>
      </w:r>
      <w:r>
        <w:t>, pp.281-288.</w:t>
      </w:r>
    </w:p>
    <w:p w14:paraId="784BC454" w14:textId="77777777" w:rsidR="00B6790C" w:rsidRDefault="00B6790C" w:rsidP="00B6790C">
      <w:pPr>
        <w:pStyle w:val="Normal1"/>
        <w:spacing w:before="240" w:after="240"/>
      </w:pPr>
      <w:r>
        <w:t xml:space="preserve">Çınar, K., 2020. Customer based brand equity models in hotel industry: A literature review. </w:t>
      </w:r>
      <w:r>
        <w:rPr>
          <w:i/>
        </w:rPr>
        <w:t>Strategic Innovative Marketing and Tourism: 8th ICSIMAT, Northern Aegean, Greece, 2019</w:t>
      </w:r>
      <w:r>
        <w:t>, pp.281-288.</w:t>
      </w:r>
    </w:p>
    <w:p w14:paraId="0DB7B7D7" w14:textId="77777777" w:rsidR="00B6790C" w:rsidRDefault="00B6790C" w:rsidP="00B6790C">
      <w:pPr>
        <w:pStyle w:val="Normal1"/>
      </w:pPr>
      <w:r>
        <w:t xml:space="preserve">Cunliffe, A.L., 2022. Must I grow a pair of balls to theorize about theory in organization and management </w:t>
      </w:r>
      <w:proofErr w:type="gramStart"/>
      <w:r>
        <w:t>studies?.</w:t>
      </w:r>
      <w:proofErr w:type="gramEnd"/>
      <w:r>
        <w:t xml:space="preserve"> Organization Theory, 3(3), p.26317877221109277.</w:t>
      </w:r>
    </w:p>
    <w:p w14:paraId="5C14672E" w14:textId="77777777" w:rsidR="00B6790C" w:rsidRDefault="00B6790C" w:rsidP="00B6790C">
      <w:pPr>
        <w:pStyle w:val="Normal1"/>
      </w:pPr>
      <w:r>
        <w:t xml:space="preserve">Cutrona, V., De Paoli, F., </w:t>
      </w:r>
      <w:proofErr w:type="spellStart"/>
      <w:r>
        <w:t>Košmerlj</w:t>
      </w:r>
      <w:proofErr w:type="spellEnd"/>
      <w:r>
        <w:t xml:space="preserve">, A., Nikolov, N., </w:t>
      </w:r>
      <w:proofErr w:type="spellStart"/>
      <w:r>
        <w:t>Palmonari</w:t>
      </w:r>
      <w:proofErr w:type="spellEnd"/>
      <w:r>
        <w:t>, M., Perales, F. and Roman, D., 2019. Semantically-enabled optimization of digital marketing campaigns. In The Semantic Web–ISWC 2019: 18th International Semantic Web Conference, Auckland, New Zealand, October 26–30, 2019, Proceedings, Part II 18 (pp. 345-362). Springer International Publishing.</w:t>
      </w:r>
    </w:p>
    <w:p w14:paraId="15C732C5" w14:textId="77777777" w:rsidR="00B6790C" w:rsidRDefault="00B6790C" w:rsidP="00B6790C">
      <w:pPr>
        <w:pStyle w:val="Normal1"/>
      </w:pPr>
      <w:r>
        <w:lastRenderedPageBreak/>
        <w:t>Cypriotfederation.org.uk, (2023). “</w:t>
      </w:r>
      <w:r>
        <w:rPr>
          <w:i/>
        </w:rPr>
        <w:t>MIDLANDS GREEK CYPRIOT ASSOCIATION</w:t>
      </w:r>
      <w:r>
        <w:t>” Available at: https://cypriotfederation.org.uk/midlands/ [Accessed on: 28.08.2023]</w:t>
      </w:r>
    </w:p>
    <w:p w14:paraId="15F367FE" w14:textId="77777777" w:rsidR="00B6790C" w:rsidRDefault="00B6790C" w:rsidP="00B6790C">
      <w:pPr>
        <w:pStyle w:val="Normal1"/>
      </w:pPr>
      <w:r>
        <w:t xml:space="preserve">Di Domenico, G., Nunan, D., Sit, J. and </w:t>
      </w:r>
      <w:proofErr w:type="spellStart"/>
      <w:r>
        <w:t>Pitardi</w:t>
      </w:r>
      <w:proofErr w:type="spellEnd"/>
      <w:r>
        <w:t>, V., 2021. Free but fake speech: When giving primacy to the source decreases misinformation sharing on social media. Psychology &amp; Marketing, 38(10), pp.1700-1711.\</w:t>
      </w:r>
    </w:p>
    <w:p w14:paraId="35E92622" w14:textId="77777777" w:rsidR="00B6790C" w:rsidRDefault="00B6790C" w:rsidP="00B6790C">
      <w:pPr>
        <w:pStyle w:val="Normal1"/>
      </w:pPr>
      <w:r>
        <w:t xml:space="preserve">Eke, G.J., 2020. Effective Communication Processes: A </w:t>
      </w:r>
      <w:proofErr w:type="spellStart"/>
      <w:r>
        <w:t>Peanacea</w:t>
      </w:r>
      <w:proofErr w:type="spellEnd"/>
      <w:r>
        <w:t xml:space="preserve"> for Organizations’ Success. IOSR Journal of Business and Management, 22(8), pp.42-54.</w:t>
      </w:r>
    </w:p>
    <w:p w14:paraId="4C68BC4B" w14:textId="77777777" w:rsidR="00B6790C" w:rsidRDefault="00B6790C" w:rsidP="00B6790C">
      <w:pPr>
        <w:pStyle w:val="Normal1"/>
      </w:pPr>
      <w:proofErr w:type="spellStart"/>
      <w:r>
        <w:t>Fraccastoro</w:t>
      </w:r>
      <w:proofErr w:type="spellEnd"/>
      <w:r>
        <w:t>, S., Gabrielsson, M. and Pullins, E.B., 2021. The integrated use of social media, digital, and traditional communication tools in the B2B sales process of international SMEs. International Business Review, 30(4), p.101776.</w:t>
      </w:r>
    </w:p>
    <w:p w14:paraId="690C7032" w14:textId="77777777" w:rsidR="00B6790C" w:rsidRDefault="00B6790C" w:rsidP="00B6790C">
      <w:pPr>
        <w:pStyle w:val="Normal1"/>
      </w:pPr>
      <w:r>
        <w:t>Gómez-Rico, M., Molina-Collado, A., Santos-</w:t>
      </w:r>
      <w:proofErr w:type="spellStart"/>
      <w:r>
        <w:t>Vijande</w:t>
      </w:r>
      <w:proofErr w:type="spellEnd"/>
      <w:r>
        <w:t>, M.L., Molina-Collado, M.V. and Imhoff, B., 2023. The role of novel instruments of brand communication and brand image in building consumers’ brand preference and intention to visit wineries. Current Psychology, 42(15), pp.12711-12727.</w:t>
      </w:r>
    </w:p>
    <w:p w14:paraId="1D391E09" w14:textId="77777777" w:rsidR="00B6790C" w:rsidRDefault="00B6790C" w:rsidP="00B6790C">
      <w:pPr>
        <w:pStyle w:val="Normal1"/>
        <w:spacing w:before="240" w:after="240"/>
      </w:pPr>
      <w:r>
        <w:t>González-Mansilla, Ó., Berenguer-</w:t>
      </w:r>
      <w:proofErr w:type="spellStart"/>
      <w:r>
        <w:t>Contrí</w:t>
      </w:r>
      <w:proofErr w:type="spellEnd"/>
      <w:r>
        <w:t>, G. and Serra-</w:t>
      </w:r>
      <w:proofErr w:type="spellStart"/>
      <w:r>
        <w:t>Cantallops</w:t>
      </w:r>
      <w:proofErr w:type="spellEnd"/>
      <w:r>
        <w:t xml:space="preserve">, A., 2019. The impact of value co-creation on hotel brand equity and customer satisfaction. </w:t>
      </w:r>
      <w:r>
        <w:rPr>
          <w:i/>
        </w:rPr>
        <w:t>Tourism Management</w:t>
      </w:r>
      <w:r>
        <w:t xml:space="preserve">, </w:t>
      </w:r>
      <w:r>
        <w:rPr>
          <w:i/>
        </w:rPr>
        <w:t>75</w:t>
      </w:r>
      <w:r>
        <w:t>, pp.51-65.</w:t>
      </w:r>
    </w:p>
    <w:p w14:paraId="3341FA04" w14:textId="77777777" w:rsidR="00B6790C" w:rsidRDefault="00B6790C" w:rsidP="00B6790C">
      <w:pPr>
        <w:pStyle w:val="Normal1"/>
      </w:pPr>
      <w:r>
        <w:t>Gratton, L., 2021. How to do hybrid right. Harvard Business Review, 99(3), pp.66-74.</w:t>
      </w:r>
    </w:p>
    <w:p w14:paraId="05212E85" w14:textId="77777777" w:rsidR="00B6790C" w:rsidRDefault="00B6790C" w:rsidP="00B6790C">
      <w:pPr>
        <w:pStyle w:val="Normal1"/>
      </w:pPr>
      <w:r>
        <w:t xml:space="preserve">Hagiu, A. and </w:t>
      </w:r>
      <w:proofErr w:type="spellStart"/>
      <w:r>
        <w:t>Bortoș</w:t>
      </w:r>
      <w:proofErr w:type="spellEnd"/>
      <w:r>
        <w:t xml:space="preserve">, S., 2021. Towards an Applied Ethics in Digital Communication: A Transdisciplinary Perspective on Responsibility. Analele </w:t>
      </w:r>
      <w:proofErr w:type="spellStart"/>
      <w:r>
        <w:t>Universității</w:t>
      </w:r>
      <w:proofErr w:type="spellEnd"/>
      <w:r>
        <w:t xml:space="preserve"> din Craiova, </w:t>
      </w:r>
      <w:proofErr w:type="spellStart"/>
      <w:r>
        <w:t>Seria</w:t>
      </w:r>
      <w:proofErr w:type="spellEnd"/>
      <w:r>
        <w:t xml:space="preserve"> </w:t>
      </w:r>
      <w:proofErr w:type="spellStart"/>
      <w:r>
        <w:t>Filosofie</w:t>
      </w:r>
      <w:proofErr w:type="spellEnd"/>
      <w:r>
        <w:t>/Annals of the University of Craiova, Series: Philosophy, 48(2), pp.110-123.</w:t>
      </w:r>
    </w:p>
    <w:p w14:paraId="6502473B" w14:textId="77777777" w:rsidR="00B6790C" w:rsidRDefault="00B6790C" w:rsidP="00B6790C">
      <w:pPr>
        <w:pStyle w:val="Normal1"/>
        <w:spacing w:before="240" w:after="240"/>
      </w:pPr>
      <w:proofErr w:type="spellStart"/>
      <w:r>
        <w:t>Ianenko</w:t>
      </w:r>
      <w:proofErr w:type="spellEnd"/>
      <w:r>
        <w:t xml:space="preserve">, M., Stepanov, M. and Mironova, L., 2020. Brand identity development. In </w:t>
      </w:r>
      <w:r>
        <w:rPr>
          <w:i/>
        </w:rPr>
        <w:t>E3S web of conferences</w:t>
      </w:r>
      <w:r>
        <w:t xml:space="preserve"> (Vol. 164, p. 09015). EDP Sciences.</w:t>
      </w:r>
    </w:p>
    <w:p w14:paraId="23739500" w14:textId="77777777" w:rsidR="00B6790C" w:rsidRDefault="00B6790C" w:rsidP="00B6790C">
      <w:pPr>
        <w:pStyle w:val="Normal1"/>
      </w:pPr>
      <w:proofErr w:type="spellStart"/>
      <w:r>
        <w:t>Katsirikou</w:t>
      </w:r>
      <w:proofErr w:type="spellEnd"/>
      <w:r>
        <w:t xml:space="preserve">, A., Oikonomou, A., </w:t>
      </w:r>
      <w:proofErr w:type="spellStart"/>
      <w:r>
        <w:t>Vardakosta</w:t>
      </w:r>
      <w:proofErr w:type="spellEnd"/>
      <w:r>
        <w:t xml:space="preserve">, I. and </w:t>
      </w:r>
      <w:proofErr w:type="spellStart"/>
      <w:r>
        <w:t>Salappa</w:t>
      </w:r>
      <w:proofErr w:type="spellEnd"/>
      <w:r>
        <w:t>, S., 2019. Hellenic Economic Library Network (HE LI. N.): A partnership against the economic crisis.</w:t>
      </w:r>
    </w:p>
    <w:p w14:paraId="2427F06D" w14:textId="77777777" w:rsidR="00B6790C" w:rsidRDefault="00B6790C" w:rsidP="00B6790C">
      <w:pPr>
        <w:pStyle w:val="Normal1"/>
      </w:pPr>
      <w:r>
        <w:t>Midlandsgreek.org, (2023). “</w:t>
      </w:r>
      <w:r>
        <w:rPr>
          <w:i/>
        </w:rPr>
        <w:t>About Us</w:t>
      </w:r>
      <w:r>
        <w:t>” Available at: http://www.midlandsgreek.org/about-us/ [Accessed on: 28.08.2023]</w:t>
      </w:r>
    </w:p>
    <w:p w14:paraId="2B3F4DC1" w14:textId="77777777" w:rsidR="00B6790C" w:rsidRDefault="00B6790C" w:rsidP="00B6790C">
      <w:pPr>
        <w:pStyle w:val="Normal1"/>
      </w:pPr>
      <w:r>
        <w:lastRenderedPageBreak/>
        <w:t>Midlandsgreek.org, (2023). “</w:t>
      </w:r>
      <w:r>
        <w:rPr>
          <w:i/>
        </w:rPr>
        <w:t>History</w:t>
      </w:r>
      <w:r>
        <w:t>” Available at: http://www.midlandsgreek.org/about-us/history/ [Accessed on: 28.08.2023]</w:t>
      </w:r>
    </w:p>
    <w:p w14:paraId="3696BBE2" w14:textId="77777777" w:rsidR="00B6790C" w:rsidRDefault="00B6790C" w:rsidP="00B6790C">
      <w:pPr>
        <w:pStyle w:val="Normal1"/>
      </w:pPr>
      <w:r>
        <w:t>Monteiro, B., Santos, V., Reis, I., Sampaio, M.C., Sousa, B., Martinho, F., José Sousa, M. and Au-Yong-Oliveira, M., 2020. Employer branding applied to SMEs: A pioneering model proposal for attracting and retaining talent. Information, 11(12), p.574.</w:t>
      </w:r>
    </w:p>
    <w:p w14:paraId="4FB28D9D" w14:textId="77777777" w:rsidR="00B6790C" w:rsidRDefault="00B6790C" w:rsidP="00B6790C">
      <w:pPr>
        <w:pStyle w:val="Normal1"/>
      </w:pPr>
      <w:proofErr w:type="spellStart"/>
      <w:r>
        <w:t>Muyanga</w:t>
      </w:r>
      <w:proofErr w:type="spellEnd"/>
      <w:r>
        <w:t>, C.C. and Phiri, J., 2020. Assessment of effective communication in international schools in developing countries based on the Berlo’s SMCR model. Open journal of Business and Management, 9(1), pp.448-459.</w:t>
      </w:r>
    </w:p>
    <w:p w14:paraId="0FEFA8F0" w14:textId="77777777" w:rsidR="00B6790C" w:rsidRDefault="00B6790C" w:rsidP="00B6790C">
      <w:pPr>
        <w:pStyle w:val="Normal1"/>
      </w:pPr>
      <w:r>
        <w:t xml:space="preserve">Prikhodko, K., </w:t>
      </w:r>
      <w:proofErr w:type="spellStart"/>
      <w:r>
        <w:t>Danilevskaya</w:t>
      </w:r>
      <w:proofErr w:type="spellEnd"/>
      <w:r>
        <w:t xml:space="preserve">, E., Savina, K. and </w:t>
      </w:r>
      <w:proofErr w:type="spellStart"/>
      <w:r>
        <w:t>Shupenko</w:t>
      </w:r>
      <w:proofErr w:type="spellEnd"/>
      <w:r>
        <w:t>, R., 2019. Innovative opportunities and reserves of contemporary marketing communication.</w:t>
      </w:r>
    </w:p>
    <w:p w14:paraId="7830BE0D" w14:textId="77777777" w:rsidR="00B6790C" w:rsidRDefault="00B6790C" w:rsidP="00B6790C">
      <w:pPr>
        <w:pStyle w:val="Normal1"/>
      </w:pPr>
      <w:r>
        <w:t>Roberts, C. and Alpert, F., 2010. Total customer engagement: designing and aligning key strategic elements to achieve growth. Journal of Product &amp; Brand Management, 19(3), pp.198-209.</w:t>
      </w:r>
    </w:p>
    <w:p w14:paraId="00F7E1C7" w14:textId="77777777" w:rsidR="00B6790C" w:rsidRDefault="00B6790C" w:rsidP="00B6790C">
      <w:pPr>
        <w:pStyle w:val="Normal1"/>
      </w:pPr>
      <w:proofErr w:type="spellStart"/>
      <w:r>
        <w:t>Shinkarenko</w:t>
      </w:r>
      <w:proofErr w:type="spellEnd"/>
      <w:r>
        <w:t xml:space="preserve">, K., 2023. Management plan as a tool for communication </w:t>
      </w:r>
      <w:proofErr w:type="spellStart"/>
      <w:r>
        <w:t>optimisation</w:t>
      </w:r>
      <w:proofErr w:type="spellEnd"/>
      <w:r>
        <w:t>.</w:t>
      </w:r>
    </w:p>
    <w:p w14:paraId="409D35E2" w14:textId="77777777" w:rsidR="00B6790C" w:rsidRDefault="00B6790C" w:rsidP="00B6790C">
      <w:pPr>
        <w:pStyle w:val="Normal1"/>
      </w:pPr>
      <w:r>
        <w:t>Shiratori, E.K.A., Trevisan, A.H. and Mascarenhas, J., 2021. The customer journey in a product-service system business model. Procedia CIRP, 100, pp.313-318.</w:t>
      </w:r>
    </w:p>
    <w:p w14:paraId="6A28E77B" w14:textId="77777777" w:rsidR="00B6790C" w:rsidRDefault="00B6790C" w:rsidP="00B6790C">
      <w:pPr>
        <w:pStyle w:val="Normal1"/>
      </w:pPr>
      <w:r>
        <w:t>Taylor, J.J., 2019. The Relationship between Multicultural Competence, Experience, and Case Conceptualization among Counselors Working with Veteran Clients (Doctoral dissertation, University of Cincinnati).</w:t>
      </w:r>
    </w:p>
    <w:sectPr w:rsidR="00B6790C" w:rsidSect="00B6790C">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EF0A1" w14:textId="77777777" w:rsidR="006F378B" w:rsidRDefault="006F378B">
      <w:pPr>
        <w:spacing w:before="0" w:line="240" w:lineRule="auto"/>
      </w:pPr>
      <w:r>
        <w:separator/>
      </w:r>
    </w:p>
  </w:endnote>
  <w:endnote w:type="continuationSeparator" w:id="0">
    <w:p w14:paraId="0729479F" w14:textId="77777777" w:rsidR="006F378B" w:rsidRDefault="006F378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F8B70" w14:textId="77777777" w:rsidR="000032AC" w:rsidRDefault="00000000">
    <w:pPr>
      <w:pStyle w:val="Normal1"/>
      <w:jc w:val="right"/>
    </w:pPr>
    <w:r>
      <w:fldChar w:fldCharType="begin"/>
    </w:r>
    <w:r>
      <w:instrText>PAGE</w:instrText>
    </w:r>
    <w:r>
      <w:fldChar w:fldCharType="separate"/>
    </w:r>
    <w:r w:rsidR="00B6790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889B2" w14:textId="77777777" w:rsidR="006F378B" w:rsidRDefault="006F378B">
      <w:pPr>
        <w:spacing w:before="0" w:line="240" w:lineRule="auto"/>
      </w:pPr>
      <w:r>
        <w:separator/>
      </w:r>
    </w:p>
  </w:footnote>
  <w:footnote w:type="continuationSeparator" w:id="0">
    <w:p w14:paraId="47A83E6D" w14:textId="77777777" w:rsidR="006F378B" w:rsidRDefault="006F378B">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B966C7"/>
    <w:multiLevelType w:val="hybridMultilevel"/>
    <w:tmpl w:val="63ECE9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44644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2AC"/>
    <w:rsid w:val="000032AC"/>
    <w:rsid w:val="002F4A89"/>
    <w:rsid w:val="006F378B"/>
    <w:rsid w:val="00B679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D4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0"/>
      <w:outlineLvl w:val="1"/>
    </w:pPr>
    <w:rPr>
      <w:b/>
      <w:color w:val="0E101A"/>
    </w:rPr>
  </w:style>
  <w:style w:type="paragraph" w:styleId="Heading3">
    <w:name w:val="heading 3"/>
    <w:basedOn w:val="Normal1"/>
    <w:next w:val="Normal1"/>
    <w:pPr>
      <w:keepNext/>
      <w:keepLines/>
      <w:jc w:val="center"/>
      <w:outlineLvl w:val="2"/>
    </w:pPr>
    <w:rPr>
      <w:b/>
    </w:rPr>
  </w:style>
  <w:style w:type="paragraph" w:styleId="Heading4">
    <w:name w:val="heading 4"/>
    <w:basedOn w:val="Normal1"/>
    <w:next w:val="Normal1"/>
    <w:pPr>
      <w:keepNext/>
      <w:keepLines/>
      <w:jc w:val="center"/>
      <w:outlineLvl w:val="3"/>
    </w:pPr>
    <w:rPr>
      <w:b/>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B6790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6790C"/>
    <w:pPr>
      <w:spacing w:after="100"/>
    </w:pPr>
  </w:style>
  <w:style w:type="paragraph" w:styleId="TOC2">
    <w:name w:val="toc 2"/>
    <w:basedOn w:val="Normal"/>
    <w:next w:val="Normal"/>
    <w:autoRedefine/>
    <w:uiPriority w:val="39"/>
    <w:unhideWhenUsed/>
    <w:rsid w:val="00B6790C"/>
    <w:pPr>
      <w:spacing w:after="100"/>
      <w:ind w:left="240"/>
    </w:pPr>
  </w:style>
  <w:style w:type="character" w:styleId="Hyperlink">
    <w:name w:val="Hyperlink"/>
    <w:basedOn w:val="DefaultParagraphFont"/>
    <w:uiPriority w:val="99"/>
    <w:unhideWhenUsed/>
    <w:rsid w:val="00B6790C"/>
    <w:rPr>
      <w:color w:val="0000FF" w:themeColor="hyperlink"/>
      <w:u w:val="single"/>
    </w:rPr>
  </w:style>
  <w:style w:type="paragraph" w:styleId="TableofFigures">
    <w:name w:val="table of figures"/>
    <w:basedOn w:val="Normal"/>
    <w:next w:val="Normal"/>
    <w:uiPriority w:val="99"/>
    <w:unhideWhenUsed/>
    <w:rsid w:val="00B6790C"/>
  </w:style>
  <w:style w:type="paragraph" w:styleId="Header">
    <w:name w:val="header"/>
    <w:basedOn w:val="Normal"/>
    <w:link w:val="HeaderChar"/>
    <w:uiPriority w:val="99"/>
    <w:unhideWhenUsed/>
    <w:rsid w:val="002F4A89"/>
    <w:pPr>
      <w:tabs>
        <w:tab w:val="center" w:pos="4513"/>
        <w:tab w:val="right" w:pos="9026"/>
      </w:tabs>
      <w:spacing w:before="0" w:line="240" w:lineRule="auto"/>
    </w:pPr>
  </w:style>
  <w:style w:type="character" w:customStyle="1" w:styleId="HeaderChar">
    <w:name w:val="Header Char"/>
    <w:basedOn w:val="DefaultParagraphFont"/>
    <w:link w:val="Header"/>
    <w:uiPriority w:val="99"/>
    <w:rsid w:val="002F4A89"/>
  </w:style>
  <w:style w:type="paragraph" w:styleId="Footer">
    <w:name w:val="footer"/>
    <w:basedOn w:val="Normal"/>
    <w:link w:val="FooterChar"/>
    <w:uiPriority w:val="99"/>
    <w:unhideWhenUsed/>
    <w:rsid w:val="002F4A89"/>
    <w:pPr>
      <w:tabs>
        <w:tab w:val="center" w:pos="4513"/>
        <w:tab w:val="right" w:pos="9026"/>
      </w:tabs>
      <w:spacing w:before="0" w:line="240" w:lineRule="auto"/>
    </w:pPr>
  </w:style>
  <w:style w:type="character" w:customStyle="1" w:styleId="FooterChar">
    <w:name w:val="Footer Char"/>
    <w:basedOn w:val="DefaultParagraphFont"/>
    <w:link w:val="Footer"/>
    <w:uiPriority w:val="99"/>
    <w:rsid w:val="002F4A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030D8-BE6E-4499-9585-E7E616DF2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4694</Words>
  <Characters>26759</Characters>
  <Application>Microsoft Office Word</Application>
  <DocSecurity>0</DocSecurity>
  <Lines>222</Lines>
  <Paragraphs>62</Paragraphs>
  <ScaleCrop>false</ScaleCrop>
  <Company/>
  <LinksUpToDate>false</LinksUpToDate>
  <CharactersWithSpaces>31391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2023-08-28T14:38:00Z</dcterms:created>
  <dcterms:modified xsi:type="dcterms:W3CDTF">2023-08-28T14:38:00Z</dcterms:modified>
</cp:coreProperties>
</file>