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77F8CE" w14:textId="2DC1C450" w:rsidR="001273D3" w:rsidRDefault="00FF58E0" w:rsidP="00255A64">
      <w:pPr>
        <w:pStyle w:val="Heading1"/>
        <w:jc w:val="center"/>
        <w:rPr>
          <w:rFonts w:ascii="Arial" w:hAnsi="Arial" w:cs="Arial"/>
          <w:color w:val="000000" w:themeColor="text1"/>
          <w:sz w:val="24"/>
          <w:szCs w:val="24"/>
        </w:rPr>
      </w:pPr>
      <w:r>
        <w:rPr>
          <w:noProof/>
          <w:color w:val="112846"/>
          <w14:ligatures w14:val="standardContextual"/>
        </w:rPr>
        <w:drawing>
          <wp:inline distT="0" distB="0" distL="0" distR="0" wp14:anchorId="7D94F206" wp14:editId="5615BC86">
            <wp:extent cx="3038899" cy="2762636"/>
            <wp:effectExtent l="0" t="0" r="0" b="0"/>
            <wp:docPr id="413843371" name="Picture 10"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843371" name="Picture 10" descr="A close-up of a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038899" cy="2762636"/>
                    </a:xfrm>
                    <a:prstGeom prst="rect">
                      <a:avLst/>
                    </a:prstGeom>
                  </pic:spPr>
                </pic:pic>
              </a:graphicData>
            </a:graphic>
          </wp:inline>
        </w:drawing>
      </w:r>
    </w:p>
    <w:p w14:paraId="1BC39C8D" w14:textId="567F7042" w:rsidR="001273D3" w:rsidRDefault="001273D3" w:rsidP="003B6182">
      <w:pPr>
        <w:pStyle w:val="Heading1"/>
        <w:jc w:val="both"/>
        <w:rPr>
          <w:rFonts w:ascii="Arial" w:hAnsi="Arial" w:cs="Arial"/>
          <w:color w:val="000000" w:themeColor="text1"/>
          <w:sz w:val="24"/>
          <w:szCs w:val="24"/>
        </w:rPr>
      </w:pPr>
      <w:hyperlink r:id="rId9" w:anchor="slide=id.g37f766adde0_1_38" w:history="1">
        <w:r w:rsidRPr="001273D3">
          <w:rPr>
            <w:rStyle w:val="Hyperlink"/>
            <w:rFonts w:ascii="Arial" w:hAnsi="Arial" w:cs="Arial"/>
            <w:sz w:val="24"/>
            <w:szCs w:val="24"/>
          </w:rPr>
          <w:t>Test - Google Slides</w:t>
        </w:r>
      </w:hyperlink>
    </w:p>
    <w:p w14:paraId="5DB38C3F" w14:textId="77777777" w:rsidR="003352AE" w:rsidRPr="003B6182" w:rsidRDefault="00000000" w:rsidP="003B6182">
      <w:pPr>
        <w:pStyle w:val="Heading2"/>
        <w:jc w:val="both"/>
        <w:rPr>
          <w:rFonts w:ascii="Arial" w:hAnsi="Arial" w:cs="Arial"/>
          <w:color w:val="000000" w:themeColor="text1"/>
          <w:sz w:val="24"/>
          <w:szCs w:val="24"/>
        </w:rPr>
      </w:pPr>
      <w:r w:rsidRPr="003B6182">
        <w:rPr>
          <w:rFonts w:ascii="Arial" w:hAnsi="Arial" w:cs="Arial"/>
          <w:color w:val="000000" w:themeColor="text1"/>
          <w:sz w:val="24"/>
          <w:szCs w:val="24"/>
        </w:rPr>
        <w:t>Slide: Introduction</w:t>
      </w:r>
    </w:p>
    <w:p w14:paraId="4C182EF8"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Good afternoon. Arla Foods Ingredients (AFI) sits within Arla Foods, a farmer</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owned cooperative of more than 8,000 members; value created is returned to members and reinvested to support the business and local communities, with a long</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term focus on sustainability and people development. In 2024, AFI acquired Volac Whey Nutrition. The merger represented more than an operational shift; it marked a cultural transformation from a traditional HR</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led model to one where People Leaders now hold devolved responsibility for performance, development, and wellbeing.</w:t>
      </w:r>
    </w:p>
    <w:p w14:paraId="56CEB104"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While this transition promised agility and local empowerment, it also created challenges. Many managers described increased workloads, uncertainty around expectations, and cultural tensions between UK and Danish operations. The purpose of this study was to evaluate how effectively these devolved responsibilities are being delivered and to propose evidence</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 xml:space="preserve">based recommendations to strengthen clarity, capability, and confidence across AFI’s </w:t>
      </w:r>
      <w:r w:rsidRPr="003B6182">
        <w:rPr>
          <w:rFonts w:ascii="Arial" w:hAnsi="Arial" w:cs="Arial"/>
          <w:color w:val="000000" w:themeColor="text1"/>
          <w:sz w:val="24"/>
          <w:szCs w:val="24"/>
        </w:rPr>
        <w:lastRenderedPageBreak/>
        <w:t>People Leader community, consistent with the cooperative’s values and long</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term purpose.</w:t>
      </w:r>
    </w:p>
    <w:p w14:paraId="5269C6E3" w14:textId="77777777" w:rsidR="003352AE" w:rsidRPr="003B6182" w:rsidRDefault="00000000" w:rsidP="003B6182">
      <w:pPr>
        <w:pStyle w:val="Heading2"/>
        <w:jc w:val="both"/>
        <w:rPr>
          <w:rFonts w:ascii="Arial" w:hAnsi="Arial" w:cs="Arial"/>
          <w:color w:val="000000" w:themeColor="text1"/>
          <w:sz w:val="24"/>
          <w:szCs w:val="24"/>
        </w:rPr>
      </w:pPr>
      <w:r w:rsidRPr="003B6182">
        <w:rPr>
          <w:rFonts w:ascii="Arial" w:hAnsi="Arial" w:cs="Arial"/>
          <w:color w:val="000000" w:themeColor="text1"/>
          <w:sz w:val="24"/>
          <w:szCs w:val="24"/>
        </w:rPr>
        <w:t>Slide: Methodology</w:t>
      </w:r>
    </w:p>
    <w:p w14:paraId="3EFFC38A" w14:textId="58882983"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 xml:space="preserve">To examine these experiences, a qualitative case study was chosen to explore the lived realities of People Leaders after the merger. Six </w:t>
      </w:r>
      <w:r w:rsidR="005936DE" w:rsidRPr="003B6182">
        <w:rPr>
          <w:rFonts w:ascii="Arial" w:hAnsi="Arial" w:cs="Arial"/>
          <w:color w:val="000000" w:themeColor="text1"/>
          <w:sz w:val="24"/>
          <w:szCs w:val="24"/>
        </w:rPr>
        <w:t>senior</w:t>
      </w:r>
      <w:r w:rsidRPr="003B6182">
        <w:rPr>
          <w:rFonts w:ascii="Arial" w:hAnsi="Arial" w:cs="Arial"/>
          <w:color w:val="000000" w:themeColor="text1"/>
          <w:sz w:val="24"/>
          <w:szCs w:val="24"/>
        </w:rPr>
        <w:t xml:space="preserve"> line managers participated in semi</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structured interviews, selected through purposive sampling to represent a range of functions across AFI</w:t>
      </w:r>
      <w:r w:rsidR="005936DE" w:rsidRPr="003B6182">
        <w:rPr>
          <w:rFonts w:ascii="Arial" w:hAnsi="Arial" w:cs="Arial"/>
          <w:color w:val="000000" w:themeColor="text1"/>
          <w:sz w:val="24"/>
          <w:szCs w:val="24"/>
        </w:rPr>
        <w:t xml:space="preserve"> FF</w:t>
      </w:r>
      <w:r w:rsidRPr="003B6182">
        <w:rPr>
          <w:rFonts w:ascii="Arial" w:hAnsi="Arial" w:cs="Arial"/>
          <w:color w:val="000000" w:themeColor="text1"/>
          <w:sz w:val="24"/>
          <w:szCs w:val="24"/>
        </w:rPr>
        <w:t>. Together they manage 192 employees, which represents approximately seventy</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two percent of the workforce.</w:t>
      </w:r>
    </w:p>
    <w:p w14:paraId="74FD4D23"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Data were analysed using Braun and Clarke’s six</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phase thematic analysis framework, providing a transparent and rigorous approach to identifying patterns in the data. Interpretation was guided by three complementary theories. Bandura’s Self</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Efficacy Theory was chosen as the primary analytical lens because confidence repeatedly emerged as central to the managers’ experience of HR devolution; the theory explains how belief in one’s ability influences motivation and performance. Herzberg’s Two</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Factor Theory added a motivational perspective, helping to interpret how meaningful development and recognition shape job satisfaction. Finally, Ulrich’s HR Model provided a strategic lens, highlighting how devolved responsibilities must align with business goals and organisational outcomes.</w:t>
      </w:r>
    </w:p>
    <w:p w14:paraId="348526E9" w14:textId="77777777" w:rsidR="003352AE" w:rsidRPr="003B6182" w:rsidRDefault="00000000" w:rsidP="003B6182">
      <w:pPr>
        <w:pStyle w:val="Heading2"/>
        <w:jc w:val="both"/>
        <w:rPr>
          <w:rFonts w:ascii="Arial" w:hAnsi="Arial" w:cs="Arial"/>
          <w:color w:val="000000" w:themeColor="text1"/>
          <w:sz w:val="24"/>
          <w:szCs w:val="24"/>
        </w:rPr>
      </w:pPr>
      <w:r w:rsidRPr="003B6182">
        <w:rPr>
          <w:rFonts w:ascii="Arial" w:hAnsi="Arial" w:cs="Arial"/>
          <w:color w:val="000000" w:themeColor="text1"/>
          <w:sz w:val="24"/>
          <w:szCs w:val="24"/>
        </w:rPr>
        <w:t>Slide: Key Findings</w:t>
      </w:r>
    </w:p>
    <w:p w14:paraId="73328166"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 xml:space="preserve">Thematic analysis produced six overarching themes. First, emotional readiness captured the initial strain managers experienced as they adapted to new expectations, alongside evidence of growing resilience over time. Second, confidence and capability </w:t>
      </w:r>
      <w:proofErr w:type="gramStart"/>
      <w:r w:rsidRPr="003B6182">
        <w:rPr>
          <w:rFonts w:ascii="Arial" w:hAnsi="Arial" w:cs="Arial"/>
          <w:color w:val="000000" w:themeColor="text1"/>
          <w:sz w:val="24"/>
          <w:szCs w:val="24"/>
        </w:rPr>
        <w:t>were</w:t>
      </w:r>
      <w:proofErr w:type="gramEnd"/>
      <w:r w:rsidRPr="003B6182">
        <w:rPr>
          <w:rFonts w:ascii="Arial" w:hAnsi="Arial" w:cs="Arial"/>
          <w:color w:val="000000" w:themeColor="text1"/>
          <w:sz w:val="24"/>
          <w:szCs w:val="24"/>
        </w:rPr>
        <w:t xml:space="preserve"> often undermined by ambiguity around the scope of devolved HR responsibilities. Third, training and development were described as generic, reactive, and poorly timed, offering little practical support for complex HR tasks such as performance conversations or wellbeing discussions.</w:t>
      </w:r>
    </w:p>
    <w:p w14:paraId="739B0E34"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 xml:space="preserve">Fourth, communication and support were frequent but inconsistent, with managers describing a reactive rather than proactive flow of information. Fifth, cultural integration remained a challenge, as UK and Danish teams differed in approach and expectations. Finally, opportunities for improvement emerged, with managers calling for mentoring, clearer guidance, and enhanced digital tools, but also </w:t>
      </w:r>
      <w:r w:rsidRPr="003B6182">
        <w:rPr>
          <w:rFonts w:ascii="Arial" w:hAnsi="Arial" w:cs="Arial"/>
          <w:color w:val="000000" w:themeColor="text1"/>
          <w:sz w:val="24"/>
          <w:szCs w:val="24"/>
        </w:rPr>
        <w:lastRenderedPageBreak/>
        <w:t>warning of potential burnout if clarity and capacity were not improved. Overall, while devolution created opportunities for empowerment, it was not supported by sufficient structure or targeted development to sustain confidence and consistency.</w:t>
      </w:r>
    </w:p>
    <w:p w14:paraId="1E7CCD50" w14:textId="77777777" w:rsidR="003352AE" w:rsidRPr="003B6182" w:rsidRDefault="00000000" w:rsidP="003B6182">
      <w:pPr>
        <w:pStyle w:val="Heading2"/>
        <w:jc w:val="both"/>
        <w:rPr>
          <w:rFonts w:ascii="Arial" w:hAnsi="Arial" w:cs="Arial"/>
          <w:color w:val="000000" w:themeColor="text1"/>
          <w:sz w:val="24"/>
          <w:szCs w:val="24"/>
        </w:rPr>
      </w:pPr>
      <w:r w:rsidRPr="003B6182">
        <w:rPr>
          <w:rFonts w:ascii="Arial" w:hAnsi="Arial" w:cs="Arial"/>
          <w:color w:val="000000" w:themeColor="text1"/>
          <w:sz w:val="24"/>
          <w:szCs w:val="24"/>
        </w:rPr>
        <w:t>Slide: Bandura’s Self</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Efficacy Theory</w:t>
      </w:r>
    </w:p>
    <w:p w14:paraId="34DD499C"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Bandura’s Self</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Efficacy Theory provides a valuable lens for interpreting these findings. The theory proposes that individuals’ belief in their capability strongly influences how they approach challenges and sustain effort. Confidence grows through mastery experiences, learning from others, encouragement, and the regulation of emotions.</w:t>
      </w:r>
    </w:p>
    <w:p w14:paraId="285DAD74"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 xml:space="preserve">In AFI’s case, managers reported limited opportunities to practise new responsibilities, few structured peer learning opportunities, and inconsistent feedback from leaders. Without these reinforcements, confidence </w:t>
      </w:r>
      <w:proofErr w:type="gramStart"/>
      <w:r w:rsidRPr="003B6182">
        <w:rPr>
          <w:rFonts w:ascii="Arial" w:hAnsi="Arial" w:cs="Arial"/>
          <w:color w:val="000000" w:themeColor="text1"/>
          <w:sz w:val="24"/>
          <w:szCs w:val="24"/>
        </w:rPr>
        <w:t>weakened</w:t>
      </w:r>
      <w:proofErr w:type="gramEnd"/>
      <w:r w:rsidRPr="003B6182">
        <w:rPr>
          <w:rFonts w:ascii="Arial" w:hAnsi="Arial" w:cs="Arial"/>
          <w:color w:val="000000" w:themeColor="text1"/>
          <w:sz w:val="24"/>
          <w:szCs w:val="24"/>
        </w:rPr>
        <w:t xml:space="preserve"> and hesitation increased. Even experienced managers felt uncertain when expectations were unclear. This analysis shows that capability alone is insufficient; confidence must be cultivated through structured experiences and reinforcement. Building self</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efficacy within AFI’s People Leader community is therefore essential for effective and consistent delivery of devolved HR responsibilities.</w:t>
      </w:r>
    </w:p>
    <w:p w14:paraId="2CD4156E" w14:textId="77777777" w:rsidR="003352AE" w:rsidRPr="003B6182" w:rsidRDefault="00000000" w:rsidP="003B6182">
      <w:pPr>
        <w:pStyle w:val="Heading2"/>
        <w:jc w:val="both"/>
        <w:rPr>
          <w:rFonts w:ascii="Arial" w:hAnsi="Arial" w:cs="Arial"/>
          <w:color w:val="000000" w:themeColor="text1"/>
          <w:sz w:val="24"/>
          <w:szCs w:val="24"/>
        </w:rPr>
      </w:pPr>
      <w:r w:rsidRPr="003B6182">
        <w:rPr>
          <w:rFonts w:ascii="Arial" w:hAnsi="Arial" w:cs="Arial"/>
          <w:color w:val="000000" w:themeColor="text1"/>
          <w:sz w:val="24"/>
          <w:szCs w:val="24"/>
        </w:rPr>
        <w:t>Slide: Recommendation 1 – Clarify and Develop the Business Role of People Leaders</w:t>
      </w:r>
    </w:p>
    <w:p w14:paraId="5F46F214"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This first recommendation addresses the fundamental issue of clarity. While People Leaders understood they were responsible for people management, there was no shared understanding of what this meant in practice. Ambiguity led to inconsistent application of policies and reduced confidence when making decisions. To address this, a People Leader Development and Alignment Programme is proposed to define the devolved HR responsibilities, deliver modular, role</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specific training, and strengthen communication and leadership visibility across sites.</w:t>
      </w:r>
    </w:p>
    <w:p w14:paraId="3FC1D04B"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 xml:space="preserve">The chart on this slide illustrates the support areas identified by line managers: 40% emphasised the need for training, confirming that structured, relevant learning must be a priority; 30% sought peer support, reflecting a desire for collaborative learning and shared practice; 20% requested clearer policies, reinforcing the </w:t>
      </w:r>
      <w:r w:rsidRPr="003B6182">
        <w:rPr>
          <w:rFonts w:ascii="Arial" w:hAnsi="Arial" w:cs="Arial"/>
          <w:color w:val="000000" w:themeColor="text1"/>
          <w:sz w:val="24"/>
          <w:szCs w:val="24"/>
        </w:rPr>
        <w:lastRenderedPageBreak/>
        <w:t>importance of defined expectations; and 10% wanted mentoring, linking to sustained capability</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building.</w:t>
      </w:r>
    </w:p>
    <w:p w14:paraId="09609DB9"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This evidence demonstrates that R1 directly responds to the support needs expressed by managers. Using Arla’s existing learning platforms ensures accessibility and cost</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effectiveness, and evaluation through Kirkpatrick’s four levels would confirm that learning translates into behaviour change and improved outcomes. Embedding a shared understanding and structure provides a foundation for confident, consistent performance across the management community.</w:t>
      </w:r>
    </w:p>
    <w:p w14:paraId="5A8F78D4" w14:textId="77777777" w:rsidR="003352AE" w:rsidRPr="003B6182" w:rsidRDefault="00000000" w:rsidP="003B6182">
      <w:pPr>
        <w:pStyle w:val="Heading2"/>
        <w:jc w:val="both"/>
        <w:rPr>
          <w:rFonts w:ascii="Arial" w:hAnsi="Arial" w:cs="Arial"/>
          <w:color w:val="000000" w:themeColor="text1"/>
          <w:sz w:val="24"/>
          <w:szCs w:val="24"/>
        </w:rPr>
      </w:pPr>
      <w:r w:rsidRPr="003B6182">
        <w:rPr>
          <w:rFonts w:ascii="Arial" w:hAnsi="Arial" w:cs="Arial"/>
          <w:color w:val="000000" w:themeColor="text1"/>
          <w:sz w:val="24"/>
          <w:szCs w:val="24"/>
        </w:rPr>
        <w:t>Slide: Recommendation 2 – Strengthen Capability through Training, Mentoring, and Calibration</w:t>
      </w:r>
    </w:p>
    <w:p w14:paraId="4D1B46D0"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The second recommendation focuses on building capability through continuous development. Managers described current training as reactive and insufficiently tailored, leaving them to learn through trial and error. Capability should therefore be developed through an ongoing process combining targeted training, mentoring, and structured feedback.</w:t>
      </w:r>
    </w:p>
    <w:p w14:paraId="2A7885B0"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Targeted learning would address key devolved responsibilities such as performance management, wellbeing, and compliance. Cross</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site mentoring would enable less experienced managers to learn from peers who have successfully navigated similar challenges, supporting both skill development and confidence through vicarious learning. Regular calibration reviews would provide structured feedback and ensure consistent practice across teams. This approach reinforces Bandura’s concept of mastery experiences and Herzberg’s principle that meaningful development drives motivation, ensuring that managers not only acquire knowledge but also confidence and accountability.</w:t>
      </w:r>
    </w:p>
    <w:p w14:paraId="6CAD6888" w14:textId="77777777" w:rsidR="003352AE" w:rsidRPr="003B6182" w:rsidRDefault="00000000" w:rsidP="003B6182">
      <w:pPr>
        <w:pStyle w:val="Heading2"/>
        <w:jc w:val="both"/>
        <w:rPr>
          <w:rFonts w:ascii="Arial" w:hAnsi="Arial" w:cs="Arial"/>
          <w:color w:val="000000" w:themeColor="text1"/>
          <w:sz w:val="24"/>
          <w:szCs w:val="24"/>
        </w:rPr>
      </w:pPr>
      <w:r w:rsidRPr="003B6182">
        <w:rPr>
          <w:rFonts w:ascii="Arial" w:hAnsi="Arial" w:cs="Arial"/>
          <w:color w:val="000000" w:themeColor="text1"/>
          <w:sz w:val="24"/>
          <w:szCs w:val="24"/>
        </w:rPr>
        <w:t>Slide: Recommendation 3 – Enhance Communication and Leadership Visibility</w:t>
      </w:r>
    </w:p>
    <w:p w14:paraId="53902111"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The third recommendation responds to inconsistent communication and limited leadership visibility. Managers described confusion when messages were interpreted differently across sites or delivered reactively. A structured communication framework is proposed.</w:t>
      </w:r>
    </w:p>
    <w:p w14:paraId="5B516629"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lastRenderedPageBreak/>
        <w:t>Monthly People Leader forums would enable discussion, clarification, and knowledge sharing. Quarterly leadership briefings would align managers with organisational strategy, while regular site walkarounds would make senior leaders more visible and accessible. Together, these actions build trust, improve consistency, and reinforce psychological safety. Strengthened communication and visibility support AFI’s cooperative values and foster a sense of connection and shared purpose across all sites.</w:t>
      </w:r>
    </w:p>
    <w:p w14:paraId="5CC91CB1" w14:textId="77777777" w:rsidR="003352AE" w:rsidRPr="003B6182" w:rsidRDefault="00000000" w:rsidP="003B6182">
      <w:pPr>
        <w:pStyle w:val="Heading2"/>
        <w:jc w:val="both"/>
        <w:rPr>
          <w:rFonts w:ascii="Arial" w:hAnsi="Arial" w:cs="Arial"/>
          <w:color w:val="000000" w:themeColor="text1"/>
          <w:sz w:val="24"/>
          <w:szCs w:val="24"/>
        </w:rPr>
      </w:pPr>
      <w:r w:rsidRPr="003B6182">
        <w:rPr>
          <w:rFonts w:ascii="Arial" w:hAnsi="Arial" w:cs="Arial"/>
          <w:color w:val="000000" w:themeColor="text1"/>
          <w:sz w:val="24"/>
          <w:szCs w:val="24"/>
        </w:rPr>
        <w:t>Slide: Vision for AFI’s People Leaders</w:t>
      </w:r>
    </w:p>
    <w:p w14:paraId="2A5E9E6D"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 xml:space="preserve">Together, these three recommendations form a coherent and complementary strategy. Clarity provides the foundation upon which confidence is built. Continuous development through training, mentoring, and calibration strengthens capability and reinforces learning. Structured communication and leadership visibility </w:t>
      </w:r>
      <w:proofErr w:type="gramStart"/>
      <w:r w:rsidRPr="003B6182">
        <w:rPr>
          <w:rFonts w:ascii="Arial" w:hAnsi="Arial" w:cs="Arial"/>
          <w:color w:val="000000" w:themeColor="text1"/>
          <w:sz w:val="24"/>
          <w:szCs w:val="24"/>
        </w:rPr>
        <w:t>foster</w:t>
      </w:r>
      <w:proofErr w:type="gramEnd"/>
      <w:r w:rsidRPr="003B6182">
        <w:rPr>
          <w:rFonts w:ascii="Arial" w:hAnsi="Arial" w:cs="Arial"/>
          <w:color w:val="000000" w:themeColor="text1"/>
          <w:sz w:val="24"/>
          <w:szCs w:val="24"/>
        </w:rPr>
        <w:t xml:space="preserve"> connection and trust.</w:t>
      </w:r>
    </w:p>
    <w:p w14:paraId="0AF07333"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The result is a leadership community that is confident in its role, capable in its practice, and connected across the organisation. This approach transforms People Leaders into strategic enablers who deliver devolved HR responsibilities effectively and consistently, aligning day</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to</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day operations with AFI’s cooperative purpose and long</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term goals.</w:t>
      </w:r>
    </w:p>
    <w:p w14:paraId="45801676" w14:textId="77777777" w:rsidR="003352AE" w:rsidRPr="003B6182" w:rsidRDefault="00000000" w:rsidP="003B6182">
      <w:pPr>
        <w:pStyle w:val="Heading2"/>
        <w:jc w:val="both"/>
        <w:rPr>
          <w:rFonts w:ascii="Arial" w:hAnsi="Arial" w:cs="Arial"/>
          <w:color w:val="000000" w:themeColor="text1"/>
          <w:sz w:val="24"/>
          <w:szCs w:val="24"/>
        </w:rPr>
      </w:pPr>
      <w:r w:rsidRPr="003B6182">
        <w:rPr>
          <w:rFonts w:ascii="Arial" w:hAnsi="Arial" w:cs="Arial"/>
          <w:color w:val="000000" w:themeColor="text1"/>
          <w:sz w:val="24"/>
          <w:szCs w:val="24"/>
        </w:rPr>
        <w:t>Slide: Closing Remarks</w:t>
      </w:r>
    </w:p>
    <w:p w14:paraId="5DEA89C7"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In conclusion, AFI’s shift to a management</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led people model presents both opportunity and challenge. Bandura’s Self</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Efficacy Theory revealed that the central barrier is not a lack of technical skill, but a need for greater confidence and psychological readiness. By embedding clarity of role, continuous development, and visible, supportive communication, AFI can cultivate a leadership culture that is confident, capable, and connected.</w:t>
      </w:r>
    </w:p>
    <w:p w14:paraId="09B47A21" w14:textId="77777777" w:rsidR="003352AE" w:rsidRPr="003B6182" w:rsidRDefault="00000000" w:rsidP="003B6182">
      <w:pPr>
        <w:jc w:val="both"/>
        <w:rPr>
          <w:rFonts w:ascii="Arial" w:hAnsi="Arial" w:cs="Arial"/>
          <w:color w:val="000000" w:themeColor="text1"/>
          <w:sz w:val="24"/>
          <w:szCs w:val="24"/>
        </w:rPr>
      </w:pPr>
      <w:r w:rsidRPr="003B6182">
        <w:rPr>
          <w:rFonts w:ascii="Arial" w:hAnsi="Arial" w:cs="Arial"/>
          <w:color w:val="000000" w:themeColor="text1"/>
          <w:sz w:val="24"/>
          <w:szCs w:val="24"/>
        </w:rPr>
        <w:t>Through these changes, AFI can translate strategic intent into daily action, strengthen engagement and trust, and achieve sustainable performance across its post</w:t>
      </w:r>
      <w:r w:rsidRPr="003B6182">
        <w:rPr>
          <w:rFonts w:ascii="Cambria Math" w:hAnsi="Cambria Math" w:cs="Cambria Math"/>
          <w:color w:val="000000" w:themeColor="text1"/>
          <w:sz w:val="24"/>
          <w:szCs w:val="24"/>
        </w:rPr>
        <w:t>‑</w:t>
      </w:r>
      <w:r w:rsidRPr="003B6182">
        <w:rPr>
          <w:rFonts w:ascii="Arial" w:hAnsi="Arial" w:cs="Arial"/>
          <w:color w:val="000000" w:themeColor="text1"/>
          <w:sz w:val="24"/>
          <w:szCs w:val="24"/>
        </w:rPr>
        <w:t>merger organisation. Thank you.</w:t>
      </w:r>
    </w:p>
    <w:sectPr w:rsidR="003352AE" w:rsidRPr="003B6182" w:rsidSect="00034616">
      <w:head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6EEDA" w14:textId="77777777" w:rsidR="00032D52" w:rsidRDefault="00032D52" w:rsidP="00255A64">
      <w:pPr>
        <w:spacing w:after="0" w:line="240" w:lineRule="auto"/>
      </w:pPr>
      <w:r>
        <w:separator/>
      </w:r>
    </w:p>
  </w:endnote>
  <w:endnote w:type="continuationSeparator" w:id="0">
    <w:p w14:paraId="7170CF24" w14:textId="77777777" w:rsidR="00032D52" w:rsidRDefault="00032D52" w:rsidP="00255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011B4" w14:textId="77777777" w:rsidR="00032D52" w:rsidRDefault="00032D52" w:rsidP="00255A64">
      <w:pPr>
        <w:spacing w:after="0" w:line="240" w:lineRule="auto"/>
      </w:pPr>
      <w:r>
        <w:separator/>
      </w:r>
    </w:p>
  </w:footnote>
  <w:footnote w:type="continuationSeparator" w:id="0">
    <w:p w14:paraId="0C789FCC" w14:textId="77777777" w:rsidR="00032D52" w:rsidRDefault="00032D52" w:rsidP="00255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93E16" w14:textId="77777777" w:rsidR="00255A64" w:rsidRDefault="00255A64" w:rsidP="00255A64">
    <w:pPr>
      <w:jc w:val="center"/>
    </w:pPr>
    <w:r w:rsidRPr="00D655F0">
      <w:t>Post Merger People Challenge</w:t>
    </w:r>
  </w:p>
  <w:p w14:paraId="2AFFA10B" w14:textId="77777777" w:rsidR="00255A64" w:rsidRPr="00D655F0" w:rsidRDefault="00255A64" w:rsidP="00255A64">
    <w:pPr>
      <w:jc w:val="center"/>
    </w:pPr>
    <w:r>
      <w:t>A Line Managers Evaluation at AFI</w:t>
    </w:r>
  </w:p>
  <w:p w14:paraId="2BD1EEAD" w14:textId="77777777" w:rsidR="00255A64" w:rsidRPr="00D655F0" w:rsidRDefault="00255A64" w:rsidP="00255A64">
    <w:pPr>
      <w:spacing w:line="360" w:lineRule="auto"/>
      <w:jc w:val="center"/>
      <w:rPr>
        <w:color w:val="112846"/>
      </w:rPr>
    </w:pPr>
  </w:p>
  <w:p w14:paraId="55E470F9" w14:textId="773A0BA4" w:rsidR="00255A64" w:rsidRPr="00255A64" w:rsidRDefault="00255A64" w:rsidP="00255A64">
    <w:pPr>
      <w:pStyle w:val="Heading1"/>
      <w:jc w:val="center"/>
      <w:rPr>
        <w:rFonts w:asciiTheme="minorHAnsi" w:eastAsiaTheme="minorEastAsia" w:hAnsiTheme="minorHAnsi" w:cstheme="minorBidi"/>
        <w:b w:val="0"/>
        <w:bCs w:val="0"/>
        <w:color w:val="auto"/>
        <w:sz w:val="22"/>
        <w:szCs w:val="22"/>
      </w:rPr>
    </w:pPr>
    <w:r w:rsidRPr="00255A64">
      <w:rPr>
        <w:rFonts w:asciiTheme="minorHAnsi" w:eastAsiaTheme="minorEastAsia" w:hAnsiTheme="minorHAnsi" w:cstheme="minorBidi"/>
        <w:b w:val="0"/>
        <w:bCs w:val="0"/>
        <w:color w:val="auto"/>
        <w:sz w:val="22"/>
        <w:szCs w:val="22"/>
      </w:rPr>
      <w:t>Speaker Notes</w:t>
    </w:r>
  </w:p>
  <w:p w14:paraId="1BC78A81" w14:textId="77777777" w:rsidR="00255A64" w:rsidRPr="00255A64" w:rsidRDefault="00255A64" w:rsidP="00255A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27810799">
    <w:abstractNumId w:val="8"/>
  </w:num>
  <w:num w:numId="2" w16cid:durableId="745152253">
    <w:abstractNumId w:val="6"/>
  </w:num>
  <w:num w:numId="3" w16cid:durableId="1115516213">
    <w:abstractNumId w:val="5"/>
  </w:num>
  <w:num w:numId="4" w16cid:durableId="636765340">
    <w:abstractNumId w:val="4"/>
  </w:num>
  <w:num w:numId="5" w16cid:durableId="859246798">
    <w:abstractNumId w:val="7"/>
  </w:num>
  <w:num w:numId="6" w16cid:durableId="562377395">
    <w:abstractNumId w:val="3"/>
  </w:num>
  <w:num w:numId="7" w16cid:durableId="1971016479">
    <w:abstractNumId w:val="2"/>
  </w:num>
  <w:num w:numId="8" w16cid:durableId="699666570">
    <w:abstractNumId w:val="1"/>
  </w:num>
  <w:num w:numId="9" w16cid:durableId="1138953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2D52"/>
    <w:rsid w:val="00034616"/>
    <w:rsid w:val="0006063C"/>
    <w:rsid w:val="001273D3"/>
    <w:rsid w:val="0015074B"/>
    <w:rsid w:val="00255A64"/>
    <w:rsid w:val="0029639D"/>
    <w:rsid w:val="00326F90"/>
    <w:rsid w:val="003352AE"/>
    <w:rsid w:val="003B6182"/>
    <w:rsid w:val="005936DE"/>
    <w:rsid w:val="00736106"/>
    <w:rsid w:val="00AA1D8D"/>
    <w:rsid w:val="00B47730"/>
    <w:rsid w:val="00CB0664"/>
    <w:rsid w:val="00FC693F"/>
    <w:rsid w:val="00FF58E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6D12DAF"/>
  <w14:defaultImageDpi w14:val="300"/>
  <w15:docId w15:val="{49F8470F-9AB4-4CAF-95BE-BBA2CD02C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1273D3"/>
    <w:rPr>
      <w:color w:val="0000FF" w:themeColor="hyperlink"/>
      <w:u w:val="single"/>
    </w:rPr>
  </w:style>
  <w:style w:type="character" w:styleId="UnresolvedMention">
    <w:name w:val="Unresolved Mention"/>
    <w:basedOn w:val="DefaultParagraphFont"/>
    <w:uiPriority w:val="99"/>
    <w:semiHidden/>
    <w:unhideWhenUsed/>
    <w:rsid w:val="001273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cs.google.com/presentation/d/1zWyhitCJKXe0Y6X73BFQnWoRoki4wJcmv0G1ox7YZiU/edit?slide=id.g37f766adde0_1_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1422</Words>
  <Characters>8107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9510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joshua morris</cp:lastModifiedBy>
  <cp:revision>4</cp:revision>
  <dcterms:created xsi:type="dcterms:W3CDTF">2025-09-29T20:02:00Z</dcterms:created>
  <dcterms:modified xsi:type="dcterms:W3CDTF">2025-09-29T20:03:00Z</dcterms:modified>
  <cp:category/>
</cp:coreProperties>
</file>