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13E922" w14:textId="77777777" w:rsidR="006001C6" w:rsidRPr="00BD0125" w:rsidRDefault="006001C6" w:rsidP="00387F63">
      <w:pPr>
        <w:pStyle w:val="Heading2"/>
        <w:jc w:val="center"/>
      </w:pPr>
      <w:r w:rsidRPr="00BD0125">
        <w:t>BA (Hons) Leadership and management skill for the workplace</w:t>
      </w:r>
    </w:p>
    <w:p w14:paraId="32E39EE9" w14:textId="77777777" w:rsidR="006001C6" w:rsidRPr="00BD0125" w:rsidRDefault="006001C6" w:rsidP="00387F63">
      <w:pPr>
        <w:pStyle w:val="Heading2"/>
        <w:jc w:val="center"/>
      </w:pPr>
      <w:r w:rsidRPr="00BD0125">
        <w:t>Module code: LCLM500</w:t>
      </w:r>
      <w:r>
        <w:t>2</w:t>
      </w:r>
    </w:p>
    <w:p w14:paraId="61541726" w14:textId="77777777" w:rsidR="006001C6" w:rsidRPr="00642963" w:rsidRDefault="006001C6" w:rsidP="00387F63">
      <w:pPr>
        <w:pStyle w:val="Heading2"/>
        <w:jc w:val="center"/>
        <w:rPr>
          <w:lang w:val="en-GB"/>
        </w:rPr>
      </w:pPr>
      <w:r w:rsidRPr="00642963">
        <w:t>Developing and managing individuals and teams</w:t>
      </w:r>
    </w:p>
    <w:p w14:paraId="72090A15" w14:textId="77777777" w:rsidR="006001C6" w:rsidRPr="00BD0125" w:rsidRDefault="006001C6" w:rsidP="00387F63">
      <w:pPr>
        <w:pStyle w:val="Heading2"/>
        <w:jc w:val="center"/>
        <w:rPr>
          <w:lang w:val="en-GB"/>
        </w:rPr>
      </w:pPr>
      <w:r w:rsidRPr="00BD0125">
        <w:t xml:space="preserve">Lecturer’s name: </w:t>
      </w:r>
      <w:r w:rsidRPr="00B905D1">
        <w:t>Samson Oladejo</w:t>
      </w:r>
    </w:p>
    <w:p w14:paraId="5FD4BC71" w14:textId="77777777" w:rsidR="006001C6" w:rsidRPr="00BD0125" w:rsidRDefault="006001C6" w:rsidP="00387F63">
      <w:pPr>
        <w:pStyle w:val="Heading2"/>
        <w:jc w:val="center"/>
        <w:rPr>
          <w:lang w:val="en-GB"/>
        </w:rPr>
      </w:pPr>
      <w:r w:rsidRPr="00BD0125">
        <w:t>Student Name: Murtaza Haris</w:t>
      </w:r>
    </w:p>
    <w:p w14:paraId="6669F885" w14:textId="7F4E1BC8" w:rsidR="006716E8" w:rsidRDefault="006001C6" w:rsidP="00387F63">
      <w:pPr>
        <w:pStyle w:val="Heading2"/>
        <w:jc w:val="center"/>
      </w:pPr>
      <w:r w:rsidRPr="00C74710">
        <w:t>Student Number: 2424512</w:t>
      </w:r>
    </w:p>
    <w:p w14:paraId="456E995E" w14:textId="77777777" w:rsidR="00C30F6A" w:rsidRDefault="00C30F6A" w:rsidP="00387F63">
      <w:pPr>
        <w:pStyle w:val="Heading2"/>
        <w:jc w:val="center"/>
      </w:pPr>
    </w:p>
    <w:p w14:paraId="464C038E" w14:textId="1FB87B8A" w:rsidR="00C30F6A" w:rsidRDefault="00C30F6A" w:rsidP="00387F63">
      <w:pPr>
        <w:pStyle w:val="Heading2"/>
        <w:jc w:val="cente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03682CC9" wp14:editId="4E8AD1B7">
            <wp:extent cx="5107709" cy="2838496"/>
            <wp:effectExtent l="0" t="0" r="0" b="0"/>
            <wp:docPr id="1828607450"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7971" cy="2866428"/>
                    </a:xfrm>
                    <a:prstGeom prst="rect">
                      <a:avLst/>
                    </a:prstGeom>
                    <a:noFill/>
                    <a:ln>
                      <a:noFill/>
                    </a:ln>
                  </pic:spPr>
                </pic:pic>
              </a:graphicData>
            </a:graphic>
          </wp:inline>
        </w:drawing>
      </w:r>
      <w:r>
        <w:fldChar w:fldCharType="end"/>
      </w:r>
    </w:p>
    <w:p w14:paraId="144B9F67" w14:textId="77777777" w:rsidR="00C30F6A" w:rsidRDefault="00C30F6A" w:rsidP="00387F63">
      <w:pPr>
        <w:pStyle w:val="Heading2"/>
        <w:jc w:val="center"/>
      </w:pPr>
    </w:p>
    <w:p w14:paraId="06C60D67" w14:textId="77777777" w:rsidR="00C30F6A" w:rsidRDefault="00C30F6A" w:rsidP="00387F63">
      <w:pPr>
        <w:pStyle w:val="Heading2"/>
        <w:jc w:val="center"/>
      </w:pPr>
    </w:p>
    <w:p w14:paraId="5B594B36" w14:textId="77777777" w:rsidR="00C30F6A" w:rsidRDefault="00C30F6A" w:rsidP="00387F63">
      <w:pPr>
        <w:pStyle w:val="Heading2"/>
        <w:jc w:val="center"/>
      </w:pPr>
    </w:p>
    <w:p w14:paraId="283A0755" w14:textId="77777777" w:rsidR="00C30F6A" w:rsidRDefault="00C30F6A" w:rsidP="00387F63">
      <w:pPr>
        <w:pStyle w:val="Heading2"/>
        <w:jc w:val="center"/>
      </w:pPr>
    </w:p>
    <w:sdt>
      <w:sdtPr>
        <w:rPr>
          <w:rFonts w:asciiTheme="minorHAnsi" w:eastAsiaTheme="minorEastAsia" w:hAnsiTheme="minorHAnsi" w:cstheme="minorBidi"/>
          <w:b w:val="0"/>
          <w:bCs w:val="0"/>
          <w:color w:val="auto"/>
          <w:sz w:val="22"/>
          <w:szCs w:val="22"/>
        </w:rPr>
        <w:id w:val="286514973"/>
        <w:docPartObj>
          <w:docPartGallery w:val="Table of Contents"/>
          <w:docPartUnique/>
        </w:docPartObj>
      </w:sdtPr>
      <w:sdtContent>
        <w:p w14:paraId="04444A2F" w14:textId="77777777" w:rsidR="00A0527B" w:rsidRDefault="00A0527B">
          <w:pPr>
            <w:pStyle w:val="TOCHeading"/>
          </w:pPr>
          <w:r>
            <w:t>Contents</w:t>
          </w:r>
        </w:p>
        <w:p w14:paraId="4ADEB022" w14:textId="77777777" w:rsidR="00011BE2" w:rsidRPr="00011BE2" w:rsidRDefault="00A002DC" w:rsidP="00011BE2">
          <w:pPr>
            <w:pStyle w:val="TOC1"/>
          </w:pPr>
          <w:r>
            <w:fldChar w:fldCharType="begin"/>
          </w:r>
          <w:r w:rsidR="00A0527B">
            <w:instrText xml:space="preserve"> TOC \o "1-3" \h \z \u </w:instrText>
          </w:r>
          <w:r>
            <w:fldChar w:fldCharType="separate"/>
          </w:r>
          <w:hyperlink w:anchor="_Toc235052181" w:history="1">
            <w:r w:rsidR="00011BE2" w:rsidRPr="00011BE2">
              <w:rPr>
                <w:rStyle w:val="Hyperlink"/>
              </w:rPr>
              <w:t>Executive Summary</w:t>
            </w:r>
            <w:r w:rsidR="00011BE2" w:rsidRPr="00011BE2">
              <w:rPr>
                <w:webHidden/>
              </w:rPr>
              <w:tab/>
            </w:r>
            <w:r w:rsidR="00011BE2" w:rsidRPr="00011BE2">
              <w:rPr>
                <w:webHidden/>
              </w:rPr>
              <w:fldChar w:fldCharType="begin"/>
            </w:r>
            <w:r w:rsidR="00011BE2" w:rsidRPr="00011BE2">
              <w:rPr>
                <w:webHidden/>
              </w:rPr>
              <w:instrText xml:space="preserve"> PAGEREF _Toc235052181 \h </w:instrText>
            </w:r>
            <w:r w:rsidR="00011BE2" w:rsidRPr="00011BE2">
              <w:rPr>
                <w:webHidden/>
              </w:rPr>
            </w:r>
            <w:r w:rsidR="00011BE2" w:rsidRPr="00011BE2">
              <w:rPr>
                <w:webHidden/>
              </w:rPr>
              <w:fldChar w:fldCharType="separate"/>
            </w:r>
            <w:r w:rsidR="00990063">
              <w:rPr>
                <w:webHidden/>
              </w:rPr>
              <w:t>3</w:t>
            </w:r>
            <w:r w:rsidR="00011BE2" w:rsidRPr="00011BE2">
              <w:rPr>
                <w:webHidden/>
              </w:rPr>
              <w:fldChar w:fldCharType="end"/>
            </w:r>
          </w:hyperlink>
        </w:p>
        <w:p w14:paraId="5C17F7FE" w14:textId="77777777" w:rsidR="00011BE2" w:rsidRDefault="00011BE2" w:rsidP="00011BE2">
          <w:pPr>
            <w:pStyle w:val="TOC2"/>
            <w:rPr>
              <w:rFonts w:asciiTheme="minorHAnsi" w:hAnsiTheme="minorHAnsi" w:cstheme="minorBidi"/>
            </w:rPr>
          </w:pPr>
          <w:hyperlink w:anchor="_Toc235052182" w:history="1">
            <w:r w:rsidRPr="009A561F">
              <w:rPr>
                <w:rStyle w:val="Hyperlink"/>
                <w:rFonts w:eastAsia="Times New Roman"/>
                <w:bCs/>
              </w:rPr>
              <w:t>Introduction</w:t>
            </w:r>
            <w:r>
              <w:rPr>
                <w:webHidden/>
              </w:rPr>
              <w:tab/>
            </w:r>
            <w:r>
              <w:rPr>
                <w:webHidden/>
              </w:rPr>
              <w:fldChar w:fldCharType="begin"/>
            </w:r>
            <w:r>
              <w:rPr>
                <w:webHidden/>
              </w:rPr>
              <w:instrText xml:space="preserve"> PAGEREF _Toc235052182 \h </w:instrText>
            </w:r>
            <w:r>
              <w:rPr>
                <w:webHidden/>
              </w:rPr>
            </w:r>
            <w:r>
              <w:rPr>
                <w:webHidden/>
              </w:rPr>
              <w:fldChar w:fldCharType="separate"/>
            </w:r>
            <w:r w:rsidR="00990063">
              <w:rPr>
                <w:webHidden/>
              </w:rPr>
              <w:t>4</w:t>
            </w:r>
            <w:r>
              <w:rPr>
                <w:webHidden/>
              </w:rPr>
              <w:fldChar w:fldCharType="end"/>
            </w:r>
          </w:hyperlink>
        </w:p>
        <w:p w14:paraId="1E91BDD7" w14:textId="77777777" w:rsidR="00011BE2" w:rsidRDefault="00011BE2" w:rsidP="00011BE2">
          <w:pPr>
            <w:pStyle w:val="TOC2"/>
            <w:rPr>
              <w:rFonts w:asciiTheme="minorHAnsi" w:hAnsiTheme="minorHAnsi" w:cstheme="minorBidi"/>
            </w:rPr>
          </w:pPr>
          <w:hyperlink w:anchor="_Toc235052183" w:history="1">
            <w:r w:rsidRPr="009A561F">
              <w:rPr>
                <w:rStyle w:val="Hyperlink"/>
                <w:rFonts w:eastAsia="Times New Roman"/>
                <w:bCs/>
              </w:rPr>
              <w:t>1.</w:t>
            </w:r>
            <w:r>
              <w:rPr>
                <w:rFonts w:asciiTheme="minorHAnsi" w:hAnsiTheme="minorHAnsi" w:cstheme="minorBidi"/>
              </w:rPr>
              <w:tab/>
            </w:r>
            <w:r w:rsidRPr="009A561F">
              <w:rPr>
                <w:rStyle w:val="Hyperlink"/>
                <w:rFonts w:eastAsia="Times New Roman"/>
                <w:bCs/>
              </w:rPr>
              <w:t>Explanation of Key Factors</w:t>
            </w:r>
            <w:r>
              <w:rPr>
                <w:webHidden/>
              </w:rPr>
              <w:tab/>
            </w:r>
            <w:r>
              <w:rPr>
                <w:webHidden/>
              </w:rPr>
              <w:fldChar w:fldCharType="begin"/>
            </w:r>
            <w:r>
              <w:rPr>
                <w:webHidden/>
              </w:rPr>
              <w:instrText xml:space="preserve"> PAGEREF _Toc235052183 \h </w:instrText>
            </w:r>
            <w:r>
              <w:rPr>
                <w:webHidden/>
              </w:rPr>
            </w:r>
            <w:r>
              <w:rPr>
                <w:webHidden/>
              </w:rPr>
              <w:fldChar w:fldCharType="separate"/>
            </w:r>
            <w:r w:rsidR="00990063">
              <w:rPr>
                <w:webHidden/>
              </w:rPr>
              <w:t>4</w:t>
            </w:r>
            <w:r>
              <w:rPr>
                <w:webHidden/>
              </w:rPr>
              <w:fldChar w:fldCharType="end"/>
            </w:r>
          </w:hyperlink>
        </w:p>
        <w:p w14:paraId="582CB087" w14:textId="77777777" w:rsidR="00011BE2" w:rsidRDefault="00011BE2" w:rsidP="00011BE2">
          <w:pPr>
            <w:pStyle w:val="TOC2"/>
            <w:rPr>
              <w:rStyle w:val="Hyperlink"/>
            </w:rPr>
          </w:pPr>
          <w:hyperlink w:anchor="_Toc235052187" w:history="1">
            <w:r w:rsidRPr="009A561F">
              <w:rPr>
                <w:rStyle w:val="Hyperlink"/>
              </w:rPr>
              <w:t>2.</w:t>
            </w:r>
            <w:r>
              <w:rPr>
                <w:rFonts w:asciiTheme="minorHAnsi" w:hAnsiTheme="minorHAnsi" w:cstheme="minorBidi"/>
              </w:rPr>
              <w:tab/>
            </w:r>
            <w:r w:rsidRPr="009A561F">
              <w:rPr>
                <w:rStyle w:val="Hyperlink"/>
              </w:rPr>
              <w:t>Evaluation of Contemporary HR Practices</w:t>
            </w:r>
            <w:r>
              <w:rPr>
                <w:webHidden/>
              </w:rPr>
              <w:tab/>
            </w:r>
            <w:r>
              <w:rPr>
                <w:webHidden/>
              </w:rPr>
              <w:fldChar w:fldCharType="begin"/>
            </w:r>
            <w:r>
              <w:rPr>
                <w:webHidden/>
              </w:rPr>
              <w:instrText xml:space="preserve"> PAGEREF _Toc235052187 \h </w:instrText>
            </w:r>
            <w:r>
              <w:rPr>
                <w:webHidden/>
              </w:rPr>
            </w:r>
            <w:r>
              <w:rPr>
                <w:webHidden/>
              </w:rPr>
              <w:fldChar w:fldCharType="separate"/>
            </w:r>
            <w:r w:rsidR="00990063">
              <w:rPr>
                <w:webHidden/>
              </w:rPr>
              <w:t>6</w:t>
            </w:r>
            <w:r>
              <w:rPr>
                <w:webHidden/>
              </w:rPr>
              <w:fldChar w:fldCharType="end"/>
            </w:r>
          </w:hyperlink>
        </w:p>
        <w:p w14:paraId="457D1990" w14:textId="77777777" w:rsidR="00011BE2" w:rsidRPr="00011BE2" w:rsidRDefault="00011BE2" w:rsidP="00011BE2">
          <w:pPr>
            <w:pStyle w:val="TOC2"/>
            <w:rPr>
              <w:rFonts w:asciiTheme="minorHAnsi" w:hAnsiTheme="minorHAnsi" w:cstheme="minorBidi"/>
            </w:rPr>
          </w:pPr>
          <w:hyperlink w:anchor="_Toc235052192" w:history="1">
            <w:r w:rsidRPr="00011BE2">
              <w:rPr>
                <w:rStyle w:val="Hyperlink"/>
              </w:rPr>
              <w:t>3.</w:t>
            </w:r>
            <w:r w:rsidRPr="00011BE2">
              <w:tab/>
            </w:r>
            <w:r w:rsidRPr="00011BE2">
              <w:rPr>
                <w:rStyle w:val="Hyperlink"/>
              </w:rPr>
              <w:t>Theories of motivation</w:t>
            </w:r>
            <w:r w:rsidRPr="00011BE2">
              <w:rPr>
                <w:webHidden/>
              </w:rPr>
              <w:tab/>
            </w:r>
            <w:r w:rsidRPr="00011BE2">
              <w:rPr>
                <w:webHidden/>
              </w:rPr>
              <w:fldChar w:fldCharType="begin"/>
            </w:r>
            <w:r w:rsidRPr="00011BE2">
              <w:rPr>
                <w:webHidden/>
              </w:rPr>
              <w:instrText xml:space="preserve"> PAGEREF _Toc235052192 \h </w:instrText>
            </w:r>
            <w:r w:rsidRPr="00011BE2">
              <w:rPr>
                <w:webHidden/>
              </w:rPr>
            </w:r>
            <w:r w:rsidRPr="00011BE2">
              <w:rPr>
                <w:webHidden/>
              </w:rPr>
              <w:fldChar w:fldCharType="separate"/>
            </w:r>
            <w:r w:rsidR="00990063">
              <w:rPr>
                <w:webHidden/>
              </w:rPr>
              <w:t>8</w:t>
            </w:r>
            <w:r w:rsidRPr="00011BE2">
              <w:rPr>
                <w:webHidden/>
              </w:rPr>
              <w:fldChar w:fldCharType="end"/>
            </w:r>
          </w:hyperlink>
        </w:p>
        <w:p w14:paraId="6B4A8014" w14:textId="77777777" w:rsidR="00011BE2" w:rsidRDefault="00011BE2" w:rsidP="00011BE2">
          <w:pPr>
            <w:pStyle w:val="TOC2"/>
            <w:rPr>
              <w:rFonts w:asciiTheme="minorHAnsi" w:hAnsiTheme="minorHAnsi" w:cstheme="minorBidi"/>
            </w:rPr>
          </w:pPr>
          <w:hyperlink w:anchor="_Toc235052193" w:history="1">
            <w:r w:rsidRPr="009A561F">
              <w:rPr>
                <w:rStyle w:val="Hyperlink"/>
              </w:rPr>
              <w:t>4.</w:t>
            </w:r>
            <w:r>
              <w:rPr>
                <w:rFonts w:asciiTheme="minorHAnsi" w:hAnsiTheme="minorHAnsi" w:cstheme="minorBidi"/>
              </w:rPr>
              <w:tab/>
            </w:r>
            <w:r w:rsidRPr="009A561F">
              <w:rPr>
                <w:rStyle w:val="Hyperlink"/>
              </w:rPr>
              <w:t>Critical Evaluation of Managerial Implementation</w:t>
            </w:r>
            <w:r>
              <w:rPr>
                <w:webHidden/>
              </w:rPr>
              <w:tab/>
            </w:r>
            <w:r>
              <w:rPr>
                <w:webHidden/>
              </w:rPr>
              <w:fldChar w:fldCharType="begin"/>
            </w:r>
            <w:r>
              <w:rPr>
                <w:webHidden/>
              </w:rPr>
              <w:instrText xml:space="preserve"> PAGEREF _Toc235052193 \h </w:instrText>
            </w:r>
            <w:r>
              <w:rPr>
                <w:webHidden/>
              </w:rPr>
            </w:r>
            <w:r>
              <w:rPr>
                <w:webHidden/>
              </w:rPr>
              <w:fldChar w:fldCharType="separate"/>
            </w:r>
            <w:r w:rsidR="00990063">
              <w:rPr>
                <w:webHidden/>
              </w:rPr>
              <w:t>9</w:t>
            </w:r>
            <w:r>
              <w:rPr>
                <w:webHidden/>
              </w:rPr>
              <w:fldChar w:fldCharType="end"/>
            </w:r>
          </w:hyperlink>
        </w:p>
        <w:p w14:paraId="24206625" w14:textId="77777777" w:rsidR="00011BE2" w:rsidRDefault="00011BE2" w:rsidP="00011BE2">
          <w:pPr>
            <w:pStyle w:val="TOC2"/>
            <w:rPr>
              <w:rFonts w:asciiTheme="minorHAnsi" w:hAnsiTheme="minorHAnsi" w:cstheme="minorBidi"/>
            </w:rPr>
          </w:pPr>
          <w:hyperlink w:anchor="_Toc235052194" w:history="1">
            <w:r w:rsidRPr="009A561F">
              <w:rPr>
                <w:rStyle w:val="Hyperlink"/>
              </w:rPr>
              <w:t>5.</w:t>
            </w:r>
            <w:r>
              <w:rPr>
                <w:rFonts w:asciiTheme="minorHAnsi" w:hAnsiTheme="minorHAnsi" w:cstheme="minorBidi"/>
              </w:rPr>
              <w:tab/>
            </w:r>
            <w:r w:rsidRPr="009A561F">
              <w:rPr>
                <w:rStyle w:val="Hyperlink"/>
              </w:rPr>
              <w:t>Conclusion and Recommendations</w:t>
            </w:r>
            <w:r>
              <w:rPr>
                <w:webHidden/>
              </w:rPr>
              <w:tab/>
            </w:r>
            <w:r>
              <w:rPr>
                <w:webHidden/>
              </w:rPr>
              <w:fldChar w:fldCharType="begin"/>
            </w:r>
            <w:r>
              <w:rPr>
                <w:webHidden/>
              </w:rPr>
              <w:instrText xml:space="preserve"> PAGEREF _Toc235052194 \h </w:instrText>
            </w:r>
            <w:r>
              <w:rPr>
                <w:webHidden/>
              </w:rPr>
            </w:r>
            <w:r>
              <w:rPr>
                <w:webHidden/>
              </w:rPr>
              <w:fldChar w:fldCharType="separate"/>
            </w:r>
            <w:r w:rsidR="00990063">
              <w:rPr>
                <w:webHidden/>
              </w:rPr>
              <w:t>11</w:t>
            </w:r>
            <w:r>
              <w:rPr>
                <w:webHidden/>
              </w:rPr>
              <w:fldChar w:fldCharType="end"/>
            </w:r>
          </w:hyperlink>
        </w:p>
        <w:p w14:paraId="09FB5C0E" w14:textId="77777777" w:rsidR="00011BE2" w:rsidRDefault="00011BE2" w:rsidP="00011BE2">
          <w:pPr>
            <w:pStyle w:val="TOC2"/>
            <w:rPr>
              <w:rFonts w:asciiTheme="minorHAnsi" w:hAnsiTheme="minorHAnsi" w:cstheme="minorBidi"/>
            </w:rPr>
          </w:pPr>
          <w:hyperlink w:anchor="_Toc235052197" w:history="1">
            <w:r w:rsidRPr="009A561F">
              <w:rPr>
                <w:rStyle w:val="Hyperlink"/>
              </w:rPr>
              <w:t>References</w:t>
            </w:r>
            <w:r>
              <w:rPr>
                <w:webHidden/>
              </w:rPr>
              <w:tab/>
            </w:r>
            <w:r>
              <w:rPr>
                <w:webHidden/>
              </w:rPr>
              <w:fldChar w:fldCharType="begin"/>
            </w:r>
            <w:r>
              <w:rPr>
                <w:webHidden/>
              </w:rPr>
              <w:instrText xml:space="preserve"> PAGEREF _Toc235052197 \h </w:instrText>
            </w:r>
            <w:r>
              <w:rPr>
                <w:webHidden/>
              </w:rPr>
            </w:r>
            <w:r>
              <w:rPr>
                <w:webHidden/>
              </w:rPr>
              <w:fldChar w:fldCharType="separate"/>
            </w:r>
            <w:r w:rsidR="00990063">
              <w:rPr>
                <w:webHidden/>
              </w:rPr>
              <w:t>12</w:t>
            </w:r>
            <w:r>
              <w:rPr>
                <w:webHidden/>
              </w:rPr>
              <w:fldChar w:fldCharType="end"/>
            </w:r>
          </w:hyperlink>
        </w:p>
        <w:p w14:paraId="0B074AEC" w14:textId="77777777" w:rsidR="00A0527B" w:rsidRDefault="00A002DC">
          <w:r>
            <w:fldChar w:fldCharType="end"/>
          </w:r>
        </w:p>
      </w:sdtContent>
    </w:sdt>
    <w:p w14:paraId="31D1FE4D" w14:textId="77777777" w:rsidR="006716E8" w:rsidRDefault="006716E8"/>
    <w:p w14:paraId="60159D26" w14:textId="77777777" w:rsidR="00EF0E32" w:rsidRPr="00205285" w:rsidRDefault="006716E8" w:rsidP="00205285">
      <w:pPr>
        <w:pStyle w:val="Heading1"/>
        <w:rPr>
          <w:rFonts w:ascii="Arial" w:hAnsi="Arial" w:cs="Arial"/>
          <w:color w:val="auto"/>
          <w:sz w:val="32"/>
          <w:szCs w:val="32"/>
        </w:rPr>
      </w:pPr>
      <w:r>
        <w:br w:type="page"/>
      </w:r>
      <w:r w:rsidR="00EF0E32" w:rsidRPr="00205285">
        <w:rPr>
          <w:rFonts w:ascii="Arial" w:hAnsi="Arial" w:cs="Arial"/>
          <w:color w:val="auto"/>
          <w:sz w:val="32"/>
          <w:szCs w:val="32"/>
        </w:rPr>
        <w:lastRenderedPageBreak/>
        <w:tab/>
      </w:r>
      <w:bookmarkStart w:id="0" w:name="_Toc235052181"/>
      <w:r w:rsidR="00EF0E32" w:rsidRPr="00205285">
        <w:rPr>
          <w:rFonts w:ascii="Arial" w:hAnsi="Arial" w:cs="Arial"/>
          <w:color w:val="auto"/>
          <w:sz w:val="32"/>
          <w:szCs w:val="32"/>
        </w:rPr>
        <w:t>Executive Summary</w:t>
      </w:r>
      <w:bookmarkEnd w:id="0"/>
    </w:p>
    <w:p w14:paraId="383A9817" w14:textId="09DAAD37" w:rsidR="00EF0E32" w:rsidRPr="00EF0E32" w:rsidRDefault="00EF0E32" w:rsidP="00144C74">
      <w:pPr>
        <w:spacing w:before="100" w:beforeAutospacing="1" w:after="100" w:afterAutospacing="1"/>
        <w:rPr>
          <w:rFonts w:ascii="Arial" w:eastAsia="Times New Roman" w:hAnsi="Arial" w:cs="Arial"/>
        </w:rPr>
      </w:pPr>
      <w:r>
        <w:rPr>
          <w:rFonts w:ascii="Arial" w:eastAsia="Times New Roman" w:hAnsi="Arial" w:cs="Arial"/>
        </w:rPr>
        <w:tab/>
      </w:r>
      <w:r w:rsidRPr="00EF0E32">
        <w:rPr>
          <w:rFonts w:ascii="Arial" w:eastAsia="Times New Roman" w:hAnsi="Arial" w:cs="Arial"/>
        </w:rPr>
        <w:t xml:space="preserve">This report examines the key Human Resource (HR) challenges facing Marks &amp; Spencer (M&amp;S), focusing on technological advancement, talent acquisition and retention, and diversity, equity, and inclusion (DEI). It evaluates contemporary HR practices that can address these challenges and critically assesses the role of departmental managers in ensuring effective implementation. The report concludes that successful HR management depends on strong leadership, effective communication, employee development, and inclusive workplace practices, and provides recommendations to support long-term </w:t>
      </w:r>
      <w:r w:rsidR="005817C2" w:rsidRPr="00EF0E32">
        <w:rPr>
          <w:rFonts w:ascii="Arial" w:eastAsia="Times New Roman" w:hAnsi="Arial" w:cs="Arial"/>
        </w:rPr>
        <w:t>organizational</w:t>
      </w:r>
      <w:r w:rsidRPr="00EF0E32">
        <w:rPr>
          <w:rFonts w:ascii="Arial" w:eastAsia="Times New Roman" w:hAnsi="Arial" w:cs="Arial"/>
        </w:rPr>
        <w:t xml:space="preserve"> performance and sustainability.</w:t>
      </w:r>
    </w:p>
    <w:p w14:paraId="3AE989AA" w14:textId="77777777" w:rsidR="006716E8" w:rsidRDefault="006716E8"/>
    <w:p w14:paraId="2C531A66" w14:textId="77777777" w:rsidR="00EF0E32" w:rsidRDefault="00EF0E32"/>
    <w:p w14:paraId="0B287427" w14:textId="77777777" w:rsidR="00EF0E32" w:rsidRDefault="00EF0E32"/>
    <w:p w14:paraId="29FCBF61" w14:textId="77777777" w:rsidR="00EF0E32" w:rsidRDefault="00EF0E32"/>
    <w:p w14:paraId="6046C374" w14:textId="77777777" w:rsidR="00EF0E32" w:rsidRDefault="00EF0E32"/>
    <w:p w14:paraId="15C52377" w14:textId="77777777" w:rsidR="00EF0E32" w:rsidRDefault="00EF0E32"/>
    <w:p w14:paraId="46EE5C67" w14:textId="77777777" w:rsidR="00EF0E32" w:rsidRDefault="00EF0E32"/>
    <w:p w14:paraId="415BC2E5" w14:textId="77777777" w:rsidR="00EF0E32" w:rsidRDefault="00EF0E32"/>
    <w:p w14:paraId="78509F1C" w14:textId="77777777" w:rsidR="00EF0E32" w:rsidRDefault="00EF0E32"/>
    <w:p w14:paraId="47F4DFCB" w14:textId="77777777" w:rsidR="00EF0E32" w:rsidRDefault="00EF0E32"/>
    <w:p w14:paraId="183A5ADF" w14:textId="77777777" w:rsidR="00EF0E32" w:rsidRDefault="00EF0E32"/>
    <w:p w14:paraId="11BCD49D" w14:textId="77777777" w:rsidR="00EF0E32" w:rsidRDefault="00EF0E32"/>
    <w:p w14:paraId="143535F9" w14:textId="77777777" w:rsidR="00EF0E32" w:rsidRDefault="00EF0E32"/>
    <w:p w14:paraId="58644801" w14:textId="77777777" w:rsidR="00EF0E32" w:rsidRDefault="00EF0E32"/>
    <w:p w14:paraId="1A2B3132" w14:textId="77777777" w:rsidR="00EF0E32" w:rsidRDefault="00EF0E32"/>
    <w:p w14:paraId="060B150C" w14:textId="77777777" w:rsidR="00EF0E32" w:rsidRDefault="00EF0E32"/>
    <w:p w14:paraId="72332494" w14:textId="77777777" w:rsidR="00EF0E32" w:rsidRDefault="00EF0E32"/>
    <w:p w14:paraId="2F0F3CF3" w14:textId="77777777" w:rsidR="00EF0E32" w:rsidRDefault="00EF0E32"/>
    <w:p w14:paraId="76A2016D" w14:textId="77777777" w:rsidR="006716E8" w:rsidRPr="006716E8" w:rsidRDefault="00EB0D7E" w:rsidP="00C47C85">
      <w:pPr>
        <w:spacing w:before="100" w:beforeAutospacing="1" w:after="100" w:afterAutospacing="1"/>
        <w:outlineLvl w:val="1"/>
        <w:rPr>
          <w:rFonts w:ascii="Arial" w:eastAsia="Times New Roman" w:hAnsi="Arial" w:cs="Arial"/>
          <w:b/>
          <w:bCs/>
          <w:sz w:val="32"/>
          <w:szCs w:val="32"/>
        </w:rPr>
      </w:pPr>
      <w:r>
        <w:rPr>
          <w:rFonts w:ascii="Arial" w:eastAsia="Times New Roman" w:hAnsi="Arial" w:cs="Arial"/>
          <w:b/>
          <w:bCs/>
          <w:sz w:val="32"/>
          <w:szCs w:val="32"/>
        </w:rPr>
        <w:lastRenderedPageBreak/>
        <w:tab/>
      </w:r>
      <w:bookmarkStart w:id="1" w:name="_Toc235052182"/>
      <w:r w:rsidR="006716E8" w:rsidRPr="006716E8">
        <w:rPr>
          <w:rFonts w:ascii="Arial" w:eastAsia="Times New Roman" w:hAnsi="Arial" w:cs="Arial"/>
          <w:b/>
          <w:bCs/>
          <w:sz w:val="32"/>
          <w:szCs w:val="32"/>
        </w:rPr>
        <w:t>Introduction</w:t>
      </w:r>
      <w:bookmarkEnd w:id="1"/>
    </w:p>
    <w:p w14:paraId="401DB9EB" w14:textId="74C4C200" w:rsidR="001A2F5E" w:rsidRPr="001A2F5E" w:rsidRDefault="00C47C85" w:rsidP="001A2F5E">
      <w:pPr>
        <w:pStyle w:val="isselectedend"/>
        <w:spacing w:line="276" w:lineRule="auto"/>
        <w:rPr>
          <w:rFonts w:ascii="Arial" w:hAnsi="Arial" w:cs="Arial"/>
          <w:sz w:val="22"/>
          <w:szCs w:val="22"/>
        </w:rPr>
      </w:pPr>
      <w:r>
        <w:rPr>
          <w:rFonts w:ascii="Arial" w:hAnsi="Arial" w:cs="Arial"/>
          <w:sz w:val="22"/>
          <w:szCs w:val="22"/>
        </w:rPr>
        <w:tab/>
      </w:r>
      <w:r w:rsidR="001A2F5E" w:rsidRPr="001A2F5E">
        <w:rPr>
          <w:rFonts w:ascii="Arial" w:hAnsi="Arial" w:cs="Arial"/>
          <w:sz w:val="22"/>
          <w:szCs w:val="22"/>
        </w:rPr>
        <w:t xml:space="preserve">The current business environment presents significant challenges for Human Resource (HR) departments, as </w:t>
      </w:r>
      <w:r w:rsidR="005817C2" w:rsidRPr="001A2F5E">
        <w:rPr>
          <w:rFonts w:ascii="Arial" w:hAnsi="Arial" w:cs="Arial"/>
          <w:sz w:val="22"/>
          <w:szCs w:val="22"/>
        </w:rPr>
        <w:t>organizations</w:t>
      </w:r>
      <w:r w:rsidR="001A2F5E" w:rsidRPr="001A2F5E">
        <w:rPr>
          <w:rFonts w:ascii="Arial" w:hAnsi="Arial" w:cs="Arial"/>
          <w:sz w:val="22"/>
          <w:szCs w:val="22"/>
        </w:rPr>
        <w:t xml:space="preserve"> must adapt to technological changes, evolving workforce expectations, and increasing demands for equality and inclusion (Armstrong and Taylor, 2023). </w:t>
      </w:r>
      <w:r w:rsidR="00D9506F">
        <w:rPr>
          <w:rFonts w:ascii="Arial" w:hAnsi="Arial" w:cs="Arial"/>
          <w:sz w:val="22"/>
          <w:szCs w:val="22"/>
        </w:rPr>
        <w:tab/>
      </w:r>
      <w:r w:rsidR="001A2F5E" w:rsidRPr="001A2F5E">
        <w:rPr>
          <w:rFonts w:ascii="Arial" w:hAnsi="Arial" w:cs="Arial"/>
          <w:sz w:val="22"/>
          <w:szCs w:val="22"/>
        </w:rPr>
        <w:t xml:space="preserve">These challenges are particularly relevant in the retail sector due to automation, changing customer </w:t>
      </w:r>
      <w:r w:rsidR="005817C2" w:rsidRPr="001A2F5E">
        <w:rPr>
          <w:rFonts w:ascii="Arial" w:hAnsi="Arial" w:cs="Arial"/>
          <w:sz w:val="22"/>
          <w:szCs w:val="22"/>
        </w:rPr>
        <w:t>behaviors</w:t>
      </w:r>
      <w:r w:rsidR="001A2F5E" w:rsidRPr="001A2F5E">
        <w:rPr>
          <w:rFonts w:ascii="Arial" w:hAnsi="Arial" w:cs="Arial"/>
          <w:sz w:val="22"/>
          <w:szCs w:val="22"/>
        </w:rPr>
        <w:t>, and competition for skilled employees. This report examines Marks &amp; Spencer (M&amp;S), one of the UK’s leading retailers operating in food, clothing, and home products (Marks and Spencer Group plc, 2024).</w:t>
      </w:r>
    </w:p>
    <w:p w14:paraId="4F7247DC" w14:textId="5BD169AE" w:rsidR="001A2F5E" w:rsidRPr="001A2F5E" w:rsidRDefault="001A2F5E" w:rsidP="001A2F5E">
      <w:pPr>
        <w:pStyle w:val="NormalWeb"/>
        <w:spacing w:line="276" w:lineRule="auto"/>
        <w:rPr>
          <w:rFonts w:ascii="Arial" w:hAnsi="Arial" w:cs="Arial"/>
          <w:sz w:val="22"/>
          <w:szCs w:val="22"/>
        </w:rPr>
      </w:pPr>
      <w:r>
        <w:rPr>
          <w:rFonts w:ascii="Arial" w:hAnsi="Arial" w:cs="Arial"/>
          <w:sz w:val="22"/>
          <w:szCs w:val="22"/>
        </w:rPr>
        <w:tab/>
      </w:r>
      <w:r w:rsidRPr="001A2F5E">
        <w:rPr>
          <w:rFonts w:ascii="Arial" w:hAnsi="Arial" w:cs="Arial"/>
          <w:sz w:val="22"/>
          <w:szCs w:val="22"/>
        </w:rPr>
        <w:t xml:space="preserve">The report analyses three key HR challenges affecting M&amp;S: technological adaptation, talent acquisition and retention, and diversity, equity, and inclusion (DEI). It also evaluates contemporary HR practices and critically examines how departmental managers can support effective implementation. Finally, the report provides recommendations to improve HR effectiveness and long-term </w:t>
      </w:r>
      <w:r w:rsidR="005817C2" w:rsidRPr="001A2F5E">
        <w:rPr>
          <w:rFonts w:ascii="Arial" w:hAnsi="Arial" w:cs="Arial"/>
          <w:sz w:val="22"/>
          <w:szCs w:val="22"/>
        </w:rPr>
        <w:t>organizational</w:t>
      </w:r>
      <w:r w:rsidRPr="001A2F5E">
        <w:rPr>
          <w:rFonts w:ascii="Arial" w:hAnsi="Arial" w:cs="Arial"/>
          <w:sz w:val="22"/>
          <w:szCs w:val="22"/>
        </w:rPr>
        <w:t xml:space="preserve"> sustainability.</w:t>
      </w:r>
    </w:p>
    <w:p w14:paraId="6E3B9471" w14:textId="77777777" w:rsidR="00C47C85" w:rsidRPr="00C47C85" w:rsidRDefault="00C47C85" w:rsidP="001A2F5E">
      <w:pPr>
        <w:pStyle w:val="isselectedend"/>
        <w:spacing w:line="276" w:lineRule="auto"/>
        <w:rPr>
          <w:rFonts w:ascii="Arial" w:hAnsi="Arial" w:cs="Arial"/>
          <w:sz w:val="22"/>
          <w:szCs w:val="22"/>
        </w:rPr>
      </w:pPr>
    </w:p>
    <w:p w14:paraId="7EBAA4DD" w14:textId="77777777" w:rsidR="006716E8" w:rsidRPr="00C47C85" w:rsidRDefault="006716E8" w:rsidP="00C47C85">
      <w:pPr>
        <w:pStyle w:val="ListParagraph"/>
        <w:numPr>
          <w:ilvl w:val="0"/>
          <w:numId w:val="1"/>
        </w:numPr>
        <w:spacing w:before="100" w:beforeAutospacing="1" w:after="100" w:afterAutospacing="1"/>
        <w:outlineLvl w:val="1"/>
        <w:rPr>
          <w:rFonts w:ascii="Arial" w:eastAsia="Times New Roman" w:hAnsi="Arial" w:cs="Arial"/>
          <w:b/>
          <w:bCs/>
          <w:sz w:val="32"/>
          <w:szCs w:val="32"/>
        </w:rPr>
      </w:pPr>
      <w:bookmarkStart w:id="2" w:name="_Toc235052183"/>
      <w:r w:rsidRPr="00C47C85">
        <w:rPr>
          <w:rFonts w:ascii="Arial" w:eastAsia="Times New Roman" w:hAnsi="Arial" w:cs="Arial"/>
          <w:b/>
          <w:bCs/>
          <w:sz w:val="32"/>
          <w:szCs w:val="32"/>
        </w:rPr>
        <w:t>Explanation of Key Factors</w:t>
      </w:r>
      <w:bookmarkEnd w:id="2"/>
    </w:p>
    <w:p w14:paraId="5953AF30" w14:textId="77777777" w:rsidR="00124B32" w:rsidRPr="00C47C85" w:rsidRDefault="00EB0D7E" w:rsidP="00C47C85">
      <w:pPr>
        <w:pStyle w:val="Heading3"/>
        <w:spacing w:line="276" w:lineRule="auto"/>
        <w:rPr>
          <w:rFonts w:ascii="Arial" w:hAnsi="Arial" w:cs="Arial"/>
          <w:sz w:val="24"/>
          <w:szCs w:val="24"/>
        </w:rPr>
      </w:pPr>
      <w:bookmarkStart w:id="3" w:name="_Toc234623764"/>
      <w:r>
        <w:rPr>
          <w:rFonts w:ascii="Arial" w:hAnsi="Arial" w:cs="Arial"/>
          <w:sz w:val="24"/>
          <w:szCs w:val="24"/>
        </w:rPr>
        <w:tab/>
      </w:r>
      <w:bookmarkStart w:id="4" w:name="_Toc235052184"/>
      <w:r w:rsidR="00124B32" w:rsidRPr="00C47C85">
        <w:rPr>
          <w:rFonts w:ascii="Arial" w:hAnsi="Arial" w:cs="Arial"/>
          <w:sz w:val="24"/>
          <w:szCs w:val="24"/>
        </w:rPr>
        <w:t>Adapting to Technological Advancements</w:t>
      </w:r>
      <w:bookmarkEnd w:id="3"/>
      <w:bookmarkEnd w:id="4"/>
    </w:p>
    <w:p w14:paraId="7A74BCD8" w14:textId="4CA73EA0" w:rsidR="00124B32" w:rsidRPr="00C47C85" w:rsidRDefault="00C47C85"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Technological advancement represents one of the main challenges faced by modern </w:t>
      </w:r>
      <w:r w:rsidR="005817C2" w:rsidRPr="00C47C85">
        <w:rPr>
          <w:rFonts w:ascii="Arial" w:hAnsi="Arial" w:cs="Arial"/>
          <w:sz w:val="22"/>
          <w:szCs w:val="22"/>
        </w:rPr>
        <w:t>organizations</w:t>
      </w:r>
      <w:r w:rsidR="00124B32" w:rsidRPr="00C47C85">
        <w:rPr>
          <w:rFonts w:ascii="Arial" w:hAnsi="Arial" w:cs="Arial"/>
          <w:sz w:val="22"/>
          <w:szCs w:val="22"/>
        </w:rPr>
        <w:t>, particularly in the retail sector. Digital transformation has changed how businesses operate, communicate with employees, and deliver services to customers. For M&amp;S, technologies such as artificial intelligence (AI), automation, digital platforms, and data-driven decision-making provide opportunities to improve efficiency; however, they also require significant changes in workforce skills and HR strategies.</w:t>
      </w:r>
    </w:p>
    <w:p w14:paraId="6B7DA6B3" w14:textId="77777777" w:rsidR="00124B32" w:rsidRPr="00C47C85" w:rsidRDefault="00C47C85"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The introduction of new technologies can affect employees by changing job responsibilities and increasing the need for continuous learning. While automation can reduce repetitive tasks and improve operational efficiency, employees may experience concerns regarding job security and their ability to adapt to new systems. According to CIPD (2023), successful technological transformation depends on developing employees’ digital capabilities and ensuring that the workforce is prepared for change.</w:t>
      </w:r>
    </w:p>
    <w:p w14:paraId="4E710103" w14:textId="18EF5AAB" w:rsidR="00124B32" w:rsidRDefault="00C47C85"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M&amp;S faces the challenge of not only adopting new technologies but also supporting employees throughout this transition. Retail staff, managers, and support teams require appropriate training to develop confidence when using new systems. Without effective HR involvement, technological changes may increase resistance and negatively affect employee engagement. HR therefore plays an important role in balancing technological investment with employee development</w:t>
      </w:r>
      <w:r w:rsidR="0097059D">
        <w:rPr>
          <w:rFonts w:ascii="Arial" w:hAnsi="Arial" w:cs="Arial"/>
          <w:sz w:val="22"/>
          <w:szCs w:val="22"/>
        </w:rPr>
        <w:t xml:space="preserve"> (</w:t>
      </w:r>
      <w:r w:rsidR="00FD281D">
        <w:rPr>
          <w:rFonts w:ascii="Arial" w:hAnsi="Arial" w:cs="Arial"/>
          <w:sz w:val="22"/>
          <w:szCs w:val="22"/>
        </w:rPr>
        <w:t>CIPD 2023).</w:t>
      </w:r>
    </w:p>
    <w:p w14:paraId="60409DCA" w14:textId="77777777" w:rsidR="00C47C85" w:rsidRPr="00C47C85" w:rsidRDefault="00C47C85" w:rsidP="00C47C85">
      <w:pPr>
        <w:pStyle w:val="isselectedend"/>
        <w:spacing w:line="276" w:lineRule="auto"/>
        <w:rPr>
          <w:rFonts w:ascii="Arial" w:hAnsi="Arial" w:cs="Arial"/>
          <w:sz w:val="22"/>
          <w:szCs w:val="22"/>
        </w:rPr>
      </w:pPr>
    </w:p>
    <w:p w14:paraId="29F23616" w14:textId="77777777" w:rsidR="00124B32" w:rsidRPr="00C47C85" w:rsidRDefault="00EB0D7E" w:rsidP="00C47C85">
      <w:pPr>
        <w:pStyle w:val="Heading3"/>
        <w:spacing w:line="276" w:lineRule="auto"/>
        <w:rPr>
          <w:rFonts w:ascii="Arial" w:hAnsi="Arial" w:cs="Arial"/>
          <w:sz w:val="24"/>
          <w:szCs w:val="24"/>
        </w:rPr>
      </w:pPr>
      <w:bookmarkStart w:id="5" w:name="_Toc234623765"/>
      <w:r>
        <w:rPr>
          <w:rFonts w:ascii="Arial" w:hAnsi="Arial" w:cs="Arial"/>
          <w:sz w:val="24"/>
          <w:szCs w:val="24"/>
        </w:rPr>
        <w:lastRenderedPageBreak/>
        <w:tab/>
      </w:r>
      <w:bookmarkStart w:id="6" w:name="_Toc235052185"/>
      <w:r w:rsidR="00124B32" w:rsidRPr="00C47C85">
        <w:rPr>
          <w:rFonts w:ascii="Arial" w:hAnsi="Arial" w:cs="Arial"/>
          <w:sz w:val="24"/>
          <w:szCs w:val="24"/>
        </w:rPr>
        <w:t>Talent Acquisition and Retention</w:t>
      </w:r>
      <w:bookmarkEnd w:id="5"/>
      <w:bookmarkEnd w:id="6"/>
    </w:p>
    <w:p w14:paraId="4C11AC74" w14:textId="119C7831"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Attracting and retaining talented employees has become increasingly difficult due to competitive </w:t>
      </w:r>
      <w:r w:rsidR="005817C2" w:rsidRPr="00C47C85">
        <w:rPr>
          <w:rFonts w:ascii="Arial" w:hAnsi="Arial" w:cs="Arial"/>
          <w:sz w:val="22"/>
          <w:szCs w:val="22"/>
        </w:rPr>
        <w:t>labor</w:t>
      </w:r>
      <w:r w:rsidR="00124B32" w:rsidRPr="00C47C85">
        <w:rPr>
          <w:rFonts w:ascii="Arial" w:hAnsi="Arial" w:cs="Arial"/>
          <w:sz w:val="22"/>
          <w:szCs w:val="22"/>
        </w:rPr>
        <w:t xml:space="preserve"> markets. The retail sector often experiences high employee turnover because of demanding working conditions, seasonal recruitment patterns, and competition from </w:t>
      </w:r>
      <w:r w:rsidR="005817C2" w:rsidRPr="00C47C85">
        <w:rPr>
          <w:rFonts w:ascii="Arial" w:hAnsi="Arial" w:cs="Arial"/>
          <w:sz w:val="22"/>
          <w:szCs w:val="22"/>
        </w:rPr>
        <w:t>organizations</w:t>
      </w:r>
      <w:r w:rsidR="00124B32" w:rsidRPr="00C47C85">
        <w:rPr>
          <w:rFonts w:ascii="Arial" w:hAnsi="Arial" w:cs="Arial"/>
          <w:sz w:val="22"/>
          <w:szCs w:val="22"/>
        </w:rPr>
        <w:t xml:space="preserve"> offering greater flexibility.</w:t>
      </w:r>
    </w:p>
    <w:p w14:paraId="5D11BC66" w14:textId="3FFB623B"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For M&amp;S, attracting employees with digital skills, customer service abilities, and leadership potential is a significant challenge. Employees increasingly consider factors beyond salary, including career development, workplace culture, flexibility, and </w:t>
      </w:r>
      <w:r w:rsidR="005817C2" w:rsidRPr="00C47C85">
        <w:rPr>
          <w:rFonts w:ascii="Arial" w:hAnsi="Arial" w:cs="Arial"/>
          <w:sz w:val="22"/>
          <w:szCs w:val="22"/>
        </w:rPr>
        <w:t>organizational</w:t>
      </w:r>
      <w:r w:rsidR="00124B32" w:rsidRPr="00C47C85">
        <w:rPr>
          <w:rFonts w:ascii="Arial" w:hAnsi="Arial" w:cs="Arial"/>
          <w:sz w:val="22"/>
          <w:szCs w:val="22"/>
        </w:rPr>
        <w:t xml:space="preserve"> values. Armstrong and Taylor (2023) argue that effective talent management requires </w:t>
      </w:r>
      <w:r w:rsidR="005817C2" w:rsidRPr="00C47C85">
        <w:rPr>
          <w:rFonts w:ascii="Arial" w:hAnsi="Arial" w:cs="Arial"/>
          <w:sz w:val="22"/>
          <w:szCs w:val="22"/>
        </w:rPr>
        <w:t>organizations</w:t>
      </w:r>
      <w:r w:rsidR="00124B32" w:rsidRPr="00C47C85">
        <w:rPr>
          <w:rFonts w:ascii="Arial" w:hAnsi="Arial" w:cs="Arial"/>
          <w:sz w:val="22"/>
          <w:szCs w:val="22"/>
        </w:rPr>
        <w:t xml:space="preserve"> to align recruitment and retention strategies with wider business objectives.</w:t>
      </w:r>
    </w:p>
    <w:p w14:paraId="0C75823B" w14:textId="33F2D3A6"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Employee retention is particularly important because high turnover increases recruitment costs and can negatively affect service quality. Experienced employees often possess valuable </w:t>
      </w:r>
      <w:r w:rsidR="005817C2" w:rsidRPr="00C47C85">
        <w:rPr>
          <w:rFonts w:ascii="Arial" w:hAnsi="Arial" w:cs="Arial"/>
          <w:sz w:val="22"/>
          <w:szCs w:val="22"/>
        </w:rPr>
        <w:t>organizational</w:t>
      </w:r>
      <w:r w:rsidR="00124B32" w:rsidRPr="00C47C85">
        <w:rPr>
          <w:rFonts w:ascii="Arial" w:hAnsi="Arial" w:cs="Arial"/>
          <w:sz w:val="22"/>
          <w:szCs w:val="22"/>
        </w:rPr>
        <w:t xml:space="preserve"> knowledge, meaning their departure can reduce productivity and increase pressure on remaining staff. Therefore, M&amp;S must develop effective retention strategies focused on employee development, engagement, and long-term career opportunities</w:t>
      </w:r>
      <w:r w:rsidR="000970E6">
        <w:rPr>
          <w:rFonts w:ascii="Arial" w:hAnsi="Arial" w:cs="Arial"/>
          <w:sz w:val="22"/>
          <w:szCs w:val="22"/>
        </w:rPr>
        <w:t xml:space="preserve">. </w:t>
      </w:r>
      <w:r w:rsidR="00DD398B" w:rsidRPr="00C47C85">
        <w:rPr>
          <w:rFonts w:ascii="Arial" w:hAnsi="Arial" w:cs="Arial"/>
          <w:sz w:val="22"/>
          <w:szCs w:val="22"/>
        </w:rPr>
        <w:t>Armstrong and Taylor (2023)</w:t>
      </w:r>
      <w:r w:rsidR="000970E6">
        <w:rPr>
          <w:rFonts w:ascii="Arial" w:hAnsi="Arial" w:cs="Arial"/>
          <w:sz w:val="22"/>
          <w:szCs w:val="22"/>
        </w:rPr>
        <w:t>.</w:t>
      </w:r>
    </w:p>
    <w:p w14:paraId="1311B780" w14:textId="77777777" w:rsidR="00124B32" w:rsidRPr="00C47C85" w:rsidRDefault="00EB0D7E" w:rsidP="00C47C85">
      <w:pPr>
        <w:pStyle w:val="Heading3"/>
        <w:spacing w:line="276" w:lineRule="auto"/>
        <w:rPr>
          <w:rFonts w:ascii="Arial" w:hAnsi="Arial" w:cs="Arial"/>
          <w:sz w:val="24"/>
          <w:szCs w:val="24"/>
        </w:rPr>
      </w:pPr>
      <w:bookmarkStart w:id="7" w:name="_Toc234623766"/>
      <w:r>
        <w:rPr>
          <w:rFonts w:ascii="Arial" w:hAnsi="Arial" w:cs="Arial"/>
          <w:sz w:val="24"/>
          <w:szCs w:val="24"/>
        </w:rPr>
        <w:tab/>
      </w:r>
      <w:bookmarkStart w:id="8" w:name="_Toc235052186"/>
      <w:r w:rsidR="00124B32" w:rsidRPr="00C47C85">
        <w:rPr>
          <w:rFonts w:ascii="Arial" w:hAnsi="Arial" w:cs="Arial"/>
          <w:sz w:val="24"/>
          <w:szCs w:val="24"/>
        </w:rPr>
        <w:t>Diversity, Equity, and Inclusion (DEI)</w:t>
      </w:r>
      <w:bookmarkEnd w:id="7"/>
      <w:bookmarkEnd w:id="8"/>
    </w:p>
    <w:p w14:paraId="29B96778" w14:textId="7A9D59C6"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Diversity, Equity, and Inclusion (DEI) has become a key priority for HR departments as </w:t>
      </w:r>
      <w:r w:rsidR="005817C2" w:rsidRPr="00C47C85">
        <w:rPr>
          <w:rFonts w:ascii="Arial" w:hAnsi="Arial" w:cs="Arial"/>
          <w:sz w:val="22"/>
          <w:szCs w:val="22"/>
        </w:rPr>
        <w:t>organizations</w:t>
      </w:r>
      <w:r w:rsidR="00124B32" w:rsidRPr="00C47C85">
        <w:rPr>
          <w:rFonts w:ascii="Arial" w:hAnsi="Arial" w:cs="Arial"/>
          <w:sz w:val="22"/>
          <w:szCs w:val="22"/>
        </w:rPr>
        <w:t xml:space="preserve"> </w:t>
      </w:r>
      <w:r w:rsidR="005817C2" w:rsidRPr="00C47C85">
        <w:rPr>
          <w:rFonts w:ascii="Arial" w:hAnsi="Arial" w:cs="Arial"/>
          <w:sz w:val="22"/>
          <w:szCs w:val="22"/>
        </w:rPr>
        <w:t>recognize</w:t>
      </w:r>
      <w:r w:rsidR="00124B32" w:rsidRPr="00C47C85">
        <w:rPr>
          <w:rFonts w:ascii="Arial" w:hAnsi="Arial" w:cs="Arial"/>
          <w:sz w:val="22"/>
          <w:szCs w:val="22"/>
        </w:rPr>
        <w:t xml:space="preserve"> the importance of creating workplaces where employees feel respected and valued. DEI focuses on providing equal opportunities, reducing discrimination, and developing an inclusive </w:t>
      </w:r>
      <w:r w:rsidR="005817C2" w:rsidRPr="00C47C85">
        <w:rPr>
          <w:rFonts w:ascii="Arial" w:hAnsi="Arial" w:cs="Arial"/>
          <w:sz w:val="22"/>
          <w:szCs w:val="22"/>
        </w:rPr>
        <w:t>organizational</w:t>
      </w:r>
      <w:r w:rsidR="00124B32" w:rsidRPr="00C47C85">
        <w:rPr>
          <w:rFonts w:ascii="Arial" w:hAnsi="Arial" w:cs="Arial"/>
          <w:sz w:val="22"/>
          <w:szCs w:val="22"/>
        </w:rPr>
        <w:t xml:space="preserve"> culture.</w:t>
      </w:r>
    </w:p>
    <w:p w14:paraId="48C32263" w14:textId="0CD8C1E9"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124B32" w:rsidRPr="00C47C85">
        <w:rPr>
          <w:rFonts w:ascii="Arial" w:hAnsi="Arial" w:cs="Arial"/>
          <w:sz w:val="22"/>
          <w:szCs w:val="22"/>
        </w:rPr>
        <w:t xml:space="preserve">For M&amp;S, DEI is particularly important due to its large workforce and direct interaction with diverse customer groups. A diverse workforce can improve customer understanding, encourage creativity, and support better decision-making. Shore et al. (2011) highlight that employees who experience inclusion are more likely to demonstrate higher levels of engagement and commitment towards their </w:t>
      </w:r>
      <w:r w:rsidR="005817C2" w:rsidRPr="00C47C85">
        <w:rPr>
          <w:rFonts w:ascii="Arial" w:hAnsi="Arial" w:cs="Arial"/>
          <w:sz w:val="22"/>
          <w:szCs w:val="22"/>
        </w:rPr>
        <w:t>organization</w:t>
      </w:r>
      <w:r w:rsidR="00124B32" w:rsidRPr="00C47C85">
        <w:rPr>
          <w:rFonts w:ascii="Arial" w:hAnsi="Arial" w:cs="Arial"/>
          <w:sz w:val="22"/>
          <w:szCs w:val="22"/>
        </w:rPr>
        <w:t>.</w:t>
      </w:r>
    </w:p>
    <w:p w14:paraId="010B07DC" w14:textId="63649D90" w:rsidR="00124B32"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396183">
        <w:rPr>
          <w:rFonts w:ascii="Arial" w:hAnsi="Arial" w:cs="Arial"/>
          <w:sz w:val="22"/>
          <w:szCs w:val="22"/>
        </w:rPr>
        <w:t>A</w:t>
      </w:r>
      <w:r w:rsidR="00124B32" w:rsidRPr="00C47C85">
        <w:rPr>
          <w:rFonts w:ascii="Arial" w:hAnsi="Arial" w:cs="Arial"/>
          <w:sz w:val="22"/>
          <w:szCs w:val="22"/>
        </w:rPr>
        <w:t xml:space="preserve">chieving genuine inclusion requires more than introducing policies. DEI principles must be integrated into recruitment, promotion processes, leadership development, and everyday workplace </w:t>
      </w:r>
      <w:r w:rsidR="005817C2" w:rsidRPr="00C47C85">
        <w:rPr>
          <w:rFonts w:ascii="Arial" w:hAnsi="Arial" w:cs="Arial"/>
          <w:sz w:val="22"/>
          <w:szCs w:val="22"/>
        </w:rPr>
        <w:t>behavior</w:t>
      </w:r>
      <w:r w:rsidR="00124B32" w:rsidRPr="00C47C85">
        <w:rPr>
          <w:rFonts w:ascii="Arial" w:hAnsi="Arial" w:cs="Arial"/>
          <w:sz w:val="22"/>
          <w:szCs w:val="22"/>
        </w:rPr>
        <w:t xml:space="preserve">. A challenge for M&amp;S is ensuring that DEI initiatives create meaningful cultural change rather than becoming only formal commitments. Managers therefore have an important role in demonstrating inclusive </w:t>
      </w:r>
      <w:r w:rsidR="00F71545" w:rsidRPr="00C47C85">
        <w:rPr>
          <w:rFonts w:ascii="Arial" w:hAnsi="Arial" w:cs="Arial"/>
          <w:sz w:val="22"/>
          <w:szCs w:val="22"/>
        </w:rPr>
        <w:t>behaviors</w:t>
      </w:r>
      <w:r w:rsidR="00124B32" w:rsidRPr="00C47C85">
        <w:rPr>
          <w:rFonts w:ascii="Arial" w:hAnsi="Arial" w:cs="Arial"/>
          <w:sz w:val="22"/>
          <w:szCs w:val="22"/>
        </w:rPr>
        <w:t xml:space="preserve"> and ensuring that employees experience equality in practice.</w:t>
      </w:r>
    </w:p>
    <w:p w14:paraId="1F3938DF" w14:textId="0877F705" w:rsidR="00124B32" w:rsidRPr="00C47C85" w:rsidRDefault="003A20A3" w:rsidP="00C47C85">
      <w:pPr>
        <w:pStyle w:val="NormalWeb"/>
        <w:spacing w:line="276" w:lineRule="auto"/>
        <w:rPr>
          <w:rFonts w:ascii="Arial" w:hAnsi="Arial" w:cs="Arial"/>
          <w:sz w:val="22"/>
          <w:szCs w:val="22"/>
        </w:rPr>
      </w:pPr>
      <w:r>
        <w:rPr>
          <w:rFonts w:ascii="Arial" w:hAnsi="Arial" w:cs="Arial"/>
          <w:sz w:val="22"/>
          <w:szCs w:val="22"/>
        </w:rPr>
        <w:tab/>
      </w:r>
      <w:r w:rsidR="00C109A1">
        <w:rPr>
          <w:rFonts w:ascii="Arial" w:hAnsi="Arial" w:cs="Arial"/>
          <w:sz w:val="22"/>
          <w:szCs w:val="22"/>
        </w:rPr>
        <w:t>T</w:t>
      </w:r>
      <w:r w:rsidR="00124B32" w:rsidRPr="00C47C85">
        <w:rPr>
          <w:rFonts w:ascii="Arial" w:hAnsi="Arial" w:cs="Arial"/>
          <w:sz w:val="22"/>
          <w:szCs w:val="22"/>
        </w:rPr>
        <w:t xml:space="preserve">echnological transformation, talent management, and DEI represent interconnected HR challenges for M&amp;S. Addressing these areas effectively is essential because they influence employee engagement, </w:t>
      </w:r>
      <w:r w:rsidR="005817C2" w:rsidRPr="00C47C85">
        <w:rPr>
          <w:rFonts w:ascii="Arial" w:hAnsi="Arial" w:cs="Arial"/>
          <w:sz w:val="22"/>
          <w:szCs w:val="22"/>
        </w:rPr>
        <w:t>organizational</w:t>
      </w:r>
      <w:r w:rsidR="00124B32" w:rsidRPr="00C47C85">
        <w:rPr>
          <w:rFonts w:ascii="Arial" w:hAnsi="Arial" w:cs="Arial"/>
          <w:sz w:val="22"/>
          <w:szCs w:val="22"/>
        </w:rPr>
        <w:t xml:space="preserve"> performance, and the company’s ability to remain competitive in the changing retail environment</w:t>
      </w:r>
      <w:r w:rsidR="00852B3E">
        <w:rPr>
          <w:rFonts w:ascii="Arial" w:hAnsi="Arial" w:cs="Arial"/>
          <w:sz w:val="22"/>
          <w:szCs w:val="22"/>
        </w:rPr>
        <w:t>,</w:t>
      </w:r>
      <w:r w:rsidR="000970E6">
        <w:rPr>
          <w:rFonts w:ascii="Arial" w:hAnsi="Arial" w:cs="Arial"/>
          <w:sz w:val="22"/>
          <w:szCs w:val="22"/>
        </w:rPr>
        <w:t xml:space="preserve"> </w:t>
      </w:r>
      <w:r w:rsidR="000970E6" w:rsidRPr="00C47C85">
        <w:rPr>
          <w:rFonts w:ascii="Arial" w:hAnsi="Arial" w:cs="Arial"/>
          <w:sz w:val="22"/>
          <w:szCs w:val="22"/>
        </w:rPr>
        <w:t>Shore et al. (2011)</w:t>
      </w:r>
      <w:r w:rsidR="00852B3E">
        <w:rPr>
          <w:rFonts w:ascii="Arial" w:hAnsi="Arial" w:cs="Arial"/>
          <w:sz w:val="22"/>
          <w:szCs w:val="22"/>
        </w:rPr>
        <w:t>.</w:t>
      </w:r>
    </w:p>
    <w:p w14:paraId="71479475" w14:textId="77777777" w:rsidR="006716E8" w:rsidRPr="00C47C85" w:rsidRDefault="006716E8" w:rsidP="00C47C85">
      <w:pPr>
        <w:pStyle w:val="Heading2"/>
        <w:numPr>
          <w:ilvl w:val="0"/>
          <w:numId w:val="1"/>
        </w:numPr>
        <w:spacing w:line="276" w:lineRule="auto"/>
        <w:rPr>
          <w:rFonts w:ascii="Arial" w:hAnsi="Arial" w:cs="Arial"/>
          <w:sz w:val="32"/>
          <w:szCs w:val="32"/>
        </w:rPr>
      </w:pPr>
      <w:bookmarkStart w:id="9" w:name="_Toc235052187"/>
      <w:r w:rsidRPr="00C47C85">
        <w:rPr>
          <w:rFonts w:ascii="Arial" w:hAnsi="Arial" w:cs="Arial"/>
          <w:sz w:val="32"/>
          <w:szCs w:val="32"/>
        </w:rPr>
        <w:lastRenderedPageBreak/>
        <w:t>Evaluation of Contemporary HR Practices</w:t>
      </w:r>
      <w:bookmarkEnd w:id="9"/>
    </w:p>
    <w:p w14:paraId="621742DA" w14:textId="7A0711B7" w:rsidR="008A13A8" w:rsidRPr="008A13A8" w:rsidRDefault="003A20A3" w:rsidP="008A13A8">
      <w:pPr>
        <w:pStyle w:val="isselectedend"/>
        <w:spacing w:line="276" w:lineRule="auto"/>
        <w:rPr>
          <w:rFonts w:ascii="Arial" w:hAnsi="Arial" w:cs="Arial"/>
          <w:sz w:val="22"/>
          <w:szCs w:val="22"/>
        </w:rPr>
      </w:pPr>
      <w:r>
        <w:rPr>
          <w:rFonts w:ascii="Arial" w:hAnsi="Arial" w:cs="Arial"/>
          <w:sz w:val="22"/>
          <w:szCs w:val="22"/>
        </w:rPr>
        <w:tab/>
      </w:r>
      <w:r w:rsidR="008A13A8" w:rsidRPr="008A13A8">
        <w:rPr>
          <w:rFonts w:ascii="Arial" w:hAnsi="Arial" w:cs="Arial"/>
          <w:sz w:val="22"/>
          <w:szCs w:val="22"/>
        </w:rPr>
        <w:t xml:space="preserve">To address the HR challenges identified within Marks &amp; Spencer (M&amp;S), the </w:t>
      </w:r>
      <w:r w:rsidR="005817C2" w:rsidRPr="008A13A8">
        <w:rPr>
          <w:rFonts w:ascii="Arial" w:hAnsi="Arial" w:cs="Arial"/>
          <w:sz w:val="22"/>
          <w:szCs w:val="22"/>
        </w:rPr>
        <w:t>organization</w:t>
      </w:r>
      <w:r w:rsidR="008A13A8" w:rsidRPr="008A13A8">
        <w:rPr>
          <w:rFonts w:ascii="Arial" w:hAnsi="Arial" w:cs="Arial"/>
          <w:sz w:val="22"/>
          <w:szCs w:val="22"/>
        </w:rPr>
        <w:t xml:space="preserve"> requires contemporary HR practices that support technological adaptation, talent management, and diversity and inclusion. Effective HR strategies should not only address current challenges but also improve long-term </w:t>
      </w:r>
      <w:r w:rsidR="005817C2" w:rsidRPr="008A13A8">
        <w:rPr>
          <w:rFonts w:ascii="Arial" w:hAnsi="Arial" w:cs="Arial"/>
          <w:sz w:val="22"/>
          <w:szCs w:val="22"/>
        </w:rPr>
        <w:t>organizational</w:t>
      </w:r>
      <w:r w:rsidR="008A13A8" w:rsidRPr="008A13A8">
        <w:rPr>
          <w:rFonts w:ascii="Arial" w:hAnsi="Arial" w:cs="Arial"/>
          <w:sz w:val="22"/>
          <w:szCs w:val="22"/>
        </w:rPr>
        <w:t xml:space="preserve"> performance through employee capability, engagement, and retention (CIPD, 2023).</w:t>
      </w:r>
    </w:p>
    <w:p w14:paraId="316C8E79" w14:textId="77777777" w:rsidR="008A13A8" w:rsidRPr="008A13A8" w:rsidRDefault="008A13A8" w:rsidP="008A13A8">
      <w:pPr>
        <w:spacing w:before="100" w:beforeAutospacing="1" w:after="100" w:afterAutospacing="1"/>
        <w:outlineLvl w:val="2"/>
        <w:rPr>
          <w:rFonts w:ascii="Arial" w:eastAsia="Times New Roman" w:hAnsi="Arial" w:cs="Arial"/>
          <w:b/>
          <w:bCs/>
          <w:sz w:val="24"/>
          <w:szCs w:val="24"/>
        </w:rPr>
      </w:pPr>
      <w:r>
        <w:rPr>
          <w:rFonts w:ascii="Arial" w:eastAsia="Times New Roman" w:hAnsi="Arial" w:cs="Arial"/>
          <w:b/>
          <w:bCs/>
          <w:sz w:val="24"/>
          <w:szCs w:val="24"/>
        </w:rPr>
        <w:tab/>
      </w:r>
      <w:r w:rsidRPr="008A13A8">
        <w:rPr>
          <w:rFonts w:ascii="Arial" w:eastAsia="Times New Roman" w:hAnsi="Arial" w:cs="Arial"/>
          <w:b/>
          <w:bCs/>
          <w:sz w:val="24"/>
          <w:szCs w:val="24"/>
        </w:rPr>
        <w:t>Digital HR Systems and Workforce Analytics</w:t>
      </w:r>
    </w:p>
    <w:p w14:paraId="2CA2734D" w14:textId="01074F1A"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Digital HR systems and workforce analytics can help M&amp;S adapt to technological change by improving workforce planning and decision-making. These systems enable </w:t>
      </w:r>
      <w:r w:rsidR="005817C2" w:rsidRPr="008A13A8">
        <w:rPr>
          <w:rFonts w:ascii="Arial" w:eastAsia="Times New Roman" w:hAnsi="Arial" w:cs="Arial"/>
        </w:rPr>
        <w:t>organizations</w:t>
      </w:r>
      <w:r w:rsidR="008A13A8" w:rsidRPr="008A13A8">
        <w:rPr>
          <w:rFonts w:ascii="Arial" w:eastAsia="Times New Roman" w:hAnsi="Arial" w:cs="Arial"/>
        </w:rPr>
        <w:t xml:space="preserve"> to </w:t>
      </w:r>
      <w:r w:rsidR="005817C2" w:rsidRPr="008A13A8">
        <w:rPr>
          <w:rFonts w:ascii="Arial" w:eastAsia="Times New Roman" w:hAnsi="Arial" w:cs="Arial"/>
        </w:rPr>
        <w:t>analyze</w:t>
      </w:r>
      <w:r w:rsidR="008A13A8" w:rsidRPr="008A13A8">
        <w:rPr>
          <w:rFonts w:ascii="Arial" w:eastAsia="Times New Roman" w:hAnsi="Arial" w:cs="Arial"/>
        </w:rPr>
        <w:t xml:space="preserve"> employee data, identify skills gaps, monitor turnover, and forecast future workforce requirements. For a large retailer such as M&amp;S, workforce analytics can identify departments with high turnover and the factors contributing to employee dissatisfaction. Marler and Boudreau (2017) argue that HR analytics improves strategic decision-making by providing valuable workforce insights.</w:t>
      </w:r>
    </w:p>
    <w:p w14:paraId="6F2E256A" w14:textId="77777777"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2D6A45">
        <w:rPr>
          <w:rFonts w:ascii="Arial" w:eastAsia="Times New Roman" w:hAnsi="Arial" w:cs="Arial"/>
        </w:rPr>
        <w:t>T</w:t>
      </w:r>
      <w:r w:rsidR="008A13A8" w:rsidRPr="008A13A8">
        <w:rPr>
          <w:rFonts w:ascii="Arial" w:eastAsia="Times New Roman" w:hAnsi="Arial" w:cs="Arial"/>
        </w:rPr>
        <w:t>he effectiveness of digital HR systems depends on managers' ability to interpret and use data effectively. Technology alone cannot solve HR challenges if employees lack the necessary digital skills. In addition, increased use of employee data raises concern</w:t>
      </w:r>
      <w:r w:rsidR="002D6A45">
        <w:rPr>
          <w:rFonts w:ascii="Arial" w:eastAsia="Times New Roman" w:hAnsi="Arial" w:cs="Arial"/>
        </w:rPr>
        <w:t xml:space="preserve">s regarding privacy and ethics. </w:t>
      </w:r>
      <w:r w:rsidR="008A13A8" w:rsidRPr="008A13A8">
        <w:rPr>
          <w:rFonts w:ascii="Arial" w:eastAsia="Times New Roman" w:hAnsi="Arial" w:cs="Arial"/>
        </w:rPr>
        <w:t>M&amp;S must ensure transparency and maintain employee trust when implementing data-driven HR practices.</w:t>
      </w:r>
    </w:p>
    <w:p w14:paraId="585E488B" w14:textId="77777777" w:rsidR="008A13A8" w:rsidRPr="008A13A8" w:rsidRDefault="008A13A8" w:rsidP="008A13A8">
      <w:pPr>
        <w:spacing w:before="100" w:beforeAutospacing="1" w:after="100" w:afterAutospacing="1"/>
        <w:outlineLvl w:val="2"/>
        <w:rPr>
          <w:rFonts w:ascii="Arial" w:eastAsia="Times New Roman" w:hAnsi="Arial" w:cs="Arial"/>
          <w:b/>
          <w:bCs/>
          <w:sz w:val="24"/>
          <w:szCs w:val="24"/>
        </w:rPr>
      </w:pPr>
      <w:r>
        <w:rPr>
          <w:rFonts w:ascii="Arial" w:eastAsia="Times New Roman" w:hAnsi="Arial" w:cs="Arial"/>
          <w:b/>
          <w:bCs/>
          <w:sz w:val="24"/>
          <w:szCs w:val="24"/>
        </w:rPr>
        <w:tab/>
      </w:r>
      <w:r w:rsidRPr="008A13A8">
        <w:rPr>
          <w:rFonts w:ascii="Arial" w:eastAsia="Times New Roman" w:hAnsi="Arial" w:cs="Arial"/>
          <w:b/>
          <w:bCs/>
          <w:sz w:val="24"/>
          <w:szCs w:val="24"/>
        </w:rPr>
        <w:t>Employer Branding and Strategic Workforce Planning</w:t>
      </w:r>
    </w:p>
    <w:p w14:paraId="3411F20F" w14:textId="15C6FC11"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Employer branding is an important HR practice because attracting and retaining employees remains a challenge within the retail sector. A strong employer brand communicates </w:t>
      </w:r>
      <w:r w:rsidR="005817C2" w:rsidRPr="008A13A8">
        <w:rPr>
          <w:rFonts w:ascii="Arial" w:eastAsia="Times New Roman" w:hAnsi="Arial" w:cs="Arial"/>
        </w:rPr>
        <w:t>organizational</w:t>
      </w:r>
      <w:r w:rsidR="008A13A8" w:rsidRPr="008A13A8">
        <w:rPr>
          <w:rFonts w:ascii="Arial" w:eastAsia="Times New Roman" w:hAnsi="Arial" w:cs="Arial"/>
        </w:rPr>
        <w:t xml:space="preserve"> values, workplace culture, benefits, and career opportunities, helping </w:t>
      </w:r>
      <w:r w:rsidR="005817C2" w:rsidRPr="008A13A8">
        <w:rPr>
          <w:rFonts w:ascii="Arial" w:eastAsia="Times New Roman" w:hAnsi="Arial" w:cs="Arial"/>
        </w:rPr>
        <w:t>organizations</w:t>
      </w:r>
      <w:r w:rsidR="008A13A8" w:rsidRPr="008A13A8">
        <w:rPr>
          <w:rFonts w:ascii="Arial" w:eastAsia="Times New Roman" w:hAnsi="Arial" w:cs="Arial"/>
        </w:rPr>
        <w:t xml:space="preserve"> attract candidates who fit the </w:t>
      </w:r>
      <w:r w:rsidR="005817C2" w:rsidRPr="008A13A8">
        <w:rPr>
          <w:rFonts w:ascii="Arial" w:eastAsia="Times New Roman" w:hAnsi="Arial" w:cs="Arial"/>
        </w:rPr>
        <w:t>organization</w:t>
      </w:r>
      <w:r w:rsidR="008A13A8" w:rsidRPr="008A13A8">
        <w:rPr>
          <w:rFonts w:ascii="Arial" w:eastAsia="Times New Roman" w:hAnsi="Arial" w:cs="Arial"/>
        </w:rPr>
        <w:t>.</w:t>
      </w:r>
    </w:p>
    <w:p w14:paraId="2F800311" w14:textId="1E2EDA4B"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 M&amp;S has a strong customer </w:t>
      </w:r>
      <w:r w:rsidR="005817C2" w:rsidRPr="008A13A8">
        <w:rPr>
          <w:rFonts w:ascii="Arial" w:eastAsia="Times New Roman" w:hAnsi="Arial" w:cs="Arial"/>
        </w:rPr>
        <w:t>reputation;</w:t>
      </w:r>
      <w:r w:rsidR="008A13A8" w:rsidRPr="008A13A8">
        <w:rPr>
          <w:rFonts w:ascii="Arial" w:eastAsia="Times New Roman" w:hAnsi="Arial" w:cs="Arial"/>
        </w:rPr>
        <w:t xml:space="preserve"> it must also provide a positive employee experience. Career development, learning opportunities, and employee wellbeing can strengthen both recruitment and retention, while strategic workforce planning helps identify future skills requirements and align recruitment with business objectives (Boxall and Purcell, 2022).</w:t>
      </w:r>
    </w:p>
    <w:p w14:paraId="5D025FF1" w14:textId="58159F86" w:rsid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The main advantage of employer branding is that </w:t>
      </w:r>
      <w:r w:rsidR="005817C2" w:rsidRPr="008A13A8">
        <w:rPr>
          <w:rFonts w:ascii="Arial" w:eastAsia="Times New Roman" w:hAnsi="Arial" w:cs="Arial"/>
        </w:rPr>
        <w:t>organizations</w:t>
      </w:r>
      <w:r w:rsidR="008A13A8" w:rsidRPr="008A13A8">
        <w:rPr>
          <w:rFonts w:ascii="Arial" w:eastAsia="Times New Roman" w:hAnsi="Arial" w:cs="Arial"/>
        </w:rPr>
        <w:t xml:space="preserve"> can compete for talent beyond financial rewards. </w:t>
      </w:r>
      <w:r w:rsidR="00B44C02">
        <w:rPr>
          <w:rFonts w:ascii="Arial" w:eastAsia="Times New Roman" w:hAnsi="Arial" w:cs="Arial"/>
        </w:rPr>
        <w:t>I</w:t>
      </w:r>
      <w:r w:rsidR="008A13A8" w:rsidRPr="008A13A8">
        <w:rPr>
          <w:rFonts w:ascii="Arial" w:eastAsia="Times New Roman" w:hAnsi="Arial" w:cs="Arial"/>
        </w:rPr>
        <w:t>f employees experience poor management or limited career opportunities, the employer brand may lose credibility and negatively affect retention. M&amp;S must ensure its internal culture reflects the values promoted during recruitment.</w:t>
      </w:r>
    </w:p>
    <w:p w14:paraId="3F27864E" w14:textId="77777777" w:rsidR="008A13A8" w:rsidRPr="008A13A8" w:rsidRDefault="008A13A8" w:rsidP="008A13A8">
      <w:pPr>
        <w:spacing w:before="100" w:beforeAutospacing="1" w:after="100" w:afterAutospacing="1"/>
        <w:rPr>
          <w:rFonts w:ascii="Arial" w:eastAsia="Times New Roman" w:hAnsi="Arial" w:cs="Arial"/>
        </w:rPr>
      </w:pPr>
    </w:p>
    <w:p w14:paraId="6A582B6F" w14:textId="77777777" w:rsidR="008A13A8" w:rsidRPr="008A13A8" w:rsidRDefault="008A13A8" w:rsidP="008A13A8">
      <w:pPr>
        <w:spacing w:before="100" w:beforeAutospacing="1" w:after="100" w:afterAutospacing="1"/>
        <w:outlineLvl w:val="2"/>
        <w:rPr>
          <w:rFonts w:ascii="Arial" w:eastAsia="Times New Roman" w:hAnsi="Arial" w:cs="Arial"/>
          <w:b/>
          <w:bCs/>
          <w:sz w:val="24"/>
          <w:szCs w:val="24"/>
        </w:rPr>
      </w:pPr>
      <w:r>
        <w:rPr>
          <w:rFonts w:ascii="Arial" w:eastAsia="Times New Roman" w:hAnsi="Arial" w:cs="Arial"/>
          <w:b/>
          <w:bCs/>
          <w:sz w:val="24"/>
          <w:szCs w:val="24"/>
        </w:rPr>
        <w:lastRenderedPageBreak/>
        <w:tab/>
      </w:r>
      <w:r w:rsidRPr="008A13A8">
        <w:rPr>
          <w:rFonts w:ascii="Arial" w:eastAsia="Times New Roman" w:hAnsi="Arial" w:cs="Arial"/>
          <w:b/>
          <w:bCs/>
          <w:sz w:val="24"/>
          <w:szCs w:val="24"/>
        </w:rPr>
        <w:t>Employee Engagement and Retention Strategies</w:t>
      </w:r>
    </w:p>
    <w:p w14:paraId="53873E01" w14:textId="77777777"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Employee engagement strategies are essential for improving retention and maintaining workforce commitment. Practices such as career development, flexible working, employee recognition, and regular feedback can improve satisfaction and reduce turnover. Armstrong and Taylor (2023) argue that engaged employees are more likely to demonstrate motivation, loyalty, and higher productivity.</w:t>
      </w:r>
    </w:p>
    <w:p w14:paraId="06628FCC" w14:textId="19861C1A"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For M&amp;S, investment in learning and development is particularly important because technological change requires employees to develop new skills. Continuous training can reduce resistance to change and create a more adaptable workforce. </w:t>
      </w:r>
      <w:r w:rsidR="00B44C02">
        <w:rPr>
          <w:rFonts w:ascii="Arial" w:eastAsia="Times New Roman" w:hAnsi="Arial" w:cs="Arial"/>
        </w:rPr>
        <w:t>E</w:t>
      </w:r>
      <w:r w:rsidR="008A13A8" w:rsidRPr="008A13A8">
        <w:rPr>
          <w:rFonts w:ascii="Arial" w:eastAsia="Times New Roman" w:hAnsi="Arial" w:cs="Arial"/>
        </w:rPr>
        <w:t xml:space="preserve">ngagement initiatives may have limited impact if wider </w:t>
      </w:r>
      <w:r w:rsidR="005817C2" w:rsidRPr="008A13A8">
        <w:rPr>
          <w:rFonts w:ascii="Arial" w:eastAsia="Times New Roman" w:hAnsi="Arial" w:cs="Arial"/>
        </w:rPr>
        <w:t>organizational</w:t>
      </w:r>
      <w:r w:rsidR="008A13A8" w:rsidRPr="008A13A8">
        <w:rPr>
          <w:rFonts w:ascii="Arial" w:eastAsia="Times New Roman" w:hAnsi="Arial" w:cs="Arial"/>
        </w:rPr>
        <w:t xml:space="preserve"> issues, such as ineffective management or limited career progression, are not addressed. M&amp;S should combine engagement strategies with effective leadership and fair reward systems (Collings, Scullion and </w:t>
      </w:r>
      <w:r w:rsidR="005817C2" w:rsidRPr="008A13A8">
        <w:rPr>
          <w:rFonts w:ascii="Arial" w:eastAsia="Times New Roman" w:hAnsi="Arial" w:cs="Arial"/>
        </w:rPr>
        <w:t>Vaisman</w:t>
      </w:r>
      <w:r w:rsidR="008A13A8" w:rsidRPr="008A13A8">
        <w:rPr>
          <w:rFonts w:ascii="Arial" w:eastAsia="Times New Roman" w:hAnsi="Arial" w:cs="Arial"/>
        </w:rPr>
        <w:t>, 2015).</w:t>
      </w:r>
    </w:p>
    <w:p w14:paraId="0E333A03" w14:textId="77777777" w:rsidR="008A13A8" w:rsidRPr="008A13A8" w:rsidRDefault="008A13A8" w:rsidP="008A13A8">
      <w:pPr>
        <w:spacing w:before="100" w:beforeAutospacing="1" w:after="100" w:afterAutospacing="1"/>
        <w:outlineLvl w:val="2"/>
        <w:rPr>
          <w:rFonts w:ascii="Arial" w:eastAsia="Times New Roman" w:hAnsi="Arial" w:cs="Arial"/>
          <w:b/>
          <w:bCs/>
          <w:sz w:val="24"/>
          <w:szCs w:val="24"/>
        </w:rPr>
      </w:pPr>
      <w:r>
        <w:rPr>
          <w:rFonts w:ascii="Arial" w:eastAsia="Times New Roman" w:hAnsi="Arial" w:cs="Arial"/>
          <w:b/>
          <w:bCs/>
          <w:sz w:val="24"/>
          <w:szCs w:val="24"/>
        </w:rPr>
        <w:tab/>
      </w:r>
      <w:r w:rsidRPr="008A13A8">
        <w:rPr>
          <w:rFonts w:ascii="Arial" w:eastAsia="Times New Roman" w:hAnsi="Arial" w:cs="Arial"/>
          <w:b/>
          <w:bCs/>
          <w:sz w:val="24"/>
          <w:szCs w:val="24"/>
        </w:rPr>
        <w:t>Inclusive Recruitment and DEI Leadership Initiatives</w:t>
      </w:r>
    </w:p>
    <w:p w14:paraId="5E4541B5" w14:textId="77777777"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To strengthen diversity, equity, and inclusion, M&amp;S should focus on inclusive recruitment and leadership development. Inclusive recruitment removes unnecessary barriers, uses diverse recruitment channels, and ensures selection decisions are based on skills and potential rather than personal characteristics.</w:t>
      </w:r>
    </w:p>
    <w:p w14:paraId="21F69492" w14:textId="0A22585C"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 xml:space="preserve">Leadership development is equally important because managers influence workplace culture through their </w:t>
      </w:r>
      <w:r w:rsidR="005817C2" w:rsidRPr="008A13A8">
        <w:rPr>
          <w:rFonts w:ascii="Arial" w:eastAsia="Times New Roman" w:hAnsi="Arial" w:cs="Arial"/>
        </w:rPr>
        <w:t>behavior</w:t>
      </w:r>
      <w:r w:rsidR="008A13A8" w:rsidRPr="008A13A8">
        <w:rPr>
          <w:rFonts w:ascii="Arial" w:eastAsia="Times New Roman" w:hAnsi="Arial" w:cs="Arial"/>
        </w:rPr>
        <w:t xml:space="preserve"> and decisions. Training managers in inclusive leadership can reduce unconscious bias, improve teamwork, and strengthen employees' sense of belonging. Shore et al. (2011) highlight that inclusion occurs when employees feel valued for their individuality while also feeling accepted within the </w:t>
      </w:r>
      <w:r w:rsidR="005817C2" w:rsidRPr="008A13A8">
        <w:rPr>
          <w:rFonts w:ascii="Arial" w:eastAsia="Times New Roman" w:hAnsi="Arial" w:cs="Arial"/>
        </w:rPr>
        <w:t>organization</w:t>
      </w:r>
      <w:r w:rsidR="008A13A8" w:rsidRPr="008A13A8">
        <w:rPr>
          <w:rFonts w:ascii="Arial" w:eastAsia="Times New Roman" w:hAnsi="Arial" w:cs="Arial"/>
        </w:rPr>
        <w:t>.</w:t>
      </w:r>
    </w:p>
    <w:p w14:paraId="0BAE7A63" w14:textId="77777777"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r>
      <w:r w:rsidR="008A13A8" w:rsidRPr="008A13A8">
        <w:rPr>
          <w:rFonts w:ascii="Arial" w:eastAsia="Times New Roman" w:hAnsi="Arial" w:cs="Arial"/>
        </w:rPr>
        <w:t>DEI initiatives may fail if they are viewed only as formal policies. Training alone is unlikely to create meaningful change unless managers are accountable for creating inclusive workplaces. M&amp;S should support DEI policies through measurable objectives, leadership responsibility, and continuous monitoring.</w:t>
      </w:r>
    </w:p>
    <w:p w14:paraId="3F99D72C" w14:textId="4CFDBDA7" w:rsidR="008A13A8" w:rsidRPr="008A13A8" w:rsidRDefault="00320DDC" w:rsidP="008A13A8">
      <w:pPr>
        <w:spacing w:before="100" w:beforeAutospacing="1" w:after="100" w:afterAutospacing="1"/>
        <w:rPr>
          <w:rFonts w:ascii="Arial" w:eastAsia="Times New Roman" w:hAnsi="Arial" w:cs="Arial"/>
        </w:rPr>
      </w:pPr>
      <w:r>
        <w:rPr>
          <w:rFonts w:ascii="Arial" w:eastAsia="Times New Roman" w:hAnsi="Arial" w:cs="Arial"/>
        </w:rPr>
        <w:tab/>
        <w:t>C</w:t>
      </w:r>
      <w:r w:rsidR="008A13A8" w:rsidRPr="008A13A8">
        <w:rPr>
          <w:rFonts w:ascii="Arial" w:eastAsia="Times New Roman" w:hAnsi="Arial" w:cs="Arial"/>
        </w:rPr>
        <w:t xml:space="preserve">ontemporary HR practices provide M&amp;S with effective tools to address workforce challenges. However, their success depends on effective implementation, managerial commitment, and alignment with the </w:t>
      </w:r>
      <w:r w:rsidR="005817C2" w:rsidRPr="008A13A8">
        <w:rPr>
          <w:rFonts w:ascii="Arial" w:eastAsia="Times New Roman" w:hAnsi="Arial" w:cs="Arial"/>
        </w:rPr>
        <w:t>organization’s</w:t>
      </w:r>
      <w:r w:rsidR="008A13A8" w:rsidRPr="008A13A8">
        <w:rPr>
          <w:rFonts w:ascii="Arial" w:eastAsia="Times New Roman" w:hAnsi="Arial" w:cs="Arial"/>
        </w:rPr>
        <w:t xml:space="preserve"> wider strategic objectives.</w:t>
      </w:r>
    </w:p>
    <w:p w14:paraId="0BE07719" w14:textId="77777777" w:rsidR="00753158" w:rsidRDefault="00753158" w:rsidP="008A13A8">
      <w:pPr>
        <w:pStyle w:val="isselectedend"/>
        <w:spacing w:line="276" w:lineRule="auto"/>
        <w:rPr>
          <w:rFonts w:ascii="Arial" w:hAnsi="Arial" w:cs="Arial"/>
          <w:sz w:val="22"/>
          <w:szCs w:val="22"/>
        </w:rPr>
      </w:pPr>
    </w:p>
    <w:p w14:paraId="3D45B1D4" w14:textId="77777777" w:rsidR="00753158" w:rsidRDefault="00753158" w:rsidP="00C47C85">
      <w:pPr>
        <w:pStyle w:val="NormalWeb"/>
        <w:spacing w:line="276" w:lineRule="auto"/>
        <w:rPr>
          <w:rFonts w:ascii="Arial" w:hAnsi="Arial" w:cs="Arial"/>
          <w:sz w:val="22"/>
          <w:szCs w:val="22"/>
        </w:rPr>
      </w:pPr>
    </w:p>
    <w:p w14:paraId="35C3F140" w14:textId="77777777" w:rsidR="00EF0E32" w:rsidRDefault="00EF0E32" w:rsidP="00C47C85">
      <w:pPr>
        <w:pStyle w:val="NormalWeb"/>
        <w:spacing w:line="276" w:lineRule="auto"/>
        <w:rPr>
          <w:rFonts w:ascii="Arial" w:hAnsi="Arial" w:cs="Arial"/>
          <w:sz w:val="22"/>
          <w:szCs w:val="22"/>
        </w:rPr>
      </w:pPr>
    </w:p>
    <w:p w14:paraId="390AF8EB" w14:textId="77777777" w:rsidR="00EF0E32" w:rsidRPr="00E30613" w:rsidRDefault="00EF0E32" w:rsidP="00E30613">
      <w:pPr>
        <w:pStyle w:val="Heading1"/>
        <w:numPr>
          <w:ilvl w:val="0"/>
          <w:numId w:val="1"/>
        </w:numPr>
        <w:rPr>
          <w:rFonts w:ascii="Arial" w:hAnsi="Arial" w:cs="Arial"/>
          <w:color w:val="auto"/>
          <w:sz w:val="32"/>
          <w:szCs w:val="32"/>
        </w:rPr>
      </w:pPr>
      <w:bookmarkStart w:id="10" w:name="_Toc235052192"/>
      <w:r w:rsidRPr="00E30613">
        <w:rPr>
          <w:rFonts w:ascii="Arial" w:hAnsi="Arial" w:cs="Arial"/>
          <w:color w:val="auto"/>
          <w:sz w:val="32"/>
          <w:szCs w:val="32"/>
        </w:rPr>
        <w:lastRenderedPageBreak/>
        <w:t>Theories of motivation</w:t>
      </w:r>
      <w:bookmarkEnd w:id="10"/>
    </w:p>
    <w:p w14:paraId="74FC32F3" w14:textId="77777777" w:rsidR="00EF0E32" w:rsidRDefault="00362755" w:rsidP="00C47C85">
      <w:pPr>
        <w:pStyle w:val="NormalWeb"/>
        <w:spacing w:line="276" w:lineRule="auto"/>
        <w:rPr>
          <w:rFonts w:ascii="Arial" w:hAnsi="Arial" w:cs="Arial"/>
          <w:sz w:val="22"/>
          <w:szCs w:val="22"/>
        </w:rPr>
      </w:pPr>
      <w:r>
        <w:rPr>
          <w:rFonts w:ascii="Arial" w:hAnsi="Arial" w:cs="Arial"/>
          <w:noProof/>
          <w:sz w:val="22"/>
          <w:szCs w:val="22"/>
        </w:rPr>
        <w:drawing>
          <wp:inline distT="0" distB="0" distL="0" distR="0" wp14:anchorId="12C33D8B" wp14:editId="671CB3D1">
            <wp:extent cx="6313170" cy="4114800"/>
            <wp:effectExtent l="12700" t="127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A3B7D7B" w14:textId="73A462A3" w:rsidR="00EF0E32" w:rsidRDefault="00362755" w:rsidP="00C47C85">
      <w:pPr>
        <w:pStyle w:val="NormalWeb"/>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Abraham </w:t>
      </w:r>
      <w:r w:rsidR="005817C2">
        <w:rPr>
          <w:rFonts w:ascii="Arial" w:hAnsi="Arial" w:cs="Arial"/>
          <w:sz w:val="22"/>
          <w:szCs w:val="22"/>
        </w:rPr>
        <w:t>Maslow (</w:t>
      </w:r>
      <w:r>
        <w:rPr>
          <w:rFonts w:ascii="Arial" w:hAnsi="Arial" w:cs="Arial"/>
          <w:sz w:val="22"/>
          <w:szCs w:val="22"/>
        </w:rPr>
        <w:t>1943)</w:t>
      </w:r>
    </w:p>
    <w:p w14:paraId="27498C0F" w14:textId="77777777" w:rsidR="00362755" w:rsidRDefault="00362755" w:rsidP="00C47C85">
      <w:pPr>
        <w:pStyle w:val="NormalWeb"/>
        <w:spacing w:line="276" w:lineRule="auto"/>
        <w:rPr>
          <w:rFonts w:ascii="Arial" w:hAnsi="Arial" w:cs="Arial"/>
          <w:sz w:val="22"/>
          <w:szCs w:val="22"/>
        </w:rPr>
      </w:pPr>
    </w:p>
    <w:p w14:paraId="4B8EF404" w14:textId="77777777" w:rsidR="00362755" w:rsidRDefault="009B32AA" w:rsidP="00C47C85">
      <w:pPr>
        <w:pStyle w:val="NormalWeb"/>
        <w:spacing w:line="276" w:lineRule="auto"/>
        <w:rPr>
          <w:rFonts w:ascii="Arial" w:hAnsi="Arial" w:cs="Arial"/>
          <w:sz w:val="22"/>
          <w:szCs w:val="22"/>
        </w:rPr>
      </w:pPr>
      <w:r>
        <w:rPr>
          <w:rFonts w:ascii="Arial" w:hAnsi="Arial" w:cs="Arial"/>
          <w:sz w:val="22"/>
          <w:szCs w:val="22"/>
        </w:rPr>
        <w:tab/>
      </w:r>
      <w:r w:rsidR="00362755">
        <w:rPr>
          <w:rFonts w:ascii="Arial" w:hAnsi="Arial" w:cs="Arial"/>
          <w:sz w:val="22"/>
          <w:szCs w:val="22"/>
        </w:rPr>
        <w:t xml:space="preserve">Hierarchy of human needs- starting at the lowest or basic level, an individual had to satisfy the needs at the level before moving up to the next. </w:t>
      </w:r>
    </w:p>
    <w:p w14:paraId="46340BC1" w14:textId="77777777" w:rsidR="00EF0E32" w:rsidRDefault="00EF0E32" w:rsidP="00C47C85">
      <w:pPr>
        <w:pStyle w:val="NormalWeb"/>
        <w:spacing w:line="276" w:lineRule="auto"/>
        <w:rPr>
          <w:rFonts w:ascii="Arial" w:hAnsi="Arial" w:cs="Arial"/>
          <w:sz w:val="22"/>
          <w:szCs w:val="22"/>
        </w:rPr>
      </w:pPr>
    </w:p>
    <w:p w14:paraId="55B3BDD5" w14:textId="77777777" w:rsidR="00EF0E32" w:rsidRDefault="00EF0E32" w:rsidP="00C47C85">
      <w:pPr>
        <w:pStyle w:val="NormalWeb"/>
        <w:spacing w:line="276" w:lineRule="auto"/>
        <w:rPr>
          <w:rFonts w:ascii="Arial" w:hAnsi="Arial" w:cs="Arial"/>
          <w:sz w:val="22"/>
          <w:szCs w:val="22"/>
        </w:rPr>
      </w:pPr>
    </w:p>
    <w:p w14:paraId="6B868299" w14:textId="77777777" w:rsidR="00EF0E32" w:rsidRDefault="00EF0E32" w:rsidP="00C47C85">
      <w:pPr>
        <w:pStyle w:val="NormalWeb"/>
        <w:spacing w:line="276" w:lineRule="auto"/>
        <w:rPr>
          <w:rFonts w:ascii="Arial" w:hAnsi="Arial" w:cs="Arial"/>
          <w:sz w:val="22"/>
          <w:szCs w:val="22"/>
        </w:rPr>
      </w:pPr>
    </w:p>
    <w:p w14:paraId="224D08D7" w14:textId="77777777" w:rsidR="00EF0E32" w:rsidRDefault="00EF0E32" w:rsidP="00C47C85">
      <w:pPr>
        <w:pStyle w:val="NormalWeb"/>
        <w:spacing w:line="276" w:lineRule="auto"/>
        <w:rPr>
          <w:rFonts w:ascii="Arial" w:hAnsi="Arial" w:cs="Arial"/>
          <w:sz w:val="22"/>
          <w:szCs w:val="22"/>
        </w:rPr>
      </w:pPr>
    </w:p>
    <w:p w14:paraId="0058F11B" w14:textId="77777777" w:rsidR="00EF0E32" w:rsidRDefault="00EF0E32" w:rsidP="00C47C85">
      <w:pPr>
        <w:pStyle w:val="NormalWeb"/>
        <w:spacing w:line="276" w:lineRule="auto"/>
        <w:rPr>
          <w:rFonts w:ascii="Arial" w:hAnsi="Arial" w:cs="Arial"/>
          <w:sz w:val="22"/>
          <w:szCs w:val="22"/>
        </w:rPr>
      </w:pPr>
    </w:p>
    <w:p w14:paraId="6F2659D8" w14:textId="77777777" w:rsidR="00753158" w:rsidRPr="00C47C85" w:rsidRDefault="00753158" w:rsidP="00C47C85">
      <w:pPr>
        <w:pStyle w:val="NormalWeb"/>
        <w:spacing w:line="276" w:lineRule="auto"/>
        <w:rPr>
          <w:rFonts w:ascii="Arial" w:hAnsi="Arial" w:cs="Arial"/>
          <w:sz w:val="22"/>
          <w:szCs w:val="22"/>
        </w:rPr>
      </w:pPr>
    </w:p>
    <w:p w14:paraId="2D51A6C9" w14:textId="77777777" w:rsidR="006716E8" w:rsidRPr="00C47C85" w:rsidRDefault="006716E8" w:rsidP="00C47C85">
      <w:pPr>
        <w:pStyle w:val="Heading2"/>
        <w:numPr>
          <w:ilvl w:val="0"/>
          <w:numId w:val="1"/>
        </w:numPr>
        <w:spacing w:line="276" w:lineRule="auto"/>
        <w:rPr>
          <w:rFonts w:ascii="Arial" w:hAnsi="Arial" w:cs="Arial"/>
          <w:sz w:val="32"/>
          <w:szCs w:val="32"/>
        </w:rPr>
      </w:pPr>
      <w:bookmarkStart w:id="11" w:name="_Toc235052193"/>
      <w:r w:rsidRPr="00C47C85">
        <w:rPr>
          <w:rFonts w:ascii="Arial" w:hAnsi="Arial" w:cs="Arial"/>
          <w:sz w:val="32"/>
          <w:szCs w:val="32"/>
        </w:rPr>
        <w:lastRenderedPageBreak/>
        <w:t>Critical Evaluation of Managerial Implementation</w:t>
      </w:r>
      <w:bookmarkEnd w:id="11"/>
    </w:p>
    <w:p w14:paraId="307843B6" w14:textId="1CBF862B" w:rsidR="003E01A1" w:rsidRPr="003E01A1" w:rsidRDefault="003A20A3" w:rsidP="003E01A1">
      <w:pPr>
        <w:pStyle w:val="isselectedend"/>
        <w:spacing w:line="276" w:lineRule="auto"/>
        <w:rPr>
          <w:rFonts w:ascii="Arial" w:hAnsi="Arial" w:cs="Arial"/>
          <w:sz w:val="22"/>
          <w:szCs w:val="22"/>
        </w:rPr>
      </w:pPr>
      <w:r w:rsidRPr="004309F7">
        <w:rPr>
          <w:rFonts w:ascii="Arial" w:hAnsi="Arial" w:cs="Arial"/>
          <w:sz w:val="22"/>
          <w:szCs w:val="22"/>
        </w:rPr>
        <w:tab/>
      </w:r>
      <w:r w:rsidR="003E01A1" w:rsidRPr="003E01A1">
        <w:rPr>
          <w:rFonts w:ascii="Arial" w:hAnsi="Arial" w:cs="Arial"/>
          <w:sz w:val="22"/>
          <w:szCs w:val="22"/>
        </w:rPr>
        <w:t xml:space="preserve">Although contemporary HR practices can provide significant benefits for Marks &amp; Spencer (M&amp;S), their success depends largely on how effectively they are implemented by departmental managers. Managers link HR strategies with employees’ daily experiences, meaning their actions directly influence whether HR initiatives achieve their objectives (Armstrong and Taylor, 2023). Effective implementation therefore requires leadership accountability, clear communication, performance monitoring, and a supportive </w:t>
      </w:r>
      <w:r w:rsidR="00E21CA9" w:rsidRPr="003E01A1">
        <w:rPr>
          <w:rFonts w:ascii="Arial" w:hAnsi="Arial" w:cs="Arial"/>
          <w:sz w:val="22"/>
          <w:szCs w:val="22"/>
        </w:rPr>
        <w:t>organizational</w:t>
      </w:r>
      <w:r w:rsidR="003E01A1" w:rsidRPr="003E01A1">
        <w:rPr>
          <w:rFonts w:ascii="Arial" w:hAnsi="Arial" w:cs="Arial"/>
          <w:sz w:val="22"/>
          <w:szCs w:val="22"/>
        </w:rPr>
        <w:t xml:space="preserve"> culture.</w:t>
      </w:r>
    </w:p>
    <w:p w14:paraId="10CA7D07" w14:textId="38526CD6"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tab/>
      </w:r>
      <w:r w:rsidRPr="003E01A1">
        <w:rPr>
          <w:rFonts w:ascii="Arial" w:hAnsi="Arial" w:cs="Arial"/>
          <w:sz w:val="22"/>
          <w:szCs w:val="22"/>
        </w:rPr>
        <w:t xml:space="preserve">Leadership accountability is essential when implementing changes related to technology, talent management, and diversity initiatives. Managers should </w:t>
      </w:r>
      <w:r w:rsidR="00E21CA9" w:rsidRPr="003E01A1">
        <w:rPr>
          <w:rFonts w:ascii="Arial" w:hAnsi="Arial" w:cs="Arial"/>
          <w:sz w:val="22"/>
          <w:szCs w:val="22"/>
        </w:rPr>
        <w:t>recognize</w:t>
      </w:r>
      <w:r w:rsidRPr="003E01A1">
        <w:rPr>
          <w:rFonts w:ascii="Arial" w:hAnsi="Arial" w:cs="Arial"/>
          <w:sz w:val="22"/>
          <w:szCs w:val="22"/>
        </w:rPr>
        <w:t xml:space="preserve"> that HR responsibilities are shared across the </w:t>
      </w:r>
      <w:r w:rsidR="00E21CA9" w:rsidRPr="003E01A1">
        <w:rPr>
          <w:rFonts w:ascii="Arial" w:hAnsi="Arial" w:cs="Arial"/>
          <w:sz w:val="22"/>
          <w:szCs w:val="22"/>
        </w:rPr>
        <w:t>organization</w:t>
      </w:r>
      <w:r w:rsidRPr="003E01A1">
        <w:rPr>
          <w:rFonts w:ascii="Arial" w:hAnsi="Arial" w:cs="Arial"/>
          <w:sz w:val="22"/>
          <w:szCs w:val="22"/>
        </w:rPr>
        <w:t xml:space="preserve"> rather than belonging only to the HR department (CIPD, 2023). When introducing digital HR systems, managers must encourage employee adoption, identify training needs, and support employees adapting to new technologies. Without managerial involvement, employees may view </w:t>
      </w:r>
      <w:r w:rsidR="00E21CA9" w:rsidRPr="003E01A1">
        <w:rPr>
          <w:rFonts w:ascii="Arial" w:hAnsi="Arial" w:cs="Arial"/>
          <w:sz w:val="22"/>
          <w:szCs w:val="22"/>
        </w:rPr>
        <w:t>organizational</w:t>
      </w:r>
      <w:r w:rsidRPr="003E01A1">
        <w:rPr>
          <w:rFonts w:ascii="Arial" w:hAnsi="Arial" w:cs="Arial"/>
          <w:sz w:val="22"/>
          <w:szCs w:val="22"/>
        </w:rPr>
        <w:t xml:space="preserve"> change as imposed rather than beneficial.</w:t>
      </w:r>
    </w:p>
    <w:p w14:paraId="432B3C33" w14:textId="4BCF108B"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tab/>
      </w:r>
      <w:r w:rsidRPr="003E01A1">
        <w:rPr>
          <w:rFonts w:ascii="Arial" w:hAnsi="Arial" w:cs="Arial"/>
          <w:sz w:val="22"/>
          <w:szCs w:val="22"/>
        </w:rPr>
        <w:t xml:space="preserve">To ensure successful implementation, M&amp;S should hold managers accountable through measurable HR objectives. Key performance indicators (KPIs), including employee turnover, engagement levels, training participation, and diversity progress, can help evaluate HR strategies. However, managers should not focus only on numerical targets because employee experience and </w:t>
      </w:r>
      <w:r w:rsidR="00E21CA9" w:rsidRPr="003E01A1">
        <w:rPr>
          <w:rFonts w:ascii="Arial" w:hAnsi="Arial" w:cs="Arial"/>
          <w:sz w:val="22"/>
          <w:szCs w:val="22"/>
        </w:rPr>
        <w:t>organizational</w:t>
      </w:r>
      <w:r w:rsidRPr="003E01A1">
        <w:rPr>
          <w:rFonts w:ascii="Arial" w:hAnsi="Arial" w:cs="Arial"/>
          <w:sz w:val="22"/>
          <w:szCs w:val="22"/>
        </w:rPr>
        <w:t xml:space="preserve"> culture are equally important. Excessive focus on performance measures may cause managers to overlook the underlying causes of employee dissatisfaction (Bratton and Gold, 2023).</w:t>
      </w:r>
    </w:p>
    <w:p w14:paraId="6CB15561" w14:textId="494009EA"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tab/>
      </w:r>
      <w:r w:rsidRPr="003E01A1">
        <w:rPr>
          <w:rFonts w:ascii="Arial" w:hAnsi="Arial" w:cs="Arial"/>
          <w:sz w:val="22"/>
          <w:szCs w:val="22"/>
        </w:rPr>
        <w:t xml:space="preserve">Communication is another critical factor, particularly during technological and </w:t>
      </w:r>
      <w:r w:rsidR="00E21CA9" w:rsidRPr="003E01A1">
        <w:rPr>
          <w:rFonts w:ascii="Arial" w:hAnsi="Arial" w:cs="Arial"/>
          <w:sz w:val="22"/>
          <w:szCs w:val="22"/>
        </w:rPr>
        <w:t>organizational</w:t>
      </w:r>
      <w:r w:rsidRPr="003E01A1">
        <w:rPr>
          <w:rFonts w:ascii="Arial" w:hAnsi="Arial" w:cs="Arial"/>
          <w:sz w:val="22"/>
          <w:szCs w:val="22"/>
        </w:rPr>
        <w:t xml:space="preserve"> change. Managers should explain the reasons for change, highlight expected benefits, and provide opportunities for employees to raise concerns. According to Kotter (1996), successful change management depends on creating employee understanding and commitment rather than relying solely on formal communication.</w:t>
      </w:r>
    </w:p>
    <w:p w14:paraId="6A2556CF" w14:textId="77777777"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tab/>
      </w:r>
      <w:r w:rsidRPr="003E01A1">
        <w:rPr>
          <w:rFonts w:ascii="Arial" w:hAnsi="Arial" w:cs="Arial"/>
          <w:sz w:val="22"/>
          <w:szCs w:val="22"/>
        </w:rPr>
        <w:t>For M&amp;S, communication should remain consistent across departments to ensure all employees receive the same information. Poor communication may increase resistance, reduce trust, and negatively affect engagement. Managers should therefore use team meetings, digital platforms, and feedback systems to encourage employee involvement.</w:t>
      </w:r>
    </w:p>
    <w:p w14:paraId="358024AF" w14:textId="591EB961"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tab/>
      </w:r>
      <w:r w:rsidR="00E21CA9" w:rsidRPr="003E01A1">
        <w:rPr>
          <w:rFonts w:ascii="Arial" w:hAnsi="Arial" w:cs="Arial"/>
          <w:sz w:val="22"/>
          <w:szCs w:val="22"/>
        </w:rPr>
        <w:t>Organizational</w:t>
      </w:r>
      <w:r w:rsidRPr="003E01A1">
        <w:rPr>
          <w:rFonts w:ascii="Arial" w:hAnsi="Arial" w:cs="Arial"/>
          <w:sz w:val="22"/>
          <w:szCs w:val="22"/>
        </w:rPr>
        <w:t xml:space="preserve"> culture also influences whether HR practices achieve long-term success. </w:t>
      </w:r>
      <w:r w:rsidR="00AC6C39">
        <w:rPr>
          <w:rFonts w:ascii="Arial" w:hAnsi="Arial" w:cs="Arial"/>
          <w:sz w:val="22"/>
          <w:szCs w:val="22"/>
        </w:rPr>
        <w:tab/>
      </w:r>
      <w:r w:rsidRPr="003E01A1">
        <w:rPr>
          <w:rFonts w:ascii="Arial" w:hAnsi="Arial" w:cs="Arial"/>
          <w:sz w:val="22"/>
          <w:szCs w:val="22"/>
        </w:rPr>
        <w:t xml:space="preserve">A culture that supports learning, inclusion, and continuous improvement encourages employees to accept change more positively. However, HR policies will have limited impact if managers fail to demonstrate </w:t>
      </w:r>
      <w:r w:rsidR="00E21CA9" w:rsidRPr="003E01A1">
        <w:rPr>
          <w:rFonts w:ascii="Arial" w:hAnsi="Arial" w:cs="Arial"/>
          <w:sz w:val="22"/>
          <w:szCs w:val="22"/>
        </w:rPr>
        <w:t>organizational</w:t>
      </w:r>
      <w:r w:rsidRPr="003E01A1">
        <w:rPr>
          <w:rFonts w:ascii="Arial" w:hAnsi="Arial" w:cs="Arial"/>
          <w:sz w:val="22"/>
          <w:szCs w:val="22"/>
        </w:rPr>
        <w:t xml:space="preserve"> values. For example, inclusive recruitment policies may be ineffective if biased management decisions continue. Managers must therefore act as role models and promote inclusive </w:t>
      </w:r>
      <w:r w:rsidR="00E21CA9" w:rsidRPr="003E01A1">
        <w:rPr>
          <w:rFonts w:ascii="Arial" w:hAnsi="Arial" w:cs="Arial"/>
          <w:sz w:val="22"/>
          <w:szCs w:val="22"/>
        </w:rPr>
        <w:t>behaviors</w:t>
      </w:r>
      <w:r w:rsidRPr="003E01A1">
        <w:rPr>
          <w:rFonts w:ascii="Arial" w:hAnsi="Arial" w:cs="Arial"/>
          <w:sz w:val="22"/>
          <w:szCs w:val="22"/>
        </w:rPr>
        <w:t xml:space="preserve"> (Schein and Schein, 2021).</w:t>
      </w:r>
    </w:p>
    <w:p w14:paraId="100C0D1E" w14:textId="77777777" w:rsidR="003E01A1" w:rsidRPr="003E01A1" w:rsidRDefault="003E01A1" w:rsidP="003E01A1">
      <w:pPr>
        <w:pStyle w:val="isselectedend"/>
        <w:spacing w:line="276" w:lineRule="auto"/>
        <w:rPr>
          <w:rFonts w:ascii="Arial" w:hAnsi="Arial" w:cs="Arial"/>
          <w:sz w:val="22"/>
          <w:szCs w:val="22"/>
        </w:rPr>
      </w:pPr>
      <w:r>
        <w:rPr>
          <w:rFonts w:ascii="Arial" w:hAnsi="Arial" w:cs="Arial"/>
          <w:sz w:val="22"/>
          <w:szCs w:val="22"/>
        </w:rPr>
        <w:lastRenderedPageBreak/>
        <w:tab/>
      </w:r>
      <w:r w:rsidRPr="003E01A1">
        <w:rPr>
          <w:rFonts w:ascii="Arial" w:hAnsi="Arial" w:cs="Arial"/>
          <w:sz w:val="22"/>
          <w:szCs w:val="22"/>
        </w:rPr>
        <w:t>Despite the advantages of contemporary HR practices, barriers such as resistance to change, limited resources, insufficient managerial skills, and concerns about job security may slow implementation. To overcome these barriers, M&amp;S should invest in training, involve employees in decision-making, and provide support throughout the transition process.</w:t>
      </w:r>
    </w:p>
    <w:p w14:paraId="395FEC93" w14:textId="581873CF" w:rsidR="000F2378" w:rsidRDefault="003E01A1" w:rsidP="00445661">
      <w:pPr>
        <w:pStyle w:val="NormalWeb"/>
        <w:spacing w:line="276" w:lineRule="auto"/>
        <w:rPr>
          <w:rFonts w:ascii="Arial" w:hAnsi="Arial" w:cs="Arial"/>
          <w:sz w:val="22"/>
          <w:szCs w:val="22"/>
        </w:rPr>
      </w:pPr>
      <w:r>
        <w:rPr>
          <w:rFonts w:ascii="Arial" w:hAnsi="Arial" w:cs="Arial"/>
          <w:sz w:val="22"/>
          <w:szCs w:val="22"/>
        </w:rPr>
        <w:tab/>
      </w:r>
      <w:r w:rsidRPr="003E01A1">
        <w:rPr>
          <w:rFonts w:ascii="Arial" w:hAnsi="Arial" w:cs="Arial"/>
          <w:sz w:val="22"/>
          <w:szCs w:val="22"/>
        </w:rPr>
        <w:t xml:space="preserve">Departmental managers play a crucial role in ensuring HR practices are implemented successfully. M&amp;S should strengthen managerial capability, improve accountability systems, and promote a culture where technology, employee development, and inclusion are viewed as shared </w:t>
      </w:r>
      <w:r w:rsidR="003B5741" w:rsidRPr="003E01A1">
        <w:rPr>
          <w:rFonts w:ascii="Arial" w:hAnsi="Arial" w:cs="Arial"/>
          <w:sz w:val="22"/>
          <w:szCs w:val="22"/>
        </w:rPr>
        <w:t>organizational</w:t>
      </w:r>
      <w:r w:rsidRPr="003E01A1">
        <w:rPr>
          <w:rFonts w:ascii="Arial" w:hAnsi="Arial" w:cs="Arial"/>
          <w:sz w:val="22"/>
          <w:szCs w:val="22"/>
        </w:rPr>
        <w:t xml:space="preserve"> responsibilities.</w:t>
      </w:r>
    </w:p>
    <w:p w14:paraId="3003917B" w14:textId="77777777" w:rsidR="00485944" w:rsidRDefault="00485944" w:rsidP="00445661">
      <w:pPr>
        <w:pStyle w:val="NormalWeb"/>
        <w:spacing w:line="276" w:lineRule="auto"/>
        <w:rPr>
          <w:rFonts w:ascii="Arial" w:hAnsi="Arial" w:cs="Arial"/>
          <w:sz w:val="22"/>
          <w:szCs w:val="22"/>
        </w:rPr>
      </w:pPr>
    </w:p>
    <w:p w14:paraId="13F0D981" w14:textId="77777777" w:rsidR="00485944" w:rsidRDefault="00485944" w:rsidP="00445661">
      <w:pPr>
        <w:pStyle w:val="NormalWeb"/>
        <w:spacing w:line="276" w:lineRule="auto"/>
        <w:rPr>
          <w:rFonts w:ascii="Arial" w:hAnsi="Arial" w:cs="Arial"/>
          <w:sz w:val="22"/>
          <w:szCs w:val="22"/>
        </w:rPr>
      </w:pPr>
    </w:p>
    <w:p w14:paraId="19D4D7B9" w14:textId="77777777" w:rsidR="00485944" w:rsidRDefault="00485944" w:rsidP="00445661">
      <w:pPr>
        <w:pStyle w:val="NormalWeb"/>
        <w:spacing w:line="276" w:lineRule="auto"/>
        <w:rPr>
          <w:rFonts w:ascii="Arial" w:hAnsi="Arial" w:cs="Arial"/>
          <w:sz w:val="22"/>
          <w:szCs w:val="22"/>
        </w:rPr>
      </w:pPr>
    </w:p>
    <w:p w14:paraId="15648DFB" w14:textId="77777777" w:rsidR="00485944" w:rsidRDefault="00485944" w:rsidP="00445661">
      <w:pPr>
        <w:pStyle w:val="NormalWeb"/>
        <w:spacing w:line="276" w:lineRule="auto"/>
        <w:rPr>
          <w:rFonts w:ascii="Arial" w:hAnsi="Arial" w:cs="Arial"/>
          <w:sz w:val="22"/>
          <w:szCs w:val="22"/>
        </w:rPr>
      </w:pPr>
    </w:p>
    <w:p w14:paraId="4DA78B62" w14:textId="77777777" w:rsidR="00485944" w:rsidRDefault="00485944" w:rsidP="00445661">
      <w:pPr>
        <w:pStyle w:val="NormalWeb"/>
        <w:spacing w:line="276" w:lineRule="auto"/>
        <w:rPr>
          <w:rFonts w:ascii="Arial" w:hAnsi="Arial" w:cs="Arial"/>
          <w:sz w:val="22"/>
          <w:szCs w:val="22"/>
        </w:rPr>
      </w:pPr>
    </w:p>
    <w:p w14:paraId="2F9B0718" w14:textId="77777777" w:rsidR="00485944" w:rsidRDefault="00485944" w:rsidP="00445661">
      <w:pPr>
        <w:pStyle w:val="NormalWeb"/>
        <w:spacing w:line="276" w:lineRule="auto"/>
        <w:rPr>
          <w:rFonts w:ascii="Arial" w:hAnsi="Arial" w:cs="Arial"/>
          <w:sz w:val="22"/>
          <w:szCs w:val="22"/>
        </w:rPr>
      </w:pPr>
    </w:p>
    <w:p w14:paraId="696BEB0C" w14:textId="77777777" w:rsidR="00485944" w:rsidRDefault="00485944" w:rsidP="00445661">
      <w:pPr>
        <w:pStyle w:val="NormalWeb"/>
        <w:spacing w:line="276" w:lineRule="auto"/>
        <w:rPr>
          <w:rFonts w:ascii="Arial" w:hAnsi="Arial" w:cs="Arial"/>
          <w:sz w:val="22"/>
          <w:szCs w:val="22"/>
        </w:rPr>
      </w:pPr>
    </w:p>
    <w:p w14:paraId="6C252890" w14:textId="77777777" w:rsidR="00485944" w:rsidRDefault="00485944" w:rsidP="00445661">
      <w:pPr>
        <w:pStyle w:val="NormalWeb"/>
        <w:spacing w:line="276" w:lineRule="auto"/>
        <w:rPr>
          <w:rFonts w:ascii="Arial" w:hAnsi="Arial" w:cs="Arial"/>
          <w:sz w:val="22"/>
          <w:szCs w:val="22"/>
        </w:rPr>
      </w:pPr>
    </w:p>
    <w:p w14:paraId="68920A28" w14:textId="77777777" w:rsidR="00485944" w:rsidRDefault="00485944" w:rsidP="00445661">
      <w:pPr>
        <w:pStyle w:val="NormalWeb"/>
        <w:spacing w:line="276" w:lineRule="auto"/>
        <w:rPr>
          <w:rFonts w:ascii="Arial" w:hAnsi="Arial" w:cs="Arial"/>
          <w:sz w:val="22"/>
          <w:szCs w:val="22"/>
        </w:rPr>
      </w:pPr>
    </w:p>
    <w:p w14:paraId="459C854F" w14:textId="77777777" w:rsidR="00485944" w:rsidRDefault="00485944" w:rsidP="00445661">
      <w:pPr>
        <w:pStyle w:val="NormalWeb"/>
        <w:spacing w:line="276" w:lineRule="auto"/>
        <w:rPr>
          <w:rFonts w:ascii="Arial" w:hAnsi="Arial" w:cs="Arial"/>
          <w:sz w:val="22"/>
          <w:szCs w:val="22"/>
        </w:rPr>
      </w:pPr>
    </w:p>
    <w:p w14:paraId="20B30D4E" w14:textId="77777777" w:rsidR="00485944" w:rsidRDefault="00485944" w:rsidP="00445661">
      <w:pPr>
        <w:pStyle w:val="NormalWeb"/>
        <w:spacing w:line="276" w:lineRule="auto"/>
        <w:rPr>
          <w:rFonts w:ascii="Arial" w:hAnsi="Arial" w:cs="Arial"/>
          <w:sz w:val="22"/>
          <w:szCs w:val="22"/>
        </w:rPr>
      </w:pPr>
    </w:p>
    <w:p w14:paraId="10122881" w14:textId="77777777" w:rsidR="00485944" w:rsidRDefault="00485944" w:rsidP="00445661">
      <w:pPr>
        <w:pStyle w:val="NormalWeb"/>
        <w:spacing w:line="276" w:lineRule="auto"/>
        <w:rPr>
          <w:rFonts w:ascii="Arial" w:hAnsi="Arial" w:cs="Arial"/>
          <w:sz w:val="22"/>
          <w:szCs w:val="22"/>
        </w:rPr>
      </w:pPr>
    </w:p>
    <w:p w14:paraId="23A89510" w14:textId="77777777" w:rsidR="00485944" w:rsidRDefault="00485944" w:rsidP="00445661">
      <w:pPr>
        <w:pStyle w:val="NormalWeb"/>
        <w:spacing w:line="276" w:lineRule="auto"/>
        <w:rPr>
          <w:rFonts w:ascii="Arial" w:hAnsi="Arial" w:cs="Arial"/>
          <w:sz w:val="22"/>
          <w:szCs w:val="22"/>
        </w:rPr>
      </w:pPr>
    </w:p>
    <w:p w14:paraId="156B4322" w14:textId="77777777" w:rsidR="00485944" w:rsidRDefault="00485944" w:rsidP="00445661">
      <w:pPr>
        <w:pStyle w:val="NormalWeb"/>
        <w:spacing w:line="276" w:lineRule="auto"/>
        <w:rPr>
          <w:rFonts w:ascii="Arial" w:hAnsi="Arial" w:cs="Arial"/>
          <w:sz w:val="22"/>
          <w:szCs w:val="22"/>
        </w:rPr>
      </w:pPr>
    </w:p>
    <w:p w14:paraId="4EFB2B4B" w14:textId="77777777" w:rsidR="00485944" w:rsidRDefault="00485944" w:rsidP="00445661">
      <w:pPr>
        <w:pStyle w:val="NormalWeb"/>
        <w:spacing w:line="276" w:lineRule="auto"/>
        <w:rPr>
          <w:rFonts w:ascii="Arial" w:hAnsi="Arial" w:cs="Arial"/>
          <w:sz w:val="22"/>
          <w:szCs w:val="22"/>
        </w:rPr>
      </w:pPr>
    </w:p>
    <w:p w14:paraId="14B8C214" w14:textId="77777777" w:rsidR="00485944" w:rsidRPr="004309F7" w:rsidRDefault="00485944" w:rsidP="00445661">
      <w:pPr>
        <w:pStyle w:val="NormalWeb"/>
        <w:spacing w:line="276" w:lineRule="auto"/>
        <w:rPr>
          <w:rFonts w:ascii="Arial" w:hAnsi="Arial" w:cs="Arial"/>
          <w:sz w:val="22"/>
          <w:szCs w:val="22"/>
        </w:rPr>
      </w:pPr>
    </w:p>
    <w:p w14:paraId="0EFA26FA" w14:textId="77777777" w:rsidR="003A20A3" w:rsidRPr="00C47C85" w:rsidRDefault="003A20A3" w:rsidP="000F2378">
      <w:pPr>
        <w:pStyle w:val="isselectedend"/>
        <w:spacing w:line="276" w:lineRule="auto"/>
        <w:rPr>
          <w:rFonts w:ascii="Arial" w:hAnsi="Arial" w:cs="Arial"/>
          <w:sz w:val="22"/>
          <w:szCs w:val="22"/>
        </w:rPr>
      </w:pPr>
    </w:p>
    <w:p w14:paraId="2DB5F0A8" w14:textId="77777777" w:rsidR="006716E8" w:rsidRPr="00C47C85" w:rsidRDefault="006716E8" w:rsidP="00C47C85">
      <w:pPr>
        <w:pStyle w:val="Heading2"/>
        <w:numPr>
          <w:ilvl w:val="0"/>
          <w:numId w:val="1"/>
        </w:numPr>
        <w:spacing w:line="276" w:lineRule="auto"/>
        <w:rPr>
          <w:rFonts w:ascii="Arial" w:hAnsi="Arial" w:cs="Arial"/>
          <w:sz w:val="32"/>
          <w:szCs w:val="32"/>
        </w:rPr>
      </w:pPr>
      <w:bookmarkStart w:id="12" w:name="_Toc235052194"/>
      <w:r w:rsidRPr="00C47C85">
        <w:rPr>
          <w:rFonts w:ascii="Arial" w:hAnsi="Arial" w:cs="Arial"/>
          <w:sz w:val="32"/>
          <w:szCs w:val="32"/>
        </w:rPr>
        <w:lastRenderedPageBreak/>
        <w:t>Conclusion and Recommendations</w:t>
      </w:r>
      <w:bookmarkEnd w:id="12"/>
    </w:p>
    <w:p w14:paraId="37DE1A79" w14:textId="77777777" w:rsidR="006716E8" w:rsidRPr="00C47C85" w:rsidRDefault="00EB0D7E" w:rsidP="00C47C85">
      <w:pPr>
        <w:pStyle w:val="Heading3"/>
        <w:spacing w:line="276" w:lineRule="auto"/>
        <w:rPr>
          <w:rFonts w:ascii="Arial" w:hAnsi="Arial" w:cs="Arial"/>
          <w:sz w:val="24"/>
          <w:szCs w:val="24"/>
        </w:rPr>
      </w:pPr>
      <w:bookmarkStart w:id="13" w:name="_Toc234623774"/>
      <w:r>
        <w:rPr>
          <w:rFonts w:ascii="Arial" w:hAnsi="Arial" w:cs="Arial"/>
          <w:sz w:val="24"/>
          <w:szCs w:val="24"/>
        </w:rPr>
        <w:tab/>
      </w:r>
      <w:bookmarkStart w:id="14" w:name="_Toc235052195"/>
      <w:r w:rsidR="006716E8" w:rsidRPr="00C47C85">
        <w:rPr>
          <w:rFonts w:ascii="Arial" w:hAnsi="Arial" w:cs="Arial"/>
          <w:sz w:val="24"/>
          <w:szCs w:val="24"/>
        </w:rPr>
        <w:t>Conclusion</w:t>
      </w:r>
      <w:bookmarkEnd w:id="13"/>
      <w:bookmarkEnd w:id="14"/>
    </w:p>
    <w:p w14:paraId="5EAA6BB2" w14:textId="0245BE67" w:rsidR="00485944" w:rsidRPr="00485944" w:rsidRDefault="003A20A3" w:rsidP="00485944">
      <w:pPr>
        <w:pStyle w:val="isselectedend"/>
        <w:spacing w:line="276" w:lineRule="auto"/>
        <w:rPr>
          <w:rFonts w:ascii="Arial" w:hAnsi="Arial" w:cs="Arial"/>
          <w:sz w:val="22"/>
          <w:szCs w:val="22"/>
        </w:rPr>
      </w:pPr>
      <w:r w:rsidRPr="00485944">
        <w:rPr>
          <w:rFonts w:ascii="Arial" w:hAnsi="Arial" w:cs="Arial"/>
          <w:sz w:val="22"/>
          <w:szCs w:val="22"/>
        </w:rPr>
        <w:tab/>
      </w:r>
      <w:r w:rsidR="00485944" w:rsidRPr="00485944">
        <w:rPr>
          <w:rFonts w:ascii="Arial" w:hAnsi="Arial" w:cs="Arial"/>
          <w:sz w:val="22"/>
          <w:szCs w:val="22"/>
        </w:rPr>
        <w:t xml:space="preserve">This report has examined three key HR challenges affecting Marks &amp; Spencer (M&amp;S): technological advancement, talent acquisition and retention, and diversity, equity, and inclusion (DEI). These challenges are interconnected and significantly influence </w:t>
      </w:r>
      <w:r w:rsidR="003B5741" w:rsidRPr="00485944">
        <w:rPr>
          <w:rFonts w:ascii="Arial" w:hAnsi="Arial" w:cs="Arial"/>
          <w:sz w:val="22"/>
          <w:szCs w:val="22"/>
        </w:rPr>
        <w:t>organizational</w:t>
      </w:r>
      <w:r w:rsidR="00485944" w:rsidRPr="00485944">
        <w:rPr>
          <w:rFonts w:ascii="Arial" w:hAnsi="Arial" w:cs="Arial"/>
          <w:sz w:val="22"/>
          <w:szCs w:val="22"/>
        </w:rPr>
        <w:t xml:space="preserve"> performance, employee engagement, and long-term sustainability.</w:t>
      </w:r>
    </w:p>
    <w:p w14:paraId="4AF28067" w14:textId="2AD77B38" w:rsidR="00485944" w:rsidRPr="00485944" w:rsidRDefault="00485944" w:rsidP="00485944">
      <w:pPr>
        <w:pStyle w:val="isselectedend"/>
        <w:spacing w:line="276" w:lineRule="auto"/>
        <w:rPr>
          <w:rFonts w:ascii="Arial" w:hAnsi="Arial" w:cs="Arial"/>
          <w:sz w:val="22"/>
          <w:szCs w:val="22"/>
        </w:rPr>
      </w:pPr>
      <w:r>
        <w:rPr>
          <w:rFonts w:ascii="Arial" w:hAnsi="Arial" w:cs="Arial"/>
          <w:sz w:val="22"/>
          <w:szCs w:val="22"/>
        </w:rPr>
        <w:tab/>
      </w:r>
      <w:r w:rsidRPr="00485944">
        <w:rPr>
          <w:rFonts w:ascii="Arial" w:hAnsi="Arial" w:cs="Arial"/>
          <w:sz w:val="22"/>
          <w:szCs w:val="22"/>
        </w:rPr>
        <w:t xml:space="preserve">Technological transformation creates opportunities to improve efficiency, while effective talent management and DEI initiatives help </w:t>
      </w:r>
      <w:r w:rsidR="003B5741" w:rsidRPr="00485944">
        <w:rPr>
          <w:rFonts w:ascii="Arial" w:hAnsi="Arial" w:cs="Arial"/>
          <w:sz w:val="22"/>
          <w:szCs w:val="22"/>
        </w:rPr>
        <w:t>organizations</w:t>
      </w:r>
      <w:r w:rsidRPr="00485944">
        <w:rPr>
          <w:rFonts w:ascii="Arial" w:hAnsi="Arial" w:cs="Arial"/>
          <w:sz w:val="22"/>
          <w:szCs w:val="22"/>
        </w:rPr>
        <w:t xml:space="preserve"> attract, retain, and support a skilled and diverse workforce.</w:t>
      </w:r>
    </w:p>
    <w:p w14:paraId="5434C91B" w14:textId="14A250E8" w:rsidR="00485944" w:rsidRPr="00485944" w:rsidRDefault="00485944" w:rsidP="00485944">
      <w:pPr>
        <w:pStyle w:val="NormalWeb"/>
        <w:spacing w:line="276" w:lineRule="auto"/>
        <w:rPr>
          <w:rFonts w:ascii="Arial" w:hAnsi="Arial" w:cs="Arial"/>
          <w:sz w:val="22"/>
          <w:szCs w:val="22"/>
        </w:rPr>
      </w:pPr>
      <w:r>
        <w:rPr>
          <w:rFonts w:ascii="Arial" w:hAnsi="Arial" w:cs="Arial"/>
          <w:sz w:val="22"/>
          <w:szCs w:val="22"/>
        </w:rPr>
        <w:tab/>
      </w:r>
      <w:r w:rsidRPr="00485944">
        <w:rPr>
          <w:rFonts w:ascii="Arial" w:hAnsi="Arial" w:cs="Arial"/>
          <w:sz w:val="22"/>
          <w:szCs w:val="22"/>
        </w:rPr>
        <w:t xml:space="preserve">Contemporary HR practices, including workforce analytics, strategic workforce planning, employee engagement, and inclusive recruitment, can address these challenges. However, their success depends on effective managerial implementation through leadership accountability, clear communication, performance monitoring, and a supportive </w:t>
      </w:r>
      <w:r w:rsidR="003B5741" w:rsidRPr="00485944">
        <w:rPr>
          <w:rFonts w:ascii="Arial" w:hAnsi="Arial" w:cs="Arial"/>
          <w:sz w:val="22"/>
          <w:szCs w:val="22"/>
        </w:rPr>
        <w:t>organizational</w:t>
      </w:r>
      <w:r w:rsidRPr="00485944">
        <w:rPr>
          <w:rFonts w:ascii="Arial" w:hAnsi="Arial" w:cs="Arial"/>
          <w:sz w:val="22"/>
          <w:szCs w:val="22"/>
        </w:rPr>
        <w:t xml:space="preserve"> culture.</w:t>
      </w:r>
    </w:p>
    <w:p w14:paraId="0813FAE9" w14:textId="77777777" w:rsidR="005548B1" w:rsidRDefault="005548B1" w:rsidP="00485944">
      <w:pPr>
        <w:pStyle w:val="isselectedend"/>
        <w:spacing w:line="276" w:lineRule="auto"/>
        <w:rPr>
          <w:rFonts w:ascii="Arial" w:hAnsi="Arial" w:cs="Arial"/>
          <w:sz w:val="22"/>
          <w:szCs w:val="22"/>
        </w:rPr>
      </w:pPr>
    </w:p>
    <w:p w14:paraId="018D77EB" w14:textId="77777777" w:rsidR="006716E8" w:rsidRPr="00C47C85" w:rsidRDefault="00485944" w:rsidP="00C47C85">
      <w:pPr>
        <w:pStyle w:val="Heading3"/>
        <w:spacing w:line="276" w:lineRule="auto"/>
        <w:rPr>
          <w:rFonts w:ascii="Arial" w:hAnsi="Arial" w:cs="Arial"/>
          <w:sz w:val="24"/>
          <w:szCs w:val="24"/>
        </w:rPr>
      </w:pPr>
      <w:bookmarkStart w:id="15" w:name="_Toc234623775"/>
      <w:bookmarkStart w:id="16" w:name="_Toc235052196"/>
      <w:r>
        <w:rPr>
          <w:rFonts w:ascii="Arial" w:hAnsi="Arial" w:cs="Arial"/>
          <w:b w:val="0"/>
          <w:bCs w:val="0"/>
          <w:sz w:val="22"/>
          <w:szCs w:val="22"/>
        </w:rPr>
        <w:tab/>
      </w:r>
      <w:r w:rsidR="006716E8" w:rsidRPr="00C47C85">
        <w:rPr>
          <w:rFonts w:ascii="Arial" w:hAnsi="Arial" w:cs="Arial"/>
          <w:sz w:val="24"/>
          <w:szCs w:val="24"/>
        </w:rPr>
        <w:t>Recommendations</w:t>
      </w:r>
      <w:bookmarkEnd w:id="15"/>
      <w:bookmarkEnd w:id="16"/>
    </w:p>
    <w:p w14:paraId="2B3E197C" w14:textId="42B7CAF0" w:rsidR="006716E8"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6716E8" w:rsidRPr="00C47C85">
        <w:rPr>
          <w:rFonts w:ascii="Arial" w:hAnsi="Arial" w:cs="Arial"/>
          <w:sz w:val="22"/>
          <w:szCs w:val="22"/>
        </w:rPr>
        <w:t xml:space="preserve">Based on the analysis, several recommendations can be made for M&amp;S. Firstly, the </w:t>
      </w:r>
      <w:r w:rsidR="003B5741" w:rsidRPr="00C47C85">
        <w:rPr>
          <w:rFonts w:ascii="Arial" w:hAnsi="Arial" w:cs="Arial"/>
          <w:sz w:val="22"/>
          <w:szCs w:val="22"/>
        </w:rPr>
        <w:t>organization</w:t>
      </w:r>
      <w:r w:rsidR="006716E8" w:rsidRPr="00C47C85">
        <w:rPr>
          <w:rFonts w:ascii="Arial" w:hAnsi="Arial" w:cs="Arial"/>
          <w:sz w:val="22"/>
          <w:szCs w:val="22"/>
        </w:rPr>
        <w:t xml:space="preserve"> should continue investing in digital skills training to ensure employees are prepared for technological changes. Providing continuous learning opportunities would reduce resistance to change and improve employee confidence.</w:t>
      </w:r>
    </w:p>
    <w:p w14:paraId="08647CD9" w14:textId="02BB2B2B" w:rsidR="006716E8"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6716E8" w:rsidRPr="00C47C85">
        <w:rPr>
          <w:rFonts w:ascii="Arial" w:hAnsi="Arial" w:cs="Arial"/>
          <w:sz w:val="22"/>
          <w:szCs w:val="22"/>
        </w:rPr>
        <w:t xml:space="preserve">Secondly, M&amp;S should strengthen its employee retention strategy by focusing on career development, internal progression opportunities, and regular engagement measurement. </w:t>
      </w:r>
      <w:r>
        <w:rPr>
          <w:rFonts w:ascii="Arial" w:hAnsi="Arial" w:cs="Arial"/>
          <w:sz w:val="22"/>
          <w:szCs w:val="22"/>
        </w:rPr>
        <w:tab/>
      </w:r>
      <w:r w:rsidR="006716E8" w:rsidRPr="00C47C85">
        <w:rPr>
          <w:rFonts w:ascii="Arial" w:hAnsi="Arial" w:cs="Arial"/>
          <w:sz w:val="22"/>
          <w:szCs w:val="22"/>
        </w:rPr>
        <w:t xml:space="preserve">Employees are more likely to remain with </w:t>
      </w:r>
      <w:r w:rsidR="003B5741" w:rsidRPr="00C47C85">
        <w:rPr>
          <w:rFonts w:ascii="Arial" w:hAnsi="Arial" w:cs="Arial"/>
          <w:sz w:val="22"/>
          <w:szCs w:val="22"/>
        </w:rPr>
        <w:t>organizations</w:t>
      </w:r>
      <w:r w:rsidR="006716E8" w:rsidRPr="00C47C85">
        <w:rPr>
          <w:rFonts w:ascii="Arial" w:hAnsi="Arial" w:cs="Arial"/>
          <w:sz w:val="22"/>
          <w:szCs w:val="22"/>
        </w:rPr>
        <w:t xml:space="preserve"> where they perceive opportunities for personal and professional growth.</w:t>
      </w:r>
    </w:p>
    <w:p w14:paraId="121644CC" w14:textId="77777777" w:rsidR="006716E8" w:rsidRPr="00C47C85" w:rsidRDefault="003A20A3" w:rsidP="00C47C85">
      <w:pPr>
        <w:pStyle w:val="isselectedend"/>
        <w:spacing w:line="276" w:lineRule="auto"/>
        <w:rPr>
          <w:rFonts w:ascii="Arial" w:hAnsi="Arial" w:cs="Arial"/>
          <w:sz w:val="22"/>
          <w:szCs w:val="22"/>
        </w:rPr>
      </w:pPr>
      <w:r>
        <w:rPr>
          <w:rFonts w:ascii="Arial" w:hAnsi="Arial" w:cs="Arial"/>
          <w:sz w:val="22"/>
          <w:szCs w:val="22"/>
        </w:rPr>
        <w:tab/>
      </w:r>
      <w:r w:rsidR="006716E8" w:rsidRPr="00C47C85">
        <w:rPr>
          <w:rFonts w:ascii="Arial" w:hAnsi="Arial" w:cs="Arial"/>
          <w:sz w:val="22"/>
          <w:szCs w:val="22"/>
        </w:rPr>
        <w:t>Finally, M&amp;S should ensure that DEI initiatives are supported by measurable objectives and managerial accountability. Rather than treating diversity as a separate HR activity, inclusion should become embedded within everyday management practices. Regular monitoring, leadership training, and employee feedback mechanisms would help ensure that DEI commitments create genuine cultural improvement.</w:t>
      </w:r>
    </w:p>
    <w:p w14:paraId="7B5A0B87" w14:textId="77777777" w:rsidR="006716E8" w:rsidRDefault="003A20A3" w:rsidP="00C47C85">
      <w:pPr>
        <w:pStyle w:val="NormalWeb"/>
        <w:spacing w:line="276" w:lineRule="auto"/>
        <w:rPr>
          <w:rFonts w:ascii="Arial" w:hAnsi="Arial" w:cs="Arial"/>
          <w:sz w:val="22"/>
          <w:szCs w:val="22"/>
        </w:rPr>
      </w:pPr>
      <w:r>
        <w:rPr>
          <w:rFonts w:ascii="Arial" w:hAnsi="Arial" w:cs="Arial"/>
          <w:sz w:val="22"/>
          <w:szCs w:val="22"/>
        </w:rPr>
        <w:tab/>
      </w:r>
      <w:r w:rsidR="006716E8" w:rsidRPr="00C47C85">
        <w:rPr>
          <w:rFonts w:ascii="Arial" w:hAnsi="Arial" w:cs="Arial"/>
          <w:sz w:val="22"/>
          <w:szCs w:val="22"/>
        </w:rPr>
        <w:t>By implementing these recommendations, M&amp;S can strengthen its HR strategy, improve employee experiences, and maintain a competitive position within the changing UK retail environment.</w:t>
      </w:r>
    </w:p>
    <w:p w14:paraId="5E16A17E" w14:textId="4EC3C2AC" w:rsidR="00C83DEC" w:rsidRPr="00C47C85" w:rsidRDefault="00C83DEC" w:rsidP="00C47C85">
      <w:pPr>
        <w:pStyle w:val="NormalWeb"/>
        <w:spacing w:line="276" w:lineRule="auto"/>
        <w:rPr>
          <w:rFonts w:ascii="Arial" w:hAnsi="Arial" w:cs="Arial"/>
          <w:sz w:val="22"/>
          <w:szCs w:val="22"/>
        </w:rPr>
      </w:pPr>
    </w:p>
    <w:p w14:paraId="48793231" w14:textId="77777777" w:rsidR="006716E8" w:rsidRDefault="006716E8"/>
    <w:p w14:paraId="6C87527F" w14:textId="77777777" w:rsidR="006716E8" w:rsidRDefault="006716E8" w:rsidP="006716E8">
      <w:pPr>
        <w:pStyle w:val="Heading2"/>
      </w:pPr>
      <w:bookmarkStart w:id="17" w:name="_Toc235052197"/>
      <w:r>
        <w:t>References</w:t>
      </w:r>
      <w:bookmarkEnd w:id="17"/>
      <w:r>
        <w:t xml:space="preserve"> </w:t>
      </w:r>
    </w:p>
    <w:p w14:paraId="1E74C408" w14:textId="30CF496A" w:rsidR="006716E8" w:rsidRDefault="006716E8" w:rsidP="006716E8">
      <w:pPr>
        <w:pStyle w:val="NormalWeb"/>
      </w:pPr>
      <w:r>
        <w:t xml:space="preserve">Armstrong, M. and Taylor, S. (2023) </w:t>
      </w:r>
      <w:r>
        <w:rPr>
          <w:rStyle w:val="Emphasis"/>
        </w:rPr>
        <w:t>Armstrong’s Handbook of Human Resource Management Practice</w:t>
      </w:r>
      <w:r>
        <w:t xml:space="preserve">. 16th </w:t>
      </w:r>
      <w:r w:rsidR="003B5741">
        <w:t>end</w:t>
      </w:r>
      <w:r>
        <w:t>. London: Kogan Page.</w:t>
      </w:r>
    </w:p>
    <w:p w14:paraId="00911DFC" w14:textId="77777777" w:rsidR="006716E8" w:rsidRDefault="006716E8" w:rsidP="006716E8">
      <w:pPr>
        <w:pStyle w:val="NormalWeb"/>
      </w:pPr>
      <w:r>
        <w:t xml:space="preserve">Chartered Institute of Personnel and Development (CIPD) (2023) </w:t>
      </w:r>
      <w:r>
        <w:rPr>
          <w:rStyle w:val="Emphasis"/>
        </w:rPr>
        <w:t>People Profession 2030: A collective view of future trends</w:t>
      </w:r>
      <w:r>
        <w:t xml:space="preserve">. Available at: </w:t>
      </w:r>
      <w:hyperlink r:id="rId14" w:tgtFrame="_new" w:history="1">
        <w:r>
          <w:rPr>
            <w:rStyle w:val="Hyperlink"/>
          </w:rPr>
          <w:t>https://www.cipd.org/</w:t>
        </w:r>
      </w:hyperlink>
      <w:r>
        <w:t xml:space="preserve"> (Accessed: 11 July 2026).</w:t>
      </w:r>
    </w:p>
    <w:p w14:paraId="5A37ED11" w14:textId="77777777" w:rsidR="006716E8" w:rsidRDefault="006716E8" w:rsidP="006716E8">
      <w:pPr>
        <w:pStyle w:val="NormalWeb"/>
      </w:pPr>
      <w:r>
        <w:t xml:space="preserve">Kotter, J.P. (1996) </w:t>
      </w:r>
      <w:r>
        <w:rPr>
          <w:rStyle w:val="Emphasis"/>
        </w:rPr>
        <w:t>Leading Change</w:t>
      </w:r>
      <w:r>
        <w:t>. Boston: Harvard Business School Press.</w:t>
      </w:r>
    </w:p>
    <w:p w14:paraId="2E8E7893" w14:textId="77777777" w:rsidR="006716E8" w:rsidRDefault="006716E8" w:rsidP="006716E8">
      <w:pPr>
        <w:pStyle w:val="NormalWeb"/>
      </w:pPr>
      <w:r>
        <w:t xml:space="preserve">Marler, J.H. and Boudreau, J.W. (2017) ‘An evidence-based review of HR Analytics’, </w:t>
      </w:r>
      <w:r>
        <w:rPr>
          <w:rStyle w:val="Emphasis"/>
        </w:rPr>
        <w:t>The International Journal of Human Resource Management</w:t>
      </w:r>
      <w:r>
        <w:t xml:space="preserve"> </w:t>
      </w:r>
    </w:p>
    <w:p w14:paraId="2AB464B6" w14:textId="77777777" w:rsidR="006716E8" w:rsidRDefault="006716E8" w:rsidP="006716E8">
      <w:pPr>
        <w:pStyle w:val="NormalWeb"/>
      </w:pPr>
      <w:r>
        <w:t xml:space="preserve">Marks and Spencer Group plc (2024) </w:t>
      </w:r>
      <w:r>
        <w:rPr>
          <w:rStyle w:val="Emphasis"/>
        </w:rPr>
        <w:t>Annual Report and Financial Statements 2024</w:t>
      </w:r>
      <w:r>
        <w:t xml:space="preserve">. Available at: </w:t>
      </w:r>
      <w:hyperlink r:id="rId15" w:tgtFrame="_new" w:history="1">
        <w:r>
          <w:rPr>
            <w:rStyle w:val="Hyperlink"/>
          </w:rPr>
          <w:t>https://corporate.marksandspencer.com/</w:t>
        </w:r>
      </w:hyperlink>
      <w:r>
        <w:t xml:space="preserve"> (Accessed: 11 July 2026).</w:t>
      </w:r>
    </w:p>
    <w:p w14:paraId="658874A1" w14:textId="77777777" w:rsidR="006716E8" w:rsidRDefault="006716E8" w:rsidP="006716E8">
      <w:pPr>
        <w:pStyle w:val="NormalWeb"/>
      </w:pPr>
      <w:r>
        <w:t xml:space="preserve">Shore, L.M., Randel, A.E., Chung, B.G., Dean, M.A., Ehrhart, K.H. and Singh, G. (2011) ‘Inclusion and diversity in work groups: A review and model for future research’, </w:t>
      </w:r>
      <w:r>
        <w:rPr>
          <w:rStyle w:val="Emphasis"/>
        </w:rPr>
        <w:t>Journal of Management</w:t>
      </w:r>
    </w:p>
    <w:p w14:paraId="3EEF2E83" w14:textId="77777777" w:rsidR="006716E8" w:rsidRDefault="006716E8" w:rsidP="006716E8">
      <w:pPr>
        <w:pStyle w:val="NormalWeb"/>
      </w:pPr>
      <w:r>
        <w:t xml:space="preserve">Tarique, I. and Schuler, R.S. (2010) ‘Global talent management: Literature review, integrative framework, and suggestions for further research’, </w:t>
      </w:r>
      <w:r>
        <w:rPr>
          <w:rStyle w:val="Emphasis"/>
        </w:rPr>
        <w:t>Journal of World Business</w:t>
      </w:r>
      <w:r>
        <w:t>.</w:t>
      </w:r>
    </w:p>
    <w:p w14:paraId="78D83240" w14:textId="77777777" w:rsidR="00912357" w:rsidRDefault="000E1FE5">
      <w:pPr>
        <w:rPr>
          <w:rFonts w:ascii="Times New Roman" w:hAnsi="Times New Roman" w:cs="Times New Roman"/>
          <w:sz w:val="24"/>
          <w:szCs w:val="24"/>
        </w:rPr>
      </w:pPr>
      <w:r w:rsidRPr="000E1FE5">
        <w:rPr>
          <w:rFonts w:ascii="Times New Roman" w:hAnsi="Times New Roman" w:cs="Times New Roman"/>
          <w:sz w:val="24"/>
          <w:szCs w:val="24"/>
        </w:rPr>
        <w:t xml:space="preserve">Boxall, P. and Purcell, J. (2022) </w:t>
      </w:r>
      <w:r w:rsidRPr="000E1FE5">
        <w:rPr>
          <w:rStyle w:val="Emphasis"/>
          <w:rFonts w:ascii="Times New Roman" w:hAnsi="Times New Roman" w:cs="Times New Roman"/>
          <w:sz w:val="24"/>
          <w:szCs w:val="24"/>
        </w:rPr>
        <w:t>Strategy and Human Resource Management</w:t>
      </w:r>
      <w:r w:rsidRPr="000E1FE5">
        <w:rPr>
          <w:rFonts w:ascii="Times New Roman" w:hAnsi="Times New Roman" w:cs="Times New Roman"/>
          <w:sz w:val="24"/>
          <w:szCs w:val="24"/>
        </w:rPr>
        <w:t>.</w:t>
      </w:r>
      <w:r w:rsidR="0063118B">
        <w:rPr>
          <w:rFonts w:ascii="Times New Roman" w:hAnsi="Times New Roman" w:cs="Times New Roman"/>
          <w:sz w:val="24"/>
          <w:szCs w:val="24"/>
        </w:rPr>
        <w:t xml:space="preserve"> </w:t>
      </w:r>
      <w:r w:rsidRPr="000E1FE5">
        <w:rPr>
          <w:rFonts w:ascii="Times New Roman" w:hAnsi="Times New Roman" w:cs="Times New Roman"/>
          <w:sz w:val="24"/>
          <w:szCs w:val="24"/>
        </w:rPr>
        <w:t>London: Red Globe Press.</w:t>
      </w:r>
    </w:p>
    <w:p w14:paraId="190CB937" w14:textId="77777777" w:rsidR="004309F7" w:rsidRDefault="007A60F6" w:rsidP="004309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309F7" w:rsidRPr="004309F7">
        <w:rPr>
          <w:rFonts w:ascii="Times New Roman" w:eastAsia="Times New Roman" w:hAnsi="Times New Roman" w:cs="Times New Roman"/>
          <w:bCs/>
          <w:sz w:val="24"/>
          <w:szCs w:val="24"/>
        </w:rPr>
        <w:t>Bratton, J. and Gold, J. (2023)</w:t>
      </w:r>
      <w:r w:rsidR="004309F7" w:rsidRPr="004309F7">
        <w:rPr>
          <w:rFonts w:ascii="Times New Roman" w:eastAsia="Times New Roman" w:hAnsi="Times New Roman" w:cs="Times New Roman"/>
          <w:sz w:val="24"/>
          <w:szCs w:val="24"/>
        </w:rPr>
        <w:t xml:space="preserve"> </w:t>
      </w:r>
      <w:r w:rsidR="004309F7" w:rsidRPr="004309F7">
        <w:rPr>
          <w:rFonts w:ascii="Times New Roman" w:eastAsia="Times New Roman" w:hAnsi="Times New Roman" w:cs="Times New Roman"/>
          <w:i/>
          <w:iCs/>
          <w:sz w:val="24"/>
          <w:szCs w:val="24"/>
        </w:rPr>
        <w:t>Human Resource Management: Theory and Practice</w:t>
      </w:r>
      <w:r w:rsidR="004309F7" w:rsidRPr="004309F7">
        <w:rPr>
          <w:rFonts w:ascii="Times New Roman" w:eastAsia="Times New Roman" w:hAnsi="Times New Roman" w:cs="Times New Roman"/>
          <w:sz w:val="24"/>
          <w:szCs w:val="24"/>
        </w:rPr>
        <w:t xml:space="preserve">. London: Red Globe Press. </w:t>
      </w:r>
    </w:p>
    <w:p w14:paraId="182A1F1E" w14:textId="77777777" w:rsidR="004309F7" w:rsidRPr="004309F7" w:rsidRDefault="004309F7" w:rsidP="004309F7">
      <w:pPr>
        <w:spacing w:after="0" w:line="240" w:lineRule="auto"/>
        <w:rPr>
          <w:rFonts w:ascii="Times New Roman" w:eastAsia="Times New Roman" w:hAnsi="Times New Roman" w:cs="Times New Roman"/>
          <w:sz w:val="24"/>
          <w:szCs w:val="24"/>
        </w:rPr>
      </w:pPr>
    </w:p>
    <w:p w14:paraId="22F874DA" w14:textId="77777777" w:rsidR="004309F7" w:rsidRDefault="004309F7" w:rsidP="004309F7">
      <w:pPr>
        <w:rPr>
          <w:rFonts w:ascii="Times New Roman" w:eastAsia="Times New Roman" w:hAnsi="Times New Roman" w:cs="Times New Roman"/>
          <w:sz w:val="24"/>
          <w:szCs w:val="24"/>
        </w:rPr>
      </w:pPr>
      <w:r w:rsidRPr="004309F7">
        <w:rPr>
          <w:rFonts w:ascii="Times New Roman" w:eastAsia="Times New Roman" w:hAnsi="Times New Roman" w:cs="Times New Roman"/>
          <w:sz w:val="24"/>
          <w:szCs w:val="24"/>
        </w:rPr>
        <w:t xml:space="preserve"> </w:t>
      </w:r>
      <w:r w:rsidRPr="004309F7">
        <w:rPr>
          <w:rFonts w:ascii="Times New Roman" w:eastAsia="Times New Roman" w:hAnsi="Times New Roman" w:cs="Times New Roman"/>
          <w:bCs/>
          <w:sz w:val="24"/>
          <w:szCs w:val="24"/>
        </w:rPr>
        <w:t>Schein, E.H. and Schein, P.A. (2021)</w:t>
      </w:r>
      <w:r w:rsidRPr="004309F7">
        <w:rPr>
          <w:rFonts w:ascii="Times New Roman" w:eastAsia="Times New Roman" w:hAnsi="Times New Roman" w:cs="Times New Roman"/>
          <w:sz w:val="24"/>
          <w:szCs w:val="24"/>
        </w:rPr>
        <w:t xml:space="preserve"> </w:t>
      </w:r>
      <w:r w:rsidRPr="004309F7">
        <w:rPr>
          <w:rFonts w:ascii="Times New Roman" w:eastAsia="Times New Roman" w:hAnsi="Times New Roman" w:cs="Times New Roman"/>
          <w:i/>
          <w:iCs/>
          <w:sz w:val="24"/>
          <w:szCs w:val="24"/>
        </w:rPr>
        <w:t>Organizational Culture and Leadership</w:t>
      </w:r>
      <w:r w:rsidRPr="004309F7">
        <w:rPr>
          <w:rFonts w:ascii="Times New Roman" w:eastAsia="Times New Roman" w:hAnsi="Times New Roman" w:cs="Times New Roman"/>
          <w:sz w:val="24"/>
          <w:szCs w:val="24"/>
        </w:rPr>
        <w:t>. Hoboken, NJ: John Wiley &amp; Sons.</w:t>
      </w:r>
    </w:p>
    <w:p w14:paraId="30A79674" w14:textId="77777777" w:rsidR="007E3F67" w:rsidRDefault="00CA2502" w:rsidP="00CA2502">
      <w:pPr>
        <w:spacing w:after="0" w:line="240" w:lineRule="auto"/>
        <w:rPr>
          <w:rFonts w:ascii="Times New Roman" w:eastAsia="Times New Roman" w:hAnsi="Times New Roman" w:cs="Times New Roman"/>
          <w:sz w:val="24"/>
          <w:szCs w:val="24"/>
        </w:rPr>
      </w:pPr>
      <w:r w:rsidRPr="00CA2502">
        <w:rPr>
          <w:rFonts w:ascii="Times New Roman" w:eastAsia="Times New Roman" w:hAnsi="Times New Roman" w:cs="Times New Roman"/>
          <w:sz w:val="24"/>
          <w:szCs w:val="24"/>
        </w:rPr>
        <w:t xml:space="preserve"> </w:t>
      </w:r>
      <w:r w:rsidRPr="00CA2502">
        <w:rPr>
          <w:rFonts w:ascii="Times New Roman" w:eastAsia="Times New Roman" w:hAnsi="Times New Roman" w:cs="Times New Roman"/>
          <w:bCs/>
          <w:sz w:val="24"/>
          <w:szCs w:val="24"/>
        </w:rPr>
        <w:t>Boxall, P. and Purcell, J. (2022)</w:t>
      </w:r>
      <w:r w:rsidRPr="00CA2502">
        <w:rPr>
          <w:rFonts w:ascii="Times New Roman" w:eastAsia="Times New Roman" w:hAnsi="Times New Roman" w:cs="Times New Roman"/>
          <w:sz w:val="24"/>
          <w:szCs w:val="24"/>
        </w:rPr>
        <w:t xml:space="preserve"> </w:t>
      </w:r>
      <w:r w:rsidRPr="00CA2502">
        <w:rPr>
          <w:rFonts w:ascii="Times New Roman" w:eastAsia="Times New Roman" w:hAnsi="Times New Roman" w:cs="Times New Roman"/>
          <w:i/>
          <w:iCs/>
          <w:sz w:val="24"/>
          <w:szCs w:val="24"/>
        </w:rPr>
        <w:t>Strategy and Human Resource Management</w:t>
      </w:r>
      <w:r w:rsidRPr="00CA2502">
        <w:rPr>
          <w:rFonts w:ascii="Times New Roman" w:eastAsia="Times New Roman" w:hAnsi="Times New Roman" w:cs="Times New Roman"/>
          <w:sz w:val="24"/>
          <w:szCs w:val="24"/>
        </w:rPr>
        <w:t xml:space="preserve">. </w:t>
      </w:r>
    </w:p>
    <w:p w14:paraId="2843B004" w14:textId="77777777" w:rsidR="0063118B" w:rsidRPr="00CA2502" w:rsidRDefault="0063118B" w:rsidP="00CA2502">
      <w:pPr>
        <w:spacing w:after="0" w:line="240" w:lineRule="auto"/>
        <w:rPr>
          <w:rFonts w:ascii="Times New Roman" w:eastAsia="Times New Roman" w:hAnsi="Times New Roman" w:cs="Times New Roman"/>
          <w:sz w:val="24"/>
          <w:szCs w:val="24"/>
        </w:rPr>
      </w:pPr>
    </w:p>
    <w:p w14:paraId="47C4550E" w14:textId="7B302941" w:rsidR="00CA2502" w:rsidRDefault="00B23B67" w:rsidP="00CA250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A2502" w:rsidRPr="00CA2502">
        <w:rPr>
          <w:rFonts w:ascii="Times New Roman" w:eastAsia="Times New Roman" w:hAnsi="Times New Roman" w:cs="Times New Roman"/>
          <w:bCs/>
          <w:sz w:val="24"/>
          <w:szCs w:val="24"/>
        </w:rPr>
        <w:t xml:space="preserve">Collings, D.G., Scullion, H. and </w:t>
      </w:r>
      <w:r w:rsidR="003B5741" w:rsidRPr="00CA2502">
        <w:rPr>
          <w:rFonts w:ascii="Times New Roman" w:eastAsia="Times New Roman" w:hAnsi="Times New Roman" w:cs="Times New Roman"/>
          <w:bCs/>
          <w:sz w:val="24"/>
          <w:szCs w:val="24"/>
        </w:rPr>
        <w:t>Vaisman</w:t>
      </w:r>
      <w:r w:rsidR="00CA2502" w:rsidRPr="00CA2502">
        <w:rPr>
          <w:rFonts w:ascii="Times New Roman" w:eastAsia="Times New Roman" w:hAnsi="Times New Roman" w:cs="Times New Roman"/>
          <w:bCs/>
          <w:sz w:val="24"/>
          <w:szCs w:val="24"/>
        </w:rPr>
        <w:t>, V. (2015)</w:t>
      </w:r>
      <w:r w:rsidR="00CA2502" w:rsidRPr="00CA2502">
        <w:rPr>
          <w:rFonts w:ascii="Times New Roman" w:eastAsia="Times New Roman" w:hAnsi="Times New Roman" w:cs="Times New Roman"/>
          <w:sz w:val="24"/>
          <w:szCs w:val="24"/>
        </w:rPr>
        <w:t xml:space="preserve"> ‘Talent management: Progress and prospects’, </w:t>
      </w:r>
      <w:r w:rsidR="00CA2502" w:rsidRPr="00CA2502">
        <w:rPr>
          <w:rFonts w:ascii="Times New Roman" w:eastAsia="Times New Roman" w:hAnsi="Times New Roman" w:cs="Times New Roman"/>
          <w:i/>
          <w:iCs/>
          <w:sz w:val="24"/>
          <w:szCs w:val="24"/>
        </w:rPr>
        <w:t>Human Resource Management Review</w:t>
      </w:r>
      <w:r w:rsidR="007E3F67">
        <w:rPr>
          <w:rFonts w:ascii="Times New Roman" w:eastAsia="Times New Roman" w:hAnsi="Times New Roman" w:cs="Times New Roman"/>
          <w:sz w:val="24"/>
          <w:szCs w:val="24"/>
        </w:rPr>
        <w:t>,</w:t>
      </w:r>
    </w:p>
    <w:p w14:paraId="51FFDE7D" w14:textId="77777777" w:rsidR="007E3F67" w:rsidRPr="00CA2502" w:rsidRDefault="007E3F67" w:rsidP="00CA2502">
      <w:pPr>
        <w:spacing w:after="0" w:line="240" w:lineRule="auto"/>
        <w:rPr>
          <w:rFonts w:ascii="Times New Roman" w:eastAsia="Times New Roman" w:hAnsi="Times New Roman" w:cs="Times New Roman"/>
          <w:sz w:val="24"/>
          <w:szCs w:val="24"/>
        </w:rPr>
      </w:pPr>
    </w:p>
    <w:p w14:paraId="60074A88" w14:textId="77777777" w:rsidR="00CA2502" w:rsidRPr="000E1FE5" w:rsidRDefault="00CA2502" w:rsidP="00CA2502">
      <w:pPr>
        <w:rPr>
          <w:rFonts w:ascii="Times New Roman" w:hAnsi="Times New Roman" w:cs="Times New Roman"/>
          <w:sz w:val="24"/>
          <w:szCs w:val="24"/>
        </w:rPr>
      </w:pPr>
      <w:r w:rsidRPr="00CA2502">
        <w:rPr>
          <w:rFonts w:ascii="Times New Roman" w:eastAsia="Times New Roman" w:hAnsi="Times New Roman" w:cs="Times New Roman"/>
          <w:sz w:val="24"/>
          <w:szCs w:val="24"/>
        </w:rPr>
        <w:t xml:space="preserve"> </w:t>
      </w:r>
      <w:r w:rsidRPr="007E3F67">
        <w:rPr>
          <w:rFonts w:ascii="Times New Roman" w:eastAsia="Times New Roman" w:hAnsi="Times New Roman" w:cs="Times New Roman"/>
          <w:bCs/>
          <w:sz w:val="24"/>
          <w:szCs w:val="24"/>
        </w:rPr>
        <w:t>CIPD (2023)</w:t>
      </w:r>
      <w:r w:rsidRPr="00CA2502">
        <w:rPr>
          <w:rFonts w:ascii="Times New Roman" w:eastAsia="Times New Roman" w:hAnsi="Times New Roman" w:cs="Times New Roman"/>
          <w:sz w:val="24"/>
          <w:szCs w:val="24"/>
        </w:rPr>
        <w:t xml:space="preserve"> </w:t>
      </w:r>
      <w:r w:rsidRPr="00CA2502">
        <w:rPr>
          <w:rFonts w:ascii="Times New Roman" w:eastAsia="Times New Roman" w:hAnsi="Times New Roman" w:cs="Times New Roman"/>
          <w:i/>
          <w:iCs/>
          <w:sz w:val="24"/>
          <w:szCs w:val="24"/>
        </w:rPr>
        <w:t>People Profession 2030: A collective view of future trends</w:t>
      </w:r>
      <w:r w:rsidRPr="00CA2502">
        <w:rPr>
          <w:rFonts w:ascii="Times New Roman" w:eastAsia="Times New Roman" w:hAnsi="Times New Roman" w:cs="Times New Roman"/>
          <w:sz w:val="24"/>
          <w:szCs w:val="24"/>
        </w:rPr>
        <w:t>. Chartered Institute of Personnel and Development.</w:t>
      </w:r>
    </w:p>
    <w:sectPr w:rsidR="00CA2502" w:rsidRPr="000E1FE5" w:rsidSect="00753158">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2F897C" w14:textId="77777777" w:rsidR="00D93819" w:rsidRDefault="00D93819" w:rsidP="00753158">
      <w:pPr>
        <w:spacing w:after="0" w:line="240" w:lineRule="auto"/>
      </w:pPr>
      <w:r>
        <w:separator/>
      </w:r>
    </w:p>
  </w:endnote>
  <w:endnote w:type="continuationSeparator" w:id="0">
    <w:p w14:paraId="5154496C" w14:textId="77777777" w:rsidR="00D93819" w:rsidRDefault="00D93819" w:rsidP="00753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86514969"/>
      <w:docPartObj>
        <w:docPartGallery w:val="Page Numbers (Bottom of Page)"/>
        <w:docPartUnique/>
      </w:docPartObj>
    </w:sdtPr>
    <w:sdtContent>
      <w:p w14:paraId="47DB7233" w14:textId="77777777" w:rsidR="00753158" w:rsidRDefault="00990063">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48B8E465" w14:textId="77777777" w:rsidR="00753158" w:rsidRDefault="00753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186EBE" w14:textId="77777777" w:rsidR="00D93819" w:rsidRDefault="00D93819" w:rsidP="00753158">
      <w:pPr>
        <w:spacing w:after="0" w:line="240" w:lineRule="auto"/>
      </w:pPr>
      <w:r>
        <w:separator/>
      </w:r>
    </w:p>
  </w:footnote>
  <w:footnote w:type="continuationSeparator" w:id="0">
    <w:p w14:paraId="670E5D71" w14:textId="77777777" w:rsidR="00D93819" w:rsidRDefault="00D93819" w:rsidP="00753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49331A9"/>
    <w:multiLevelType w:val="hybridMultilevel"/>
    <w:tmpl w:val="BAD61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B61A2"/>
    <w:multiLevelType w:val="hybridMultilevel"/>
    <w:tmpl w:val="944CA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680580">
    <w:abstractNumId w:val="0"/>
  </w:num>
  <w:num w:numId="2" w16cid:durableId="50398308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E8"/>
    <w:rsid w:val="00011BE2"/>
    <w:rsid w:val="00016EA8"/>
    <w:rsid w:val="000970E6"/>
    <w:rsid w:val="000B4F39"/>
    <w:rsid w:val="000E1FE5"/>
    <w:rsid w:val="000F2378"/>
    <w:rsid w:val="00124B32"/>
    <w:rsid w:val="00135B9A"/>
    <w:rsid w:val="00144C74"/>
    <w:rsid w:val="00185C5B"/>
    <w:rsid w:val="00186AF5"/>
    <w:rsid w:val="001A2F5E"/>
    <w:rsid w:val="00205285"/>
    <w:rsid w:val="0024059E"/>
    <w:rsid w:val="00282F4F"/>
    <w:rsid w:val="002A1A7C"/>
    <w:rsid w:val="002A5F12"/>
    <w:rsid w:val="002D18A8"/>
    <w:rsid w:val="002D6A45"/>
    <w:rsid w:val="00320DDC"/>
    <w:rsid w:val="003226E7"/>
    <w:rsid w:val="00362755"/>
    <w:rsid w:val="00387F63"/>
    <w:rsid w:val="00396183"/>
    <w:rsid w:val="003A20A3"/>
    <w:rsid w:val="003B5741"/>
    <w:rsid w:val="003E01A1"/>
    <w:rsid w:val="004008DE"/>
    <w:rsid w:val="00416B3B"/>
    <w:rsid w:val="004309F7"/>
    <w:rsid w:val="00445661"/>
    <w:rsid w:val="00485944"/>
    <w:rsid w:val="004B7300"/>
    <w:rsid w:val="0050615F"/>
    <w:rsid w:val="00512BDB"/>
    <w:rsid w:val="005548B1"/>
    <w:rsid w:val="005817C2"/>
    <w:rsid w:val="006001C6"/>
    <w:rsid w:val="0063118B"/>
    <w:rsid w:val="006716E8"/>
    <w:rsid w:val="00683DA4"/>
    <w:rsid w:val="006A7006"/>
    <w:rsid w:val="0071042E"/>
    <w:rsid w:val="00753158"/>
    <w:rsid w:val="007A60F6"/>
    <w:rsid w:val="007E3F67"/>
    <w:rsid w:val="007E5422"/>
    <w:rsid w:val="0080551A"/>
    <w:rsid w:val="00852B3E"/>
    <w:rsid w:val="008A13A8"/>
    <w:rsid w:val="009045B8"/>
    <w:rsid w:val="00912357"/>
    <w:rsid w:val="0097059D"/>
    <w:rsid w:val="00990063"/>
    <w:rsid w:val="009B32AA"/>
    <w:rsid w:val="009D7887"/>
    <w:rsid w:val="00A002DC"/>
    <w:rsid w:val="00A0527B"/>
    <w:rsid w:val="00AC6C39"/>
    <w:rsid w:val="00B23B67"/>
    <w:rsid w:val="00B269D8"/>
    <w:rsid w:val="00B44C02"/>
    <w:rsid w:val="00B76711"/>
    <w:rsid w:val="00C109A1"/>
    <w:rsid w:val="00C30F6A"/>
    <w:rsid w:val="00C3347C"/>
    <w:rsid w:val="00C47C85"/>
    <w:rsid w:val="00C74710"/>
    <w:rsid w:val="00C83DEC"/>
    <w:rsid w:val="00CA2502"/>
    <w:rsid w:val="00CC095D"/>
    <w:rsid w:val="00CF583B"/>
    <w:rsid w:val="00D0560E"/>
    <w:rsid w:val="00D20EDF"/>
    <w:rsid w:val="00D93819"/>
    <w:rsid w:val="00D9506F"/>
    <w:rsid w:val="00DD0F00"/>
    <w:rsid w:val="00DD398B"/>
    <w:rsid w:val="00DE0E77"/>
    <w:rsid w:val="00DE3C90"/>
    <w:rsid w:val="00E21CA9"/>
    <w:rsid w:val="00E30613"/>
    <w:rsid w:val="00EB0D7E"/>
    <w:rsid w:val="00EB106A"/>
    <w:rsid w:val="00EC5A1B"/>
    <w:rsid w:val="00EF0E32"/>
    <w:rsid w:val="00EF4FC2"/>
    <w:rsid w:val="00F71545"/>
    <w:rsid w:val="00FB142E"/>
    <w:rsid w:val="00FD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3CD05"/>
  <w15:docId w15:val="{ED5B6893-8F71-7343-994A-4673950E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8A8"/>
  </w:style>
  <w:style w:type="paragraph" w:styleId="Heading1">
    <w:name w:val="heading 1"/>
    <w:basedOn w:val="Normal"/>
    <w:next w:val="Normal"/>
    <w:link w:val="Heading1Char"/>
    <w:uiPriority w:val="9"/>
    <w:qFormat/>
    <w:rsid w:val="00A052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716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716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16E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716E8"/>
    <w:rPr>
      <w:rFonts w:ascii="Times New Roman" w:eastAsia="Times New Roman" w:hAnsi="Times New Roman" w:cs="Times New Roman"/>
      <w:b/>
      <w:bCs/>
      <w:sz w:val="27"/>
      <w:szCs w:val="27"/>
    </w:rPr>
  </w:style>
  <w:style w:type="paragraph" w:customStyle="1" w:styleId="isselectedend">
    <w:name w:val="isselectedend"/>
    <w:basedOn w:val="Normal"/>
    <w:rsid w:val="006716E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716E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16E8"/>
    <w:rPr>
      <w:i/>
      <w:iCs/>
    </w:rPr>
  </w:style>
  <w:style w:type="character" w:styleId="Hyperlink">
    <w:name w:val="Hyperlink"/>
    <w:basedOn w:val="DefaultParagraphFont"/>
    <w:uiPriority w:val="99"/>
    <w:unhideWhenUsed/>
    <w:rsid w:val="006716E8"/>
    <w:rPr>
      <w:color w:val="0000FF"/>
      <w:u w:val="single"/>
    </w:rPr>
  </w:style>
  <w:style w:type="paragraph" w:styleId="ListParagraph">
    <w:name w:val="List Paragraph"/>
    <w:basedOn w:val="Normal"/>
    <w:uiPriority w:val="34"/>
    <w:qFormat/>
    <w:rsid w:val="00C47C85"/>
    <w:pPr>
      <w:ind w:left="720"/>
      <w:contextualSpacing/>
    </w:pPr>
  </w:style>
  <w:style w:type="paragraph" w:styleId="Header">
    <w:name w:val="header"/>
    <w:basedOn w:val="Normal"/>
    <w:link w:val="HeaderChar"/>
    <w:uiPriority w:val="99"/>
    <w:semiHidden/>
    <w:unhideWhenUsed/>
    <w:rsid w:val="007531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53158"/>
  </w:style>
  <w:style w:type="paragraph" w:styleId="Footer">
    <w:name w:val="footer"/>
    <w:basedOn w:val="Normal"/>
    <w:link w:val="FooterChar"/>
    <w:uiPriority w:val="99"/>
    <w:unhideWhenUsed/>
    <w:rsid w:val="00753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158"/>
  </w:style>
  <w:style w:type="character" w:customStyle="1" w:styleId="Heading1Char">
    <w:name w:val="Heading 1 Char"/>
    <w:basedOn w:val="DefaultParagraphFont"/>
    <w:link w:val="Heading1"/>
    <w:uiPriority w:val="9"/>
    <w:rsid w:val="00A0527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0527B"/>
    <w:pPr>
      <w:outlineLvl w:val="9"/>
    </w:pPr>
  </w:style>
  <w:style w:type="paragraph" w:styleId="TOC2">
    <w:name w:val="toc 2"/>
    <w:basedOn w:val="Normal"/>
    <w:next w:val="Normal"/>
    <w:autoRedefine/>
    <w:uiPriority w:val="39"/>
    <w:unhideWhenUsed/>
    <w:rsid w:val="00011BE2"/>
    <w:pPr>
      <w:tabs>
        <w:tab w:val="left" w:pos="660"/>
        <w:tab w:val="right" w:leader="dot" w:pos="9350"/>
      </w:tabs>
      <w:spacing w:after="100"/>
      <w:ind w:left="220"/>
    </w:pPr>
    <w:rPr>
      <w:rFonts w:ascii="Arial" w:hAnsi="Arial" w:cs="Arial"/>
      <w:b/>
      <w:noProof/>
    </w:rPr>
  </w:style>
  <w:style w:type="paragraph" w:styleId="TOC3">
    <w:name w:val="toc 3"/>
    <w:basedOn w:val="Normal"/>
    <w:next w:val="Normal"/>
    <w:autoRedefine/>
    <w:uiPriority w:val="39"/>
    <w:unhideWhenUsed/>
    <w:rsid w:val="00A0527B"/>
    <w:pPr>
      <w:spacing w:after="100"/>
      <w:ind w:left="440"/>
    </w:pPr>
  </w:style>
  <w:style w:type="paragraph" w:styleId="BalloonText">
    <w:name w:val="Balloon Text"/>
    <w:basedOn w:val="Normal"/>
    <w:link w:val="BalloonTextChar"/>
    <w:uiPriority w:val="99"/>
    <w:semiHidden/>
    <w:unhideWhenUsed/>
    <w:rsid w:val="00A052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27B"/>
    <w:rPr>
      <w:rFonts w:ascii="Tahoma" w:hAnsi="Tahoma" w:cs="Tahoma"/>
      <w:sz w:val="16"/>
      <w:szCs w:val="16"/>
    </w:rPr>
  </w:style>
  <w:style w:type="character" w:styleId="Strong">
    <w:name w:val="Strong"/>
    <w:basedOn w:val="DefaultParagraphFont"/>
    <w:uiPriority w:val="22"/>
    <w:qFormat/>
    <w:rsid w:val="004309F7"/>
    <w:rPr>
      <w:b/>
      <w:bCs/>
    </w:rPr>
  </w:style>
  <w:style w:type="paragraph" w:styleId="TOC1">
    <w:name w:val="toc 1"/>
    <w:basedOn w:val="Normal"/>
    <w:next w:val="Normal"/>
    <w:autoRedefine/>
    <w:uiPriority w:val="39"/>
    <w:unhideWhenUsed/>
    <w:rsid w:val="00011BE2"/>
    <w:pPr>
      <w:tabs>
        <w:tab w:val="right" w:leader="dot" w:pos="9350"/>
      </w:tabs>
      <w:spacing w:after="100"/>
    </w:pPr>
    <w:rPr>
      <w:rFonts w:ascii="Arial" w:hAnsi="Arial" w:cs="Arial"/>
      <w:b/>
      <w:noProof/>
    </w:rPr>
  </w:style>
  <w:style w:type="paragraph" w:styleId="NoSpacing">
    <w:name w:val="No Spacing"/>
    <w:uiPriority w:val="1"/>
    <w:qFormat/>
    <w:rsid w:val="00C747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7093576">
      <w:bodyDiv w:val="1"/>
      <w:marLeft w:val="0"/>
      <w:marRight w:val="0"/>
      <w:marTop w:val="0"/>
      <w:marBottom w:val="0"/>
      <w:divBdr>
        <w:top w:val="none" w:sz="0" w:space="0" w:color="auto"/>
        <w:left w:val="none" w:sz="0" w:space="0" w:color="auto"/>
        <w:bottom w:val="none" w:sz="0" w:space="0" w:color="auto"/>
        <w:right w:val="none" w:sz="0" w:space="0" w:color="auto"/>
      </w:divBdr>
    </w:div>
    <w:div w:id="155271203">
      <w:bodyDiv w:val="1"/>
      <w:marLeft w:val="0"/>
      <w:marRight w:val="0"/>
      <w:marTop w:val="0"/>
      <w:marBottom w:val="0"/>
      <w:divBdr>
        <w:top w:val="none" w:sz="0" w:space="0" w:color="auto"/>
        <w:left w:val="none" w:sz="0" w:space="0" w:color="auto"/>
        <w:bottom w:val="none" w:sz="0" w:space="0" w:color="auto"/>
        <w:right w:val="none" w:sz="0" w:space="0" w:color="auto"/>
      </w:divBdr>
    </w:div>
    <w:div w:id="280842893">
      <w:bodyDiv w:val="1"/>
      <w:marLeft w:val="0"/>
      <w:marRight w:val="0"/>
      <w:marTop w:val="0"/>
      <w:marBottom w:val="0"/>
      <w:divBdr>
        <w:top w:val="none" w:sz="0" w:space="0" w:color="auto"/>
        <w:left w:val="none" w:sz="0" w:space="0" w:color="auto"/>
        <w:bottom w:val="none" w:sz="0" w:space="0" w:color="auto"/>
        <w:right w:val="none" w:sz="0" w:space="0" w:color="auto"/>
      </w:divBdr>
    </w:div>
    <w:div w:id="328943384">
      <w:bodyDiv w:val="1"/>
      <w:marLeft w:val="0"/>
      <w:marRight w:val="0"/>
      <w:marTop w:val="0"/>
      <w:marBottom w:val="0"/>
      <w:divBdr>
        <w:top w:val="none" w:sz="0" w:space="0" w:color="auto"/>
        <w:left w:val="none" w:sz="0" w:space="0" w:color="auto"/>
        <w:bottom w:val="none" w:sz="0" w:space="0" w:color="auto"/>
        <w:right w:val="none" w:sz="0" w:space="0" w:color="auto"/>
      </w:divBdr>
    </w:div>
    <w:div w:id="417556908">
      <w:bodyDiv w:val="1"/>
      <w:marLeft w:val="0"/>
      <w:marRight w:val="0"/>
      <w:marTop w:val="0"/>
      <w:marBottom w:val="0"/>
      <w:divBdr>
        <w:top w:val="none" w:sz="0" w:space="0" w:color="auto"/>
        <w:left w:val="none" w:sz="0" w:space="0" w:color="auto"/>
        <w:bottom w:val="none" w:sz="0" w:space="0" w:color="auto"/>
        <w:right w:val="none" w:sz="0" w:space="0" w:color="auto"/>
      </w:divBdr>
    </w:div>
    <w:div w:id="693962624">
      <w:bodyDiv w:val="1"/>
      <w:marLeft w:val="0"/>
      <w:marRight w:val="0"/>
      <w:marTop w:val="0"/>
      <w:marBottom w:val="0"/>
      <w:divBdr>
        <w:top w:val="none" w:sz="0" w:space="0" w:color="auto"/>
        <w:left w:val="none" w:sz="0" w:space="0" w:color="auto"/>
        <w:bottom w:val="none" w:sz="0" w:space="0" w:color="auto"/>
        <w:right w:val="none" w:sz="0" w:space="0" w:color="auto"/>
      </w:divBdr>
    </w:div>
    <w:div w:id="950086352">
      <w:bodyDiv w:val="1"/>
      <w:marLeft w:val="0"/>
      <w:marRight w:val="0"/>
      <w:marTop w:val="0"/>
      <w:marBottom w:val="0"/>
      <w:divBdr>
        <w:top w:val="none" w:sz="0" w:space="0" w:color="auto"/>
        <w:left w:val="none" w:sz="0" w:space="0" w:color="auto"/>
        <w:bottom w:val="none" w:sz="0" w:space="0" w:color="auto"/>
        <w:right w:val="none" w:sz="0" w:space="0" w:color="auto"/>
      </w:divBdr>
    </w:div>
    <w:div w:id="1009984045">
      <w:bodyDiv w:val="1"/>
      <w:marLeft w:val="0"/>
      <w:marRight w:val="0"/>
      <w:marTop w:val="0"/>
      <w:marBottom w:val="0"/>
      <w:divBdr>
        <w:top w:val="none" w:sz="0" w:space="0" w:color="auto"/>
        <w:left w:val="none" w:sz="0" w:space="0" w:color="auto"/>
        <w:bottom w:val="none" w:sz="0" w:space="0" w:color="auto"/>
        <w:right w:val="none" w:sz="0" w:space="0" w:color="auto"/>
      </w:divBdr>
    </w:div>
    <w:div w:id="1066341340">
      <w:bodyDiv w:val="1"/>
      <w:marLeft w:val="0"/>
      <w:marRight w:val="0"/>
      <w:marTop w:val="0"/>
      <w:marBottom w:val="0"/>
      <w:divBdr>
        <w:top w:val="none" w:sz="0" w:space="0" w:color="auto"/>
        <w:left w:val="none" w:sz="0" w:space="0" w:color="auto"/>
        <w:bottom w:val="none" w:sz="0" w:space="0" w:color="auto"/>
        <w:right w:val="none" w:sz="0" w:space="0" w:color="auto"/>
      </w:divBdr>
    </w:div>
    <w:div w:id="1522086352">
      <w:bodyDiv w:val="1"/>
      <w:marLeft w:val="0"/>
      <w:marRight w:val="0"/>
      <w:marTop w:val="0"/>
      <w:marBottom w:val="0"/>
      <w:divBdr>
        <w:top w:val="none" w:sz="0" w:space="0" w:color="auto"/>
        <w:left w:val="none" w:sz="0" w:space="0" w:color="auto"/>
        <w:bottom w:val="none" w:sz="0" w:space="0" w:color="auto"/>
        <w:right w:val="none" w:sz="0" w:space="0" w:color="auto"/>
      </w:divBdr>
    </w:div>
    <w:div w:id="1939555659">
      <w:bodyDiv w:val="1"/>
      <w:marLeft w:val="0"/>
      <w:marRight w:val="0"/>
      <w:marTop w:val="0"/>
      <w:marBottom w:val="0"/>
      <w:divBdr>
        <w:top w:val="none" w:sz="0" w:space="0" w:color="auto"/>
        <w:left w:val="none" w:sz="0" w:space="0" w:color="auto"/>
        <w:bottom w:val="none" w:sz="0" w:space="0" w:color="auto"/>
        <w:right w:val="none" w:sz="0" w:space="0" w:color="auto"/>
      </w:divBdr>
    </w:div>
    <w:div w:id="1948124518">
      <w:bodyDiv w:val="1"/>
      <w:marLeft w:val="0"/>
      <w:marRight w:val="0"/>
      <w:marTop w:val="0"/>
      <w:marBottom w:val="0"/>
      <w:divBdr>
        <w:top w:val="none" w:sz="0" w:space="0" w:color="auto"/>
        <w:left w:val="none" w:sz="0" w:space="0" w:color="auto"/>
        <w:bottom w:val="none" w:sz="0" w:space="0" w:color="auto"/>
        <w:right w:val="none" w:sz="0" w:space="0" w:color="auto"/>
      </w:divBdr>
    </w:div>
    <w:div w:id="1948582921">
      <w:bodyDiv w:val="1"/>
      <w:marLeft w:val="0"/>
      <w:marRight w:val="0"/>
      <w:marTop w:val="0"/>
      <w:marBottom w:val="0"/>
      <w:divBdr>
        <w:top w:val="none" w:sz="0" w:space="0" w:color="auto"/>
        <w:left w:val="none" w:sz="0" w:space="0" w:color="auto"/>
        <w:bottom w:val="none" w:sz="0" w:space="0" w:color="auto"/>
        <w:right w:val="none" w:sz="0" w:space="0" w:color="auto"/>
      </w:divBdr>
    </w:div>
    <w:div w:id="2065788235">
      <w:bodyDiv w:val="1"/>
      <w:marLeft w:val="0"/>
      <w:marRight w:val="0"/>
      <w:marTop w:val="0"/>
      <w:marBottom w:val="0"/>
      <w:divBdr>
        <w:top w:val="none" w:sz="0" w:space="0" w:color="auto"/>
        <w:left w:val="none" w:sz="0" w:space="0" w:color="auto"/>
        <w:bottom w:val="none" w:sz="0" w:space="0" w:color="auto"/>
        <w:right w:val="none" w:sz="0" w:space="0" w:color="auto"/>
      </w:divBdr>
    </w:div>
    <w:div w:id="2077775280">
      <w:bodyDiv w:val="1"/>
      <w:marLeft w:val="0"/>
      <w:marRight w:val="0"/>
      <w:marTop w:val="0"/>
      <w:marBottom w:val="0"/>
      <w:divBdr>
        <w:top w:val="none" w:sz="0" w:space="0" w:color="auto"/>
        <w:left w:val="none" w:sz="0" w:space="0" w:color="auto"/>
        <w:bottom w:val="none" w:sz="0" w:space="0" w:color="auto"/>
        <w:right w:val="none" w:sz="0" w:space="0" w:color="auto"/>
      </w:divBdr>
    </w:div>
    <w:div w:id="2129473093">
      <w:bodyDiv w:val="1"/>
      <w:marLeft w:val="0"/>
      <w:marRight w:val="0"/>
      <w:marTop w:val="0"/>
      <w:marBottom w:val="0"/>
      <w:divBdr>
        <w:top w:val="none" w:sz="0" w:space="0" w:color="auto"/>
        <w:left w:val="none" w:sz="0" w:space="0" w:color="auto"/>
        <w:bottom w:val="none" w:sz="0" w:space="0" w:color="auto"/>
        <w:right w:val="none" w:sz="0" w:space="0" w:color="auto"/>
      </w:divBdr>
    </w:div>
    <w:div w:id="214187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corporate.marksandspencer.com/"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cipd.org/" TargetMode="Externa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6DB74C-A2FF-4ECB-AA2F-97BB30325E46}" type="doc">
      <dgm:prSet loTypeId="urn:microsoft.com/office/officeart/2005/8/layout/pyramid1" loCatId="pyramid" qsTypeId="urn:microsoft.com/office/officeart/2005/8/quickstyle/simple1" qsCatId="simple" csTypeId="urn:microsoft.com/office/officeart/2005/8/colors/accent3_4" csCatId="accent3" phldr="1"/>
      <dgm:spPr/>
    </dgm:pt>
    <dgm:pt modelId="{9482E2E8-7EFA-48DF-9C66-66D7610A4AC1}">
      <dgm:prSet phldrT="[Text]" custT="1"/>
      <dgm:spPr/>
      <dgm:t>
        <a:bodyPr/>
        <a:lstStyle/>
        <a:p>
          <a:r>
            <a:rPr lang="en-US" sz="1100">
              <a:latin typeface="Arial" pitchFamily="34" charset="0"/>
              <a:cs typeface="Arial" pitchFamily="34" charset="0"/>
            </a:rPr>
            <a:t>Self actualisation(realisation of potential</a:t>
          </a:r>
        </a:p>
      </dgm:t>
    </dgm:pt>
    <dgm:pt modelId="{F54388CD-3FDF-41A7-B1D3-A678FEDCB7AD}" type="parTrans" cxnId="{C1FC4C8A-92D2-44E5-BC06-9099ED2E8094}">
      <dgm:prSet/>
      <dgm:spPr/>
      <dgm:t>
        <a:bodyPr/>
        <a:lstStyle/>
        <a:p>
          <a:endParaRPr lang="en-US"/>
        </a:p>
      </dgm:t>
    </dgm:pt>
    <dgm:pt modelId="{480E0A6E-34F3-4CE6-BF60-EC5DA5E4EEDE}" type="sibTrans" cxnId="{C1FC4C8A-92D2-44E5-BC06-9099ED2E8094}">
      <dgm:prSet/>
      <dgm:spPr/>
      <dgm:t>
        <a:bodyPr/>
        <a:lstStyle/>
        <a:p>
          <a:endParaRPr lang="en-US"/>
        </a:p>
      </dgm:t>
    </dgm:pt>
    <dgm:pt modelId="{CA6A7E86-5C3F-40D3-A776-B1E27E8F2277}">
      <dgm:prSet phldrT="[Text]" custT="1"/>
      <dgm:spPr/>
      <dgm:t>
        <a:bodyPr/>
        <a:lstStyle/>
        <a:p>
          <a:r>
            <a:rPr lang="en-US" sz="1100">
              <a:latin typeface="Arial" pitchFamily="34" charset="0"/>
              <a:cs typeface="Arial" pitchFamily="34" charset="0"/>
            </a:rPr>
            <a:t>Safety Needs (security from harm)</a:t>
          </a:r>
        </a:p>
      </dgm:t>
    </dgm:pt>
    <dgm:pt modelId="{A829472D-9745-486F-9EB8-1590D0946B28}" type="parTrans" cxnId="{82EB047B-2E46-4063-9FEF-4EFDD3DFAA25}">
      <dgm:prSet/>
      <dgm:spPr/>
      <dgm:t>
        <a:bodyPr/>
        <a:lstStyle/>
        <a:p>
          <a:endParaRPr lang="en-US"/>
        </a:p>
      </dgm:t>
    </dgm:pt>
    <dgm:pt modelId="{F6B1F0AC-516D-4948-A599-2CC7FDD32AD7}" type="sibTrans" cxnId="{82EB047B-2E46-4063-9FEF-4EFDD3DFAA25}">
      <dgm:prSet/>
      <dgm:spPr/>
      <dgm:t>
        <a:bodyPr/>
        <a:lstStyle/>
        <a:p>
          <a:endParaRPr lang="en-US"/>
        </a:p>
      </dgm:t>
    </dgm:pt>
    <dgm:pt modelId="{043BF985-0065-44E4-9FB1-AF70EFF70C07}">
      <dgm:prSet phldrT="[Text]" custT="1"/>
      <dgm:spPr/>
      <dgm:t>
        <a:bodyPr/>
        <a:lstStyle/>
        <a:p>
          <a:r>
            <a:rPr lang="en-US" sz="1100">
              <a:latin typeface="Arial" pitchFamily="34" charset="0"/>
              <a:cs typeface="Arial" pitchFamily="34" charset="0"/>
            </a:rPr>
            <a:t>Physiological Needs (hunger, thirst ,sleep, shelter)</a:t>
          </a:r>
        </a:p>
      </dgm:t>
    </dgm:pt>
    <dgm:pt modelId="{B48BD5FC-626F-4BA6-B95E-52F178273B80}" type="parTrans" cxnId="{0DD43E33-EBA1-4BFF-B447-03F52318F0B5}">
      <dgm:prSet/>
      <dgm:spPr/>
      <dgm:t>
        <a:bodyPr/>
        <a:lstStyle/>
        <a:p>
          <a:endParaRPr lang="en-US"/>
        </a:p>
      </dgm:t>
    </dgm:pt>
    <dgm:pt modelId="{6BD107FE-F210-41C4-8E20-D0CB6AF8B831}" type="sibTrans" cxnId="{0DD43E33-EBA1-4BFF-B447-03F52318F0B5}">
      <dgm:prSet/>
      <dgm:spPr/>
      <dgm:t>
        <a:bodyPr/>
        <a:lstStyle/>
        <a:p>
          <a:endParaRPr lang="en-US"/>
        </a:p>
      </dgm:t>
    </dgm:pt>
    <dgm:pt modelId="{529CE322-E721-4AEA-AF81-DE8E79B03414}">
      <dgm:prSet phldrT="[Text]" custT="1"/>
      <dgm:spPr/>
      <dgm:t>
        <a:bodyPr/>
        <a:lstStyle/>
        <a:p>
          <a:r>
            <a:rPr lang="en-US" sz="1100">
              <a:latin typeface="Arial" pitchFamily="34" charset="0"/>
              <a:cs typeface="Arial" pitchFamily="34" charset="0"/>
            </a:rPr>
            <a:t>Social Needs (belonging, love)</a:t>
          </a:r>
        </a:p>
      </dgm:t>
    </dgm:pt>
    <dgm:pt modelId="{D87A9108-B765-46A2-A43A-0080E2366191}" type="parTrans" cxnId="{35AAE29A-C5DA-4D06-B719-7623DDCF2259}">
      <dgm:prSet/>
      <dgm:spPr/>
      <dgm:t>
        <a:bodyPr/>
        <a:lstStyle/>
        <a:p>
          <a:endParaRPr lang="en-US"/>
        </a:p>
      </dgm:t>
    </dgm:pt>
    <dgm:pt modelId="{22706502-51BA-4325-A62D-625433C673DA}" type="sibTrans" cxnId="{35AAE29A-C5DA-4D06-B719-7623DDCF2259}">
      <dgm:prSet/>
      <dgm:spPr/>
      <dgm:t>
        <a:bodyPr/>
        <a:lstStyle/>
        <a:p>
          <a:endParaRPr lang="en-US"/>
        </a:p>
      </dgm:t>
    </dgm:pt>
    <dgm:pt modelId="{B4424321-A6FD-45F5-B71F-C121F97510C1}">
      <dgm:prSet phldrT="[Text]" custT="1"/>
      <dgm:spPr/>
      <dgm:t>
        <a:bodyPr/>
        <a:lstStyle/>
        <a:p>
          <a:r>
            <a:rPr lang="en-US" sz="1100">
              <a:latin typeface="Arial" pitchFamily="34" charset="0"/>
              <a:cs typeface="Arial" pitchFamily="34" charset="0"/>
            </a:rPr>
            <a:t>Esteem Needs (self-respect)</a:t>
          </a:r>
        </a:p>
      </dgm:t>
    </dgm:pt>
    <dgm:pt modelId="{3175811B-64D5-487B-BF48-7A2E045967B1}" type="parTrans" cxnId="{74D0AD4B-4227-4227-BA51-163137E5F0AB}">
      <dgm:prSet/>
      <dgm:spPr/>
      <dgm:t>
        <a:bodyPr/>
        <a:lstStyle/>
        <a:p>
          <a:endParaRPr lang="en-US"/>
        </a:p>
      </dgm:t>
    </dgm:pt>
    <dgm:pt modelId="{389DE2F7-74B0-4826-9C24-3B881116771A}" type="sibTrans" cxnId="{74D0AD4B-4227-4227-BA51-163137E5F0AB}">
      <dgm:prSet/>
      <dgm:spPr/>
      <dgm:t>
        <a:bodyPr/>
        <a:lstStyle/>
        <a:p>
          <a:endParaRPr lang="en-US"/>
        </a:p>
      </dgm:t>
    </dgm:pt>
    <dgm:pt modelId="{91F3D3EE-F8FC-43EF-A56D-1B72208EDC65}" type="pres">
      <dgm:prSet presAssocID="{446DB74C-A2FF-4ECB-AA2F-97BB30325E46}" presName="Name0" presStyleCnt="0">
        <dgm:presLayoutVars>
          <dgm:dir/>
          <dgm:animLvl val="lvl"/>
          <dgm:resizeHandles val="exact"/>
        </dgm:presLayoutVars>
      </dgm:prSet>
      <dgm:spPr/>
    </dgm:pt>
    <dgm:pt modelId="{B4845F6D-2055-4CE2-85EC-49F1EA6AC8DB}" type="pres">
      <dgm:prSet presAssocID="{9482E2E8-7EFA-48DF-9C66-66D7610A4AC1}" presName="Name8" presStyleCnt="0"/>
      <dgm:spPr/>
    </dgm:pt>
    <dgm:pt modelId="{EB33BC42-B164-4D2C-9E25-C46A9B1FACA3}" type="pres">
      <dgm:prSet presAssocID="{9482E2E8-7EFA-48DF-9C66-66D7610A4AC1}" presName="level" presStyleLbl="node1" presStyleIdx="0" presStyleCnt="5">
        <dgm:presLayoutVars>
          <dgm:chMax val="1"/>
          <dgm:bulletEnabled val="1"/>
        </dgm:presLayoutVars>
      </dgm:prSet>
      <dgm:spPr/>
    </dgm:pt>
    <dgm:pt modelId="{79D56F69-3432-4D41-8D0B-85EF7AF95311}" type="pres">
      <dgm:prSet presAssocID="{9482E2E8-7EFA-48DF-9C66-66D7610A4AC1}" presName="levelTx" presStyleLbl="revTx" presStyleIdx="0" presStyleCnt="0">
        <dgm:presLayoutVars>
          <dgm:chMax val="1"/>
          <dgm:bulletEnabled val="1"/>
        </dgm:presLayoutVars>
      </dgm:prSet>
      <dgm:spPr/>
    </dgm:pt>
    <dgm:pt modelId="{E617107D-1C37-49D4-AF85-9D6B27F30CC8}" type="pres">
      <dgm:prSet presAssocID="{B4424321-A6FD-45F5-B71F-C121F97510C1}" presName="Name8" presStyleCnt="0"/>
      <dgm:spPr/>
    </dgm:pt>
    <dgm:pt modelId="{72237536-534D-40E9-9778-1FE46166E5D2}" type="pres">
      <dgm:prSet presAssocID="{B4424321-A6FD-45F5-B71F-C121F97510C1}" presName="level" presStyleLbl="node1" presStyleIdx="1" presStyleCnt="5">
        <dgm:presLayoutVars>
          <dgm:chMax val="1"/>
          <dgm:bulletEnabled val="1"/>
        </dgm:presLayoutVars>
      </dgm:prSet>
      <dgm:spPr/>
    </dgm:pt>
    <dgm:pt modelId="{6F2AF585-0620-4B99-A5B2-36B7DFB9C190}" type="pres">
      <dgm:prSet presAssocID="{B4424321-A6FD-45F5-B71F-C121F97510C1}" presName="levelTx" presStyleLbl="revTx" presStyleIdx="0" presStyleCnt="0">
        <dgm:presLayoutVars>
          <dgm:chMax val="1"/>
          <dgm:bulletEnabled val="1"/>
        </dgm:presLayoutVars>
      </dgm:prSet>
      <dgm:spPr/>
    </dgm:pt>
    <dgm:pt modelId="{5889622A-18B5-4E55-BC3E-BED33E823152}" type="pres">
      <dgm:prSet presAssocID="{529CE322-E721-4AEA-AF81-DE8E79B03414}" presName="Name8" presStyleCnt="0"/>
      <dgm:spPr/>
    </dgm:pt>
    <dgm:pt modelId="{65B5350D-6680-4004-BA85-29AD45BF653A}" type="pres">
      <dgm:prSet presAssocID="{529CE322-E721-4AEA-AF81-DE8E79B03414}" presName="level" presStyleLbl="node1" presStyleIdx="2" presStyleCnt="5">
        <dgm:presLayoutVars>
          <dgm:chMax val="1"/>
          <dgm:bulletEnabled val="1"/>
        </dgm:presLayoutVars>
      </dgm:prSet>
      <dgm:spPr/>
    </dgm:pt>
    <dgm:pt modelId="{6F98134A-556B-42FD-8DD6-CC24A6C91C89}" type="pres">
      <dgm:prSet presAssocID="{529CE322-E721-4AEA-AF81-DE8E79B03414}" presName="levelTx" presStyleLbl="revTx" presStyleIdx="0" presStyleCnt="0">
        <dgm:presLayoutVars>
          <dgm:chMax val="1"/>
          <dgm:bulletEnabled val="1"/>
        </dgm:presLayoutVars>
      </dgm:prSet>
      <dgm:spPr/>
    </dgm:pt>
    <dgm:pt modelId="{A0979684-8CE8-4EB7-B7B7-7DA0CC942498}" type="pres">
      <dgm:prSet presAssocID="{CA6A7E86-5C3F-40D3-A776-B1E27E8F2277}" presName="Name8" presStyleCnt="0"/>
      <dgm:spPr/>
    </dgm:pt>
    <dgm:pt modelId="{E300DBA0-61AC-453E-8871-73D562F9CF5F}" type="pres">
      <dgm:prSet presAssocID="{CA6A7E86-5C3F-40D3-A776-B1E27E8F2277}" presName="level" presStyleLbl="node1" presStyleIdx="3" presStyleCnt="5">
        <dgm:presLayoutVars>
          <dgm:chMax val="1"/>
          <dgm:bulletEnabled val="1"/>
        </dgm:presLayoutVars>
      </dgm:prSet>
      <dgm:spPr/>
    </dgm:pt>
    <dgm:pt modelId="{70035D6A-2222-4091-834F-14D3049610AE}" type="pres">
      <dgm:prSet presAssocID="{CA6A7E86-5C3F-40D3-A776-B1E27E8F2277}" presName="levelTx" presStyleLbl="revTx" presStyleIdx="0" presStyleCnt="0">
        <dgm:presLayoutVars>
          <dgm:chMax val="1"/>
          <dgm:bulletEnabled val="1"/>
        </dgm:presLayoutVars>
      </dgm:prSet>
      <dgm:spPr/>
    </dgm:pt>
    <dgm:pt modelId="{15729D71-9F28-4489-83DD-2051BB01E0C5}" type="pres">
      <dgm:prSet presAssocID="{043BF985-0065-44E4-9FB1-AF70EFF70C07}" presName="Name8" presStyleCnt="0"/>
      <dgm:spPr/>
    </dgm:pt>
    <dgm:pt modelId="{26F4ABA3-F629-453F-A471-F1839FB6F1D0}" type="pres">
      <dgm:prSet presAssocID="{043BF985-0065-44E4-9FB1-AF70EFF70C07}" presName="level" presStyleLbl="node1" presStyleIdx="4" presStyleCnt="5">
        <dgm:presLayoutVars>
          <dgm:chMax val="1"/>
          <dgm:bulletEnabled val="1"/>
        </dgm:presLayoutVars>
      </dgm:prSet>
      <dgm:spPr/>
    </dgm:pt>
    <dgm:pt modelId="{1FF0006C-DDF6-44E1-95C3-437FB43C151C}" type="pres">
      <dgm:prSet presAssocID="{043BF985-0065-44E4-9FB1-AF70EFF70C07}" presName="levelTx" presStyleLbl="revTx" presStyleIdx="0" presStyleCnt="0">
        <dgm:presLayoutVars>
          <dgm:chMax val="1"/>
          <dgm:bulletEnabled val="1"/>
        </dgm:presLayoutVars>
      </dgm:prSet>
      <dgm:spPr/>
    </dgm:pt>
  </dgm:ptLst>
  <dgm:cxnLst>
    <dgm:cxn modelId="{8D652D0A-01F8-4473-A922-AE0619F00468}" type="presOf" srcId="{CA6A7E86-5C3F-40D3-A776-B1E27E8F2277}" destId="{E300DBA0-61AC-453E-8871-73D562F9CF5F}" srcOrd="0" destOrd="0" presId="urn:microsoft.com/office/officeart/2005/8/layout/pyramid1"/>
    <dgm:cxn modelId="{5E19DF14-04B7-4CD2-9C9C-46630348B49A}" type="presOf" srcId="{B4424321-A6FD-45F5-B71F-C121F97510C1}" destId="{72237536-534D-40E9-9778-1FE46166E5D2}" srcOrd="0" destOrd="0" presId="urn:microsoft.com/office/officeart/2005/8/layout/pyramid1"/>
    <dgm:cxn modelId="{0DD43E33-EBA1-4BFF-B447-03F52318F0B5}" srcId="{446DB74C-A2FF-4ECB-AA2F-97BB30325E46}" destId="{043BF985-0065-44E4-9FB1-AF70EFF70C07}" srcOrd="4" destOrd="0" parTransId="{B48BD5FC-626F-4BA6-B95E-52F178273B80}" sibTransId="{6BD107FE-F210-41C4-8E20-D0CB6AF8B831}"/>
    <dgm:cxn modelId="{4D41A73A-D1D4-44A6-A224-8DD1F389BEFE}" type="presOf" srcId="{9482E2E8-7EFA-48DF-9C66-66D7610A4AC1}" destId="{79D56F69-3432-4D41-8D0B-85EF7AF95311}" srcOrd="1" destOrd="0" presId="urn:microsoft.com/office/officeart/2005/8/layout/pyramid1"/>
    <dgm:cxn modelId="{B8BD113B-3E9F-4B6E-B33E-D1AA53BA7B78}" type="presOf" srcId="{529CE322-E721-4AEA-AF81-DE8E79B03414}" destId="{65B5350D-6680-4004-BA85-29AD45BF653A}" srcOrd="0" destOrd="0" presId="urn:microsoft.com/office/officeart/2005/8/layout/pyramid1"/>
    <dgm:cxn modelId="{CB6AFE43-CF03-4E7A-810C-C6A10CBA4C0B}" type="presOf" srcId="{446DB74C-A2FF-4ECB-AA2F-97BB30325E46}" destId="{91F3D3EE-F8FC-43EF-A56D-1B72208EDC65}" srcOrd="0" destOrd="0" presId="urn:microsoft.com/office/officeart/2005/8/layout/pyramid1"/>
    <dgm:cxn modelId="{74D0AD4B-4227-4227-BA51-163137E5F0AB}" srcId="{446DB74C-A2FF-4ECB-AA2F-97BB30325E46}" destId="{B4424321-A6FD-45F5-B71F-C121F97510C1}" srcOrd="1" destOrd="0" parTransId="{3175811B-64D5-487B-BF48-7A2E045967B1}" sibTransId="{389DE2F7-74B0-4826-9C24-3B881116771A}"/>
    <dgm:cxn modelId="{82EB047B-2E46-4063-9FEF-4EFDD3DFAA25}" srcId="{446DB74C-A2FF-4ECB-AA2F-97BB30325E46}" destId="{CA6A7E86-5C3F-40D3-A776-B1E27E8F2277}" srcOrd="3" destOrd="0" parTransId="{A829472D-9745-486F-9EB8-1590D0946B28}" sibTransId="{F6B1F0AC-516D-4948-A599-2CC7FDD32AD7}"/>
    <dgm:cxn modelId="{E109D67E-68D9-4F16-9BDE-FACB3B119688}" type="presOf" srcId="{529CE322-E721-4AEA-AF81-DE8E79B03414}" destId="{6F98134A-556B-42FD-8DD6-CC24A6C91C89}" srcOrd="1" destOrd="0" presId="urn:microsoft.com/office/officeart/2005/8/layout/pyramid1"/>
    <dgm:cxn modelId="{C1FC4C8A-92D2-44E5-BC06-9099ED2E8094}" srcId="{446DB74C-A2FF-4ECB-AA2F-97BB30325E46}" destId="{9482E2E8-7EFA-48DF-9C66-66D7610A4AC1}" srcOrd="0" destOrd="0" parTransId="{F54388CD-3FDF-41A7-B1D3-A678FEDCB7AD}" sibTransId="{480E0A6E-34F3-4CE6-BF60-EC5DA5E4EEDE}"/>
    <dgm:cxn modelId="{35AAE29A-C5DA-4D06-B719-7623DDCF2259}" srcId="{446DB74C-A2FF-4ECB-AA2F-97BB30325E46}" destId="{529CE322-E721-4AEA-AF81-DE8E79B03414}" srcOrd="2" destOrd="0" parTransId="{D87A9108-B765-46A2-A43A-0080E2366191}" sibTransId="{22706502-51BA-4325-A62D-625433C673DA}"/>
    <dgm:cxn modelId="{98CA5DA9-AAA6-4E40-B43F-02D28216AE50}" type="presOf" srcId="{043BF985-0065-44E4-9FB1-AF70EFF70C07}" destId="{1FF0006C-DDF6-44E1-95C3-437FB43C151C}" srcOrd="1" destOrd="0" presId="urn:microsoft.com/office/officeart/2005/8/layout/pyramid1"/>
    <dgm:cxn modelId="{0AFC1BC7-6C2D-4469-8179-1A958ECF4009}" type="presOf" srcId="{043BF985-0065-44E4-9FB1-AF70EFF70C07}" destId="{26F4ABA3-F629-453F-A471-F1839FB6F1D0}" srcOrd="0" destOrd="0" presId="urn:microsoft.com/office/officeart/2005/8/layout/pyramid1"/>
    <dgm:cxn modelId="{A59DA1D0-6813-4F78-A39B-ADF866661B4A}" type="presOf" srcId="{9482E2E8-7EFA-48DF-9C66-66D7610A4AC1}" destId="{EB33BC42-B164-4D2C-9E25-C46A9B1FACA3}" srcOrd="0" destOrd="0" presId="urn:microsoft.com/office/officeart/2005/8/layout/pyramid1"/>
    <dgm:cxn modelId="{474242D1-7F98-4980-AE86-7F1F22D9AACA}" type="presOf" srcId="{B4424321-A6FD-45F5-B71F-C121F97510C1}" destId="{6F2AF585-0620-4B99-A5B2-36B7DFB9C190}" srcOrd="1" destOrd="0" presId="urn:microsoft.com/office/officeart/2005/8/layout/pyramid1"/>
    <dgm:cxn modelId="{95BF64E7-1A3D-4002-85FD-29CFC2883BEC}" type="presOf" srcId="{CA6A7E86-5C3F-40D3-A776-B1E27E8F2277}" destId="{70035D6A-2222-4091-834F-14D3049610AE}" srcOrd="1" destOrd="0" presId="urn:microsoft.com/office/officeart/2005/8/layout/pyramid1"/>
    <dgm:cxn modelId="{822AB49A-2391-485C-AA83-F3A3BC9E15F2}" type="presParOf" srcId="{91F3D3EE-F8FC-43EF-A56D-1B72208EDC65}" destId="{B4845F6D-2055-4CE2-85EC-49F1EA6AC8DB}" srcOrd="0" destOrd="0" presId="urn:microsoft.com/office/officeart/2005/8/layout/pyramid1"/>
    <dgm:cxn modelId="{4FEDE06B-85C1-45B6-A8C3-5253FC05D3D6}" type="presParOf" srcId="{B4845F6D-2055-4CE2-85EC-49F1EA6AC8DB}" destId="{EB33BC42-B164-4D2C-9E25-C46A9B1FACA3}" srcOrd="0" destOrd="0" presId="urn:microsoft.com/office/officeart/2005/8/layout/pyramid1"/>
    <dgm:cxn modelId="{7C038B75-25CB-4A77-9699-460A4D6AF4D6}" type="presParOf" srcId="{B4845F6D-2055-4CE2-85EC-49F1EA6AC8DB}" destId="{79D56F69-3432-4D41-8D0B-85EF7AF95311}" srcOrd="1" destOrd="0" presId="urn:microsoft.com/office/officeart/2005/8/layout/pyramid1"/>
    <dgm:cxn modelId="{2FD7CB5C-3803-4FCF-9C33-38C931B1CA1D}" type="presParOf" srcId="{91F3D3EE-F8FC-43EF-A56D-1B72208EDC65}" destId="{E617107D-1C37-49D4-AF85-9D6B27F30CC8}" srcOrd="1" destOrd="0" presId="urn:microsoft.com/office/officeart/2005/8/layout/pyramid1"/>
    <dgm:cxn modelId="{12B23349-4920-403E-9F25-AE40ECA196FE}" type="presParOf" srcId="{E617107D-1C37-49D4-AF85-9D6B27F30CC8}" destId="{72237536-534D-40E9-9778-1FE46166E5D2}" srcOrd="0" destOrd="0" presId="urn:microsoft.com/office/officeart/2005/8/layout/pyramid1"/>
    <dgm:cxn modelId="{5A58A781-214E-42BA-9282-21A77970F819}" type="presParOf" srcId="{E617107D-1C37-49D4-AF85-9D6B27F30CC8}" destId="{6F2AF585-0620-4B99-A5B2-36B7DFB9C190}" srcOrd="1" destOrd="0" presId="urn:microsoft.com/office/officeart/2005/8/layout/pyramid1"/>
    <dgm:cxn modelId="{293D5B79-4A03-4180-8AD4-AEA40663E8B7}" type="presParOf" srcId="{91F3D3EE-F8FC-43EF-A56D-1B72208EDC65}" destId="{5889622A-18B5-4E55-BC3E-BED33E823152}" srcOrd="2" destOrd="0" presId="urn:microsoft.com/office/officeart/2005/8/layout/pyramid1"/>
    <dgm:cxn modelId="{FAC1A6A1-95FE-4B0B-8144-1D5E3C3B3D67}" type="presParOf" srcId="{5889622A-18B5-4E55-BC3E-BED33E823152}" destId="{65B5350D-6680-4004-BA85-29AD45BF653A}" srcOrd="0" destOrd="0" presId="urn:microsoft.com/office/officeart/2005/8/layout/pyramid1"/>
    <dgm:cxn modelId="{073EA7A7-4E10-4950-8C04-8A00CE30D169}" type="presParOf" srcId="{5889622A-18B5-4E55-BC3E-BED33E823152}" destId="{6F98134A-556B-42FD-8DD6-CC24A6C91C89}" srcOrd="1" destOrd="0" presId="urn:microsoft.com/office/officeart/2005/8/layout/pyramid1"/>
    <dgm:cxn modelId="{F77D2D5A-2277-498E-A0AF-FC0823B48952}" type="presParOf" srcId="{91F3D3EE-F8FC-43EF-A56D-1B72208EDC65}" destId="{A0979684-8CE8-4EB7-B7B7-7DA0CC942498}" srcOrd="3" destOrd="0" presId="urn:microsoft.com/office/officeart/2005/8/layout/pyramid1"/>
    <dgm:cxn modelId="{C7044F5D-36CE-46CB-BB12-EC1260E7F1C0}" type="presParOf" srcId="{A0979684-8CE8-4EB7-B7B7-7DA0CC942498}" destId="{E300DBA0-61AC-453E-8871-73D562F9CF5F}" srcOrd="0" destOrd="0" presId="urn:microsoft.com/office/officeart/2005/8/layout/pyramid1"/>
    <dgm:cxn modelId="{A0882EAD-20B1-4059-96F7-15BDC3AA7F21}" type="presParOf" srcId="{A0979684-8CE8-4EB7-B7B7-7DA0CC942498}" destId="{70035D6A-2222-4091-834F-14D3049610AE}" srcOrd="1" destOrd="0" presId="urn:microsoft.com/office/officeart/2005/8/layout/pyramid1"/>
    <dgm:cxn modelId="{A71A08F0-5C61-491F-B3BB-F726661658D4}" type="presParOf" srcId="{91F3D3EE-F8FC-43EF-A56D-1B72208EDC65}" destId="{15729D71-9F28-4489-83DD-2051BB01E0C5}" srcOrd="4" destOrd="0" presId="urn:microsoft.com/office/officeart/2005/8/layout/pyramid1"/>
    <dgm:cxn modelId="{DEEB9D17-5424-4716-BC79-546EEB8AE9D3}" type="presParOf" srcId="{15729D71-9F28-4489-83DD-2051BB01E0C5}" destId="{26F4ABA3-F629-453F-A471-F1839FB6F1D0}" srcOrd="0" destOrd="0" presId="urn:microsoft.com/office/officeart/2005/8/layout/pyramid1"/>
    <dgm:cxn modelId="{EEF7D30F-EFE0-464F-BBF6-B107B61A0998}" type="presParOf" srcId="{15729D71-9F28-4489-83DD-2051BB01E0C5}" destId="{1FF0006C-DDF6-44E1-95C3-437FB43C151C}"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33BC42-B164-4D2C-9E25-C46A9B1FACA3}">
      <dsp:nvSpPr>
        <dsp:cNvPr id="0" name=""/>
        <dsp:cNvSpPr/>
      </dsp:nvSpPr>
      <dsp:spPr>
        <a:xfrm>
          <a:off x="2525268" y="0"/>
          <a:ext cx="1262634" cy="822960"/>
        </a:xfrm>
        <a:prstGeom prst="trapezoid">
          <a:avLst>
            <a:gd name="adj" fmla="val 76713"/>
          </a:avLst>
        </a:prstGeom>
        <a:solidFill>
          <a:schemeClr val="accent3">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itchFamily="34" charset="0"/>
              <a:cs typeface="Arial" pitchFamily="34" charset="0"/>
            </a:rPr>
            <a:t>Self actualisation(realisation of potential</a:t>
          </a:r>
        </a:p>
      </dsp:txBody>
      <dsp:txXfrm>
        <a:off x="2525268" y="0"/>
        <a:ext cx="1262634" cy="822960"/>
      </dsp:txXfrm>
    </dsp:sp>
    <dsp:sp modelId="{72237536-534D-40E9-9778-1FE46166E5D2}">
      <dsp:nvSpPr>
        <dsp:cNvPr id="0" name=""/>
        <dsp:cNvSpPr/>
      </dsp:nvSpPr>
      <dsp:spPr>
        <a:xfrm>
          <a:off x="1893951" y="822960"/>
          <a:ext cx="2525268" cy="822960"/>
        </a:xfrm>
        <a:prstGeom prst="trapezoid">
          <a:avLst>
            <a:gd name="adj" fmla="val 76713"/>
          </a:avLst>
        </a:prstGeom>
        <a:solidFill>
          <a:schemeClr val="accent3">
            <a:shade val="50000"/>
            <a:hueOff val="107022"/>
            <a:satOff val="-1708"/>
            <a:lumOff val="164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itchFamily="34" charset="0"/>
              <a:cs typeface="Arial" pitchFamily="34" charset="0"/>
            </a:rPr>
            <a:t>Esteem Needs (self-respect)</a:t>
          </a:r>
        </a:p>
      </dsp:txBody>
      <dsp:txXfrm>
        <a:off x="2335872" y="822960"/>
        <a:ext cx="1641424" cy="822960"/>
      </dsp:txXfrm>
    </dsp:sp>
    <dsp:sp modelId="{65B5350D-6680-4004-BA85-29AD45BF653A}">
      <dsp:nvSpPr>
        <dsp:cNvPr id="0" name=""/>
        <dsp:cNvSpPr/>
      </dsp:nvSpPr>
      <dsp:spPr>
        <a:xfrm>
          <a:off x="1262634" y="1645920"/>
          <a:ext cx="3787902" cy="822960"/>
        </a:xfrm>
        <a:prstGeom prst="trapezoid">
          <a:avLst>
            <a:gd name="adj" fmla="val 76713"/>
          </a:avLst>
        </a:prstGeom>
        <a:solidFill>
          <a:schemeClr val="accent3">
            <a:shade val="50000"/>
            <a:hueOff val="214045"/>
            <a:satOff val="-3415"/>
            <a:lumOff val="328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itchFamily="34" charset="0"/>
              <a:cs typeface="Arial" pitchFamily="34" charset="0"/>
            </a:rPr>
            <a:t>Social Needs (belonging, love)</a:t>
          </a:r>
        </a:p>
      </dsp:txBody>
      <dsp:txXfrm>
        <a:off x="1925516" y="1645920"/>
        <a:ext cx="2462136" cy="822960"/>
      </dsp:txXfrm>
    </dsp:sp>
    <dsp:sp modelId="{E300DBA0-61AC-453E-8871-73D562F9CF5F}">
      <dsp:nvSpPr>
        <dsp:cNvPr id="0" name=""/>
        <dsp:cNvSpPr/>
      </dsp:nvSpPr>
      <dsp:spPr>
        <a:xfrm>
          <a:off x="631316" y="2468879"/>
          <a:ext cx="5050536" cy="822960"/>
        </a:xfrm>
        <a:prstGeom prst="trapezoid">
          <a:avLst>
            <a:gd name="adj" fmla="val 76713"/>
          </a:avLst>
        </a:prstGeom>
        <a:solidFill>
          <a:schemeClr val="accent3">
            <a:shade val="50000"/>
            <a:hueOff val="214045"/>
            <a:satOff val="-3415"/>
            <a:lumOff val="328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itchFamily="34" charset="0"/>
              <a:cs typeface="Arial" pitchFamily="34" charset="0"/>
            </a:rPr>
            <a:t>Safety Needs (security from harm)</a:t>
          </a:r>
        </a:p>
      </dsp:txBody>
      <dsp:txXfrm>
        <a:off x="1515160" y="2468879"/>
        <a:ext cx="3282848" cy="822960"/>
      </dsp:txXfrm>
    </dsp:sp>
    <dsp:sp modelId="{26F4ABA3-F629-453F-A471-F1839FB6F1D0}">
      <dsp:nvSpPr>
        <dsp:cNvPr id="0" name=""/>
        <dsp:cNvSpPr/>
      </dsp:nvSpPr>
      <dsp:spPr>
        <a:xfrm>
          <a:off x="0" y="3291840"/>
          <a:ext cx="6313170" cy="822960"/>
        </a:xfrm>
        <a:prstGeom prst="trapezoid">
          <a:avLst>
            <a:gd name="adj" fmla="val 76713"/>
          </a:avLst>
        </a:prstGeom>
        <a:solidFill>
          <a:schemeClr val="accent3">
            <a:shade val="50000"/>
            <a:hueOff val="107022"/>
            <a:satOff val="-1708"/>
            <a:lumOff val="164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itchFamily="34" charset="0"/>
              <a:cs typeface="Arial" pitchFamily="34" charset="0"/>
            </a:rPr>
            <a:t>Physiological Needs (hunger, thirst ,sleep, shelter)</a:t>
          </a:r>
        </a:p>
      </dsp:txBody>
      <dsp:txXfrm>
        <a:off x="1104804" y="3291840"/>
        <a:ext cx="4103560" cy="82296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2106C-F310-4726-8F02-1F59B6E4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12</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Abdul Satari</cp:lastModifiedBy>
  <cp:revision>22</cp:revision>
  <dcterms:created xsi:type="dcterms:W3CDTF">2026-07-17T10:23:00Z</dcterms:created>
  <dcterms:modified xsi:type="dcterms:W3CDTF">2026-07-17T10:46:00Z</dcterms:modified>
</cp:coreProperties>
</file>