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ms-word.document.macroEnabled.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B8B99" w14:textId="77777777" w:rsidR="00871501" w:rsidRPr="00871501" w:rsidRDefault="00871501" w:rsidP="00871501">
      <w:pPr>
        <w:spacing w:line="259" w:lineRule="auto"/>
        <w:jc w:val="left"/>
        <w:rPr>
          <w:rFonts w:eastAsia="Times New Roman" w:cs="Times New Roman"/>
          <w:szCs w:val="24"/>
          <w:lang w:eastAsia="en-GB"/>
        </w:rPr>
      </w:pPr>
    </w:p>
    <w:p w14:paraId="60F721B4" w14:textId="77777777" w:rsidR="00871501" w:rsidRPr="00871501" w:rsidRDefault="00871501" w:rsidP="00871501">
      <w:pPr>
        <w:spacing w:line="259" w:lineRule="auto"/>
        <w:jc w:val="center"/>
        <w:rPr>
          <w:rFonts w:eastAsia="Times New Roman" w:cs="Times New Roman"/>
          <w:b/>
          <w:sz w:val="44"/>
          <w:szCs w:val="44"/>
          <w:lang w:eastAsia="en-GB"/>
        </w:rPr>
      </w:pPr>
      <w:r w:rsidRPr="00871501">
        <w:rPr>
          <w:rFonts w:eastAsia="Times New Roman" w:cs="Times New Roman"/>
          <w:b/>
          <w:sz w:val="44"/>
          <w:szCs w:val="44"/>
          <w:lang w:eastAsia="en-GB"/>
        </w:rPr>
        <w:t>Financial Management for the Hotel Industry</w:t>
      </w:r>
    </w:p>
    <w:p w14:paraId="03D4EE48" w14:textId="77777777" w:rsidR="00871501" w:rsidRPr="00871501" w:rsidRDefault="00871501" w:rsidP="00871501">
      <w:pPr>
        <w:spacing w:line="259" w:lineRule="auto"/>
        <w:jc w:val="center"/>
        <w:rPr>
          <w:rFonts w:eastAsia="Times New Roman" w:cs="Times New Roman"/>
          <w:b/>
          <w:sz w:val="32"/>
          <w:szCs w:val="32"/>
          <w:lang w:eastAsia="en-GB"/>
        </w:rPr>
      </w:pPr>
      <w:r w:rsidRPr="00871501">
        <w:rPr>
          <w:rFonts w:eastAsia="Times New Roman" w:cs="Times New Roman"/>
          <w:b/>
          <w:sz w:val="32"/>
          <w:szCs w:val="32"/>
          <w:lang w:eastAsia="en-GB"/>
        </w:rPr>
        <w:t xml:space="preserve">An </w:t>
      </w:r>
    </w:p>
    <w:p w14:paraId="1AC5E540" w14:textId="61EBACA5" w:rsidR="00871501" w:rsidRDefault="00871501" w:rsidP="00871501">
      <w:pPr>
        <w:spacing w:line="259" w:lineRule="auto"/>
        <w:jc w:val="center"/>
        <w:rPr>
          <w:rFonts w:eastAsia="Times New Roman" w:cs="Times New Roman"/>
          <w:b/>
          <w:sz w:val="32"/>
          <w:szCs w:val="32"/>
          <w:lang w:eastAsia="en-GB"/>
        </w:rPr>
      </w:pPr>
      <w:r w:rsidRPr="00871501">
        <w:rPr>
          <w:rFonts w:eastAsia="Times New Roman" w:cs="Times New Roman"/>
          <w:b/>
          <w:sz w:val="32"/>
          <w:szCs w:val="32"/>
          <w:lang w:eastAsia="en-GB"/>
        </w:rPr>
        <w:t>Analysis of Marriott Hotels</w:t>
      </w:r>
    </w:p>
    <w:p w14:paraId="294B2C2E" w14:textId="43EAAC50" w:rsidR="0054064A" w:rsidRDefault="0054064A" w:rsidP="00871501">
      <w:pPr>
        <w:spacing w:line="259" w:lineRule="auto"/>
        <w:jc w:val="center"/>
        <w:rPr>
          <w:rFonts w:eastAsia="Times New Roman" w:cs="Times New Roman"/>
          <w:b/>
          <w:sz w:val="32"/>
          <w:szCs w:val="32"/>
          <w:lang w:eastAsia="en-GB"/>
        </w:rPr>
      </w:pPr>
    </w:p>
    <w:p w14:paraId="1CE15D78" w14:textId="0CCB875C" w:rsidR="0054064A" w:rsidRDefault="0054064A" w:rsidP="00871501">
      <w:pPr>
        <w:spacing w:line="259" w:lineRule="auto"/>
        <w:jc w:val="center"/>
        <w:rPr>
          <w:rFonts w:eastAsia="Times New Roman" w:cs="Times New Roman"/>
          <w:b/>
          <w:sz w:val="32"/>
          <w:szCs w:val="32"/>
          <w:lang w:eastAsia="en-GB"/>
        </w:rPr>
      </w:pPr>
    </w:p>
    <w:p w14:paraId="771481D3" w14:textId="68C57EB3" w:rsidR="0054064A" w:rsidRDefault="0054064A" w:rsidP="00871501">
      <w:pPr>
        <w:spacing w:line="259" w:lineRule="auto"/>
        <w:jc w:val="center"/>
        <w:rPr>
          <w:rFonts w:eastAsia="Times New Roman" w:cs="Times New Roman"/>
          <w:b/>
          <w:sz w:val="32"/>
          <w:szCs w:val="32"/>
          <w:lang w:eastAsia="en-GB"/>
        </w:rPr>
      </w:pPr>
    </w:p>
    <w:p w14:paraId="7B9A8D63" w14:textId="732F1289" w:rsidR="0054064A" w:rsidRDefault="0054064A" w:rsidP="00871501">
      <w:pPr>
        <w:spacing w:line="259" w:lineRule="auto"/>
        <w:jc w:val="center"/>
        <w:rPr>
          <w:rFonts w:eastAsia="Times New Roman" w:cs="Times New Roman"/>
          <w:b/>
          <w:sz w:val="32"/>
          <w:szCs w:val="32"/>
          <w:lang w:eastAsia="en-GB"/>
        </w:rPr>
      </w:pPr>
    </w:p>
    <w:p w14:paraId="6FE71078" w14:textId="0E6FD1CB" w:rsidR="0054064A" w:rsidRDefault="0054064A" w:rsidP="00871501">
      <w:pPr>
        <w:spacing w:line="259" w:lineRule="auto"/>
        <w:jc w:val="center"/>
        <w:rPr>
          <w:rFonts w:eastAsia="Times New Roman" w:cs="Times New Roman"/>
          <w:b/>
          <w:sz w:val="32"/>
          <w:szCs w:val="32"/>
          <w:lang w:eastAsia="en-GB"/>
        </w:rPr>
      </w:pPr>
    </w:p>
    <w:p w14:paraId="72D01882" w14:textId="0E87C07F" w:rsidR="0054064A" w:rsidRPr="0054064A" w:rsidRDefault="0054064A" w:rsidP="00871501">
      <w:pPr>
        <w:spacing w:line="259" w:lineRule="auto"/>
        <w:jc w:val="center"/>
        <w:rPr>
          <w:rFonts w:eastAsia="Times New Roman" w:cs="Times New Roman"/>
          <w:b/>
          <w:sz w:val="28"/>
          <w:szCs w:val="28"/>
          <w:lang w:eastAsia="en-GB"/>
        </w:rPr>
      </w:pPr>
      <w:r w:rsidRPr="0054064A">
        <w:rPr>
          <w:rFonts w:eastAsia="Times New Roman" w:cs="Times New Roman"/>
          <w:b/>
          <w:sz w:val="28"/>
          <w:szCs w:val="28"/>
          <w:lang w:eastAsia="en-GB"/>
        </w:rPr>
        <w:t xml:space="preserve">Student Name: </w:t>
      </w:r>
      <w:r w:rsidRPr="0054064A">
        <w:rPr>
          <w:rFonts w:cs="Times New Roman"/>
          <w:color w:val="222222"/>
          <w:sz w:val="28"/>
          <w:szCs w:val="28"/>
          <w:shd w:val="clear" w:color="auto" w:fill="FFFFFF"/>
        </w:rPr>
        <w:t>Mohammed Majid </w:t>
      </w:r>
    </w:p>
    <w:p w14:paraId="61B54B7B" w14:textId="56E63B5F" w:rsidR="0054064A" w:rsidRPr="0054064A" w:rsidRDefault="0054064A" w:rsidP="00871501">
      <w:pPr>
        <w:spacing w:line="259" w:lineRule="auto"/>
        <w:jc w:val="center"/>
        <w:rPr>
          <w:rFonts w:eastAsia="Times New Roman" w:cs="Times New Roman"/>
          <w:b/>
          <w:sz w:val="28"/>
          <w:szCs w:val="28"/>
          <w:lang w:eastAsia="en-GB"/>
        </w:rPr>
      </w:pPr>
      <w:r w:rsidRPr="0054064A">
        <w:rPr>
          <w:rFonts w:eastAsia="Times New Roman" w:cs="Times New Roman"/>
          <w:b/>
          <w:sz w:val="28"/>
          <w:szCs w:val="28"/>
          <w:lang w:eastAsia="en-GB"/>
        </w:rPr>
        <w:t xml:space="preserve">Student ID: </w:t>
      </w:r>
      <w:r w:rsidRPr="0054064A">
        <w:rPr>
          <w:rFonts w:cs="Times New Roman"/>
          <w:color w:val="222222"/>
          <w:sz w:val="28"/>
          <w:szCs w:val="28"/>
          <w:shd w:val="clear" w:color="auto" w:fill="FFFFFF"/>
        </w:rPr>
        <w:t>2013090</w:t>
      </w:r>
    </w:p>
    <w:p w14:paraId="34F8785B" w14:textId="77777777" w:rsidR="00871501" w:rsidRPr="00871501" w:rsidRDefault="00871501" w:rsidP="00871501">
      <w:pPr>
        <w:spacing w:line="259" w:lineRule="auto"/>
        <w:jc w:val="left"/>
        <w:rPr>
          <w:rFonts w:eastAsia="Times New Roman" w:cs="Times New Roman"/>
          <w:szCs w:val="24"/>
          <w:lang w:eastAsia="en-GB"/>
        </w:rPr>
      </w:pPr>
    </w:p>
    <w:p w14:paraId="3B2E0610" w14:textId="77777777" w:rsidR="00871501" w:rsidRPr="00871501" w:rsidRDefault="00871501" w:rsidP="00871501">
      <w:pPr>
        <w:spacing w:line="259" w:lineRule="auto"/>
        <w:jc w:val="left"/>
        <w:rPr>
          <w:rFonts w:eastAsia="Times New Roman" w:cs="Times New Roman"/>
          <w:szCs w:val="24"/>
          <w:lang w:eastAsia="en-GB"/>
        </w:rPr>
      </w:pPr>
    </w:p>
    <w:p w14:paraId="6FAB66D5" w14:textId="77777777" w:rsidR="00871501" w:rsidRPr="00871501" w:rsidRDefault="00871501" w:rsidP="00871501">
      <w:pPr>
        <w:spacing w:line="259" w:lineRule="auto"/>
        <w:jc w:val="left"/>
        <w:rPr>
          <w:rFonts w:eastAsia="Times New Roman" w:cs="Times New Roman"/>
          <w:szCs w:val="24"/>
          <w:lang w:eastAsia="en-GB"/>
        </w:rPr>
      </w:pPr>
    </w:p>
    <w:p w14:paraId="1D94DD1C" w14:textId="77777777" w:rsidR="00871501" w:rsidRPr="00871501" w:rsidRDefault="00871501" w:rsidP="00871501">
      <w:pPr>
        <w:spacing w:line="259" w:lineRule="auto"/>
        <w:jc w:val="left"/>
        <w:rPr>
          <w:rFonts w:eastAsia="Times New Roman" w:cs="Times New Roman"/>
          <w:szCs w:val="24"/>
          <w:lang w:eastAsia="en-GB"/>
        </w:rPr>
      </w:pPr>
    </w:p>
    <w:p w14:paraId="72F34C04" w14:textId="77777777" w:rsidR="00871501" w:rsidRPr="00871501" w:rsidRDefault="00871501" w:rsidP="00871501">
      <w:pPr>
        <w:spacing w:line="259" w:lineRule="auto"/>
        <w:jc w:val="left"/>
        <w:rPr>
          <w:rFonts w:eastAsia="Times New Roman" w:cs="Times New Roman"/>
          <w:szCs w:val="24"/>
          <w:lang w:eastAsia="en-GB"/>
        </w:rPr>
      </w:pPr>
    </w:p>
    <w:p w14:paraId="7AB83547" w14:textId="77777777" w:rsidR="00871501" w:rsidRPr="00871501" w:rsidRDefault="00871501" w:rsidP="00871501">
      <w:pPr>
        <w:spacing w:line="259" w:lineRule="auto"/>
        <w:jc w:val="left"/>
        <w:rPr>
          <w:rFonts w:eastAsia="Times New Roman" w:cs="Times New Roman"/>
          <w:szCs w:val="24"/>
          <w:lang w:eastAsia="en-GB"/>
        </w:rPr>
      </w:pPr>
    </w:p>
    <w:p w14:paraId="07E0E081" w14:textId="77777777" w:rsidR="00871501" w:rsidRPr="00871501" w:rsidRDefault="00871501" w:rsidP="00871501">
      <w:pPr>
        <w:spacing w:line="259" w:lineRule="auto"/>
        <w:jc w:val="left"/>
        <w:rPr>
          <w:rFonts w:eastAsia="Times New Roman" w:cs="Times New Roman"/>
          <w:szCs w:val="24"/>
          <w:lang w:eastAsia="en-GB"/>
        </w:rPr>
      </w:pPr>
    </w:p>
    <w:p w14:paraId="43B66210" w14:textId="77777777" w:rsidR="00871501" w:rsidRPr="00871501" w:rsidRDefault="00871501" w:rsidP="00871501">
      <w:pPr>
        <w:spacing w:line="259" w:lineRule="auto"/>
        <w:jc w:val="left"/>
        <w:rPr>
          <w:rFonts w:eastAsia="Times New Roman" w:cs="Times New Roman"/>
          <w:szCs w:val="24"/>
          <w:lang w:eastAsia="en-GB"/>
        </w:rPr>
      </w:pPr>
    </w:p>
    <w:p w14:paraId="46DCCEC9" w14:textId="77777777" w:rsidR="00871501" w:rsidRPr="00871501" w:rsidRDefault="00871501" w:rsidP="00871501">
      <w:pPr>
        <w:spacing w:line="259" w:lineRule="auto"/>
        <w:jc w:val="left"/>
        <w:rPr>
          <w:rFonts w:eastAsia="Times New Roman" w:cs="Times New Roman"/>
          <w:szCs w:val="24"/>
          <w:lang w:eastAsia="en-GB"/>
        </w:rPr>
      </w:pPr>
    </w:p>
    <w:p w14:paraId="1FF5E018" w14:textId="77777777" w:rsidR="00871501" w:rsidRPr="00871501" w:rsidRDefault="00871501" w:rsidP="00871501">
      <w:pPr>
        <w:spacing w:line="259" w:lineRule="auto"/>
        <w:jc w:val="left"/>
        <w:rPr>
          <w:rFonts w:eastAsia="Times New Roman" w:cs="Times New Roman"/>
          <w:szCs w:val="24"/>
          <w:lang w:eastAsia="en-GB"/>
        </w:rPr>
      </w:pPr>
    </w:p>
    <w:p w14:paraId="36A2C1DA" w14:textId="77777777" w:rsidR="00871501" w:rsidRPr="00871501" w:rsidRDefault="00871501" w:rsidP="00871501">
      <w:pPr>
        <w:spacing w:line="259" w:lineRule="auto"/>
        <w:jc w:val="left"/>
        <w:rPr>
          <w:rFonts w:eastAsia="Times New Roman" w:cs="Times New Roman"/>
          <w:szCs w:val="24"/>
          <w:lang w:eastAsia="en-GB"/>
        </w:rPr>
      </w:pPr>
    </w:p>
    <w:p w14:paraId="1CF38677" w14:textId="77777777" w:rsidR="00871501" w:rsidRPr="00871501" w:rsidRDefault="00871501" w:rsidP="00871501">
      <w:pPr>
        <w:spacing w:line="259" w:lineRule="auto"/>
        <w:jc w:val="left"/>
        <w:rPr>
          <w:rFonts w:eastAsia="Times New Roman" w:cs="Times New Roman"/>
          <w:szCs w:val="24"/>
          <w:lang w:eastAsia="en-GB"/>
        </w:rPr>
      </w:pPr>
    </w:p>
    <w:p w14:paraId="7C3E332C" w14:textId="77777777" w:rsidR="00871501" w:rsidRPr="00871501" w:rsidRDefault="00871501" w:rsidP="00871501">
      <w:pPr>
        <w:spacing w:line="259" w:lineRule="auto"/>
        <w:jc w:val="center"/>
        <w:rPr>
          <w:rFonts w:eastAsia="Times New Roman" w:cs="Times New Roman"/>
          <w:szCs w:val="24"/>
          <w:lang w:eastAsia="en-GB"/>
        </w:rPr>
      </w:pPr>
      <w:r w:rsidRPr="00871501">
        <w:rPr>
          <w:rFonts w:eastAsia="Times New Roman" w:cs="Times New Roman"/>
          <w:b/>
          <w:szCs w:val="24"/>
          <w:lang w:eastAsia="en-GB"/>
        </w:rPr>
        <w:t>UNIVERSITY OF WALES TRINITY SAINT DAVID</w:t>
      </w:r>
      <w:r w:rsidRPr="00871501">
        <w:rPr>
          <w:rFonts w:eastAsia="Times New Roman" w:cs="Times New Roman"/>
          <w:szCs w:val="24"/>
          <w:lang w:eastAsia="en-GB"/>
        </w:rPr>
        <w:br w:type="page"/>
      </w:r>
    </w:p>
    <w:sdt>
      <w:sdtPr>
        <w:rPr>
          <w:rFonts w:ascii="Times New Roman" w:eastAsiaTheme="minorHAnsi" w:hAnsi="Times New Roman" w:cstheme="minorBidi"/>
          <w:color w:val="auto"/>
          <w:sz w:val="24"/>
          <w:szCs w:val="22"/>
          <w:lang w:val="en-GB"/>
        </w:rPr>
        <w:id w:val="-469522056"/>
        <w:docPartObj>
          <w:docPartGallery w:val="Table of Contents"/>
          <w:docPartUnique/>
        </w:docPartObj>
      </w:sdtPr>
      <w:sdtEndPr>
        <w:rPr>
          <w:b/>
          <w:bCs/>
          <w:noProof/>
        </w:rPr>
      </w:sdtEndPr>
      <w:sdtContent>
        <w:p w14:paraId="793E2328" w14:textId="77777777" w:rsidR="00AD0C84" w:rsidRDefault="00AD0C84">
          <w:pPr>
            <w:pStyle w:val="TOCHeading"/>
          </w:pPr>
          <w:r>
            <w:t>Contents</w:t>
          </w:r>
        </w:p>
        <w:p w14:paraId="5FD79F41" w14:textId="77777777" w:rsidR="00AD0C84" w:rsidRDefault="00AD0C8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295318" w:history="1">
            <w:r w:rsidRPr="00157BB5">
              <w:rPr>
                <w:rStyle w:val="Hyperlink"/>
                <w:rFonts w:eastAsia="Times New Roman"/>
                <w:noProof/>
                <w:lang w:eastAsia="en-GB"/>
              </w:rPr>
              <w:t>Executive Summary</w:t>
            </w:r>
            <w:r>
              <w:rPr>
                <w:noProof/>
                <w:webHidden/>
              </w:rPr>
              <w:tab/>
            </w:r>
            <w:r>
              <w:rPr>
                <w:noProof/>
                <w:webHidden/>
              </w:rPr>
              <w:fldChar w:fldCharType="begin"/>
            </w:r>
            <w:r>
              <w:rPr>
                <w:noProof/>
                <w:webHidden/>
              </w:rPr>
              <w:instrText xml:space="preserve"> PAGEREF _Toc120295318 \h </w:instrText>
            </w:r>
            <w:r>
              <w:rPr>
                <w:noProof/>
                <w:webHidden/>
              </w:rPr>
            </w:r>
            <w:r>
              <w:rPr>
                <w:noProof/>
                <w:webHidden/>
              </w:rPr>
              <w:fldChar w:fldCharType="separate"/>
            </w:r>
            <w:r>
              <w:rPr>
                <w:noProof/>
                <w:webHidden/>
              </w:rPr>
              <w:t>3</w:t>
            </w:r>
            <w:r>
              <w:rPr>
                <w:noProof/>
                <w:webHidden/>
              </w:rPr>
              <w:fldChar w:fldCharType="end"/>
            </w:r>
          </w:hyperlink>
        </w:p>
        <w:p w14:paraId="6E0565D7"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19" w:history="1">
            <w:r w:rsidR="00AD0C84" w:rsidRPr="00157BB5">
              <w:rPr>
                <w:rStyle w:val="Hyperlink"/>
                <w:rFonts w:eastAsia="Times New Roman"/>
                <w:noProof/>
                <w:lang w:eastAsia="en-GB"/>
              </w:rPr>
              <w:t>Introduction</w:t>
            </w:r>
            <w:r w:rsidR="00AD0C84">
              <w:rPr>
                <w:noProof/>
                <w:webHidden/>
              </w:rPr>
              <w:tab/>
            </w:r>
            <w:r w:rsidR="00AD0C84">
              <w:rPr>
                <w:noProof/>
                <w:webHidden/>
              </w:rPr>
              <w:fldChar w:fldCharType="begin"/>
            </w:r>
            <w:r w:rsidR="00AD0C84">
              <w:rPr>
                <w:noProof/>
                <w:webHidden/>
              </w:rPr>
              <w:instrText xml:space="preserve"> PAGEREF _Toc120295319 \h </w:instrText>
            </w:r>
            <w:r w:rsidR="00AD0C84">
              <w:rPr>
                <w:noProof/>
                <w:webHidden/>
              </w:rPr>
            </w:r>
            <w:r w:rsidR="00AD0C84">
              <w:rPr>
                <w:noProof/>
                <w:webHidden/>
              </w:rPr>
              <w:fldChar w:fldCharType="separate"/>
            </w:r>
            <w:r w:rsidR="00AD0C84">
              <w:rPr>
                <w:noProof/>
                <w:webHidden/>
              </w:rPr>
              <w:t>4</w:t>
            </w:r>
            <w:r w:rsidR="00AD0C84">
              <w:rPr>
                <w:noProof/>
                <w:webHidden/>
              </w:rPr>
              <w:fldChar w:fldCharType="end"/>
            </w:r>
          </w:hyperlink>
        </w:p>
        <w:p w14:paraId="6020D227"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0" w:history="1">
            <w:r w:rsidR="00AD0C84" w:rsidRPr="00157BB5">
              <w:rPr>
                <w:rStyle w:val="Hyperlink"/>
                <w:rFonts w:eastAsia="Times New Roman"/>
                <w:noProof/>
                <w:lang w:eastAsia="en-GB"/>
              </w:rPr>
              <w:t>Financial Analysis Trends</w:t>
            </w:r>
            <w:r w:rsidR="00AD0C84">
              <w:rPr>
                <w:noProof/>
                <w:webHidden/>
              </w:rPr>
              <w:tab/>
            </w:r>
            <w:r w:rsidR="00AD0C84">
              <w:rPr>
                <w:noProof/>
                <w:webHidden/>
              </w:rPr>
              <w:fldChar w:fldCharType="begin"/>
            </w:r>
            <w:r w:rsidR="00AD0C84">
              <w:rPr>
                <w:noProof/>
                <w:webHidden/>
              </w:rPr>
              <w:instrText xml:space="preserve"> PAGEREF _Toc120295320 \h </w:instrText>
            </w:r>
            <w:r w:rsidR="00AD0C84">
              <w:rPr>
                <w:noProof/>
                <w:webHidden/>
              </w:rPr>
            </w:r>
            <w:r w:rsidR="00AD0C84">
              <w:rPr>
                <w:noProof/>
                <w:webHidden/>
              </w:rPr>
              <w:fldChar w:fldCharType="separate"/>
            </w:r>
            <w:r w:rsidR="00AD0C84">
              <w:rPr>
                <w:noProof/>
                <w:webHidden/>
              </w:rPr>
              <w:t>5</w:t>
            </w:r>
            <w:r w:rsidR="00AD0C84">
              <w:rPr>
                <w:noProof/>
                <w:webHidden/>
              </w:rPr>
              <w:fldChar w:fldCharType="end"/>
            </w:r>
          </w:hyperlink>
        </w:p>
        <w:p w14:paraId="662B157B" w14:textId="77777777" w:rsidR="00AD0C84" w:rsidRDefault="00000000">
          <w:pPr>
            <w:pStyle w:val="TOC2"/>
            <w:tabs>
              <w:tab w:val="right" w:leader="dot" w:pos="9350"/>
            </w:tabs>
            <w:rPr>
              <w:rFonts w:asciiTheme="minorHAnsi" w:eastAsiaTheme="minorEastAsia" w:hAnsiTheme="minorHAnsi"/>
              <w:noProof/>
              <w:sz w:val="22"/>
              <w:lang w:eastAsia="en-GB"/>
            </w:rPr>
          </w:pPr>
          <w:hyperlink w:anchor="_Toc120295321" w:history="1">
            <w:r w:rsidR="00AD0C84" w:rsidRPr="00157BB5">
              <w:rPr>
                <w:rStyle w:val="Hyperlink"/>
                <w:rFonts w:eastAsia="Times New Roman"/>
                <w:noProof/>
                <w:lang w:eastAsia="en-GB"/>
              </w:rPr>
              <w:t>Profitability</w:t>
            </w:r>
            <w:r w:rsidR="00AD0C84">
              <w:rPr>
                <w:noProof/>
                <w:webHidden/>
              </w:rPr>
              <w:tab/>
            </w:r>
            <w:r w:rsidR="00AD0C84">
              <w:rPr>
                <w:noProof/>
                <w:webHidden/>
              </w:rPr>
              <w:fldChar w:fldCharType="begin"/>
            </w:r>
            <w:r w:rsidR="00AD0C84">
              <w:rPr>
                <w:noProof/>
                <w:webHidden/>
              </w:rPr>
              <w:instrText xml:space="preserve"> PAGEREF _Toc120295321 \h </w:instrText>
            </w:r>
            <w:r w:rsidR="00AD0C84">
              <w:rPr>
                <w:noProof/>
                <w:webHidden/>
              </w:rPr>
            </w:r>
            <w:r w:rsidR="00AD0C84">
              <w:rPr>
                <w:noProof/>
                <w:webHidden/>
              </w:rPr>
              <w:fldChar w:fldCharType="separate"/>
            </w:r>
            <w:r w:rsidR="00AD0C84">
              <w:rPr>
                <w:noProof/>
                <w:webHidden/>
              </w:rPr>
              <w:t>5</w:t>
            </w:r>
            <w:r w:rsidR="00AD0C84">
              <w:rPr>
                <w:noProof/>
                <w:webHidden/>
              </w:rPr>
              <w:fldChar w:fldCharType="end"/>
            </w:r>
          </w:hyperlink>
        </w:p>
        <w:p w14:paraId="1DE3FE6E" w14:textId="77777777" w:rsidR="00AD0C84" w:rsidRDefault="00000000">
          <w:pPr>
            <w:pStyle w:val="TOC2"/>
            <w:tabs>
              <w:tab w:val="right" w:leader="dot" w:pos="9350"/>
            </w:tabs>
            <w:rPr>
              <w:rFonts w:asciiTheme="minorHAnsi" w:eastAsiaTheme="minorEastAsia" w:hAnsiTheme="minorHAnsi"/>
              <w:noProof/>
              <w:sz w:val="22"/>
              <w:lang w:eastAsia="en-GB"/>
            </w:rPr>
          </w:pPr>
          <w:hyperlink w:anchor="_Toc120295322" w:history="1">
            <w:r w:rsidR="00AD0C84" w:rsidRPr="00157BB5">
              <w:rPr>
                <w:rStyle w:val="Hyperlink"/>
                <w:rFonts w:eastAsia="Times New Roman"/>
                <w:noProof/>
                <w:lang w:eastAsia="en-GB"/>
              </w:rPr>
              <w:t>Liquidity Ratios</w:t>
            </w:r>
            <w:r w:rsidR="00AD0C84">
              <w:rPr>
                <w:noProof/>
                <w:webHidden/>
              </w:rPr>
              <w:tab/>
            </w:r>
            <w:r w:rsidR="00AD0C84">
              <w:rPr>
                <w:noProof/>
                <w:webHidden/>
              </w:rPr>
              <w:fldChar w:fldCharType="begin"/>
            </w:r>
            <w:r w:rsidR="00AD0C84">
              <w:rPr>
                <w:noProof/>
                <w:webHidden/>
              </w:rPr>
              <w:instrText xml:space="preserve"> PAGEREF _Toc120295322 \h </w:instrText>
            </w:r>
            <w:r w:rsidR="00AD0C84">
              <w:rPr>
                <w:noProof/>
                <w:webHidden/>
              </w:rPr>
            </w:r>
            <w:r w:rsidR="00AD0C84">
              <w:rPr>
                <w:noProof/>
                <w:webHidden/>
              </w:rPr>
              <w:fldChar w:fldCharType="separate"/>
            </w:r>
            <w:r w:rsidR="00AD0C84">
              <w:rPr>
                <w:noProof/>
                <w:webHidden/>
              </w:rPr>
              <w:t>7</w:t>
            </w:r>
            <w:r w:rsidR="00AD0C84">
              <w:rPr>
                <w:noProof/>
                <w:webHidden/>
              </w:rPr>
              <w:fldChar w:fldCharType="end"/>
            </w:r>
          </w:hyperlink>
        </w:p>
        <w:p w14:paraId="4EA48745" w14:textId="77777777" w:rsidR="00AD0C84" w:rsidRDefault="00000000">
          <w:pPr>
            <w:pStyle w:val="TOC2"/>
            <w:tabs>
              <w:tab w:val="right" w:leader="dot" w:pos="9350"/>
            </w:tabs>
            <w:rPr>
              <w:rFonts w:asciiTheme="minorHAnsi" w:eastAsiaTheme="minorEastAsia" w:hAnsiTheme="minorHAnsi"/>
              <w:noProof/>
              <w:sz w:val="22"/>
              <w:lang w:eastAsia="en-GB"/>
            </w:rPr>
          </w:pPr>
          <w:hyperlink w:anchor="_Toc120295323" w:history="1">
            <w:r w:rsidR="00AD0C84" w:rsidRPr="00157BB5">
              <w:rPr>
                <w:rStyle w:val="Hyperlink"/>
                <w:rFonts w:eastAsia="Times New Roman"/>
                <w:noProof/>
                <w:lang w:eastAsia="en-GB"/>
              </w:rPr>
              <w:t>Gearing</w:t>
            </w:r>
            <w:r w:rsidR="00AD0C84">
              <w:rPr>
                <w:noProof/>
                <w:webHidden/>
              </w:rPr>
              <w:tab/>
            </w:r>
            <w:r w:rsidR="00AD0C84">
              <w:rPr>
                <w:noProof/>
                <w:webHidden/>
              </w:rPr>
              <w:fldChar w:fldCharType="begin"/>
            </w:r>
            <w:r w:rsidR="00AD0C84">
              <w:rPr>
                <w:noProof/>
                <w:webHidden/>
              </w:rPr>
              <w:instrText xml:space="preserve"> PAGEREF _Toc120295323 \h </w:instrText>
            </w:r>
            <w:r w:rsidR="00AD0C84">
              <w:rPr>
                <w:noProof/>
                <w:webHidden/>
              </w:rPr>
            </w:r>
            <w:r w:rsidR="00AD0C84">
              <w:rPr>
                <w:noProof/>
                <w:webHidden/>
              </w:rPr>
              <w:fldChar w:fldCharType="separate"/>
            </w:r>
            <w:r w:rsidR="00AD0C84">
              <w:rPr>
                <w:noProof/>
                <w:webHidden/>
              </w:rPr>
              <w:t>8</w:t>
            </w:r>
            <w:r w:rsidR="00AD0C84">
              <w:rPr>
                <w:noProof/>
                <w:webHidden/>
              </w:rPr>
              <w:fldChar w:fldCharType="end"/>
            </w:r>
          </w:hyperlink>
        </w:p>
        <w:p w14:paraId="18E63C95"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4" w:history="1">
            <w:r w:rsidR="00AD0C84" w:rsidRPr="00157BB5">
              <w:rPr>
                <w:rStyle w:val="Hyperlink"/>
                <w:rFonts w:eastAsia="Times New Roman"/>
                <w:noProof/>
                <w:lang w:eastAsia="en-GB"/>
              </w:rPr>
              <w:t>Knowledge from Ratio Analysis</w:t>
            </w:r>
            <w:r w:rsidR="00AD0C84">
              <w:rPr>
                <w:noProof/>
                <w:webHidden/>
              </w:rPr>
              <w:tab/>
            </w:r>
            <w:r w:rsidR="00AD0C84">
              <w:rPr>
                <w:noProof/>
                <w:webHidden/>
              </w:rPr>
              <w:fldChar w:fldCharType="begin"/>
            </w:r>
            <w:r w:rsidR="00AD0C84">
              <w:rPr>
                <w:noProof/>
                <w:webHidden/>
              </w:rPr>
              <w:instrText xml:space="preserve"> PAGEREF _Toc120295324 \h </w:instrText>
            </w:r>
            <w:r w:rsidR="00AD0C84">
              <w:rPr>
                <w:noProof/>
                <w:webHidden/>
              </w:rPr>
            </w:r>
            <w:r w:rsidR="00AD0C84">
              <w:rPr>
                <w:noProof/>
                <w:webHidden/>
              </w:rPr>
              <w:fldChar w:fldCharType="separate"/>
            </w:r>
            <w:r w:rsidR="00AD0C84">
              <w:rPr>
                <w:noProof/>
                <w:webHidden/>
              </w:rPr>
              <w:t>9</w:t>
            </w:r>
            <w:r w:rsidR="00AD0C84">
              <w:rPr>
                <w:noProof/>
                <w:webHidden/>
              </w:rPr>
              <w:fldChar w:fldCharType="end"/>
            </w:r>
          </w:hyperlink>
        </w:p>
        <w:p w14:paraId="53AEE3CA" w14:textId="77777777" w:rsidR="00AD0C84" w:rsidRDefault="00000000">
          <w:pPr>
            <w:pStyle w:val="TOC2"/>
            <w:tabs>
              <w:tab w:val="right" w:leader="dot" w:pos="9350"/>
            </w:tabs>
            <w:rPr>
              <w:rFonts w:asciiTheme="minorHAnsi" w:eastAsiaTheme="minorEastAsia" w:hAnsiTheme="minorHAnsi"/>
              <w:noProof/>
              <w:sz w:val="22"/>
              <w:lang w:eastAsia="en-GB"/>
            </w:rPr>
          </w:pPr>
          <w:hyperlink w:anchor="_Toc120295325" w:history="1">
            <w:r w:rsidR="00AD0C84" w:rsidRPr="00157BB5">
              <w:rPr>
                <w:rStyle w:val="Hyperlink"/>
                <w:rFonts w:eastAsia="Times New Roman"/>
                <w:noProof/>
                <w:lang w:eastAsia="en-GB"/>
              </w:rPr>
              <w:t>Internal use of Ratio Analysis</w:t>
            </w:r>
            <w:r w:rsidR="00AD0C84">
              <w:rPr>
                <w:noProof/>
                <w:webHidden/>
              </w:rPr>
              <w:tab/>
            </w:r>
            <w:r w:rsidR="00AD0C84">
              <w:rPr>
                <w:noProof/>
                <w:webHidden/>
              </w:rPr>
              <w:fldChar w:fldCharType="begin"/>
            </w:r>
            <w:r w:rsidR="00AD0C84">
              <w:rPr>
                <w:noProof/>
                <w:webHidden/>
              </w:rPr>
              <w:instrText xml:space="preserve"> PAGEREF _Toc120295325 \h </w:instrText>
            </w:r>
            <w:r w:rsidR="00AD0C84">
              <w:rPr>
                <w:noProof/>
                <w:webHidden/>
              </w:rPr>
            </w:r>
            <w:r w:rsidR="00AD0C84">
              <w:rPr>
                <w:noProof/>
                <w:webHidden/>
              </w:rPr>
              <w:fldChar w:fldCharType="separate"/>
            </w:r>
            <w:r w:rsidR="00AD0C84">
              <w:rPr>
                <w:noProof/>
                <w:webHidden/>
              </w:rPr>
              <w:t>9</w:t>
            </w:r>
            <w:r w:rsidR="00AD0C84">
              <w:rPr>
                <w:noProof/>
                <w:webHidden/>
              </w:rPr>
              <w:fldChar w:fldCharType="end"/>
            </w:r>
          </w:hyperlink>
        </w:p>
        <w:p w14:paraId="7765970B"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6" w:history="1">
            <w:r w:rsidR="00AD0C84" w:rsidRPr="00157BB5">
              <w:rPr>
                <w:rStyle w:val="Hyperlink"/>
                <w:rFonts w:eastAsia="Times New Roman"/>
                <w:noProof/>
                <w:lang w:eastAsia="en-GB"/>
              </w:rPr>
              <w:t>Benefits and Limitations of Ratio Analysis</w:t>
            </w:r>
            <w:r w:rsidR="00AD0C84">
              <w:rPr>
                <w:noProof/>
                <w:webHidden/>
              </w:rPr>
              <w:tab/>
            </w:r>
            <w:r w:rsidR="00AD0C84">
              <w:rPr>
                <w:noProof/>
                <w:webHidden/>
              </w:rPr>
              <w:fldChar w:fldCharType="begin"/>
            </w:r>
            <w:r w:rsidR="00AD0C84">
              <w:rPr>
                <w:noProof/>
                <w:webHidden/>
              </w:rPr>
              <w:instrText xml:space="preserve"> PAGEREF _Toc120295326 \h </w:instrText>
            </w:r>
            <w:r w:rsidR="00AD0C84">
              <w:rPr>
                <w:noProof/>
                <w:webHidden/>
              </w:rPr>
            </w:r>
            <w:r w:rsidR="00AD0C84">
              <w:rPr>
                <w:noProof/>
                <w:webHidden/>
              </w:rPr>
              <w:fldChar w:fldCharType="separate"/>
            </w:r>
            <w:r w:rsidR="00AD0C84">
              <w:rPr>
                <w:noProof/>
                <w:webHidden/>
              </w:rPr>
              <w:t>11</w:t>
            </w:r>
            <w:r w:rsidR="00AD0C84">
              <w:rPr>
                <w:noProof/>
                <w:webHidden/>
              </w:rPr>
              <w:fldChar w:fldCharType="end"/>
            </w:r>
          </w:hyperlink>
        </w:p>
        <w:p w14:paraId="0F6078F6"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7" w:history="1">
            <w:r w:rsidR="00AD0C84" w:rsidRPr="00157BB5">
              <w:rPr>
                <w:rStyle w:val="Hyperlink"/>
                <w:rFonts w:eastAsia="Times New Roman"/>
                <w:noProof/>
                <w:lang w:eastAsia="en-GB"/>
              </w:rPr>
              <w:t>Conclusion and Recommendations</w:t>
            </w:r>
            <w:r w:rsidR="00AD0C84">
              <w:rPr>
                <w:noProof/>
                <w:webHidden/>
              </w:rPr>
              <w:tab/>
            </w:r>
            <w:r w:rsidR="00AD0C84">
              <w:rPr>
                <w:noProof/>
                <w:webHidden/>
              </w:rPr>
              <w:fldChar w:fldCharType="begin"/>
            </w:r>
            <w:r w:rsidR="00AD0C84">
              <w:rPr>
                <w:noProof/>
                <w:webHidden/>
              </w:rPr>
              <w:instrText xml:space="preserve"> PAGEREF _Toc120295327 \h </w:instrText>
            </w:r>
            <w:r w:rsidR="00AD0C84">
              <w:rPr>
                <w:noProof/>
                <w:webHidden/>
              </w:rPr>
            </w:r>
            <w:r w:rsidR="00AD0C84">
              <w:rPr>
                <w:noProof/>
                <w:webHidden/>
              </w:rPr>
              <w:fldChar w:fldCharType="separate"/>
            </w:r>
            <w:r w:rsidR="00AD0C84">
              <w:rPr>
                <w:noProof/>
                <w:webHidden/>
              </w:rPr>
              <w:t>12</w:t>
            </w:r>
            <w:r w:rsidR="00AD0C84">
              <w:rPr>
                <w:noProof/>
                <w:webHidden/>
              </w:rPr>
              <w:fldChar w:fldCharType="end"/>
            </w:r>
          </w:hyperlink>
        </w:p>
        <w:p w14:paraId="030D2181"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8" w:history="1">
            <w:r w:rsidR="00AD0C84" w:rsidRPr="00157BB5">
              <w:rPr>
                <w:rStyle w:val="Hyperlink"/>
                <w:rFonts w:eastAsia="Times New Roman"/>
                <w:noProof/>
                <w:lang w:eastAsia="en-GB"/>
              </w:rPr>
              <w:t>References</w:t>
            </w:r>
            <w:r w:rsidR="00AD0C84">
              <w:rPr>
                <w:noProof/>
                <w:webHidden/>
              </w:rPr>
              <w:tab/>
            </w:r>
            <w:r w:rsidR="00AD0C84">
              <w:rPr>
                <w:noProof/>
                <w:webHidden/>
              </w:rPr>
              <w:fldChar w:fldCharType="begin"/>
            </w:r>
            <w:r w:rsidR="00AD0C84">
              <w:rPr>
                <w:noProof/>
                <w:webHidden/>
              </w:rPr>
              <w:instrText xml:space="preserve"> PAGEREF _Toc120295328 \h </w:instrText>
            </w:r>
            <w:r w:rsidR="00AD0C84">
              <w:rPr>
                <w:noProof/>
                <w:webHidden/>
              </w:rPr>
            </w:r>
            <w:r w:rsidR="00AD0C84">
              <w:rPr>
                <w:noProof/>
                <w:webHidden/>
              </w:rPr>
              <w:fldChar w:fldCharType="separate"/>
            </w:r>
            <w:r w:rsidR="00AD0C84">
              <w:rPr>
                <w:noProof/>
                <w:webHidden/>
              </w:rPr>
              <w:t>13</w:t>
            </w:r>
            <w:r w:rsidR="00AD0C84">
              <w:rPr>
                <w:noProof/>
                <w:webHidden/>
              </w:rPr>
              <w:fldChar w:fldCharType="end"/>
            </w:r>
          </w:hyperlink>
        </w:p>
        <w:p w14:paraId="29CB04D1" w14:textId="77777777" w:rsidR="00AD0C84" w:rsidRDefault="00000000">
          <w:pPr>
            <w:pStyle w:val="TOC1"/>
            <w:tabs>
              <w:tab w:val="right" w:leader="dot" w:pos="9350"/>
            </w:tabs>
            <w:rPr>
              <w:rFonts w:asciiTheme="minorHAnsi" w:eastAsiaTheme="minorEastAsia" w:hAnsiTheme="minorHAnsi"/>
              <w:noProof/>
              <w:sz w:val="22"/>
              <w:lang w:eastAsia="en-GB"/>
            </w:rPr>
          </w:pPr>
          <w:hyperlink w:anchor="_Toc120295329" w:history="1">
            <w:r w:rsidR="00AD0C84" w:rsidRPr="00157BB5">
              <w:rPr>
                <w:rStyle w:val="Hyperlink"/>
                <w:rFonts w:eastAsia="Times New Roman"/>
                <w:noProof/>
                <w:lang w:eastAsia="en-GB"/>
              </w:rPr>
              <w:t>Appendix</w:t>
            </w:r>
            <w:r w:rsidR="00AD0C84">
              <w:rPr>
                <w:noProof/>
                <w:webHidden/>
              </w:rPr>
              <w:tab/>
            </w:r>
            <w:r w:rsidR="00AD0C84">
              <w:rPr>
                <w:noProof/>
                <w:webHidden/>
              </w:rPr>
              <w:fldChar w:fldCharType="begin"/>
            </w:r>
            <w:r w:rsidR="00AD0C84">
              <w:rPr>
                <w:noProof/>
                <w:webHidden/>
              </w:rPr>
              <w:instrText xml:space="preserve"> PAGEREF _Toc120295329 \h </w:instrText>
            </w:r>
            <w:r w:rsidR="00AD0C84">
              <w:rPr>
                <w:noProof/>
                <w:webHidden/>
              </w:rPr>
            </w:r>
            <w:r w:rsidR="00AD0C84">
              <w:rPr>
                <w:noProof/>
                <w:webHidden/>
              </w:rPr>
              <w:fldChar w:fldCharType="separate"/>
            </w:r>
            <w:r w:rsidR="00AD0C84">
              <w:rPr>
                <w:noProof/>
                <w:webHidden/>
              </w:rPr>
              <w:t>15</w:t>
            </w:r>
            <w:r w:rsidR="00AD0C84">
              <w:rPr>
                <w:noProof/>
                <w:webHidden/>
              </w:rPr>
              <w:fldChar w:fldCharType="end"/>
            </w:r>
          </w:hyperlink>
        </w:p>
        <w:p w14:paraId="6C848D2F" w14:textId="77777777" w:rsidR="00AD0C84" w:rsidRDefault="00AD0C84">
          <w:r>
            <w:rPr>
              <w:b/>
              <w:bCs/>
              <w:noProof/>
            </w:rPr>
            <w:fldChar w:fldCharType="end"/>
          </w:r>
        </w:p>
      </w:sdtContent>
    </w:sdt>
    <w:p w14:paraId="34292AF4" w14:textId="77777777" w:rsidR="00871501" w:rsidRDefault="00871501">
      <w:pPr>
        <w:spacing w:line="259" w:lineRule="auto"/>
        <w:jc w:val="left"/>
        <w:rPr>
          <w:rFonts w:eastAsia="Times New Roman" w:cs="Times New Roman"/>
          <w:szCs w:val="24"/>
          <w:lang w:eastAsia="en-GB"/>
        </w:rPr>
      </w:pPr>
      <w:r>
        <w:rPr>
          <w:rFonts w:eastAsia="Times New Roman" w:cs="Times New Roman"/>
          <w:szCs w:val="24"/>
          <w:lang w:eastAsia="en-GB"/>
        </w:rPr>
        <w:br w:type="page"/>
      </w:r>
    </w:p>
    <w:p w14:paraId="2A619541" w14:textId="77777777" w:rsidR="00871501" w:rsidRPr="00871501" w:rsidRDefault="00871501" w:rsidP="00871501">
      <w:pPr>
        <w:pStyle w:val="Heading1"/>
        <w:rPr>
          <w:rFonts w:eastAsia="Times New Roman"/>
          <w:lang w:eastAsia="en-GB"/>
        </w:rPr>
      </w:pPr>
      <w:bookmarkStart w:id="0" w:name="_Toc120295318"/>
      <w:r w:rsidRPr="00871501">
        <w:rPr>
          <w:rFonts w:eastAsia="Times New Roman"/>
          <w:lang w:eastAsia="en-GB"/>
        </w:rPr>
        <w:lastRenderedPageBreak/>
        <w:t>Executive Summary</w:t>
      </w:r>
      <w:bookmarkEnd w:id="0"/>
      <w:r w:rsidRPr="00871501">
        <w:rPr>
          <w:rFonts w:eastAsia="Times New Roman"/>
          <w:lang w:eastAsia="en-GB"/>
        </w:rPr>
        <w:t xml:space="preserve"> </w:t>
      </w:r>
    </w:p>
    <w:p w14:paraId="7CA7A471"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The purpose of the study is to employ suitable strategies and procedures, systematically analyse and assess the knowledge needs of management, especially in regard to choices that affect revenues, expenditures, and other situational variables and demonstrate a thorough comprehension of the hotel industry's key financial evaluation and monitoring procedures. </w:t>
      </w:r>
    </w:p>
    <w:p w14:paraId="465C8E58"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The overall study has discussed the financial management of Marriott, a hotel brand in the hospitality industry through profitability, liquidity and gearing ratios. The analysis showed that Marriott’s profit margin is insufficient and going through a deteriorating condition. Although the inadequacies implicit in the management of operating cash are clearly demonstrated by the situation of the cash flow at this time. Firms can get long term benefits. Analysing the debt ratio, it can conclude that the organisation is depending on a heavy debt strategy which is a bad sign for long term organisational growth.</w:t>
      </w:r>
    </w:p>
    <w:p w14:paraId="67CD9338"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Based on the overall analysis, the organisation is recommended to take urgent initiatives to ensure its financial condition right away, such as delaying payments to creditors as long as possible without remarkably damaging supplier relationships, increasing sales, using assets efficiently and expanding business in these emerging economies since developing countries are seeking for high end hotels. </w:t>
      </w:r>
    </w:p>
    <w:p w14:paraId="5495AF99" w14:textId="77777777" w:rsidR="00871501" w:rsidRPr="00871501" w:rsidRDefault="00871501" w:rsidP="00871501">
      <w:pPr>
        <w:rPr>
          <w:rFonts w:eastAsia="Times New Roman" w:cs="Times New Roman"/>
          <w:szCs w:val="24"/>
          <w:lang w:eastAsia="en-GB"/>
        </w:rPr>
      </w:pPr>
    </w:p>
    <w:p w14:paraId="0D7E5BC6"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br w:type="page"/>
      </w:r>
    </w:p>
    <w:p w14:paraId="43937094" w14:textId="77777777" w:rsidR="00871501" w:rsidRPr="00871501" w:rsidRDefault="00871501" w:rsidP="00871501">
      <w:pPr>
        <w:pStyle w:val="Heading1"/>
        <w:rPr>
          <w:rFonts w:eastAsia="Times New Roman"/>
          <w:lang w:eastAsia="en-GB"/>
        </w:rPr>
      </w:pPr>
      <w:bookmarkStart w:id="1" w:name="_Toc120295319"/>
      <w:r w:rsidRPr="00871501">
        <w:rPr>
          <w:rFonts w:eastAsia="Times New Roman"/>
          <w:lang w:eastAsia="en-GB"/>
        </w:rPr>
        <w:lastRenderedPageBreak/>
        <w:t>Introduction</w:t>
      </w:r>
      <w:bookmarkEnd w:id="1"/>
      <w:r w:rsidRPr="00871501">
        <w:rPr>
          <w:rFonts w:eastAsia="Times New Roman"/>
          <w:lang w:eastAsia="en-GB"/>
        </w:rPr>
        <w:t xml:space="preserve"> </w:t>
      </w:r>
    </w:p>
    <w:p w14:paraId="0A52B9B5"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An effective company's financial management creates the groundwork for its success and sustainability. The creation of an overall budget, the development of a comprehensive financial monitoring model, regular audits, and the development of a reporting system that aids administrators in keeping track of P&amp;L data are among the benchmarks of financial management in the hotel business (</w:t>
      </w:r>
      <w:proofErr w:type="spellStart"/>
      <w:r w:rsidRPr="00871501">
        <w:rPr>
          <w:rFonts w:eastAsia="Times New Roman" w:cs="Times New Roman"/>
          <w:szCs w:val="24"/>
          <w:lang w:eastAsia="en-GB"/>
        </w:rPr>
        <w:t>Chibili</w:t>
      </w:r>
      <w:proofErr w:type="spellEnd"/>
      <w:r w:rsidRPr="00871501">
        <w:rPr>
          <w:rFonts w:eastAsia="Times New Roman" w:cs="Times New Roman"/>
          <w:szCs w:val="24"/>
          <w:lang w:eastAsia="en-GB"/>
        </w:rPr>
        <w:t>, 2019). A multinational company called Marriott International Inc. operates in the hospitality and housing administrative sectors with five branches. J.W. Marriott, whose son J.W. Marriott Jr. is the current CEO, founded the company in 1927. About 21% of all business divisions are owned by the Marriott family (Marriot Annual Report, 2022). The purpose of the study intends to provide skills necessary to build an analytical grasp of the concept, methods, and applications of financial and management accounting in the hotel business based on Marriott.</w:t>
      </w:r>
    </w:p>
    <w:p w14:paraId="22AB035D" w14:textId="77777777" w:rsidR="00871501" w:rsidRPr="00871501" w:rsidRDefault="00871501" w:rsidP="00871501">
      <w:pPr>
        <w:rPr>
          <w:rFonts w:eastAsia="Times New Roman" w:cs="Times New Roman"/>
          <w:szCs w:val="24"/>
          <w:lang w:eastAsia="en-GB"/>
        </w:rPr>
      </w:pPr>
    </w:p>
    <w:p w14:paraId="15ACB984" w14:textId="77777777" w:rsidR="00871501" w:rsidRDefault="00871501">
      <w:pPr>
        <w:spacing w:line="259" w:lineRule="auto"/>
        <w:jc w:val="left"/>
        <w:rPr>
          <w:rFonts w:eastAsia="Times New Roman" w:cs="Times New Roman"/>
          <w:szCs w:val="24"/>
          <w:lang w:eastAsia="en-GB"/>
        </w:rPr>
      </w:pPr>
      <w:r>
        <w:rPr>
          <w:rFonts w:eastAsia="Times New Roman" w:cs="Times New Roman"/>
          <w:szCs w:val="24"/>
          <w:lang w:eastAsia="en-GB"/>
        </w:rPr>
        <w:br w:type="page"/>
      </w:r>
    </w:p>
    <w:p w14:paraId="1E55AF4F" w14:textId="77777777" w:rsidR="00871501" w:rsidRPr="00871501" w:rsidRDefault="00871501" w:rsidP="00871501">
      <w:pPr>
        <w:pStyle w:val="Heading1"/>
        <w:rPr>
          <w:rFonts w:eastAsia="Times New Roman"/>
          <w:lang w:eastAsia="en-GB"/>
        </w:rPr>
      </w:pPr>
      <w:bookmarkStart w:id="2" w:name="_Toc120295320"/>
      <w:r w:rsidRPr="00871501">
        <w:rPr>
          <w:rFonts w:eastAsia="Times New Roman"/>
          <w:lang w:eastAsia="en-GB"/>
        </w:rPr>
        <w:lastRenderedPageBreak/>
        <w:t>Financial Analysis Trends</w:t>
      </w:r>
      <w:bookmarkEnd w:id="2"/>
      <w:r w:rsidRPr="00871501">
        <w:rPr>
          <w:rFonts w:eastAsia="Times New Roman"/>
          <w:lang w:eastAsia="en-GB"/>
        </w:rPr>
        <w:t xml:space="preserve"> </w:t>
      </w:r>
    </w:p>
    <w:p w14:paraId="58331F92"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A company's monetary data is analysed over time using trend analysis. Calculating and examining the total variation and percentage change from one period to the next is the target of financial analysis trends (</w:t>
      </w:r>
      <w:proofErr w:type="spellStart"/>
      <w:r w:rsidRPr="00871501">
        <w:rPr>
          <w:rFonts w:eastAsia="Times New Roman" w:cs="Times New Roman"/>
          <w:szCs w:val="24"/>
          <w:lang w:eastAsia="en-GB"/>
        </w:rPr>
        <w:t>Dotsenko</w:t>
      </w:r>
      <w:proofErr w:type="spellEnd"/>
      <w:r w:rsidRPr="00871501">
        <w:rPr>
          <w:rFonts w:eastAsia="Times New Roman" w:cs="Times New Roman"/>
          <w:szCs w:val="24"/>
          <w:lang w:eastAsia="en-GB"/>
        </w:rPr>
        <w:t xml:space="preserve"> et al., 2020). Similar to how successful restaurants and hotels like Marriott focus on sound financial management techniques to run their businesses successfully. Here are some comparisons of key financial trends ratios of Marriott’s 2020 and 2021 financial year. </w:t>
      </w:r>
    </w:p>
    <w:p w14:paraId="3C4F14E2" w14:textId="77777777" w:rsidR="00871501" w:rsidRPr="00871501" w:rsidRDefault="00871501" w:rsidP="00AD0C84">
      <w:pPr>
        <w:pStyle w:val="Heading2"/>
        <w:rPr>
          <w:rFonts w:eastAsia="Times New Roman"/>
          <w:lang w:eastAsia="en-GB"/>
        </w:rPr>
      </w:pPr>
      <w:bookmarkStart w:id="3" w:name="_Toc120295321"/>
      <w:r w:rsidRPr="00871501">
        <w:rPr>
          <w:rFonts w:eastAsia="Times New Roman"/>
          <w:lang w:eastAsia="en-GB"/>
        </w:rPr>
        <w:t>Profitability</w:t>
      </w:r>
      <w:bookmarkEnd w:id="3"/>
      <w:r w:rsidRPr="00871501">
        <w:rPr>
          <w:rFonts w:eastAsia="Times New Roman"/>
          <w:lang w:eastAsia="en-GB"/>
        </w:rPr>
        <w:t xml:space="preserve"> </w:t>
      </w:r>
    </w:p>
    <w:p w14:paraId="40E0EAB5"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The gross margin, operational profit, and net income level of a corporation are all measured by profitability ratios. Organisations in the hospitality industry need to keep a high profitability level. </w:t>
      </w:r>
    </w:p>
    <w:p w14:paraId="0F98FBF9" w14:textId="77777777" w:rsidR="00871501" w:rsidRPr="00871501" w:rsidRDefault="00871501" w:rsidP="00871501">
      <w:pPr>
        <w:numPr>
          <w:ilvl w:val="1"/>
          <w:numId w:val="2"/>
        </w:numPr>
        <w:pBdr>
          <w:top w:val="nil"/>
          <w:left w:val="nil"/>
          <w:bottom w:val="nil"/>
          <w:right w:val="nil"/>
          <w:between w:val="nil"/>
        </w:pBdr>
        <w:spacing w:after="0"/>
        <w:rPr>
          <w:rFonts w:eastAsia="Times New Roman" w:cs="Times New Roman"/>
          <w:b/>
          <w:szCs w:val="24"/>
          <w:lang w:eastAsia="en-GB"/>
        </w:rPr>
      </w:pPr>
      <w:r w:rsidRPr="00871501">
        <w:rPr>
          <w:rFonts w:eastAsia="Times New Roman" w:cs="Times New Roman"/>
          <w:b/>
          <w:color w:val="000000"/>
          <w:szCs w:val="24"/>
          <w:lang w:eastAsia="en-GB"/>
        </w:rPr>
        <w:t>Gross Profit Margin</w:t>
      </w:r>
    </w:p>
    <w:p w14:paraId="7B07273E" w14:textId="77777777" w:rsidR="00871501" w:rsidRPr="00871501" w:rsidRDefault="00000000" w:rsidP="00871501">
      <w:pPr>
        <w:pBdr>
          <w:top w:val="nil"/>
          <w:left w:val="nil"/>
          <w:bottom w:val="nil"/>
          <w:right w:val="nil"/>
          <w:between w:val="nil"/>
        </w:pBdr>
        <w:ind w:left="720"/>
        <w:rPr>
          <w:rFonts w:eastAsia="Times New Roman" w:cs="Times New Roman"/>
          <w:color w:val="000000"/>
          <w:szCs w:val="24"/>
          <w:lang w:eastAsia="en-GB"/>
        </w:rPr>
      </w:pPr>
      <m:oMath>
        <m:f>
          <m:fPr>
            <m:ctrlPr>
              <w:rPr>
                <w:rFonts w:ascii="Cambria Math" w:eastAsia="Cambria Math" w:hAnsi="Cambria Math" w:cs="Cambria Math"/>
                <w:color w:val="000000"/>
                <w:szCs w:val="24"/>
                <w:lang w:eastAsia="en-GB"/>
              </w:rPr>
            </m:ctrlPr>
          </m:fPr>
          <m:num>
            <m:r>
              <w:rPr>
                <w:rFonts w:ascii="Cambria Math" w:eastAsia="Cambria Math" w:hAnsi="Cambria Math" w:cs="Cambria Math"/>
                <w:color w:val="000000"/>
                <w:szCs w:val="24"/>
                <w:lang w:eastAsia="en-GB"/>
              </w:rPr>
              <m:t>Gross Profit</m:t>
            </m:r>
          </m:num>
          <m:den>
            <m:r>
              <w:rPr>
                <w:rFonts w:ascii="Cambria Math" w:eastAsia="Cambria Math" w:hAnsi="Cambria Math" w:cs="Cambria Math"/>
                <w:color w:val="000000"/>
                <w:szCs w:val="24"/>
                <w:lang w:eastAsia="en-GB"/>
              </w:rPr>
              <m:t>Sales</m:t>
            </m:r>
          </m:den>
        </m:f>
      </m:oMath>
      <w:r w:rsidR="00871501" w:rsidRPr="00871501">
        <w:rPr>
          <w:rFonts w:eastAsia="Times New Roman" w:cs="Times New Roman"/>
          <w:color w:val="000000"/>
          <w:szCs w:val="24"/>
          <w:lang w:eastAsia="en-GB"/>
        </w:rPr>
        <w:t xml:space="preserve"> = ** %</w:t>
      </w:r>
    </w:p>
    <w:tbl>
      <w:tblPr>
        <w:tblW w:w="8349"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07"/>
        <w:gridCol w:w="4042"/>
      </w:tblGrid>
      <w:tr w:rsidR="00871501" w:rsidRPr="00871501" w14:paraId="099DD262" w14:textId="77777777" w:rsidTr="007044C5">
        <w:trPr>
          <w:trHeight w:val="361"/>
        </w:trPr>
        <w:tc>
          <w:tcPr>
            <w:tcW w:w="4307" w:type="dxa"/>
          </w:tcPr>
          <w:p w14:paraId="5C7960AB"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42" w:type="dxa"/>
          </w:tcPr>
          <w:p w14:paraId="377E76BC"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242FECBB" w14:textId="77777777" w:rsidTr="007044C5">
        <w:trPr>
          <w:trHeight w:val="617"/>
        </w:trPr>
        <w:tc>
          <w:tcPr>
            <w:tcW w:w="4307" w:type="dxa"/>
          </w:tcPr>
          <w:p w14:paraId="069CA30A" w14:textId="77777777" w:rsidR="00871501" w:rsidRPr="00871501" w:rsidRDefault="00871501" w:rsidP="00871501">
            <w:pPr>
              <w:pBdr>
                <w:top w:val="nil"/>
                <w:left w:val="nil"/>
                <w:bottom w:val="nil"/>
                <w:right w:val="nil"/>
                <w:between w:val="nil"/>
              </w:pBdr>
              <w:spacing w:after="0"/>
              <w:ind w:left="720"/>
              <w:rPr>
                <w:rFonts w:eastAsia="Times New Roman" w:cs="Times New Roman"/>
                <w:color w:val="000000"/>
                <w:szCs w:val="24"/>
                <w:lang w:eastAsia="en-GB"/>
              </w:rPr>
            </w:pPr>
            <w:r w:rsidRPr="00871501">
              <w:rPr>
                <w:rFonts w:eastAsia="Times New Roman" w:cs="Times New Roman"/>
                <w:color w:val="000000"/>
                <w:szCs w:val="24"/>
                <w:lang w:eastAsia="en-GB"/>
              </w:rPr>
              <w:t>(1,469/10,571) x 100 = 13.90%</w:t>
            </w:r>
          </w:p>
          <w:p w14:paraId="42277B44" w14:textId="77777777" w:rsidR="00871501" w:rsidRPr="00871501" w:rsidRDefault="00871501" w:rsidP="00871501">
            <w:pPr>
              <w:pBdr>
                <w:top w:val="nil"/>
                <w:left w:val="nil"/>
                <w:bottom w:val="nil"/>
                <w:right w:val="nil"/>
                <w:between w:val="nil"/>
              </w:pBdr>
              <w:ind w:left="720"/>
              <w:rPr>
                <w:rFonts w:eastAsia="Times New Roman" w:cs="Times New Roman"/>
                <w:color w:val="000000"/>
                <w:szCs w:val="24"/>
                <w:lang w:eastAsia="en-GB"/>
              </w:rPr>
            </w:pPr>
          </w:p>
        </w:tc>
        <w:tc>
          <w:tcPr>
            <w:tcW w:w="4042" w:type="dxa"/>
          </w:tcPr>
          <w:p w14:paraId="7FB0C839" w14:textId="77777777" w:rsidR="00871501" w:rsidRPr="00871501" w:rsidRDefault="00871501" w:rsidP="00871501">
            <w:pPr>
              <w:pBdr>
                <w:top w:val="nil"/>
                <w:left w:val="nil"/>
                <w:bottom w:val="nil"/>
                <w:right w:val="nil"/>
                <w:between w:val="nil"/>
              </w:pBdr>
              <w:spacing w:after="0"/>
              <w:ind w:left="720"/>
              <w:rPr>
                <w:rFonts w:eastAsia="Times New Roman" w:cs="Times New Roman"/>
                <w:color w:val="000000"/>
                <w:szCs w:val="24"/>
                <w:lang w:eastAsia="en-GB"/>
              </w:rPr>
            </w:pPr>
            <w:r w:rsidRPr="00871501">
              <w:rPr>
                <w:rFonts w:eastAsia="Times New Roman" w:cs="Times New Roman"/>
                <w:color w:val="000000"/>
                <w:szCs w:val="24"/>
                <w:lang w:eastAsia="en-GB"/>
              </w:rPr>
              <w:t>(2,801/ 13,857) x 100 = 20.21 %</w:t>
            </w:r>
          </w:p>
          <w:p w14:paraId="3BFE41D2"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p>
        </w:tc>
      </w:tr>
    </w:tbl>
    <w:p w14:paraId="5D999ACC" w14:textId="77777777" w:rsidR="00871501" w:rsidRPr="00871501" w:rsidRDefault="00871501" w:rsidP="00871501">
      <w:pPr>
        <w:rPr>
          <w:rFonts w:eastAsia="Times New Roman" w:cs="Times New Roman"/>
          <w:szCs w:val="24"/>
          <w:lang w:eastAsia="en-GB"/>
        </w:rPr>
      </w:pPr>
    </w:p>
    <w:p w14:paraId="68D46E48"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The analysis shows that the gross profit margin of Marriott has increased compared to previous year by almost 7%. For the hotel industry, around 20% gross profit is sound margin where average margin lies around 10% (</w:t>
      </w:r>
      <w:proofErr w:type="spellStart"/>
      <w:r w:rsidRPr="00871501">
        <w:rPr>
          <w:rFonts w:eastAsia="Times New Roman" w:cs="Times New Roman"/>
          <w:szCs w:val="24"/>
          <w:lang w:eastAsia="en-GB"/>
        </w:rPr>
        <w:t>Guilding</w:t>
      </w:r>
      <w:proofErr w:type="spellEnd"/>
      <w:r w:rsidRPr="00871501">
        <w:rPr>
          <w:rFonts w:eastAsia="Times New Roman" w:cs="Times New Roman"/>
          <w:szCs w:val="24"/>
          <w:lang w:eastAsia="en-GB"/>
        </w:rPr>
        <w:t xml:space="preserve">, 2014). </w:t>
      </w:r>
    </w:p>
    <w:p w14:paraId="3897A8C2" w14:textId="77777777" w:rsidR="00871501" w:rsidRPr="00871501" w:rsidRDefault="00871501" w:rsidP="00871501">
      <w:pPr>
        <w:numPr>
          <w:ilvl w:val="1"/>
          <w:numId w:val="2"/>
        </w:numPr>
        <w:pBdr>
          <w:top w:val="nil"/>
          <w:left w:val="nil"/>
          <w:bottom w:val="nil"/>
          <w:right w:val="nil"/>
          <w:between w:val="nil"/>
        </w:pBdr>
        <w:spacing w:after="0"/>
        <w:rPr>
          <w:rFonts w:eastAsia="Times New Roman" w:cs="Times New Roman"/>
          <w:b/>
          <w:szCs w:val="24"/>
          <w:lang w:eastAsia="en-GB"/>
        </w:rPr>
      </w:pPr>
      <w:r w:rsidRPr="00871501">
        <w:rPr>
          <w:rFonts w:eastAsia="Times New Roman" w:cs="Times New Roman"/>
          <w:b/>
          <w:color w:val="000000"/>
          <w:szCs w:val="24"/>
          <w:lang w:eastAsia="en-GB"/>
        </w:rPr>
        <w:t>Net Profit Margin</w:t>
      </w:r>
    </w:p>
    <w:p w14:paraId="2D31E3D5" w14:textId="77777777" w:rsidR="00871501" w:rsidRPr="00871501" w:rsidRDefault="00000000" w:rsidP="00871501">
      <w:pPr>
        <w:pBdr>
          <w:top w:val="nil"/>
          <w:left w:val="nil"/>
          <w:bottom w:val="nil"/>
          <w:right w:val="nil"/>
          <w:between w:val="nil"/>
        </w:pBdr>
        <w:ind w:left="720"/>
        <w:rPr>
          <w:rFonts w:eastAsia="Times New Roman" w:cs="Times New Roman"/>
          <w:color w:val="000000"/>
          <w:szCs w:val="24"/>
          <w:lang w:eastAsia="en-GB"/>
        </w:rPr>
      </w:pPr>
      <m:oMath>
        <m:f>
          <m:fPr>
            <m:ctrlPr>
              <w:rPr>
                <w:rFonts w:ascii="Cambria Math" w:eastAsia="Cambria Math" w:hAnsi="Cambria Math" w:cs="Cambria Math"/>
                <w:color w:val="000000"/>
                <w:szCs w:val="24"/>
                <w:lang w:eastAsia="en-GB"/>
              </w:rPr>
            </m:ctrlPr>
          </m:fPr>
          <m:num>
            <m:r>
              <w:rPr>
                <w:rFonts w:ascii="Cambria Math" w:eastAsia="Cambria Math" w:hAnsi="Cambria Math" w:cs="Cambria Math"/>
                <w:color w:val="000000"/>
                <w:szCs w:val="24"/>
                <w:lang w:eastAsia="en-GB"/>
              </w:rPr>
              <m:t>Net Profit</m:t>
            </m:r>
          </m:num>
          <m:den>
            <m:r>
              <w:rPr>
                <w:rFonts w:ascii="Cambria Math" w:eastAsia="Cambria Math" w:hAnsi="Cambria Math" w:cs="Cambria Math"/>
                <w:color w:val="000000"/>
                <w:szCs w:val="24"/>
                <w:lang w:eastAsia="en-GB"/>
              </w:rPr>
              <m:t>Sales</m:t>
            </m:r>
          </m:den>
        </m:f>
      </m:oMath>
      <w:r w:rsidR="00871501" w:rsidRPr="00871501">
        <w:rPr>
          <w:rFonts w:eastAsia="Times New Roman" w:cs="Times New Roman"/>
          <w:color w:val="000000"/>
          <w:szCs w:val="24"/>
          <w:lang w:eastAsia="en-GB"/>
        </w:rPr>
        <w:t xml:space="preserve"> x 100 = **%</w:t>
      </w:r>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14345CA7" w14:textId="77777777" w:rsidTr="007044C5">
        <w:tc>
          <w:tcPr>
            <w:tcW w:w="4315" w:type="dxa"/>
          </w:tcPr>
          <w:p w14:paraId="6DFE358C"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4C592D86"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20167357" w14:textId="77777777" w:rsidTr="007044C5">
        <w:tc>
          <w:tcPr>
            <w:tcW w:w="4315" w:type="dxa"/>
          </w:tcPr>
          <w:p w14:paraId="37D32685" w14:textId="77777777" w:rsidR="00871501" w:rsidRPr="00871501" w:rsidRDefault="00871501" w:rsidP="00871501">
            <w:pPr>
              <w:pBdr>
                <w:top w:val="nil"/>
                <w:left w:val="nil"/>
                <w:bottom w:val="nil"/>
                <w:right w:val="nil"/>
                <w:between w:val="nil"/>
              </w:pBdr>
              <w:spacing w:after="0"/>
              <w:ind w:left="720"/>
              <w:rPr>
                <w:rFonts w:eastAsia="Times New Roman" w:cs="Times New Roman"/>
                <w:color w:val="000000"/>
                <w:szCs w:val="24"/>
                <w:lang w:eastAsia="en-GB"/>
              </w:rPr>
            </w:pPr>
            <w:r w:rsidRPr="00871501">
              <w:rPr>
                <w:rFonts w:eastAsia="Times New Roman" w:cs="Times New Roman"/>
                <w:color w:val="000000"/>
                <w:szCs w:val="24"/>
                <w:lang w:eastAsia="en-GB"/>
              </w:rPr>
              <w:t>(-267/10,571) x 100 = - 2.53%</w:t>
            </w:r>
          </w:p>
          <w:p w14:paraId="3A798A78"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p>
        </w:tc>
        <w:tc>
          <w:tcPr>
            <w:tcW w:w="4050" w:type="dxa"/>
          </w:tcPr>
          <w:p w14:paraId="63C1E260" w14:textId="77777777" w:rsidR="00871501" w:rsidRPr="00871501" w:rsidRDefault="00871501" w:rsidP="00871501">
            <w:pPr>
              <w:pBdr>
                <w:top w:val="nil"/>
                <w:left w:val="nil"/>
                <w:bottom w:val="nil"/>
                <w:right w:val="nil"/>
                <w:between w:val="nil"/>
              </w:pBdr>
              <w:ind w:left="720"/>
              <w:rPr>
                <w:rFonts w:eastAsia="Times New Roman" w:cs="Times New Roman"/>
                <w:color w:val="000000"/>
                <w:szCs w:val="24"/>
                <w:lang w:eastAsia="en-GB"/>
              </w:rPr>
            </w:pPr>
            <w:r w:rsidRPr="00871501">
              <w:rPr>
                <w:rFonts w:eastAsia="Times New Roman" w:cs="Times New Roman"/>
                <w:color w:val="000000"/>
                <w:szCs w:val="24"/>
                <w:lang w:eastAsia="en-GB"/>
              </w:rPr>
              <w:t>(1,099/ 13,857) x 100 = 7.93%</w:t>
            </w:r>
          </w:p>
        </w:tc>
      </w:tr>
    </w:tbl>
    <w:p w14:paraId="18538AC1" w14:textId="77777777" w:rsidR="00871501" w:rsidRPr="00871501" w:rsidRDefault="00871501" w:rsidP="00871501">
      <w:pPr>
        <w:rPr>
          <w:rFonts w:eastAsia="Times New Roman" w:cs="Times New Roman"/>
          <w:szCs w:val="24"/>
          <w:lang w:eastAsia="en-GB"/>
        </w:rPr>
      </w:pPr>
    </w:p>
    <w:p w14:paraId="57FEBFCA"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lastRenderedPageBreak/>
        <w:t xml:space="preserve">The company’s profit increased a lot compared to previous year which is a positive sign for investors that the organisation is earning a return to pay them. The graph shows that the organisation faces a huge loss during COVID-19. To keep with the trends, organisations need to reach up to 20% to market trends. </w:t>
      </w:r>
    </w:p>
    <w:p w14:paraId="631092A1" w14:textId="77777777" w:rsidR="00871501" w:rsidRPr="00871501" w:rsidRDefault="00871501" w:rsidP="00871501">
      <w:pPr>
        <w:numPr>
          <w:ilvl w:val="1"/>
          <w:numId w:val="2"/>
        </w:numPr>
        <w:pBdr>
          <w:top w:val="nil"/>
          <w:left w:val="nil"/>
          <w:bottom w:val="nil"/>
          <w:right w:val="nil"/>
          <w:between w:val="nil"/>
        </w:pBdr>
        <w:spacing w:after="0"/>
        <w:rPr>
          <w:rFonts w:eastAsia="Times New Roman" w:cs="Times New Roman"/>
          <w:b/>
          <w:szCs w:val="24"/>
          <w:lang w:eastAsia="en-GB"/>
        </w:rPr>
      </w:pPr>
      <w:r w:rsidRPr="00871501">
        <w:rPr>
          <w:rFonts w:eastAsia="Times New Roman" w:cs="Times New Roman"/>
          <w:b/>
          <w:color w:val="000000"/>
          <w:szCs w:val="24"/>
          <w:lang w:eastAsia="en-GB"/>
        </w:rPr>
        <w:t>ROCE</w:t>
      </w:r>
    </w:p>
    <w:p w14:paraId="0DD61A0F" w14:textId="77777777" w:rsidR="00871501" w:rsidRPr="00871501" w:rsidRDefault="00000000" w:rsidP="00871501">
      <w:pPr>
        <w:pBdr>
          <w:top w:val="nil"/>
          <w:left w:val="nil"/>
          <w:bottom w:val="nil"/>
          <w:right w:val="nil"/>
          <w:between w:val="nil"/>
        </w:pBdr>
        <w:ind w:left="720"/>
        <w:rPr>
          <w:rFonts w:eastAsia="Times New Roman" w:cs="Times New Roman"/>
          <w:color w:val="000000"/>
          <w:szCs w:val="24"/>
          <w:lang w:eastAsia="en-GB"/>
        </w:rPr>
      </w:pPr>
      <m:oMath>
        <m:f>
          <m:fPr>
            <m:ctrlPr>
              <w:rPr>
                <w:rFonts w:ascii="Cambria Math" w:eastAsia="Cambria Math" w:hAnsi="Cambria Math" w:cs="Cambria Math"/>
                <w:color w:val="000000"/>
                <w:szCs w:val="24"/>
                <w:lang w:eastAsia="en-GB"/>
              </w:rPr>
            </m:ctrlPr>
          </m:fPr>
          <m:num>
            <m:r>
              <w:rPr>
                <w:rFonts w:ascii="Cambria Math" w:eastAsia="Cambria Math" w:hAnsi="Cambria Math" w:cs="Cambria Math"/>
                <w:color w:val="000000"/>
                <w:szCs w:val="24"/>
                <w:lang w:eastAsia="en-GB"/>
              </w:rPr>
              <m:t>Profit Before Interest</m:t>
            </m:r>
          </m:num>
          <m:den>
            <m:r>
              <w:rPr>
                <w:rFonts w:ascii="Cambria Math" w:eastAsia="Cambria Math" w:hAnsi="Cambria Math" w:cs="Cambria Math"/>
                <w:color w:val="000000"/>
                <w:szCs w:val="24"/>
                <w:lang w:eastAsia="en-GB"/>
              </w:rPr>
              <m:t>Total Assets less current liabilities</m:t>
            </m:r>
          </m:den>
        </m:f>
      </m:oMath>
      <w:r w:rsidR="00871501" w:rsidRPr="00871501">
        <w:rPr>
          <w:rFonts w:eastAsia="Times New Roman" w:cs="Times New Roman"/>
          <w:color w:val="000000"/>
          <w:szCs w:val="24"/>
          <w:lang w:eastAsia="en-GB"/>
        </w:rPr>
        <w:t xml:space="preserve"> x 100 = **%</w:t>
      </w:r>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0C6BCC0C" w14:textId="77777777" w:rsidTr="007044C5">
        <w:tc>
          <w:tcPr>
            <w:tcW w:w="4315" w:type="dxa"/>
          </w:tcPr>
          <w:p w14:paraId="69B276AE"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7E7FEB1E"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62F03505" w14:textId="77777777" w:rsidTr="007044C5">
        <w:tc>
          <w:tcPr>
            <w:tcW w:w="4315" w:type="dxa"/>
          </w:tcPr>
          <w:p w14:paraId="1E7F9C70"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{84/ (24,701- 5752)} x 100 = 0.44</w:t>
            </w:r>
          </w:p>
        </w:tc>
        <w:tc>
          <w:tcPr>
            <w:tcW w:w="4050" w:type="dxa"/>
          </w:tcPr>
          <w:p w14:paraId="20A13162"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{1,750/ (25,553- 6407)} x 100 = 9.14%</w:t>
            </w:r>
          </w:p>
        </w:tc>
      </w:tr>
    </w:tbl>
    <w:p w14:paraId="342EF867"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In order to gauge a firm's productivity, return on capital employed (ROCE) is a useful starting point. A financial measure called ROCE can be used to determine how well a company is using its funds to generate returns (Iqbal, 2016). The trend is to keep almost 20% ROCE where Marriott has .44 and 9.14 percent which is not satisfactory at all. </w:t>
      </w:r>
    </w:p>
    <w:p w14:paraId="08FC5D5D" w14:textId="77777777" w:rsidR="00871501" w:rsidRDefault="00871501" w:rsidP="00871501">
      <w:pPr>
        <w:rPr>
          <w:rFonts w:eastAsia="Times New Roman" w:cs="Times New Roman"/>
          <w:szCs w:val="24"/>
          <w:u w:val="single"/>
          <w:lang w:eastAsia="en-GB"/>
        </w:rPr>
      </w:pPr>
    </w:p>
    <w:p w14:paraId="5496795F" w14:textId="77777777" w:rsidR="00871501" w:rsidRPr="00871501" w:rsidRDefault="00871501" w:rsidP="00871501">
      <w:pPr>
        <w:rPr>
          <w:rFonts w:eastAsia="Times New Roman" w:cs="Times New Roman"/>
          <w:b/>
          <w:szCs w:val="24"/>
          <w:u w:val="double"/>
          <w:lang w:eastAsia="en-GB"/>
        </w:rPr>
      </w:pPr>
      <w:r w:rsidRPr="00871501">
        <w:rPr>
          <w:rFonts w:eastAsia="Times New Roman" w:cs="Times New Roman"/>
          <w:b/>
          <w:szCs w:val="24"/>
          <w:u w:val="double"/>
          <w:lang w:eastAsia="en-GB"/>
        </w:rPr>
        <w:t>Asset Turnover Ratios</w:t>
      </w:r>
    </w:p>
    <w:p w14:paraId="2BBB2162" w14:textId="77777777" w:rsidR="00871501" w:rsidRPr="00871501" w:rsidRDefault="00871501" w:rsidP="00871501">
      <w:pPr>
        <w:rPr>
          <w:rFonts w:eastAsia="Times New Roman" w:cs="Times New Roman"/>
          <w:b/>
          <w:szCs w:val="24"/>
          <w:u w:val="single"/>
          <w:lang w:eastAsia="en-GB"/>
        </w:rPr>
      </w:pPr>
      <w:r w:rsidRPr="00871501">
        <w:rPr>
          <w:rFonts w:eastAsia="Times New Roman" w:cs="Times New Roman"/>
          <w:b/>
          <w:szCs w:val="24"/>
          <w:u w:val="single"/>
          <w:lang w:eastAsia="en-GB"/>
        </w:rPr>
        <w:t>Total assets turnover</w:t>
      </w:r>
    </w:p>
    <w:p w14:paraId="44FC6758" w14:textId="77777777" w:rsidR="00871501" w:rsidRPr="00871501" w:rsidRDefault="00000000" w:rsidP="00871501">
      <w:pPr>
        <w:rPr>
          <w:rFonts w:eastAsia="Times New Roman" w:cs="Times New Roman"/>
          <w:szCs w:val="24"/>
          <w:lang w:eastAsia="en-GB"/>
        </w:rPr>
      </w:pPr>
      <m:oMath>
        <m:f>
          <m:fPr>
            <m:ctrlPr>
              <w:rPr>
                <w:rFonts w:ascii="Cambria Math" w:eastAsia="Cambria Math" w:hAnsi="Cambria Math" w:cs="Cambria Math"/>
                <w:szCs w:val="24"/>
                <w:lang w:eastAsia="en-GB"/>
              </w:rPr>
            </m:ctrlPr>
          </m:fPr>
          <m:num>
            <m:r>
              <w:rPr>
                <w:rFonts w:ascii="Cambria Math" w:eastAsia="Cambria Math" w:hAnsi="Cambria Math" w:cs="Cambria Math"/>
                <w:szCs w:val="24"/>
                <w:lang w:eastAsia="en-GB"/>
              </w:rPr>
              <m:t>Sales Turnover</m:t>
            </m:r>
          </m:num>
          <m:den>
            <m:r>
              <w:rPr>
                <w:rFonts w:ascii="Cambria Math" w:eastAsia="Cambria Math" w:hAnsi="Cambria Math" w:cs="Cambria Math"/>
                <w:szCs w:val="24"/>
                <w:lang w:eastAsia="en-GB"/>
              </w:rPr>
              <m:t>Total assets less current liabilities</m:t>
            </m:r>
          </m:den>
        </m:f>
        <m:r>
          <w:rPr>
            <w:rFonts w:ascii="Cambria Math" w:eastAsia="Cambria Math" w:hAnsi="Cambria Math" w:cs="Cambria Math"/>
            <w:szCs w:val="24"/>
            <w:lang w:eastAsia="en-GB"/>
          </w:rPr>
          <m:t xml:space="preserve"> </m:t>
        </m:r>
      </m:oMath>
      <w:r w:rsidR="00871501" w:rsidRPr="00871501">
        <w:rPr>
          <w:rFonts w:eastAsia="Times New Roman" w:cs="Times New Roman"/>
          <w:szCs w:val="24"/>
          <w:lang w:eastAsia="en-GB"/>
        </w:rPr>
        <w:t>= ** times</w:t>
      </w:r>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3A911FA9" w14:textId="77777777" w:rsidTr="007044C5">
        <w:tc>
          <w:tcPr>
            <w:tcW w:w="4315" w:type="dxa"/>
          </w:tcPr>
          <w:p w14:paraId="22158465"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2E84DFF9"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73C97941" w14:textId="77777777" w:rsidTr="007044C5">
        <w:tc>
          <w:tcPr>
            <w:tcW w:w="4315" w:type="dxa"/>
          </w:tcPr>
          <w:p w14:paraId="6C7865D1"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(10,571/ 24,701) = 0.428</w:t>
            </w:r>
          </w:p>
        </w:tc>
        <w:tc>
          <w:tcPr>
            <w:tcW w:w="4050" w:type="dxa"/>
          </w:tcPr>
          <w:p w14:paraId="61E6F171"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(13,857/ 25,553) = 0.5423</w:t>
            </w:r>
          </w:p>
        </w:tc>
      </w:tr>
    </w:tbl>
    <w:p w14:paraId="133DA076"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The result shows that Marriot cannot use its assets to produce revenue effectively. Although sales turnover increases over the time, it is not sufficient to earn efficient revenue. To make it efficient, organisations need to keep it within .25 to .50 which is also a market trend of the hospitality industry. </w:t>
      </w:r>
    </w:p>
    <w:p w14:paraId="3E418D6F" w14:textId="77777777" w:rsidR="00871501" w:rsidRPr="00871501" w:rsidRDefault="00871501" w:rsidP="00871501">
      <w:pPr>
        <w:rPr>
          <w:rFonts w:eastAsia="Times New Roman" w:cs="Times New Roman"/>
          <w:b/>
          <w:szCs w:val="24"/>
          <w:lang w:eastAsia="en-GB"/>
        </w:rPr>
      </w:pPr>
    </w:p>
    <w:p w14:paraId="73DBA87F" w14:textId="77777777" w:rsidR="00871501" w:rsidRDefault="00871501">
      <w:pPr>
        <w:spacing w:line="259" w:lineRule="auto"/>
        <w:jc w:val="left"/>
        <w:rPr>
          <w:rFonts w:eastAsia="Times New Roman" w:cs="Times New Roman"/>
          <w:b/>
          <w:szCs w:val="24"/>
          <w:u w:val="single"/>
          <w:lang w:eastAsia="en-GB"/>
        </w:rPr>
      </w:pPr>
      <w:r>
        <w:rPr>
          <w:rFonts w:eastAsia="Times New Roman" w:cs="Times New Roman"/>
          <w:b/>
          <w:szCs w:val="24"/>
          <w:u w:val="single"/>
          <w:lang w:eastAsia="en-GB"/>
        </w:rPr>
        <w:br w:type="page"/>
      </w:r>
    </w:p>
    <w:p w14:paraId="4CDC13C9" w14:textId="77777777" w:rsidR="00871501" w:rsidRPr="00871501" w:rsidRDefault="00871501" w:rsidP="00871501">
      <w:pPr>
        <w:rPr>
          <w:rFonts w:eastAsia="Times New Roman" w:cs="Times New Roman"/>
          <w:b/>
          <w:szCs w:val="24"/>
          <w:u w:val="single"/>
          <w:lang w:eastAsia="en-GB"/>
        </w:rPr>
      </w:pPr>
      <w:r w:rsidRPr="00871501">
        <w:rPr>
          <w:rFonts w:eastAsia="Times New Roman" w:cs="Times New Roman"/>
          <w:b/>
          <w:szCs w:val="24"/>
          <w:u w:val="single"/>
          <w:lang w:eastAsia="en-GB"/>
        </w:rPr>
        <w:lastRenderedPageBreak/>
        <w:t>Working Capital Turnover</w:t>
      </w:r>
    </w:p>
    <w:p w14:paraId="31EFE568" w14:textId="77777777" w:rsidR="00871501" w:rsidRPr="00871501" w:rsidRDefault="00000000" w:rsidP="00871501">
      <w:pPr>
        <w:rPr>
          <w:rFonts w:eastAsia="Times New Roman" w:cs="Times New Roman"/>
          <w:szCs w:val="24"/>
          <w:lang w:eastAsia="en-GB"/>
        </w:rPr>
      </w:pPr>
      <m:oMath>
        <m:f>
          <m:fPr>
            <m:ctrlPr>
              <w:rPr>
                <w:rFonts w:ascii="Cambria Math" w:eastAsia="Cambria Math" w:hAnsi="Cambria Math" w:cs="Cambria Math"/>
                <w:szCs w:val="24"/>
                <w:lang w:eastAsia="en-GB"/>
              </w:rPr>
            </m:ctrlPr>
          </m:fPr>
          <m:num>
            <m:r>
              <w:rPr>
                <w:rFonts w:ascii="Cambria Math" w:eastAsia="Cambria Math" w:hAnsi="Cambria Math" w:cs="Cambria Math"/>
                <w:szCs w:val="24"/>
                <w:lang w:eastAsia="en-GB"/>
              </w:rPr>
              <m:t>Sales Turnover</m:t>
            </m:r>
          </m:num>
          <m:den>
            <m:r>
              <w:rPr>
                <w:rFonts w:ascii="Cambria Math" w:eastAsia="Cambria Math" w:hAnsi="Cambria Math" w:cs="Cambria Math"/>
                <w:szCs w:val="24"/>
                <w:lang w:eastAsia="en-GB"/>
              </w:rPr>
              <m:t>Net current assets</m:t>
            </m:r>
          </m:den>
        </m:f>
      </m:oMath>
      <w:r w:rsidR="00871501" w:rsidRPr="00871501">
        <w:rPr>
          <w:rFonts w:eastAsia="Times New Roman" w:cs="Times New Roman"/>
          <w:szCs w:val="24"/>
          <w:lang w:eastAsia="en-GB"/>
        </w:rPr>
        <w:t xml:space="preserve"> = *** times</w:t>
      </w:r>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7D23A9E6" w14:textId="77777777" w:rsidTr="007044C5">
        <w:tc>
          <w:tcPr>
            <w:tcW w:w="4315" w:type="dxa"/>
          </w:tcPr>
          <w:p w14:paraId="5B408306"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54EF5884"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4380D4A7" w14:textId="77777777" w:rsidTr="007044C5">
        <w:tc>
          <w:tcPr>
            <w:tcW w:w="4315" w:type="dxa"/>
          </w:tcPr>
          <w:p w14:paraId="5C39D69D" w14:textId="77777777" w:rsidR="00871501" w:rsidRPr="00871501" w:rsidRDefault="00871501" w:rsidP="00871501">
            <w:pPr>
              <w:tabs>
                <w:tab w:val="left" w:pos="3120"/>
              </w:tabs>
              <w:spacing w:after="0" w:line="240" w:lineRule="auto"/>
              <w:rPr>
                <w:rFonts w:eastAsia="Times New Roman" w:cs="Times New Roman"/>
                <w:szCs w:val="24"/>
                <w:lang w:eastAsia="en-GB"/>
              </w:rPr>
            </w:pPr>
            <w:r w:rsidRPr="00871501">
              <w:rPr>
                <w:rFonts w:eastAsia="Times New Roman" w:cs="Times New Roman"/>
                <w:szCs w:val="24"/>
                <w:lang w:eastAsia="en-GB"/>
              </w:rPr>
              <w:t>10, 571/ 2825 = 3.74 times</w:t>
            </w:r>
          </w:p>
        </w:tc>
        <w:tc>
          <w:tcPr>
            <w:tcW w:w="4050" w:type="dxa"/>
          </w:tcPr>
          <w:p w14:paraId="31EB1AD4" w14:textId="77777777" w:rsidR="00871501" w:rsidRPr="00871501" w:rsidRDefault="00871501" w:rsidP="00871501">
            <w:pPr>
              <w:tabs>
                <w:tab w:val="left" w:pos="3120"/>
              </w:tabs>
              <w:spacing w:after="0" w:line="240" w:lineRule="auto"/>
              <w:rPr>
                <w:rFonts w:eastAsia="Times New Roman" w:cs="Times New Roman"/>
                <w:szCs w:val="24"/>
                <w:lang w:eastAsia="en-GB"/>
              </w:rPr>
            </w:pPr>
            <w:r w:rsidRPr="00871501">
              <w:rPr>
                <w:rFonts w:eastAsia="Times New Roman" w:cs="Times New Roman"/>
                <w:szCs w:val="24"/>
                <w:lang w:eastAsia="en-GB"/>
              </w:rPr>
              <w:t>13, 857/ 3626 = 3.82 times</w:t>
            </w:r>
          </w:p>
          <w:p w14:paraId="23711008"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p>
        </w:tc>
      </w:tr>
    </w:tbl>
    <w:p w14:paraId="406AEB07"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It is the efficiency ratio which indicates whether an organisation is using its liquid money efficiently or not by doing too much investment or keeping much cash on hand. Hospitality trends are to keep it 1.2 to 2 times. </w:t>
      </w:r>
    </w:p>
    <w:p w14:paraId="60C735A5" w14:textId="77777777" w:rsidR="00871501" w:rsidRPr="00871501" w:rsidRDefault="00871501" w:rsidP="00AD0C84">
      <w:pPr>
        <w:pStyle w:val="Heading2"/>
        <w:rPr>
          <w:rFonts w:eastAsia="Times New Roman"/>
          <w:lang w:eastAsia="en-GB"/>
        </w:rPr>
      </w:pPr>
      <w:bookmarkStart w:id="4" w:name="_Toc120295322"/>
      <w:r w:rsidRPr="00871501">
        <w:rPr>
          <w:rFonts w:eastAsia="Times New Roman"/>
          <w:lang w:eastAsia="en-GB"/>
        </w:rPr>
        <w:t>Liquidity Ratios</w:t>
      </w:r>
      <w:bookmarkEnd w:id="4"/>
    </w:p>
    <w:p w14:paraId="5561ED6E"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A company’s ability to meet its short-term obligation is referred to as liquidity ratio analysis. Liquidity ratios are a crucial component of the evaluation of the hospitality sector because of the high operational capital requirements and numerous small financial responsibilities that must be met.</w:t>
      </w:r>
    </w:p>
    <w:p w14:paraId="28DE83C8" w14:textId="77777777" w:rsidR="00871501" w:rsidRPr="00871501" w:rsidRDefault="00871501" w:rsidP="00871501">
      <w:pPr>
        <w:numPr>
          <w:ilvl w:val="1"/>
          <w:numId w:val="1"/>
        </w:numPr>
        <w:pBdr>
          <w:top w:val="nil"/>
          <w:left w:val="nil"/>
          <w:bottom w:val="nil"/>
          <w:right w:val="nil"/>
          <w:between w:val="nil"/>
        </w:pBdr>
        <w:spacing w:after="0"/>
        <w:rPr>
          <w:rFonts w:eastAsia="Times New Roman" w:cs="Times New Roman"/>
          <w:b/>
          <w:szCs w:val="24"/>
          <w:lang w:eastAsia="en-GB"/>
        </w:rPr>
      </w:pPr>
      <w:r w:rsidRPr="00871501">
        <w:rPr>
          <w:rFonts w:eastAsia="Times New Roman" w:cs="Times New Roman"/>
          <w:b/>
          <w:color w:val="000000"/>
          <w:szCs w:val="24"/>
          <w:lang w:eastAsia="en-GB"/>
        </w:rPr>
        <w:t>Current Ratio</w:t>
      </w:r>
    </w:p>
    <w:p w14:paraId="7B725BEE" w14:textId="77777777" w:rsidR="00871501" w:rsidRPr="00871501" w:rsidRDefault="00000000" w:rsidP="00871501">
      <w:pPr>
        <w:pBdr>
          <w:top w:val="nil"/>
          <w:left w:val="nil"/>
          <w:bottom w:val="nil"/>
          <w:right w:val="nil"/>
          <w:between w:val="nil"/>
        </w:pBdr>
        <w:ind w:left="720"/>
        <w:rPr>
          <w:rFonts w:eastAsia="Times New Roman" w:cs="Times New Roman"/>
          <w:color w:val="000000"/>
          <w:szCs w:val="24"/>
          <w:lang w:eastAsia="en-GB"/>
        </w:rPr>
      </w:pPr>
      <m:oMath>
        <m:f>
          <m:fPr>
            <m:ctrlPr>
              <w:rPr>
                <w:rFonts w:ascii="Cambria Math" w:eastAsia="Cambria Math" w:hAnsi="Cambria Math" w:cs="Cambria Math"/>
                <w:color w:val="000000"/>
                <w:szCs w:val="24"/>
                <w:lang w:eastAsia="en-GB"/>
              </w:rPr>
            </m:ctrlPr>
          </m:fPr>
          <m:num>
            <m:r>
              <w:rPr>
                <w:rFonts w:ascii="Cambria Math" w:eastAsia="Cambria Math" w:hAnsi="Cambria Math" w:cs="Cambria Math"/>
                <w:color w:val="000000"/>
                <w:szCs w:val="24"/>
                <w:lang w:eastAsia="en-GB"/>
              </w:rPr>
              <m:t>Current Assets</m:t>
            </m:r>
          </m:num>
          <m:den>
            <m:r>
              <w:rPr>
                <w:rFonts w:ascii="Cambria Math" w:eastAsia="Cambria Math" w:hAnsi="Cambria Math" w:cs="Cambria Math"/>
                <w:color w:val="000000"/>
                <w:szCs w:val="24"/>
                <w:lang w:eastAsia="en-GB"/>
              </w:rPr>
              <m:t>Current Liabilities</m:t>
            </m:r>
          </m:den>
        </m:f>
      </m:oMath>
      <w:r w:rsidR="00871501" w:rsidRPr="00871501">
        <w:rPr>
          <w:rFonts w:eastAsia="Times New Roman" w:cs="Times New Roman"/>
          <w:color w:val="000000"/>
          <w:szCs w:val="24"/>
          <w:lang w:eastAsia="en-GB"/>
        </w:rPr>
        <w:t xml:space="preserve"> </w:t>
      </w:r>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348FAE54" w14:textId="77777777" w:rsidTr="007044C5">
        <w:tc>
          <w:tcPr>
            <w:tcW w:w="4315" w:type="dxa"/>
          </w:tcPr>
          <w:p w14:paraId="6D3DB637"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73844673"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25393B28" w14:textId="77777777" w:rsidTr="007044C5">
        <w:tc>
          <w:tcPr>
            <w:tcW w:w="4315" w:type="dxa"/>
          </w:tcPr>
          <w:p w14:paraId="071F8C6F"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 xml:space="preserve">2825/ 5752 = .4911 </w:t>
            </w:r>
          </w:p>
        </w:tc>
        <w:tc>
          <w:tcPr>
            <w:tcW w:w="4050" w:type="dxa"/>
          </w:tcPr>
          <w:p w14:paraId="605B2F7A"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 xml:space="preserve">3626/ 6407 = .5659 </w:t>
            </w:r>
          </w:p>
        </w:tc>
      </w:tr>
    </w:tbl>
    <w:p w14:paraId="1F9F2D39"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Current ratio of the Marriott International is an unfavourable indicator. Although it has increased from the previous year, it didn’t meet the minimum requirements of the current ratio which is a bad sign for the organisation. </w:t>
      </w:r>
    </w:p>
    <w:p w14:paraId="3896A652" w14:textId="77777777" w:rsidR="00871501" w:rsidRDefault="00871501" w:rsidP="00871501">
      <w:pPr>
        <w:numPr>
          <w:ilvl w:val="1"/>
          <w:numId w:val="1"/>
        </w:numPr>
        <w:pBdr>
          <w:top w:val="nil"/>
          <w:left w:val="nil"/>
          <w:bottom w:val="nil"/>
          <w:right w:val="nil"/>
          <w:between w:val="nil"/>
        </w:pBdr>
        <w:spacing w:after="0"/>
        <w:rPr>
          <w:rFonts w:eastAsia="Times New Roman" w:cs="Times New Roman"/>
          <w:b/>
          <w:szCs w:val="24"/>
          <w:lang w:eastAsia="en-GB"/>
        </w:rPr>
      </w:pPr>
      <w:r w:rsidRPr="00871501">
        <w:rPr>
          <w:rFonts w:eastAsia="Times New Roman" w:cs="Times New Roman"/>
          <w:b/>
          <w:color w:val="000000"/>
          <w:szCs w:val="24"/>
          <w:lang w:eastAsia="en-GB"/>
        </w:rPr>
        <w:t>Quick Ratio</w:t>
      </w:r>
    </w:p>
    <w:p w14:paraId="06775DA0" w14:textId="77777777" w:rsidR="00871501" w:rsidRPr="00871501" w:rsidRDefault="00000000" w:rsidP="00871501">
      <w:pPr>
        <w:pBdr>
          <w:top w:val="nil"/>
          <w:left w:val="nil"/>
          <w:bottom w:val="nil"/>
          <w:right w:val="nil"/>
          <w:between w:val="nil"/>
        </w:pBdr>
        <w:spacing w:after="0"/>
        <w:ind w:left="720"/>
        <w:rPr>
          <w:rFonts w:eastAsia="Times New Roman" w:cs="Times New Roman"/>
          <w:b/>
          <w:szCs w:val="24"/>
          <w:lang w:eastAsia="en-GB"/>
        </w:rPr>
      </w:pPr>
      <m:oMathPara>
        <m:oMath>
          <m:f>
            <m:fPr>
              <m:ctrlPr>
                <w:rPr>
                  <w:rFonts w:ascii="Cambria Math" w:eastAsia="Cambria Math" w:hAnsi="Cambria Math" w:cs="Cambria Math"/>
                  <w:color w:val="000000"/>
                  <w:szCs w:val="24"/>
                  <w:lang w:eastAsia="en-GB"/>
                </w:rPr>
              </m:ctrlPr>
            </m:fPr>
            <m:num>
              <m:r>
                <w:rPr>
                  <w:rFonts w:ascii="Cambria Math" w:eastAsia="Cambria Math" w:hAnsi="Cambria Math" w:cs="Cambria Math"/>
                  <w:color w:val="000000"/>
                  <w:szCs w:val="24"/>
                  <w:lang w:eastAsia="en-GB"/>
                </w:rPr>
                <m:t>Current Assets – Stock</m:t>
              </m:r>
            </m:num>
            <m:den>
              <m:r>
                <w:rPr>
                  <w:rFonts w:ascii="Cambria Math" w:eastAsia="Cambria Math" w:hAnsi="Cambria Math" w:cs="Cambria Math"/>
                  <w:color w:val="000000"/>
                  <w:szCs w:val="24"/>
                  <w:lang w:eastAsia="en-GB"/>
                </w:rPr>
                <m:t>Current Liabilities</m:t>
              </m:r>
            </m:den>
          </m:f>
          <m:r>
            <w:rPr>
              <w:rFonts w:ascii="Cambria Math" w:eastAsia="Cambria Math" w:hAnsi="Cambria Math" w:cs="Cambria Math"/>
              <w:color w:val="000000"/>
              <w:szCs w:val="24"/>
              <w:lang w:eastAsia="en-GB"/>
            </w:rPr>
            <m:t xml:space="preserve"> </m:t>
          </m:r>
        </m:oMath>
      </m:oMathPara>
    </w:p>
    <w:tbl>
      <w:tblPr>
        <w:tblW w:w="8365"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15"/>
        <w:gridCol w:w="4050"/>
      </w:tblGrid>
      <w:tr w:rsidR="00871501" w:rsidRPr="00871501" w14:paraId="0A63959C" w14:textId="77777777" w:rsidTr="007044C5">
        <w:tc>
          <w:tcPr>
            <w:tcW w:w="4315" w:type="dxa"/>
          </w:tcPr>
          <w:p w14:paraId="2C4F81B1"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4050" w:type="dxa"/>
          </w:tcPr>
          <w:p w14:paraId="012F307B"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5189C3E0" w14:textId="77777777" w:rsidTr="007044C5">
        <w:tc>
          <w:tcPr>
            <w:tcW w:w="4315" w:type="dxa"/>
          </w:tcPr>
          <w:p w14:paraId="296F3A9F"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 xml:space="preserve">(2825- 5)/ 6407 = .4401 </w:t>
            </w:r>
          </w:p>
        </w:tc>
        <w:tc>
          <w:tcPr>
            <w:tcW w:w="4050" w:type="dxa"/>
          </w:tcPr>
          <w:p w14:paraId="2B28A68A"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(3626- 5) / 5752 = .6295</w:t>
            </w:r>
          </w:p>
        </w:tc>
      </w:tr>
    </w:tbl>
    <w:p w14:paraId="2D2C525D"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lastRenderedPageBreak/>
        <w:t xml:space="preserve">Quick ratios of Marriott also below the one which indicates that organisation doesn’t have enough liquidity to meet immediate short-term liabilities. </w:t>
      </w:r>
    </w:p>
    <w:p w14:paraId="18607DD3" w14:textId="77777777" w:rsidR="00871501" w:rsidRPr="00871501" w:rsidRDefault="00871501" w:rsidP="00871501">
      <w:pPr>
        <w:rPr>
          <w:rFonts w:eastAsia="Times New Roman" w:cs="Times New Roman"/>
          <w:b/>
          <w:szCs w:val="24"/>
          <w:lang w:eastAsia="en-GB"/>
        </w:rPr>
      </w:pPr>
      <w:r w:rsidRPr="00871501">
        <w:rPr>
          <w:rFonts w:eastAsia="Times New Roman" w:cs="Times New Roman"/>
          <w:b/>
          <w:szCs w:val="24"/>
          <w:lang w:eastAsia="en-GB"/>
        </w:rPr>
        <w:t xml:space="preserve">Others: </w:t>
      </w:r>
    </w:p>
    <w:tbl>
      <w:tblPr>
        <w:tblW w:w="6719"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12"/>
        <w:gridCol w:w="2464"/>
        <w:gridCol w:w="2343"/>
      </w:tblGrid>
      <w:tr w:rsidR="00871501" w:rsidRPr="00871501" w14:paraId="1DBD63F3" w14:textId="77777777" w:rsidTr="007044C5">
        <w:tc>
          <w:tcPr>
            <w:tcW w:w="1912" w:type="dxa"/>
          </w:tcPr>
          <w:p w14:paraId="48C7B86E"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Items</w:t>
            </w:r>
          </w:p>
        </w:tc>
        <w:tc>
          <w:tcPr>
            <w:tcW w:w="2464" w:type="dxa"/>
          </w:tcPr>
          <w:p w14:paraId="30FB3751"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2343" w:type="dxa"/>
          </w:tcPr>
          <w:p w14:paraId="3085F2B9"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405D64E2" w14:textId="77777777" w:rsidTr="007044C5">
        <w:tc>
          <w:tcPr>
            <w:tcW w:w="1912" w:type="dxa"/>
          </w:tcPr>
          <w:p w14:paraId="05B0125C"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Debtors Day</w:t>
            </w:r>
          </w:p>
        </w:tc>
        <w:tc>
          <w:tcPr>
            <w:tcW w:w="2464" w:type="dxa"/>
          </w:tcPr>
          <w:p w14:paraId="4EBD05EC"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 xml:space="preserve">80 days </w:t>
            </w:r>
          </w:p>
        </w:tc>
        <w:tc>
          <w:tcPr>
            <w:tcW w:w="2343" w:type="dxa"/>
          </w:tcPr>
          <w:p w14:paraId="449918E8"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60 days</w:t>
            </w:r>
          </w:p>
        </w:tc>
      </w:tr>
      <w:tr w:rsidR="00871501" w:rsidRPr="00871501" w14:paraId="0F53D2B4" w14:textId="77777777" w:rsidTr="007044C5">
        <w:tc>
          <w:tcPr>
            <w:tcW w:w="1912" w:type="dxa"/>
          </w:tcPr>
          <w:p w14:paraId="59F3FB75"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Creditors Day</w:t>
            </w:r>
          </w:p>
        </w:tc>
        <w:tc>
          <w:tcPr>
            <w:tcW w:w="2464" w:type="dxa"/>
          </w:tcPr>
          <w:p w14:paraId="00028AAE"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120 days</w:t>
            </w:r>
          </w:p>
        </w:tc>
        <w:tc>
          <w:tcPr>
            <w:tcW w:w="2343" w:type="dxa"/>
          </w:tcPr>
          <w:p w14:paraId="7C8EDA26"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109 days</w:t>
            </w:r>
          </w:p>
        </w:tc>
      </w:tr>
    </w:tbl>
    <w:p w14:paraId="1DC6FE36"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In general, organisations try to maintain debtor days below 45. According to data, it has risen recently over several industries, a concerning situation that may be pushing more companies into insolvency (</w:t>
      </w:r>
      <w:proofErr w:type="spellStart"/>
      <w:r w:rsidRPr="00871501">
        <w:rPr>
          <w:rFonts w:eastAsia="Times New Roman" w:cs="Times New Roman"/>
          <w:szCs w:val="24"/>
          <w:lang w:eastAsia="en-GB"/>
        </w:rPr>
        <w:t>Sunaryo</w:t>
      </w:r>
      <w:proofErr w:type="spellEnd"/>
      <w:r w:rsidRPr="00871501">
        <w:rPr>
          <w:rFonts w:eastAsia="Times New Roman" w:cs="Times New Roman"/>
          <w:szCs w:val="24"/>
          <w:lang w:eastAsia="en-GB"/>
        </w:rPr>
        <w:t>, 2022). Consumers usually receive trade credit terms of 30 to 60 days, therefore Creditor Days in this level would appear to be suitable. Credit rating refers to the company's capacity to settle financial obligations in a timely manner.</w:t>
      </w:r>
    </w:p>
    <w:p w14:paraId="761327A5" w14:textId="77777777" w:rsidR="00871501" w:rsidRPr="00871501" w:rsidRDefault="00871501" w:rsidP="00871501">
      <w:pPr>
        <w:pBdr>
          <w:top w:val="nil"/>
          <w:left w:val="nil"/>
          <w:bottom w:val="nil"/>
          <w:right w:val="nil"/>
          <w:between w:val="nil"/>
        </w:pBdr>
        <w:spacing w:after="0"/>
        <w:ind w:left="720"/>
        <w:rPr>
          <w:rFonts w:eastAsia="Times New Roman" w:cs="Times New Roman"/>
          <w:color w:val="000000"/>
          <w:szCs w:val="24"/>
          <w:lang w:eastAsia="en-GB"/>
        </w:rPr>
      </w:pPr>
    </w:p>
    <w:p w14:paraId="57E4D076" w14:textId="77777777" w:rsidR="00871501" w:rsidRPr="00871501" w:rsidRDefault="00871501" w:rsidP="00AD0C84">
      <w:pPr>
        <w:pStyle w:val="Heading2"/>
        <w:rPr>
          <w:rFonts w:eastAsia="Times New Roman"/>
          <w:lang w:eastAsia="en-GB"/>
        </w:rPr>
      </w:pPr>
      <w:bookmarkStart w:id="5" w:name="_Toc120295323"/>
      <w:r w:rsidRPr="00871501">
        <w:rPr>
          <w:rFonts w:eastAsia="Times New Roman"/>
          <w:lang w:eastAsia="en-GB"/>
        </w:rPr>
        <w:t>Gearing</w:t>
      </w:r>
      <w:bookmarkEnd w:id="5"/>
    </w:p>
    <w:p w14:paraId="001E31E3"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A financial ratio that matches a particular type of capital invested (or capital) to money loaned by the business is referred to as a gearing ratio in particular. It is often used as a metric for assessing a firm's financial health (T.E., 2021). </w:t>
      </w:r>
    </w:p>
    <w:tbl>
      <w:tblPr>
        <w:tblW w:w="6718"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12"/>
        <w:gridCol w:w="2458"/>
        <w:gridCol w:w="2348"/>
      </w:tblGrid>
      <w:tr w:rsidR="00871501" w:rsidRPr="00871501" w14:paraId="7339E09E" w14:textId="77777777" w:rsidTr="007044C5">
        <w:tc>
          <w:tcPr>
            <w:tcW w:w="1912" w:type="dxa"/>
          </w:tcPr>
          <w:p w14:paraId="216C7DF9"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Items</w:t>
            </w:r>
          </w:p>
        </w:tc>
        <w:tc>
          <w:tcPr>
            <w:tcW w:w="2458" w:type="dxa"/>
          </w:tcPr>
          <w:p w14:paraId="5A298F40"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2020</w:t>
            </w:r>
          </w:p>
        </w:tc>
        <w:tc>
          <w:tcPr>
            <w:tcW w:w="2348" w:type="dxa"/>
          </w:tcPr>
          <w:p w14:paraId="076971A8" w14:textId="77777777" w:rsidR="00871501" w:rsidRPr="00871501" w:rsidRDefault="00871501" w:rsidP="00871501">
            <w:pPr>
              <w:pBdr>
                <w:top w:val="nil"/>
                <w:left w:val="nil"/>
                <w:bottom w:val="nil"/>
                <w:right w:val="nil"/>
                <w:between w:val="nil"/>
              </w:pBdr>
              <w:jc w:val="center"/>
              <w:rPr>
                <w:rFonts w:eastAsia="Times New Roman" w:cs="Times New Roman"/>
                <w:b/>
                <w:color w:val="000000"/>
                <w:szCs w:val="24"/>
                <w:lang w:eastAsia="en-GB"/>
              </w:rPr>
            </w:pPr>
            <w:r w:rsidRPr="00871501">
              <w:rPr>
                <w:rFonts w:eastAsia="Times New Roman" w:cs="Times New Roman"/>
                <w:b/>
                <w:color w:val="000000"/>
                <w:szCs w:val="24"/>
                <w:lang w:eastAsia="en-GB"/>
              </w:rPr>
              <w:t>2021</w:t>
            </w:r>
          </w:p>
        </w:tc>
      </w:tr>
      <w:tr w:rsidR="00871501" w:rsidRPr="00871501" w14:paraId="0AEAA426" w14:textId="77777777" w:rsidTr="007044C5">
        <w:tc>
          <w:tcPr>
            <w:tcW w:w="1912" w:type="dxa"/>
          </w:tcPr>
          <w:p w14:paraId="0E6AFC25"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Debt Ratio</w:t>
            </w:r>
          </w:p>
        </w:tc>
        <w:tc>
          <w:tcPr>
            <w:tcW w:w="2458" w:type="dxa"/>
          </w:tcPr>
          <w:p w14:paraId="3957DCE7"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 xml:space="preserve">23% </w:t>
            </w:r>
          </w:p>
        </w:tc>
        <w:tc>
          <w:tcPr>
            <w:tcW w:w="2348" w:type="dxa"/>
          </w:tcPr>
          <w:p w14:paraId="7AC24C00"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27%</w:t>
            </w:r>
          </w:p>
        </w:tc>
      </w:tr>
      <w:tr w:rsidR="00871501" w:rsidRPr="00871501" w14:paraId="311C3E78" w14:textId="77777777" w:rsidTr="007044C5">
        <w:tc>
          <w:tcPr>
            <w:tcW w:w="1912" w:type="dxa"/>
          </w:tcPr>
          <w:p w14:paraId="66A7FAED"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Interest cover</w:t>
            </w:r>
          </w:p>
        </w:tc>
        <w:tc>
          <w:tcPr>
            <w:tcW w:w="2458" w:type="dxa"/>
          </w:tcPr>
          <w:p w14:paraId="55524DFB"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159</w:t>
            </w:r>
          </w:p>
        </w:tc>
        <w:tc>
          <w:tcPr>
            <w:tcW w:w="2348" w:type="dxa"/>
          </w:tcPr>
          <w:p w14:paraId="51868800" w14:textId="77777777" w:rsidR="00871501" w:rsidRPr="00871501" w:rsidRDefault="00871501" w:rsidP="00871501">
            <w:pPr>
              <w:pBdr>
                <w:top w:val="nil"/>
                <w:left w:val="nil"/>
                <w:bottom w:val="nil"/>
                <w:right w:val="nil"/>
                <w:between w:val="nil"/>
              </w:pBdr>
              <w:rPr>
                <w:rFonts w:eastAsia="Times New Roman" w:cs="Times New Roman"/>
                <w:color w:val="000000"/>
                <w:szCs w:val="24"/>
                <w:lang w:eastAsia="en-GB"/>
              </w:rPr>
            </w:pPr>
            <w:r w:rsidRPr="00871501">
              <w:rPr>
                <w:rFonts w:eastAsia="Times New Roman" w:cs="Times New Roman"/>
                <w:color w:val="000000"/>
                <w:szCs w:val="24"/>
                <w:lang w:eastAsia="en-GB"/>
              </w:rPr>
              <w:t>168</w:t>
            </w:r>
          </w:p>
        </w:tc>
      </w:tr>
    </w:tbl>
    <w:p w14:paraId="23954C99"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Debt ratio shows that the organisation has a high debt ratio. Although long term debt financing is inevitable in the hospitality industry, it needs to keep low so assets can outweigh debt. Marriott’s debt ratio has increased by 4% from 23% to 27%. Likewise, interest cover has also increased in 2021 168:1 which was 159:1. This ratio indicates that the organisation is paying more for mortgage payment. </w:t>
      </w:r>
    </w:p>
    <w:p w14:paraId="31A85C9B" w14:textId="77777777" w:rsidR="00871501" w:rsidRPr="00871501" w:rsidRDefault="00871501" w:rsidP="00871501">
      <w:pPr>
        <w:rPr>
          <w:rFonts w:eastAsia="Times New Roman" w:cs="Times New Roman"/>
          <w:szCs w:val="24"/>
          <w:lang w:eastAsia="en-GB"/>
        </w:rPr>
      </w:pPr>
    </w:p>
    <w:p w14:paraId="22F563AD" w14:textId="77777777" w:rsidR="00871501" w:rsidRPr="00871501" w:rsidRDefault="00871501" w:rsidP="00871501">
      <w:pPr>
        <w:spacing w:line="259" w:lineRule="auto"/>
        <w:jc w:val="left"/>
        <w:rPr>
          <w:rFonts w:eastAsia="Times New Roman" w:cs="Times New Roman"/>
          <w:szCs w:val="24"/>
          <w:lang w:eastAsia="en-GB"/>
        </w:rPr>
      </w:pPr>
      <w:r w:rsidRPr="00871501">
        <w:rPr>
          <w:rFonts w:eastAsia="Times New Roman" w:cs="Times New Roman"/>
          <w:szCs w:val="24"/>
          <w:lang w:eastAsia="en-GB"/>
        </w:rPr>
        <w:br w:type="page"/>
      </w:r>
    </w:p>
    <w:p w14:paraId="3AFDB49F" w14:textId="77777777" w:rsidR="00871501" w:rsidRPr="00871501" w:rsidRDefault="00871501" w:rsidP="00871501">
      <w:pPr>
        <w:pStyle w:val="Heading1"/>
        <w:rPr>
          <w:rFonts w:eastAsia="Times New Roman"/>
          <w:lang w:eastAsia="en-GB"/>
        </w:rPr>
      </w:pPr>
      <w:bookmarkStart w:id="6" w:name="_Toc120295324"/>
      <w:r w:rsidRPr="00871501">
        <w:rPr>
          <w:rFonts w:eastAsia="Times New Roman"/>
          <w:lang w:eastAsia="en-GB"/>
        </w:rPr>
        <w:lastRenderedPageBreak/>
        <w:t>Knowledge from Ratio Analysis</w:t>
      </w:r>
      <w:bookmarkEnd w:id="6"/>
      <w:r w:rsidRPr="00871501">
        <w:rPr>
          <w:rFonts w:eastAsia="Times New Roman"/>
          <w:lang w:eastAsia="en-GB"/>
        </w:rPr>
        <w:t xml:space="preserve"> </w:t>
      </w:r>
    </w:p>
    <w:p w14:paraId="32070A42"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Ratio analysis becomes the fundamental part when managers make decisions. When compared to a rival's qualification or a comparable indicator and ratio from a previous period, having a larger worth indicates that the partnership is progressing significantly (Van Niekerk, 2016). </w:t>
      </w:r>
    </w:p>
    <w:p w14:paraId="53215F4A" w14:textId="77777777" w:rsidR="00871501" w:rsidRPr="00871501" w:rsidRDefault="00871501" w:rsidP="00871501">
      <w:pPr>
        <w:pStyle w:val="Heading2"/>
        <w:rPr>
          <w:rFonts w:eastAsia="Times New Roman"/>
          <w:lang w:eastAsia="en-GB"/>
        </w:rPr>
      </w:pPr>
      <w:bookmarkStart w:id="7" w:name="_Toc120295325"/>
      <w:r w:rsidRPr="00871501">
        <w:rPr>
          <w:rFonts w:eastAsia="Times New Roman"/>
          <w:lang w:eastAsia="en-GB"/>
        </w:rPr>
        <w:t>Internal use of Ratio Analysis</w:t>
      </w:r>
      <w:bookmarkEnd w:id="7"/>
    </w:p>
    <w:p w14:paraId="42518781"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The organisation's unique approach to confrontations, or measurement unit and ratios for the connection speed business, benefit measure and ratios become particularly crucial. Here are some roles of ratio as key use in organisation. </w:t>
      </w:r>
    </w:p>
    <w:p w14:paraId="4CC82FBD"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Making operation strategies:</w:t>
      </w:r>
      <w:r w:rsidRPr="00871501">
        <w:rPr>
          <w:rFonts w:eastAsia="Times New Roman" w:cs="Times New Roman"/>
          <w:color w:val="000000"/>
          <w:szCs w:val="24"/>
          <w:lang w:eastAsia="en-GB"/>
        </w:rPr>
        <w:t xml:space="preserve"> Current ratio of </w:t>
      </w:r>
      <w:r w:rsidRPr="00871501">
        <w:rPr>
          <w:rFonts w:eastAsia="Times New Roman" w:cs="Times New Roman"/>
          <w:szCs w:val="24"/>
          <w:lang w:eastAsia="en-GB"/>
        </w:rPr>
        <w:t>Marriott</w:t>
      </w:r>
      <w:r w:rsidRPr="00871501">
        <w:rPr>
          <w:rFonts w:eastAsia="Times New Roman" w:cs="Times New Roman"/>
          <w:color w:val="000000"/>
          <w:szCs w:val="24"/>
          <w:lang w:eastAsia="en-GB"/>
        </w:rPr>
        <w:t xml:space="preserve"> International shows a bad sign </w:t>
      </w:r>
      <w:r w:rsidRPr="00871501">
        <w:rPr>
          <w:rFonts w:eastAsia="Times New Roman" w:cs="Times New Roman"/>
          <w:szCs w:val="24"/>
          <w:lang w:eastAsia="en-GB"/>
        </w:rPr>
        <w:t>of the company's</w:t>
      </w:r>
      <w:r w:rsidRPr="00871501">
        <w:rPr>
          <w:rFonts w:eastAsia="Times New Roman" w:cs="Times New Roman"/>
          <w:color w:val="000000"/>
          <w:szCs w:val="24"/>
          <w:lang w:eastAsia="en-GB"/>
        </w:rPr>
        <w:t xml:space="preserve"> efficiency but they can get external financial help to cover short-term liabilities which is also same for quick ratios which imply that management </w:t>
      </w:r>
      <w:r w:rsidRPr="00871501">
        <w:rPr>
          <w:rFonts w:eastAsia="Times New Roman" w:cs="Times New Roman"/>
          <w:szCs w:val="24"/>
          <w:lang w:eastAsia="en-GB"/>
        </w:rPr>
        <w:t>needs</w:t>
      </w:r>
      <w:r w:rsidRPr="00871501">
        <w:rPr>
          <w:rFonts w:eastAsia="Times New Roman" w:cs="Times New Roman"/>
          <w:color w:val="000000"/>
          <w:szCs w:val="24"/>
          <w:lang w:eastAsia="en-GB"/>
        </w:rPr>
        <w:t xml:space="preserve"> to handle </w:t>
      </w:r>
      <w:r w:rsidRPr="00871501">
        <w:rPr>
          <w:rFonts w:eastAsia="Times New Roman" w:cs="Times New Roman"/>
          <w:szCs w:val="24"/>
          <w:lang w:eastAsia="en-GB"/>
        </w:rPr>
        <w:t>situations</w:t>
      </w:r>
      <w:r w:rsidRPr="00871501">
        <w:rPr>
          <w:rFonts w:eastAsia="Times New Roman" w:cs="Times New Roman"/>
          <w:color w:val="000000"/>
          <w:szCs w:val="24"/>
          <w:lang w:eastAsia="en-GB"/>
        </w:rPr>
        <w:t xml:space="preserve"> with caution. </w:t>
      </w:r>
    </w:p>
    <w:p w14:paraId="36DC3144"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Making efficient steps:</w:t>
      </w:r>
      <w:r w:rsidRPr="00871501">
        <w:rPr>
          <w:rFonts w:eastAsia="Times New Roman" w:cs="Times New Roman"/>
          <w:color w:val="000000"/>
          <w:szCs w:val="24"/>
          <w:lang w:eastAsia="en-GB"/>
        </w:rPr>
        <w:t xml:space="preserve"> For example, asset turnover shows that organisation is </w:t>
      </w:r>
      <w:r w:rsidRPr="00871501">
        <w:rPr>
          <w:rFonts w:eastAsia="Times New Roman" w:cs="Times New Roman"/>
          <w:szCs w:val="24"/>
          <w:lang w:eastAsia="en-GB"/>
        </w:rPr>
        <w:t>sluggish when</w:t>
      </w:r>
      <w:r w:rsidRPr="00871501">
        <w:rPr>
          <w:rFonts w:eastAsia="Times New Roman" w:cs="Times New Roman"/>
          <w:color w:val="000000"/>
          <w:szCs w:val="24"/>
          <w:lang w:eastAsia="en-GB"/>
        </w:rPr>
        <w:t xml:space="preserve"> making sales which generates huge challenges in sales. Organisation can use its assets more efficiently.</w:t>
      </w:r>
    </w:p>
    <w:p w14:paraId="385ABBBF"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Increase profitability:</w:t>
      </w:r>
      <w:r w:rsidRPr="00871501">
        <w:rPr>
          <w:rFonts w:eastAsia="Times New Roman" w:cs="Times New Roman"/>
          <w:color w:val="000000"/>
          <w:szCs w:val="24"/>
          <w:lang w:eastAsia="en-GB"/>
        </w:rPr>
        <w:t xml:space="preserve"> However, the </w:t>
      </w:r>
      <w:r w:rsidRPr="00871501">
        <w:rPr>
          <w:rFonts w:eastAsia="Times New Roman" w:cs="Times New Roman"/>
          <w:szCs w:val="24"/>
          <w:lang w:eastAsia="en-GB"/>
        </w:rPr>
        <w:t>organisation</w:t>
      </w:r>
      <w:r w:rsidRPr="00871501">
        <w:rPr>
          <w:rFonts w:eastAsia="Times New Roman" w:cs="Times New Roman"/>
          <w:color w:val="000000"/>
          <w:szCs w:val="24"/>
          <w:lang w:eastAsia="en-GB"/>
        </w:rPr>
        <w:t xml:space="preserve"> </w:t>
      </w:r>
      <w:r w:rsidRPr="00871501">
        <w:rPr>
          <w:rFonts w:eastAsia="Times New Roman" w:cs="Times New Roman"/>
          <w:szCs w:val="24"/>
          <w:lang w:eastAsia="en-GB"/>
        </w:rPr>
        <w:t>generated</w:t>
      </w:r>
      <w:r w:rsidRPr="00871501">
        <w:rPr>
          <w:rFonts w:eastAsia="Times New Roman" w:cs="Times New Roman"/>
          <w:color w:val="000000"/>
          <w:szCs w:val="24"/>
          <w:lang w:eastAsia="en-GB"/>
        </w:rPr>
        <w:t xml:space="preserve"> more profit than previous year which is a good sign for their investor. Over the last, the corporation's profits have risen consistently. Profitability ratio </w:t>
      </w:r>
      <w:r w:rsidRPr="00871501">
        <w:rPr>
          <w:rFonts w:eastAsia="Times New Roman" w:cs="Times New Roman"/>
          <w:szCs w:val="24"/>
          <w:lang w:eastAsia="en-GB"/>
        </w:rPr>
        <w:t>needs</w:t>
      </w:r>
      <w:r w:rsidRPr="00871501">
        <w:rPr>
          <w:rFonts w:eastAsia="Times New Roman" w:cs="Times New Roman"/>
          <w:color w:val="000000"/>
          <w:szCs w:val="24"/>
          <w:lang w:eastAsia="en-GB"/>
        </w:rPr>
        <w:t xml:space="preserve"> to </w:t>
      </w:r>
      <w:r w:rsidRPr="00871501">
        <w:rPr>
          <w:rFonts w:eastAsia="Times New Roman" w:cs="Times New Roman"/>
          <w:szCs w:val="24"/>
          <w:lang w:eastAsia="en-GB"/>
        </w:rPr>
        <w:t>look</w:t>
      </w:r>
      <w:r w:rsidRPr="00871501">
        <w:rPr>
          <w:rFonts w:eastAsia="Times New Roman" w:cs="Times New Roman"/>
          <w:color w:val="000000"/>
          <w:szCs w:val="24"/>
          <w:lang w:eastAsia="en-GB"/>
        </w:rPr>
        <w:t xml:space="preserve"> </w:t>
      </w:r>
      <w:r w:rsidRPr="00871501">
        <w:rPr>
          <w:rFonts w:eastAsia="Times New Roman" w:cs="Times New Roman"/>
          <w:szCs w:val="24"/>
          <w:lang w:eastAsia="en-GB"/>
        </w:rPr>
        <w:t>for the bottom</w:t>
      </w:r>
      <w:r w:rsidRPr="00871501">
        <w:rPr>
          <w:rFonts w:eastAsia="Times New Roman" w:cs="Times New Roman"/>
          <w:color w:val="000000"/>
          <w:szCs w:val="24"/>
          <w:lang w:eastAsia="en-GB"/>
        </w:rPr>
        <w:t xml:space="preserve"> line to ensure the success of the organisation. </w:t>
      </w:r>
    </w:p>
    <w:p w14:paraId="0BE15127"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Measure solvency:</w:t>
      </w:r>
      <w:r w:rsidRPr="00871501">
        <w:rPr>
          <w:rFonts w:eastAsia="Times New Roman" w:cs="Times New Roman"/>
          <w:color w:val="000000"/>
          <w:szCs w:val="24"/>
          <w:lang w:eastAsia="en-GB"/>
        </w:rPr>
        <w:t xml:space="preserve">  A firm's capacity to repay its long-term debt is gauged by its debt ratio (Wei et al., 2013). Lower debt ratios, which show that long-term assets far surpass the debt required to buy them, are crucial for companies operating in the hospitality sector. However, the business also employs inadequate debt management techniques.</w:t>
      </w:r>
    </w:p>
    <w:p w14:paraId="5DF2F293"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Investing decision:</w:t>
      </w:r>
      <w:r w:rsidRPr="00871501">
        <w:rPr>
          <w:rFonts w:eastAsia="Times New Roman" w:cs="Times New Roman"/>
          <w:color w:val="000000"/>
          <w:szCs w:val="24"/>
          <w:lang w:eastAsia="en-GB"/>
        </w:rPr>
        <w:t xml:space="preserve"> High working turnover indicates that </w:t>
      </w:r>
      <w:r w:rsidRPr="00871501">
        <w:rPr>
          <w:rFonts w:eastAsia="Times New Roman" w:cs="Times New Roman"/>
          <w:szCs w:val="24"/>
          <w:lang w:eastAsia="en-GB"/>
        </w:rPr>
        <w:t>organisations</w:t>
      </w:r>
      <w:r w:rsidRPr="00871501">
        <w:rPr>
          <w:rFonts w:eastAsia="Times New Roman" w:cs="Times New Roman"/>
          <w:color w:val="000000"/>
          <w:szCs w:val="24"/>
          <w:lang w:eastAsia="en-GB"/>
        </w:rPr>
        <w:t xml:space="preserve"> </w:t>
      </w:r>
      <w:r w:rsidRPr="00871501">
        <w:rPr>
          <w:rFonts w:eastAsia="Times New Roman" w:cs="Times New Roman"/>
          <w:szCs w:val="24"/>
          <w:lang w:eastAsia="en-GB"/>
        </w:rPr>
        <w:t>keep</w:t>
      </w:r>
      <w:r w:rsidRPr="00871501">
        <w:rPr>
          <w:rFonts w:eastAsia="Times New Roman" w:cs="Times New Roman"/>
          <w:color w:val="000000"/>
          <w:szCs w:val="24"/>
          <w:lang w:eastAsia="en-GB"/>
        </w:rPr>
        <w:t xml:space="preserve"> too much money at hand. Organisation </w:t>
      </w:r>
      <w:r w:rsidRPr="00871501">
        <w:rPr>
          <w:rFonts w:eastAsia="Times New Roman" w:cs="Times New Roman"/>
          <w:szCs w:val="24"/>
          <w:lang w:eastAsia="en-GB"/>
        </w:rPr>
        <w:t>needs</w:t>
      </w:r>
      <w:r w:rsidRPr="00871501">
        <w:rPr>
          <w:rFonts w:eastAsia="Times New Roman" w:cs="Times New Roman"/>
          <w:color w:val="000000"/>
          <w:szCs w:val="24"/>
          <w:lang w:eastAsia="en-GB"/>
        </w:rPr>
        <w:t xml:space="preserve"> to balance its working capital turnover and invest extra money. </w:t>
      </w:r>
    </w:p>
    <w:p w14:paraId="4C50CE17"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t>Cost controlling:</w:t>
      </w:r>
      <w:r w:rsidRPr="00871501">
        <w:rPr>
          <w:rFonts w:eastAsia="Times New Roman" w:cs="Times New Roman"/>
          <w:color w:val="000000"/>
          <w:szCs w:val="24"/>
          <w:lang w:eastAsia="en-GB"/>
        </w:rPr>
        <w:t xml:space="preserve"> Ratios helps management to control the cost and expenses and change the pricing and expense strategies to make it more efficient. Efficient cost controlling can make a healthy business organisation (</w:t>
      </w:r>
      <w:proofErr w:type="spellStart"/>
      <w:r w:rsidRPr="00871501">
        <w:rPr>
          <w:rFonts w:eastAsia="Times New Roman" w:cs="Times New Roman"/>
          <w:color w:val="000000"/>
          <w:szCs w:val="24"/>
          <w:lang w:eastAsia="en-GB"/>
        </w:rPr>
        <w:t>Chibili</w:t>
      </w:r>
      <w:proofErr w:type="spellEnd"/>
      <w:r w:rsidRPr="00871501">
        <w:rPr>
          <w:rFonts w:eastAsia="Times New Roman" w:cs="Times New Roman"/>
          <w:color w:val="000000"/>
          <w:szCs w:val="24"/>
          <w:lang w:eastAsia="en-GB"/>
        </w:rPr>
        <w:t xml:space="preserve">, 2019). </w:t>
      </w:r>
    </w:p>
    <w:p w14:paraId="52FF1648" w14:textId="77777777" w:rsidR="00871501" w:rsidRPr="00871501" w:rsidRDefault="00871501" w:rsidP="00871501">
      <w:pPr>
        <w:pBdr>
          <w:top w:val="nil"/>
          <w:left w:val="nil"/>
          <w:bottom w:val="nil"/>
          <w:right w:val="nil"/>
          <w:between w:val="nil"/>
        </w:pBdr>
        <w:spacing w:after="0"/>
        <w:ind w:left="1080"/>
        <w:rPr>
          <w:rFonts w:eastAsia="Times New Roman" w:cs="Times New Roman"/>
          <w:color w:val="000000"/>
          <w:szCs w:val="24"/>
          <w:lang w:eastAsia="en-GB"/>
        </w:rPr>
      </w:pPr>
    </w:p>
    <w:p w14:paraId="1F069E67" w14:textId="77777777" w:rsidR="00871501" w:rsidRPr="00871501" w:rsidRDefault="00871501" w:rsidP="00871501">
      <w:pPr>
        <w:numPr>
          <w:ilvl w:val="0"/>
          <w:numId w:val="3"/>
        </w:numPr>
        <w:pBdr>
          <w:top w:val="nil"/>
          <w:left w:val="nil"/>
          <w:bottom w:val="nil"/>
          <w:right w:val="nil"/>
          <w:between w:val="nil"/>
        </w:pBdr>
        <w:spacing w:after="0"/>
        <w:rPr>
          <w:rFonts w:eastAsia="Times New Roman" w:cs="Times New Roman"/>
          <w:szCs w:val="24"/>
          <w:lang w:eastAsia="en-GB"/>
        </w:rPr>
      </w:pPr>
      <w:r w:rsidRPr="00871501">
        <w:rPr>
          <w:rFonts w:eastAsia="Times New Roman" w:cs="Times New Roman"/>
          <w:b/>
          <w:color w:val="000000"/>
          <w:szCs w:val="24"/>
          <w:lang w:eastAsia="en-GB"/>
        </w:rPr>
        <w:lastRenderedPageBreak/>
        <w:t>Source of information for management:</w:t>
      </w:r>
      <w:r w:rsidRPr="00871501">
        <w:rPr>
          <w:rFonts w:eastAsia="Times New Roman" w:cs="Times New Roman"/>
          <w:color w:val="000000"/>
          <w:szCs w:val="24"/>
          <w:lang w:eastAsia="en-GB"/>
        </w:rPr>
        <w:t xml:space="preserve"> The management, creditors, financiers, and dealers of the institution are the primary recipients of the knowledge provided by financial analysis, which is what gives it its significance (</w:t>
      </w:r>
      <w:proofErr w:type="spellStart"/>
      <w:r w:rsidRPr="00871501">
        <w:rPr>
          <w:rFonts w:eastAsia="Times New Roman" w:cs="Times New Roman"/>
          <w:color w:val="000000"/>
          <w:szCs w:val="24"/>
          <w:lang w:eastAsia="en-GB"/>
        </w:rPr>
        <w:t>Guilding</w:t>
      </w:r>
      <w:proofErr w:type="spellEnd"/>
      <w:r w:rsidRPr="00871501">
        <w:rPr>
          <w:rFonts w:eastAsia="Times New Roman" w:cs="Times New Roman"/>
          <w:color w:val="000000"/>
          <w:szCs w:val="24"/>
          <w:lang w:eastAsia="en-GB"/>
        </w:rPr>
        <w:t>, 2014). This knowledge is used by these parties in a variety of contexts.</w:t>
      </w:r>
    </w:p>
    <w:p w14:paraId="5BF78B84" w14:textId="77777777" w:rsidR="00871501" w:rsidRPr="00871501" w:rsidRDefault="00871501" w:rsidP="00871501">
      <w:pPr>
        <w:numPr>
          <w:ilvl w:val="0"/>
          <w:numId w:val="3"/>
        </w:numPr>
        <w:pBdr>
          <w:top w:val="nil"/>
          <w:left w:val="nil"/>
          <w:bottom w:val="nil"/>
          <w:right w:val="nil"/>
          <w:between w:val="nil"/>
        </w:pBdr>
        <w:rPr>
          <w:rFonts w:eastAsia="Times New Roman" w:cs="Times New Roman"/>
          <w:szCs w:val="24"/>
          <w:lang w:eastAsia="en-GB"/>
        </w:rPr>
      </w:pPr>
      <w:bookmarkStart w:id="8" w:name="_gjdgxs" w:colFirst="0" w:colLast="0"/>
      <w:bookmarkEnd w:id="8"/>
      <w:r w:rsidRPr="00871501">
        <w:rPr>
          <w:rFonts w:eastAsia="Times New Roman" w:cs="Times New Roman"/>
          <w:b/>
          <w:color w:val="000000"/>
          <w:szCs w:val="24"/>
          <w:lang w:eastAsia="en-GB"/>
        </w:rPr>
        <w:t xml:space="preserve">Situation with regard to liquid assets: </w:t>
      </w:r>
      <w:r w:rsidRPr="00871501">
        <w:rPr>
          <w:rFonts w:eastAsia="Times New Roman" w:cs="Times New Roman"/>
          <w:color w:val="000000"/>
          <w:szCs w:val="24"/>
          <w:lang w:eastAsia="en-GB"/>
        </w:rPr>
        <w:t xml:space="preserve">An hotel's economic stability is essential for meeting its obligations, which are often of a short duration. A firm is in a position to pay if it has more </w:t>
      </w:r>
      <w:r w:rsidRPr="00871501">
        <w:rPr>
          <w:rFonts w:eastAsia="Times New Roman" w:cs="Times New Roman"/>
          <w:szCs w:val="24"/>
          <w:lang w:eastAsia="en-GB"/>
        </w:rPr>
        <w:t>liquidity than</w:t>
      </w:r>
      <w:r w:rsidRPr="00871501">
        <w:rPr>
          <w:rFonts w:eastAsia="Times New Roman" w:cs="Times New Roman"/>
          <w:color w:val="000000"/>
          <w:szCs w:val="24"/>
          <w:lang w:eastAsia="en-GB"/>
        </w:rPr>
        <w:t xml:space="preserve"> it does conveniently accessible debts. The magnitude of this stake owned by any hotel management firm can be determined, in part, by calculating and analysing the company's short - term liquidity metrics.</w:t>
      </w:r>
    </w:p>
    <w:p w14:paraId="42B02656"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Marriott is still suffering from ongoing effects of COVID-19 which include lower demand, low travel rate, hotel closure and so on (</w:t>
      </w:r>
      <w:proofErr w:type="spellStart"/>
      <w:r w:rsidRPr="00871501">
        <w:rPr>
          <w:rFonts w:eastAsia="Times New Roman" w:cs="Times New Roman"/>
          <w:szCs w:val="24"/>
          <w:lang w:eastAsia="en-GB"/>
        </w:rPr>
        <w:t>Dotsenko</w:t>
      </w:r>
      <w:proofErr w:type="spellEnd"/>
      <w:r w:rsidRPr="00871501">
        <w:rPr>
          <w:rFonts w:eastAsia="Times New Roman" w:cs="Times New Roman"/>
          <w:szCs w:val="24"/>
          <w:lang w:eastAsia="en-GB"/>
        </w:rPr>
        <w:t xml:space="preserve"> et al., 2020). After realising the seriousness of ratio analysis, management can solve financial problems related to organisation. </w:t>
      </w:r>
    </w:p>
    <w:p w14:paraId="7ABB93D8" w14:textId="77777777" w:rsidR="00871501" w:rsidRPr="00871501" w:rsidRDefault="00871501" w:rsidP="00871501">
      <w:pPr>
        <w:rPr>
          <w:rFonts w:eastAsia="Times New Roman" w:cs="Times New Roman"/>
          <w:szCs w:val="24"/>
          <w:lang w:eastAsia="en-GB"/>
        </w:rPr>
      </w:pPr>
    </w:p>
    <w:p w14:paraId="0923C72C" w14:textId="77777777" w:rsidR="00871501" w:rsidRDefault="00871501">
      <w:pPr>
        <w:spacing w:line="259" w:lineRule="auto"/>
        <w:jc w:val="left"/>
        <w:rPr>
          <w:rFonts w:eastAsia="Times New Roman" w:cstheme="majorBidi"/>
          <w:b/>
          <w:sz w:val="32"/>
          <w:szCs w:val="32"/>
          <w:lang w:eastAsia="en-GB"/>
        </w:rPr>
      </w:pPr>
      <w:r>
        <w:rPr>
          <w:rFonts w:eastAsia="Times New Roman"/>
          <w:lang w:eastAsia="en-GB"/>
        </w:rPr>
        <w:br w:type="page"/>
      </w:r>
    </w:p>
    <w:p w14:paraId="3C9CA6A5" w14:textId="77777777" w:rsidR="00871501" w:rsidRPr="00871501" w:rsidRDefault="00871501" w:rsidP="00871501">
      <w:pPr>
        <w:pStyle w:val="Heading1"/>
        <w:rPr>
          <w:rFonts w:eastAsia="Times New Roman"/>
          <w:lang w:eastAsia="en-GB"/>
        </w:rPr>
      </w:pPr>
      <w:bookmarkStart w:id="9" w:name="_Toc120295326"/>
      <w:r w:rsidRPr="00871501">
        <w:rPr>
          <w:rFonts w:eastAsia="Times New Roman"/>
          <w:lang w:eastAsia="en-GB"/>
        </w:rPr>
        <w:lastRenderedPageBreak/>
        <w:t>Benefits and Limitations of Ratio Analysis</w:t>
      </w:r>
      <w:bookmarkEnd w:id="9"/>
      <w:r w:rsidRPr="00871501">
        <w:rPr>
          <w:rFonts w:eastAsia="Times New Roman"/>
          <w:lang w:eastAsia="en-GB"/>
        </w:rPr>
        <w:t xml:space="preserve"> </w:t>
      </w:r>
    </w:p>
    <w:p w14:paraId="60B1E29A"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The examination and interpretation of the numbers seen in the financial accounts is referred to as ratio analysis. One figure is compared to another in this process. It makes financial statements easier to interpret for users including stakeholders, customers, borrowers, the administration, and auditors, among others (</w:t>
      </w:r>
      <w:proofErr w:type="spellStart"/>
      <w:r w:rsidRPr="00871501">
        <w:rPr>
          <w:rFonts w:eastAsia="Times New Roman" w:cs="Times New Roman"/>
          <w:szCs w:val="24"/>
          <w:lang w:eastAsia="en-GB"/>
        </w:rPr>
        <w:t>Harelimana</w:t>
      </w:r>
      <w:proofErr w:type="spellEnd"/>
      <w:r w:rsidRPr="00871501">
        <w:rPr>
          <w:rFonts w:eastAsia="Times New Roman" w:cs="Times New Roman"/>
          <w:szCs w:val="24"/>
          <w:lang w:eastAsia="en-GB"/>
        </w:rPr>
        <w:t xml:space="preserve">, 2017). There are a number of limitations for ratio analysis like historical information, not considering inflation effect, aggregation issues, operational changes, business and accounting policy changes and different company strategy (Iqbal, 2016). </w:t>
      </w:r>
    </w:p>
    <w:p w14:paraId="234F25E8"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Another limitation of ratio analysis is a descriptive method based on some statistical data which cannot measure the actual value of all assets. Lack of monetary knowledge and ethical issues when analysing ratios, differences in rules and regulations of different organisations, not considering intuitive or personal judgement, biasness of data providers are some common limitations when analysing ratios for an organisation (Jackson &amp; </w:t>
      </w:r>
      <w:proofErr w:type="spellStart"/>
      <w:r w:rsidRPr="00871501">
        <w:rPr>
          <w:rFonts w:eastAsia="Times New Roman" w:cs="Times New Roman"/>
          <w:szCs w:val="24"/>
          <w:lang w:eastAsia="en-GB"/>
        </w:rPr>
        <w:t>Kwansa</w:t>
      </w:r>
      <w:proofErr w:type="spellEnd"/>
      <w:r w:rsidRPr="00871501">
        <w:rPr>
          <w:rFonts w:eastAsia="Times New Roman" w:cs="Times New Roman"/>
          <w:szCs w:val="24"/>
          <w:lang w:eastAsia="en-GB"/>
        </w:rPr>
        <w:t xml:space="preserve">, 2011). </w:t>
      </w:r>
    </w:p>
    <w:p w14:paraId="2E6E07B4"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These ratios take into account any financial difficulties an organisation may be having paying off its debt. Creditors, financiers, and borrowers typically utilise these ratios to determine a company's ability to honour its financial obligations (Li &amp; </w:t>
      </w:r>
      <w:proofErr w:type="spellStart"/>
      <w:r w:rsidRPr="00871501">
        <w:rPr>
          <w:rFonts w:eastAsia="Times New Roman" w:cs="Times New Roman"/>
          <w:szCs w:val="24"/>
          <w:lang w:eastAsia="en-GB"/>
        </w:rPr>
        <w:t>Singal</w:t>
      </w:r>
      <w:proofErr w:type="spellEnd"/>
      <w:r w:rsidRPr="00871501">
        <w:rPr>
          <w:rFonts w:eastAsia="Times New Roman" w:cs="Times New Roman"/>
          <w:szCs w:val="24"/>
          <w:lang w:eastAsia="en-GB"/>
        </w:rPr>
        <w:t>, 2017). Secondly, the firm's capacity to fulfil any lengthy major investment and the fact that it has more assets than liabilities are measured by the solvency ratios. The third group of metrics, known as profitability ratios, assesses an organisation's capacity to turn a profit in relation to its overhead expenses. as well as for the credit committee whose need to stay alert based on the organisation’s current liquidity position (</w:t>
      </w:r>
      <w:proofErr w:type="spellStart"/>
      <w:r w:rsidRPr="00871501">
        <w:rPr>
          <w:rFonts w:eastAsia="Times New Roman" w:cs="Times New Roman"/>
          <w:szCs w:val="24"/>
          <w:lang w:eastAsia="en-GB"/>
        </w:rPr>
        <w:t>Sukato</w:t>
      </w:r>
      <w:proofErr w:type="spellEnd"/>
      <w:r w:rsidRPr="00871501">
        <w:rPr>
          <w:rFonts w:eastAsia="Times New Roman" w:cs="Times New Roman"/>
          <w:szCs w:val="24"/>
          <w:lang w:eastAsia="en-GB"/>
        </w:rPr>
        <w:t>, 2017).</w:t>
      </w:r>
    </w:p>
    <w:p w14:paraId="4E2A56BC"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It is a useful method for understanding the kind of connections and linkages that exist between the project's various components. It helps both external and internal decision making. However, management needs to understand the fluctuation of ratios over the year to make proper decisions like how to utilise credit facilities, debt facilities, balance liquidity problems, efficient use of assets and so on (Van Niekerk, 2016). To get a thorough picture of Marriott's financial performance, it is essential to compare the financial indicators to industry standards or to the ratios of comparable businesses.</w:t>
      </w:r>
    </w:p>
    <w:p w14:paraId="494E5C0A" w14:textId="77777777" w:rsidR="00871501" w:rsidRPr="00871501" w:rsidRDefault="00871501" w:rsidP="00871501">
      <w:pPr>
        <w:spacing w:line="259" w:lineRule="auto"/>
        <w:jc w:val="left"/>
        <w:rPr>
          <w:rFonts w:eastAsia="Times New Roman" w:cs="Times New Roman"/>
          <w:szCs w:val="24"/>
          <w:lang w:eastAsia="en-GB"/>
        </w:rPr>
      </w:pPr>
      <w:r w:rsidRPr="00871501">
        <w:rPr>
          <w:rFonts w:eastAsia="Times New Roman" w:cs="Times New Roman"/>
          <w:szCs w:val="24"/>
          <w:lang w:eastAsia="en-GB"/>
        </w:rPr>
        <w:br w:type="page"/>
      </w:r>
    </w:p>
    <w:p w14:paraId="5E2DBB21" w14:textId="77777777" w:rsidR="00871501" w:rsidRPr="00871501" w:rsidRDefault="00871501" w:rsidP="00871501">
      <w:pPr>
        <w:pStyle w:val="Heading1"/>
        <w:rPr>
          <w:rFonts w:eastAsia="Times New Roman"/>
          <w:lang w:eastAsia="en-GB"/>
        </w:rPr>
      </w:pPr>
      <w:bookmarkStart w:id="10" w:name="_Toc120295327"/>
      <w:r w:rsidRPr="00871501">
        <w:rPr>
          <w:rFonts w:eastAsia="Times New Roman"/>
          <w:lang w:eastAsia="en-GB"/>
        </w:rPr>
        <w:lastRenderedPageBreak/>
        <w:t>Conclusion and Recommendations</w:t>
      </w:r>
      <w:bookmarkEnd w:id="10"/>
    </w:p>
    <w:p w14:paraId="1B70D67A"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Marriott International Inc. is one of the worldwide world class service providers in the hospitality industry with high friendliness and strong management. Investors should "use the quantity of data given in a company's fiscal reports to guide them in analysing the company as a speculation. The overall analysis shows that the financial situation of Marriott progressed compared to previous year. They have more liquid money than previous year and can cover short-term liabilities. The organisation is highly negatively affected by COVID-19 in 2020 and they are trying to recover it. Compared to 2020, the organisation increased its profit margin, growth rate, asset turnover which would attract investors. Nevertheless, the organisation also increased its debt significantly and management needed to focus on properly handling that capital part. The company can take urgent initiatives to ensure its financial condition right away, such as delaying payments to creditors as long as possible without remarkably damaging supplier relationships, recovering accounts receivables more quickly without remarkably damaging sales position, and selling ready inventory right away at a discount for cash payments. Marriott has a huge opportunity to expand business in these emerging economies since developing countries are seeking high end hotels. Management should have strong financial stability to grab this opportunity and expand the customer base. </w:t>
      </w:r>
    </w:p>
    <w:p w14:paraId="52E0D8F7" w14:textId="77777777" w:rsidR="00871501" w:rsidRPr="00871501" w:rsidRDefault="00871501" w:rsidP="00871501">
      <w:pPr>
        <w:spacing w:line="259" w:lineRule="auto"/>
        <w:jc w:val="left"/>
        <w:rPr>
          <w:rFonts w:eastAsia="Times New Roman" w:cs="Times New Roman"/>
          <w:szCs w:val="24"/>
          <w:lang w:eastAsia="en-GB"/>
        </w:rPr>
      </w:pPr>
      <w:r w:rsidRPr="00871501">
        <w:rPr>
          <w:rFonts w:eastAsia="Times New Roman" w:cs="Times New Roman"/>
          <w:szCs w:val="24"/>
          <w:lang w:eastAsia="en-GB"/>
        </w:rPr>
        <w:br w:type="page"/>
      </w:r>
    </w:p>
    <w:p w14:paraId="16F062FC" w14:textId="77777777" w:rsidR="00871501" w:rsidRPr="00871501" w:rsidRDefault="00871501" w:rsidP="00871501">
      <w:pPr>
        <w:pStyle w:val="Heading1"/>
        <w:rPr>
          <w:rFonts w:eastAsia="Times New Roman"/>
          <w:lang w:eastAsia="en-GB"/>
        </w:rPr>
      </w:pPr>
      <w:bookmarkStart w:id="11" w:name="_Toc120295328"/>
      <w:r w:rsidRPr="00871501">
        <w:rPr>
          <w:rFonts w:eastAsia="Times New Roman"/>
          <w:lang w:eastAsia="en-GB"/>
        </w:rPr>
        <w:lastRenderedPageBreak/>
        <w:t>References</w:t>
      </w:r>
      <w:bookmarkEnd w:id="11"/>
    </w:p>
    <w:p w14:paraId="1F121C90"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t>Chibili</w:t>
      </w:r>
      <w:proofErr w:type="spellEnd"/>
      <w:r w:rsidRPr="00871501">
        <w:rPr>
          <w:rFonts w:eastAsia="Times New Roman" w:cs="Times New Roman"/>
          <w:szCs w:val="24"/>
          <w:lang w:eastAsia="en-GB"/>
        </w:rPr>
        <w:t xml:space="preserve">, M.N. (2019) “Ratio analysis and types of ratios,” Basic Management Accounting for the Hospitality Industry, pp. 117–148. Available at: https://doi.org/10.4324/9781003022305-7. </w:t>
      </w:r>
    </w:p>
    <w:p w14:paraId="14DE90F0"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t>Dotsenko</w:t>
      </w:r>
      <w:proofErr w:type="spellEnd"/>
      <w:r w:rsidRPr="00871501">
        <w:rPr>
          <w:rFonts w:eastAsia="Times New Roman" w:cs="Times New Roman"/>
          <w:szCs w:val="24"/>
          <w:lang w:eastAsia="en-GB"/>
        </w:rPr>
        <w:t xml:space="preserve">, V., </w:t>
      </w:r>
      <w:proofErr w:type="spellStart"/>
      <w:r w:rsidRPr="00871501">
        <w:rPr>
          <w:rFonts w:eastAsia="Times New Roman" w:cs="Times New Roman"/>
          <w:szCs w:val="24"/>
          <w:lang w:eastAsia="en-GB"/>
        </w:rPr>
        <w:t>Kosova</w:t>
      </w:r>
      <w:proofErr w:type="spellEnd"/>
      <w:r w:rsidRPr="00871501">
        <w:rPr>
          <w:rFonts w:eastAsia="Times New Roman" w:cs="Times New Roman"/>
          <w:szCs w:val="24"/>
          <w:lang w:eastAsia="en-GB"/>
        </w:rPr>
        <w:t xml:space="preserve">, T. and </w:t>
      </w:r>
      <w:proofErr w:type="spellStart"/>
      <w:r w:rsidRPr="00871501">
        <w:rPr>
          <w:rFonts w:eastAsia="Times New Roman" w:cs="Times New Roman"/>
          <w:szCs w:val="24"/>
          <w:lang w:eastAsia="en-GB"/>
        </w:rPr>
        <w:t>Yaroshevska</w:t>
      </w:r>
      <w:proofErr w:type="spellEnd"/>
      <w:r w:rsidRPr="00871501">
        <w:rPr>
          <w:rFonts w:eastAsia="Times New Roman" w:cs="Times New Roman"/>
          <w:szCs w:val="24"/>
          <w:lang w:eastAsia="en-GB"/>
        </w:rPr>
        <w:t xml:space="preserve">, O. (2020) “Efficiency of hotel and Restaurant Business Management: Criterion of Financial Results,” </w:t>
      </w:r>
      <w:proofErr w:type="spellStart"/>
      <w:r w:rsidRPr="00871501">
        <w:rPr>
          <w:rFonts w:eastAsia="Times New Roman" w:cs="Times New Roman"/>
          <w:szCs w:val="24"/>
          <w:lang w:eastAsia="en-GB"/>
        </w:rPr>
        <w:t>Ekonomika</w:t>
      </w:r>
      <w:proofErr w:type="spellEnd"/>
      <w:r w:rsidRPr="00871501">
        <w:rPr>
          <w:rFonts w:eastAsia="Times New Roman" w:cs="Times New Roman"/>
          <w:szCs w:val="24"/>
          <w:lang w:eastAsia="en-GB"/>
        </w:rPr>
        <w:t xml:space="preserve"> ta </w:t>
      </w:r>
      <w:proofErr w:type="spellStart"/>
      <w:r w:rsidRPr="00871501">
        <w:rPr>
          <w:rFonts w:eastAsia="Times New Roman" w:cs="Times New Roman"/>
          <w:szCs w:val="24"/>
          <w:lang w:eastAsia="en-GB"/>
        </w:rPr>
        <w:t>derzhava</w:t>
      </w:r>
      <w:proofErr w:type="spellEnd"/>
      <w:r w:rsidRPr="00871501">
        <w:rPr>
          <w:rFonts w:eastAsia="Times New Roman" w:cs="Times New Roman"/>
          <w:szCs w:val="24"/>
          <w:lang w:eastAsia="en-GB"/>
        </w:rPr>
        <w:t xml:space="preserve">, (6), p. 28. Available at: https://doi.org/10.32702/2306-6806.2020.6.28. </w:t>
      </w:r>
    </w:p>
    <w:p w14:paraId="396B0BBF"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t>Guilding</w:t>
      </w:r>
      <w:proofErr w:type="spellEnd"/>
      <w:r w:rsidRPr="00871501">
        <w:rPr>
          <w:rFonts w:eastAsia="Times New Roman" w:cs="Times New Roman"/>
          <w:szCs w:val="24"/>
          <w:lang w:eastAsia="en-GB"/>
        </w:rPr>
        <w:t xml:space="preserve">, C. (2014) “Accounting essentials for hospitality managers.” Available at: https://doi.org/10.4324/9780203766668. </w:t>
      </w:r>
    </w:p>
    <w:p w14:paraId="5AAE7FF1"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t>Harelimana</w:t>
      </w:r>
      <w:proofErr w:type="spellEnd"/>
      <w:r w:rsidRPr="00871501">
        <w:rPr>
          <w:rFonts w:eastAsia="Times New Roman" w:cs="Times New Roman"/>
          <w:szCs w:val="24"/>
          <w:lang w:eastAsia="en-GB"/>
        </w:rPr>
        <w:t xml:space="preserve">, J.B. (2017) “The effect of budgetary control on financial performance of Kigali Serena Hotel in Rwanda.,” Account and Financial Management Journal [Preprint]. Available at: https://doi.org/10.18535/afmj/v2i1.01. </w:t>
      </w:r>
    </w:p>
    <w:p w14:paraId="736F2D6B"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Iqbal, U. (2016) “Financial performance in Daily Hotel and Business Management,” Journal of Hotel &amp;amp; Business Management, 05(02). Available at: https://doi.org/10.4172/2169-0286.1000e113. </w:t>
      </w:r>
    </w:p>
    <w:p w14:paraId="0B2E5F28"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Jackson, L.A. and </w:t>
      </w:r>
      <w:proofErr w:type="spellStart"/>
      <w:r w:rsidRPr="00871501">
        <w:rPr>
          <w:rFonts w:eastAsia="Times New Roman" w:cs="Times New Roman"/>
          <w:szCs w:val="24"/>
          <w:lang w:eastAsia="en-GB"/>
        </w:rPr>
        <w:t>Kwansa</w:t>
      </w:r>
      <w:proofErr w:type="spellEnd"/>
      <w:r w:rsidRPr="00871501">
        <w:rPr>
          <w:rFonts w:eastAsia="Times New Roman" w:cs="Times New Roman"/>
          <w:szCs w:val="24"/>
          <w:lang w:eastAsia="en-GB"/>
        </w:rPr>
        <w:t xml:space="preserve">, F. (2011) “Digitizing financial reporting: A profile of early hospitality industry XBRL adopters and implications for the industry,” The Journal of Hospitality Financial Management, 19(1), pp. 27–50. Available at: https://doi.org/10.1080/10913211.2011.10653899. </w:t>
      </w:r>
    </w:p>
    <w:p w14:paraId="0D05299F"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Li, Y. and </w:t>
      </w:r>
      <w:proofErr w:type="spellStart"/>
      <w:r w:rsidRPr="00871501">
        <w:rPr>
          <w:rFonts w:eastAsia="Times New Roman" w:cs="Times New Roman"/>
          <w:szCs w:val="24"/>
          <w:lang w:eastAsia="en-GB"/>
        </w:rPr>
        <w:t>Singal</w:t>
      </w:r>
      <w:proofErr w:type="spellEnd"/>
      <w:r w:rsidRPr="00871501">
        <w:rPr>
          <w:rFonts w:eastAsia="Times New Roman" w:cs="Times New Roman"/>
          <w:szCs w:val="24"/>
          <w:lang w:eastAsia="en-GB"/>
        </w:rPr>
        <w:t xml:space="preserve">, M. (2017) “CEO attributes and firm performance in the Hospitality Industry,” The Journal of Hospitality Financial Management, 25(2), pp. 77–89. Available at: https://doi.org/10.1080/10913211.2017.1398941. </w:t>
      </w:r>
    </w:p>
    <w:p w14:paraId="1A1A730F"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Marriot Annual Report (no date) Marriott Financial statements 2009-2022: Mar, Macrotrends. Available at: https://www.macrotrends.net/stocks/charts/MAR/marriott/financial-statements (Accessed: November 25, 2022). </w:t>
      </w:r>
    </w:p>
    <w:p w14:paraId="03BCC611"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t>Sukato</w:t>
      </w:r>
      <w:proofErr w:type="spellEnd"/>
      <w:r w:rsidRPr="00871501">
        <w:rPr>
          <w:rFonts w:eastAsia="Times New Roman" w:cs="Times New Roman"/>
          <w:szCs w:val="24"/>
          <w:lang w:eastAsia="en-GB"/>
        </w:rPr>
        <w:t xml:space="preserve">, N. (2017) “Influential factors affecting small hotel performance,” Topics in Economics, Business and Management (EBM) [Preprint]. Available at: https://doi.org/10.26480/icemi.01.2017.267.272. </w:t>
      </w:r>
    </w:p>
    <w:p w14:paraId="7C0735D1" w14:textId="77777777" w:rsidR="00871501" w:rsidRPr="00871501" w:rsidRDefault="00871501" w:rsidP="00871501">
      <w:pPr>
        <w:rPr>
          <w:rFonts w:eastAsia="Times New Roman" w:cs="Times New Roman"/>
          <w:szCs w:val="24"/>
          <w:lang w:eastAsia="en-GB"/>
        </w:rPr>
      </w:pPr>
      <w:proofErr w:type="spellStart"/>
      <w:r w:rsidRPr="00871501">
        <w:rPr>
          <w:rFonts w:eastAsia="Times New Roman" w:cs="Times New Roman"/>
          <w:szCs w:val="24"/>
          <w:lang w:eastAsia="en-GB"/>
        </w:rPr>
        <w:lastRenderedPageBreak/>
        <w:t>Sunaryo</w:t>
      </w:r>
      <w:proofErr w:type="spellEnd"/>
      <w:r w:rsidRPr="00871501">
        <w:rPr>
          <w:rFonts w:eastAsia="Times New Roman" w:cs="Times New Roman"/>
          <w:szCs w:val="24"/>
          <w:lang w:eastAsia="en-GB"/>
        </w:rPr>
        <w:t xml:space="preserve">, D. (2022) “Importance of current ratio and dividend yield ratio in moderating process on stock prices,” </w:t>
      </w:r>
      <w:proofErr w:type="spellStart"/>
      <w:r w:rsidRPr="00871501">
        <w:rPr>
          <w:rFonts w:eastAsia="Times New Roman" w:cs="Times New Roman"/>
          <w:szCs w:val="24"/>
          <w:lang w:eastAsia="en-GB"/>
        </w:rPr>
        <w:t>Ilomata</w:t>
      </w:r>
      <w:proofErr w:type="spellEnd"/>
      <w:r w:rsidRPr="00871501">
        <w:rPr>
          <w:rFonts w:eastAsia="Times New Roman" w:cs="Times New Roman"/>
          <w:szCs w:val="24"/>
          <w:lang w:eastAsia="en-GB"/>
        </w:rPr>
        <w:t xml:space="preserve"> International Journal of Management, 3(3), pp. 380–402. Available at: https://doi.org/10.52728/ijjm.v3i3.490. </w:t>
      </w:r>
    </w:p>
    <w:p w14:paraId="3BA8833E"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T.E., O. (2021) “Importance financial ratio analysis (FAR) in the evaluation of small scale enterprises in Delta State, Nigeria,” INTERNATIONAL JOURNAL OF MANAGEMENT, 11(12). Available at: https://doi.org/10.34218/ijm.11.12.2020.306. </w:t>
      </w:r>
    </w:p>
    <w:p w14:paraId="4ABFC627"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Van Niekerk, M. (2016) “Business, technology, and marketing trends influencing the financial performance of the Hotel Industry,” The Journal of Hospitality Financial Management, 24(2), pp. 153–157. Available at: https://doi.org/10.1080/10913211.2016.1236582. </w:t>
      </w:r>
    </w:p>
    <w:p w14:paraId="3A219DD6" w14:textId="77777777" w:rsidR="00871501" w:rsidRPr="00871501" w:rsidRDefault="00871501" w:rsidP="00871501">
      <w:pPr>
        <w:rPr>
          <w:rFonts w:eastAsia="Times New Roman" w:cs="Times New Roman"/>
          <w:szCs w:val="24"/>
          <w:lang w:eastAsia="en-GB"/>
        </w:rPr>
      </w:pPr>
      <w:r w:rsidRPr="00871501">
        <w:rPr>
          <w:rFonts w:eastAsia="Times New Roman" w:cs="Times New Roman"/>
          <w:szCs w:val="24"/>
          <w:lang w:eastAsia="en-GB"/>
        </w:rPr>
        <w:t xml:space="preserve">Wei, P., Lu, Z. and Song, J. (2013) “Uncertainty importance analysis using parametric moment ratio functions,” Risk Analysis, 34(2), pp. 223–234. Available at: https://doi.org/10.1111/risa.12111. </w:t>
      </w:r>
      <w:r w:rsidRPr="00871501">
        <w:rPr>
          <w:rFonts w:eastAsia="Times New Roman" w:cs="Times New Roman"/>
          <w:szCs w:val="24"/>
          <w:lang w:eastAsia="en-GB"/>
        </w:rPr>
        <w:br w:type="page"/>
      </w:r>
    </w:p>
    <w:p w14:paraId="36B0E226" w14:textId="77777777" w:rsidR="00871501" w:rsidRPr="00871501" w:rsidRDefault="00871501" w:rsidP="00871501">
      <w:pPr>
        <w:pStyle w:val="Heading1"/>
        <w:rPr>
          <w:rFonts w:eastAsia="Times New Roman"/>
          <w:lang w:eastAsia="en-GB"/>
        </w:rPr>
      </w:pPr>
      <w:bookmarkStart w:id="12" w:name="_Toc120295329"/>
      <w:r w:rsidRPr="00871501">
        <w:rPr>
          <w:rFonts w:eastAsia="Times New Roman"/>
          <w:lang w:eastAsia="en-GB"/>
        </w:rPr>
        <w:lastRenderedPageBreak/>
        <w:t>Appendix</w:t>
      </w:r>
      <w:bookmarkEnd w:id="12"/>
    </w:p>
    <w:p w14:paraId="3AE0A99E" w14:textId="77777777" w:rsidR="00871501" w:rsidRPr="00871501" w:rsidRDefault="00871501" w:rsidP="00871501">
      <w:pPr>
        <w:rPr>
          <w:rFonts w:eastAsia="Times New Roman" w:cs="Times New Roman"/>
          <w:b/>
          <w:szCs w:val="24"/>
          <w:lang w:eastAsia="en-GB"/>
        </w:rPr>
      </w:pPr>
      <w:r w:rsidRPr="00871501">
        <w:rPr>
          <w:rFonts w:eastAsia="Times New Roman" w:cs="Times New Roman"/>
          <w:b/>
          <w:szCs w:val="24"/>
          <w:lang w:eastAsia="en-GB"/>
        </w:rPr>
        <w:t xml:space="preserve">Appendix 1: Income Statement of Marriott for 2020 and 2021 </w:t>
      </w:r>
    </w:p>
    <w:p w14:paraId="57D7D5C2" w14:textId="77777777" w:rsidR="00871501" w:rsidRPr="00871501" w:rsidRDefault="00871501" w:rsidP="00871501">
      <w:pPr>
        <w:rPr>
          <w:rFonts w:eastAsia="Times New Roman" w:cs="Times New Roman"/>
          <w:szCs w:val="24"/>
          <w:lang w:eastAsia="en-GB"/>
        </w:rPr>
      </w:pPr>
      <w:r w:rsidRPr="00871501">
        <w:rPr>
          <w:rFonts w:eastAsia="Times New Roman" w:cs="Times New Roman"/>
          <w:noProof/>
          <w:szCs w:val="24"/>
          <w:lang w:eastAsia="en-GB"/>
        </w:rPr>
        <w:drawing>
          <wp:inline distT="0" distB="0" distL="0" distR="0" wp14:anchorId="785E0D9E" wp14:editId="4B3D5BBC">
            <wp:extent cx="5890482" cy="52217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890482" cy="5221779"/>
                    </a:xfrm>
                    <a:prstGeom prst="rect">
                      <a:avLst/>
                    </a:prstGeom>
                    <a:ln/>
                  </pic:spPr>
                </pic:pic>
              </a:graphicData>
            </a:graphic>
          </wp:inline>
        </w:drawing>
      </w:r>
    </w:p>
    <w:p w14:paraId="0E3058A2" w14:textId="77777777" w:rsidR="00871501" w:rsidRPr="00871501" w:rsidRDefault="00871501" w:rsidP="00871501">
      <w:pPr>
        <w:spacing w:line="259" w:lineRule="auto"/>
        <w:jc w:val="left"/>
        <w:rPr>
          <w:rFonts w:eastAsia="Times New Roman" w:cs="Times New Roman"/>
          <w:szCs w:val="24"/>
          <w:lang w:eastAsia="en-GB"/>
        </w:rPr>
      </w:pPr>
      <w:r w:rsidRPr="00871501">
        <w:rPr>
          <w:rFonts w:eastAsia="Times New Roman" w:cs="Times New Roman"/>
          <w:szCs w:val="24"/>
          <w:lang w:eastAsia="en-GB"/>
        </w:rPr>
        <w:br w:type="page"/>
      </w:r>
    </w:p>
    <w:p w14:paraId="6FC4FA91" w14:textId="77777777" w:rsidR="00871501" w:rsidRPr="00871501" w:rsidRDefault="00871501" w:rsidP="00871501">
      <w:pPr>
        <w:rPr>
          <w:rFonts w:eastAsia="Times New Roman" w:cs="Times New Roman"/>
          <w:b/>
          <w:szCs w:val="24"/>
          <w:lang w:eastAsia="en-GB"/>
        </w:rPr>
      </w:pPr>
      <w:r w:rsidRPr="00871501">
        <w:rPr>
          <w:rFonts w:eastAsia="Times New Roman" w:cs="Times New Roman"/>
          <w:b/>
          <w:szCs w:val="24"/>
          <w:lang w:eastAsia="en-GB"/>
        </w:rPr>
        <w:lastRenderedPageBreak/>
        <w:t>Appendix 2: Balance Sheet of Marriott for 2020 and 2021</w:t>
      </w:r>
    </w:p>
    <w:p w14:paraId="72CD83F5" w14:textId="77777777" w:rsidR="00871501" w:rsidRPr="00871501" w:rsidRDefault="00871501" w:rsidP="00871501">
      <w:pPr>
        <w:rPr>
          <w:rFonts w:eastAsia="Times New Roman" w:cs="Times New Roman"/>
          <w:szCs w:val="24"/>
          <w:lang w:eastAsia="en-GB"/>
        </w:rPr>
      </w:pPr>
      <w:r w:rsidRPr="00871501">
        <w:rPr>
          <w:rFonts w:eastAsia="Times New Roman" w:cs="Times New Roman"/>
          <w:noProof/>
          <w:szCs w:val="24"/>
          <w:lang w:eastAsia="en-GB"/>
        </w:rPr>
        <w:drawing>
          <wp:inline distT="0" distB="0" distL="0" distR="0" wp14:anchorId="0BF52686" wp14:editId="56D39362">
            <wp:extent cx="5924790" cy="596908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l="1634" t="38440" r="54642" b="27756"/>
                    <a:stretch>
                      <a:fillRect/>
                    </a:stretch>
                  </pic:blipFill>
                  <pic:spPr>
                    <a:xfrm>
                      <a:off x="0" y="0"/>
                      <a:ext cx="5924790" cy="5969087"/>
                    </a:xfrm>
                    <a:prstGeom prst="rect">
                      <a:avLst/>
                    </a:prstGeom>
                    <a:ln/>
                  </pic:spPr>
                </pic:pic>
              </a:graphicData>
            </a:graphic>
          </wp:inline>
        </w:drawing>
      </w:r>
    </w:p>
    <w:p w14:paraId="514C54CD" w14:textId="77777777" w:rsidR="00542F5F" w:rsidRDefault="00542F5F"/>
    <w:sectPr w:rsidR="00542F5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90B34"/>
    <w:multiLevelType w:val="hybridMultilevel"/>
    <w:tmpl w:val="8FEA77E0"/>
    <w:lvl w:ilvl="0" w:tplc="00A413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222B90"/>
    <w:multiLevelType w:val="multilevel"/>
    <w:tmpl w:val="C98A5B2E"/>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7"/>
      </w:pPr>
    </w:lvl>
    <w:lvl w:ilvl="4">
      <w:start w:val="1"/>
      <w:numFmt w:val="decimal"/>
      <w:lvlText w:val="%1.%2.%3.%4.%5."/>
      <w:lvlJc w:val="left"/>
      <w:pPr>
        <w:ind w:left="2232" w:hanging="792"/>
      </w:pPr>
    </w:lvl>
    <w:lvl w:ilvl="5">
      <w:start w:val="1"/>
      <w:numFmt w:val="decimal"/>
      <w:lvlText w:val="%1.%2.%3.%4.%5.%6."/>
      <w:lvlJc w:val="left"/>
      <w:pPr>
        <w:ind w:left="2736" w:hanging="935"/>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BD76229"/>
    <w:multiLevelType w:val="multilevel"/>
    <w:tmpl w:val="049E981C"/>
    <w:lvl w:ilvl="0">
      <w:start w:val="2"/>
      <w:numFmt w:val="decimal"/>
      <w:lvlText w:val="%1"/>
      <w:lvlJc w:val="left"/>
      <w:pPr>
        <w:ind w:left="360" w:hanging="360"/>
      </w:pPr>
    </w:lvl>
    <w:lvl w:ilvl="1">
      <w:start w:val="1"/>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abstractNum w:abstractNumId="3" w15:restartNumberingAfterBreak="0">
    <w:nsid w:val="6AFA45B2"/>
    <w:multiLevelType w:val="multilevel"/>
    <w:tmpl w:val="0970822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7"/>
      </w:pPr>
    </w:lvl>
    <w:lvl w:ilvl="4">
      <w:start w:val="1"/>
      <w:numFmt w:val="decimal"/>
      <w:lvlText w:val="%1.%2.%3.%4.%5."/>
      <w:lvlJc w:val="left"/>
      <w:pPr>
        <w:ind w:left="2232" w:hanging="792"/>
      </w:pPr>
    </w:lvl>
    <w:lvl w:ilvl="5">
      <w:start w:val="1"/>
      <w:numFmt w:val="decimal"/>
      <w:lvlText w:val="%1.%2.%3.%4.%5.%6."/>
      <w:lvlJc w:val="left"/>
      <w:pPr>
        <w:ind w:left="2736" w:hanging="935"/>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58D7962"/>
    <w:multiLevelType w:val="multilevel"/>
    <w:tmpl w:val="0D4EE6A2"/>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21731701">
    <w:abstractNumId w:val="2"/>
  </w:num>
  <w:num w:numId="2" w16cid:durableId="739251009">
    <w:abstractNumId w:val="3"/>
  </w:num>
  <w:num w:numId="3" w16cid:durableId="974717919">
    <w:abstractNumId w:val="4"/>
  </w:num>
  <w:num w:numId="4" w16cid:durableId="1967469903">
    <w:abstractNumId w:val="1"/>
  </w:num>
  <w:num w:numId="5" w16cid:durableId="1066798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1501"/>
    <w:rsid w:val="0009768F"/>
    <w:rsid w:val="00134A5F"/>
    <w:rsid w:val="002F4B1B"/>
    <w:rsid w:val="0054064A"/>
    <w:rsid w:val="00542F5F"/>
    <w:rsid w:val="00552769"/>
    <w:rsid w:val="00855E06"/>
    <w:rsid w:val="00871501"/>
    <w:rsid w:val="00AD0C84"/>
    <w:rsid w:val="00C87201"/>
    <w:rsid w:val="00CE6198"/>
    <w:rsid w:val="00DD460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BAC54"/>
  <w15:chartTrackingRefBased/>
  <w15:docId w15:val="{4A51E171-3842-477F-BC6E-8C8DD2B38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50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7150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7150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501"/>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871501"/>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AD0C8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D0C84"/>
    <w:pPr>
      <w:spacing w:after="100"/>
    </w:pPr>
  </w:style>
  <w:style w:type="paragraph" w:styleId="TOC2">
    <w:name w:val="toc 2"/>
    <w:basedOn w:val="Normal"/>
    <w:next w:val="Normal"/>
    <w:autoRedefine/>
    <w:uiPriority w:val="39"/>
    <w:unhideWhenUsed/>
    <w:rsid w:val="00AD0C84"/>
    <w:pPr>
      <w:spacing w:after="100"/>
      <w:ind w:left="240"/>
    </w:pPr>
  </w:style>
  <w:style w:type="character" w:styleId="Hyperlink">
    <w:name w:val="Hyperlink"/>
    <w:basedOn w:val="DefaultParagraphFont"/>
    <w:uiPriority w:val="99"/>
    <w:unhideWhenUsed/>
    <w:rsid w:val="00AD0C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2ED54-F1A0-4B0A-AEE9-EC63A2DB8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16</Pages>
  <Words>2615</Words>
  <Characters>15157</Characters>
  <Application>Microsoft Office Word</Application>
  <DocSecurity>0</DocSecurity>
  <Lines>330</Lines>
  <Paragraphs>141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cp:revision>
  <dcterms:created xsi:type="dcterms:W3CDTF">2022-11-25T12:51:00Z</dcterms:created>
  <dcterms:modified xsi:type="dcterms:W3CDTF">2022-11-25T16:28:00Z</dcterms:modified>
  <cp:category/>
</cp:coreProperties>
</file>