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32"/>
          <w:szCs w:val="32"/>
        </w:rPr>
      </w:pPr>
    </w:p>
    <w:p>
      <w:pPr>
        <w:pStyle w:val="Body"/>
        <w:bidi w:val="0"/>
        <w:spacing w:after="160" w:line="259" w:lineRule="auto"/>
        <w:ind w:left="0" w:right="0" w:firstLine="0"/>
        <w:jc w:val="center"/>
        <w:rPr>
          <w:rFonts w:ascii="Cambria" w:hAnsi="Cambria"/>
          <w:sz w:val="22"/>
          <w:szCs w:val="22"/>
          <w:u w:color="000000"/>
          <w:rtl w:val="0"/>
        </w:rPr>
      </w:pPr>
      <w:r>
        <w:rPr>
          <w:rFonts w:ascii="Cambria" w:hAnsi="Cambria"/>
          <w:sz w:val="22"/>
          <w:szCs w:val="22"/>
          <w:u w:color="000000"/>
          <w:rtl w:val="0"/>
        </w:rPr>
        <w:drawing>
          <wp:inline distT="0" distB="0" distL="0" distR="0">
            <wp:extent cx="2858136" cy="1182370"/>
            <wp:effectExtent l="0" t="0" r="0" b="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4">
                      <a:extLst/>
                    </a:blip>
                    <a:stretch>
                      <a:fillRect/>
                    </a:stretch>
                  </pic:blipFill>
                  <pic:spPr>
                    <a:xfrm>
                      <a:off x="0" y="0"/>
                      <a:ext cx="2858136" cy="1182370"/>
                    </a:xfrm>
                    <a:prstGeom prst="rect">
                      <a:avLst/>
                    </a:prstGeom>
                    <a:ln w="12700" cap="flat">
                      <a:noFill/>
                      <a:miter lim="400000"/>
                    </a:ln>
                    <a:effectLst/>
                  </pic:spPr>
                </pic:pic>
              </a:graphicData>
            </a:graphic>
          </wp:inline>
        </w:drawing>
      </w:r>
    </w:p>
    <w:p>
      <w:pPr>
        <w:pStyle w:val="Default"/>
        <w:bidi w:val="0"/>
        <w:spacing w:before="0" w:after="160" w:line="259" w:lineRule="auto"/>
        <w:ind w:left="0" w:right="0" w:firstLine="0"/>
        <w:jc w:val="center"/>
        <w:rPr>
          <w:rFonts w:ascii="Times New Roman" w:cs="Times New Roman" w:hAnsi="Times New Roman" w:eastAsia="Times New Roman"/>
          <w:b w:val="1"/>
          <w:bCs w:val="1"/>
          <w:u w:color="000000"/>
          <w:rtl w:val="0"/>
          <w:lang w:val="en-US"/>
        </w:rPr>
      </w:pPr>
      <w:r>
        <w:rPr>
          <w:rFonts w:ascii="Times New Roman" w:hAnsi="Times New Roman"/>
          <w:b w:val="1"/>
          <w:bCs w:val="1"/>
          <w:sz w:val="28"/>
          <w:szCs w:val="28"/>
          <w:u w:color="000000"/>
          <w:rtl w:val="0"/>
          <w:lang w:val="en-US"/>
        </w:rPr>
        <w:t>School of Sport, Health &amp; Outdoor Education</w:t>
      </w:r>
    </w:p>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 xml:space="preserve">Student Name: </w:t>
      </w: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 xml:space="preserve"> Michaela da Cunha</w:t>
      </w:r>
    </w:p>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Module: Facilitating Learning through Experience</w:t>
      </w:r>
    </w:p>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Fonts w:ascii="Tahoma" w:cs="Tahoma" w:hAnsi="Tahoma" w:eastAsia="Tahoma"/>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lang w:val="en-US"/>
          <w14:textOutline>
            <w14:noFill/>
          </w14:textOutline>
          <w14:textFill>
            <w14:solidFill>
              <w14:srgbClr w14:val="000000"/>
            </w14:solidFill>
          </w14:textFill>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Module Code: SHOE7002</w:t>
      </w:r>
    </w:p>
    <w:p>
      <w:pPr>
        <w:keepNext w:val="0"/>
        <w:keepLines w:val="0"/>
        <w:pageBreakBefore w:val="0"/>
        <w:widowControl w:val="1"/>
        <w:shd w:val="clear" w:color="auto" w:fill="auto"/>
        <w:tabs>
          <w:tab w:val="left" w:pos="720"/>
          <w:tab w:val="left" w:pos="1440"/>
          <w:tab w:val="left" w:pos="2160"/>
          <w:tab w:val="left" w:pos="2880"/>
        </w:tabs>
        <w:suppressAutoHyphens w:val="0"/>
        <w:bidi w:val="0"/>
        <w:spacing w:before="240" w:after="120" w:line="259" w:lineRule="auto"/>
        <w:ind w:left="3600" w:right="0" w:hanging="3600"/>
        <w:jc w:val="center"/>
        <w:outlineLvl w:val="9"/>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pPr>
      <w: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Assignment Title: Project Report</w:t>
      </w:r>
    </w:p>
    <w:p>
      <w:pPr>
        <w:pStyle w:val="Body"/>
        <w:rPr>
          <w:sz w:val="32"/>
          <w:szCs w:val="32"/>
        </w:rPr>
      </w:pPr>
    </w:p>
    <w:p>
      <w:pPr>
        <w:pStyle w:val="Body"/>
        <w:rPr>
          <w:sz w:val="32"/>
          <w:szCs w:val="32"/>
        </w:rPr>
      </w:pPr>
      <w:r>
        <w:rPr>
          <w:sz w:val="32"/>
          <w:szCs w:val="32"/>
          <w:rtl w:val="0"/>
          <w:lang w:val="en-US"/>
        </w:rPr>
        <w:t>Facilitation and Activity Theory: Integrating Sources of Self-efficacy into Orienteering-based Activity?  Focus on Activity.</w:t>
      </w:r>
    </w:p>
    <w:p>
      <w:pPr>
        <w:pStyle w:val="Body"/>
        <w:rPr>
          <w:outline w:val="0"/>
          <w:color w:val="b41700"/>
          <w14:textFill>
            <w14:solidFill>
              <w14:srgbClr w14:val="B51700"/>
            </w14:solidFill>
          </w14:textFill>
        </w:rPr>
      </w:pPr>
    </w:p>
    <w:p>
      <w:pPr>
        <w:pStyle w:val="Body"/>
        <w:rPr>
          <w:i w:val="1"/>
          <w:iCs w:val="1"/>
          <w:sz w:val="28"/>
          <w:szCs w:val="28"/>
        </w:rPr>
      </w:pPr>
    </w:p>
    <w:p>
      <w:pPr>
        <w:pStyle w:val="Body"/>
        <w:rPr>
          <w:sz w:val="28"/>
          <w:szCs w:val="28"/>
        </w:rPr>
      </w:pPr>
      <w:r>
        <w:rPr>
          <w:b w:val="1"/>
          <w:bCs w:val="1"/>
          <w:sz w:val="28"/>
          <w:szCs w:val="28"/>
          <w:rtl w:val="0"/>
          <w:lang w:val="en-US"/>
        </w:rPr>
        <w:t>Abstract</w:t>
      </w:r>
      <w:r>
        <w:rPr>
          <w:sz w:val="28"/>
          <w:szCs w:val="28"/>
          <w:rtl w:val="0"/>
          <w:lang w:val="en-US"/>
        </w:rPr>
        <w:t xml:space="preserve"> </w:t>
      </w:r>
    </w:p>
    <w:p>
      <w:pPr>
        <w:pStyle w:val="Body"/>
        <w:rPr>
          <w:sz w:val="28"/>
          <w:szCs w:val="28"/>
        </w:rPr>
      </w:pPr>
    </w:p>
    <w:p>
      <w:pPr>
        <w:pStyle w:val="Body"/>
        <w:bidi w:val="0"/>
      </w:pPr>
      <w:r>
        <w:rPr>
          <w:rtl w:val="0"/>
          <w:lang w:val="en-US"/>
        </w:rPr>
        <w:t xml:space="preserve">Perceived self-efficacy has a positive influence over life-changing events for adolescents (Bandura, 1994).  Despite well documented research claiming the benefits of outdoor education to well-being, identifiable sources of how and why self-efficacy occurs are less evident (Sibthorpe, 2003).  The focus of this study is on identifying and integrating sources of self-efficacy into an outdoor learning programme, using activity theory as a model and process for design, integration, analysis and evaluation.  The aims are twofold:  Firstly, to design a programme with integrated sources of self-efficacy.  Secondly, and concurrently, for adolescents to design an orienteering-based activity during which the aforementioned sources of self-efficacy can be accessed.  </w:t>
      </w:r>
    </w:p>
    <w:p>
      <w:pPr>
        <w:pStyle w:val="Body"/>
        <w:bidi w:val="0"/>
      </w:pPr>
    </w:p>
    <w:p>
      <w:pPr>
        <w:pStyle w:val="Body"/>
        <w:bidi w:val="0"/>
      </w:pPr>
      <w:r>
        <w:rPr>
          <w:rtl w:val="0"/>
          <w:lang w:val="en-US"/>
        </w:rPr>
        <w:t xml:space="preserve">Four adolescents joined this study consisting of six, three hour sessions in four separate locations.  Discussions on our aims and ethics was a priority at the start of each session.  The  sources of self-efficacy and their </w:t>
      </w:r>
      <w:r>
        <w:rPr>
          <w:i w:val="1"/>
          <w:iCs w:val="1"/>
          <w:rtl w:val="0"/>
          <w:lang w:val="en-US"/>
        </w:rPr>
        <w:t>take-up</w:t>
      </w:r>
      <w:r>
        <w:rPr>
          <w:rtl w:val="0"/>
          <w:lang w:val="en-US"/>
        </w:rPr>
        <w:t xml:space="preserve"> by adolescents during their </w:t>
      </w:r>
      <w:r>
        <w:rPr>
          <w:i w:val="1"/>
          <w:iCs w:val="1"/>
          <w:rtl w:val="0"/>
          <w:lang w:val="en-US"/>
        </w:rPr>
        <w:t>activity</w:t>
      </w:r>
      <w:r>
        <w:rPr>
          <w:rtl w:val="0"/>
          <w:lang w:val="en-US"/>
        </w:rPr>
        <w:t xml:space="preserve">, were observed and noted in a personal diary.  A critical discussion and evaluation led to the conclusion that a facilitation programme integrating sources of self-efficacy can be accessed by adolescents in the framework of activity theory.  Self-efficacy is a derivative of social cognitive theory and as such, a collaborative approach with researchers in the field of psychology would extend the depth of enquiry from recognising actions (defined by activity) in response to sources of self-efficacy, to understanding behaviour patterns within those actions. </w:t>
      </w:r>
    </w:p>
    <w:p>
      <w:pPr>
        <w:pStyle w:val="Body"/>
        <w:rPr>
          <w:sz w:val="20"/>
          <w:szCs w:val="20"/>
        </w:rPr>
      </w:pPr>
    </w:p>
    <w:p>
      <w:pPr>
        <w:pStyle w:val="Body"/>
        <w:spacing w:line="360" w:lineRule="auto"/>
        <w:rPr>
          <w:sz w:val="28"/>
          <w:szCs w:val="28"/>
        </w:rPr>
      </w:pPr>
      <w:r>
        <w:rPr>
          <w:sz w:val="28"/>
          <w:szCs w:val="28"/>
          <w:rtl w:val="0"/>
          <w:lang w:val="en-US"/>
        </w:rPr>
        <w:t xml:space="preserve">Key words: </w:t>
      </w:r>
      <w:r>
        <w:rPr>
          <w:i w:val="1"/>
          <w:iCs w:val="1"/>
          <w:sz w:val="28"/>
          <w:szCs w:val="28"/>
          <w:rtl w:val="0"/>
          <w:lang w:val="en-US"/>
        </w:rPr>
        <w:t xml:space="preserve"> Outdoor education, activity theory, self-efficacy</w:t>
      </w:r>
    </w:p>
    <w:p>
      <w:pPr>
        <w:pStyle w:val="Body"/>
        <w:spacing w:line="360" w:lineRule="auto"/>
        <w:rPr>
          <w:sz w:val="28"/>
          <w:szCs w:val="28"/>
        </w:rPr>
      </w:pPr>
    </w:p>
    <w:p>
      <w:pPr>
        <w:pStyle w:val="Body"/>
        <w:spacing w:line="360" w:lineRule="auto"/>
        <w:rPr>
          <w:sz w:val="28"/>
          <w:szCs w:val="28"/>
        </w:rPr>
      </w:pPr>
    </w:p>
    <w:p>
      <w:pPr>
        <w:pStyle w:val="Body"/>
        <w:spacing w:line="360" w:lineRule="auto"/>
        <w:rPr>
          <w:sz w:val="28"/>
          <w:szCs w:val="28"/>
        </w:rPr>
      </w:pPr>
      <w:r>
        <w:rPr>
          <w:b w:val="1"/>
          <w:bCs w:val="1"/>
          <w:sz w:val="28"/>
          <w:szCs w:val="28"/>
          <w:rtl w:val="0"/>
          <w:lang w:val="en-US"/>
        </w:rPr>
        <w:t>Introduction</w:t>
      </w:r>
      <w:r>
        <w:rPr>
          <w:sz w:val="28"/>
          <w:szCs w:val="28"/>
          <w:rtl w:val="0"/>
          <w:lang w:val="en-US"/>
        </w:rPr>
        <w:t xml:space="preserve"> </w:t>
      </w:r>
    </w:p>
    <w:p>
      <w:pPr>
        <w:pStyle w:val="Body"/>
        <w:spacing w:line="360" w:lineRule="auto"/>
      </w:pPr>
      <w:r>
        <w:rPr>
          <w:rtl w:val="0"/>
          <w:lang w:val="en-US"/>
        </w:rPr>
        <w:t xml:space="preserve">Accomplishing tasks is important to adolescents and educators, however, the contribution of adolescent self-efficacy to the accomplishment is less understood.  Perceived self-efficacy enables adolescents to make competent life-changing choices when facing challenges (Luszczynska and Schwarzer, 2005).  To understand actions associated with self-efficacy, </w:t>
      </w:r>
      <w:r>
        <w:rPr>
          <w:i w:val="1"/>
          <w:iCs w:val="1"/>
          <w:rtl w:val="0"/>
          <w:lang w:val="en-US"/>
        </w:rPr>
        <w:t>sources</w:t>
      </w:r>
      <w:r>
        <w:rPr>
          <w:rtl w:val="0"/>
          <w:lang w:val="en-US"/>
        </w:rPr>
        <w:t xml:space="preserve"> of self-efficacy (Bandura, 1994) are integrated into a programme, 'that align with the standards of established scientific and philosophical traditions' (Seaman, 2008 p.15).  Despite an epistemological dilemma, with the concepts of activity theory and self-efficacy broadly embedded in social constructionism, I was able to take this perspective in representing Leontiev's (1978) version of activity theory. </w:t>
      </w:r>
    </w:p>
    <w:p>
      <w:pPr>
        <w:pStyle w:val="Body"/>
        <w:spacing w:line="360" w:lineRule="auto"/>
      </w:pPr>
    </w:p>
    <w:p>
      <w:pPr>
        <w:pStyle w:val="Body"/>
        <w:spacing w:line="360" w:lineRule="auto"/>
      </w:pPr>
      <w:r>
        <w:rPr>
          <w:rtl w:val="0"/>
          <w:lang w:val="en-US"/>
        </w:rPr>
        <w:t>Specifying an epistemological approach provides evidence of worldview and rationale for choice of methodological approach (Ward et al. 2015).</w:t>
      </w:r>
      <w:r>
        <w:rPr>
          <w:rtl w:val="0"/>
        </w:rPr>
        <w:t xml:space="preserve"> </w:t>
      </w:r>
      <w:r>
        <w:rPr>
          <w:rtl w:val="0"/>
          <w:lang w:val="en-US"/>
        </w:rPr>
        <w:t xml:space="preserve"> </w:t>
      </w:r>
      <w:r>
        <w:rPr>
          <w:rtl w:val="0"/>
          <w:lang w:val="nl-NL"/>
        </w:rPr>
        <w:t>Engestr</w:t>
      </w:r>
      <w:r>
        <w:rPr>
          <w:rtl w:val="0"/>
          <w:lang w:val="sv-SE"/>
        </w:rPr>
        <w:t>ö</w:t>
      </w:r>
      <w:r>
        <w:rPr>
          <w:rtl w:val="0"/>
        </w:rPr>
        <w:t xml:space="preserve">m </w:t>
      </w:r>
      <w:r>
        <w:rPr>
          <w:rtl w:val="0"/>
          <w:lang w:val="en-US"/>
        </w:rPr>
        <w:t>adds caution to defining theory, that can lead 'into the deep waters of defining, interpreting and possibly debating central concepts, and principles' (</w:t>
      </w:r>
      <w:r>
        <w:rPr>
          <w:rtl w:val="0"/>
          <w:lang w:val="nl-NL"/>
        </w:rPr>
        <w:t>Engestr</w:t>
      </w:r>
      <w:r>
        <w:rPr>
          <w:rtl w:val="0"/>
          <w:lang w:val="sv-SE"/>
        </w:rPr>
        <w:t>ö</w:t>
      </w:r>
      <w:r>
        <w:rPr>
          <w:rtl w:val="0"/>
        </w:rPr>
        <w:t>m</w:t>
      </w:r>
      <w:r>
        <w:rPr>
          <w:rtl w:val="0"/>
          <w:lang w:val="en-US"/>
        </w:rPr>
        <w:t>,</w:t>
      </w:r>
      <w:r>
        <w:rPr>
          <w:rtl w:val="0"/>
        </w:rPr>
        <w:t xml:space="preserve"> </w:t>
      </w:r>
      <w:r>
        <w:rPr>
          <w:rtl w:val="0"/>
          <w:lang w:val="en-US"/>
        </w:rPr>
        <w:t xml:space="preserve">2000).  Burr (2003) and Gergen &amp; Gergen (2003) are concerned that the unclear established epistemological positions of constructivism and social constructionism are cause for confusion. </w:t>
      </w:r>
    </w:p>
    <w:p>
      <w:pPr>
        <w:pStyle w:val="Body"/>
        <w:spacing w:line="360" w:lineRule="auto"/>
      </w:pPr>
    </w:p>
    <w:p>
      <w:pPr>
        <w:pStyle w:val="Body"/>
        <w:spacing w:line="360" w:lineRule="auto"/>
        <w:rPr>
          <w:i w:val="1"/>
          <w:iCs w:val="1"/>
        </w:rPr>
      </w:pPr>
      <w:r>
        <w:rPr>
          <w:i w:val="1"/>
          <w:iCs w:val="1"/>
          <w:rtl w:val="0"/>
          <w:lang w:val="en-US"/>
        </w:rPr>
        <w:t>Bias</w:t>
      </w:r>
    </w:p>
    <w:p>
      <w:pPr>
        <w:pStyle w:val="Body"/>
        <w:spacing w:line="360" w:lineRule="auto"/>
      </w:pPr>
      <w:r>
        <w:rPr>
          <w:rtl w:val="0"/>
          <w:lang w:val="en-US"/>
        </w:rPr>
        <w:t xml:space="preserve">Burr cautions us to be suspicious of our assumptions about how the world appears to be (2003).  Perceptions and assumptions are the foundations of knowledge that shape our world view, however, they are not validated truths, but opinions based on subjective thought, and so as new ideas emerged from this study they were open to bias.  Each group member develops a version of truth which may reflect their response to </w:t>
      </w:r>
      <w:r>
        <w:rPr>
          <w:i w:val="1"/>
          <w:iCs w:val="1"/>
          <w:rtl w:val="0"/>
          <w:lang w:val="en-US"/>
        </w:rPr>
        <w:t>sources</w:t>
      </w:r>
      <w:r>
        <w:rPr>
          <w:rtl w:val="0"/>
          <w:lang w:val="en-US"/>
        </w:rPr>
        <w:t xml:space="preserve"> of self-efficacy and subsequent actions.  Actions perceived as contradictions within the community are tools, characteristic of activity theory, for driving forward new ideas to improve lives.</w:t>
      </w:r>
    </w:p>
    <w:p>
      <w:pPr>
        <w:pStyle w:val="Body"/>
        <w:spacing w:line="360" w:lineRule="auto"/>
      </w:pPr>
    </w:p>
    <w:p>
      <w:pPr>
        <w:pStyle w:val="Body"/>
        <w:spacing w:line="360" w:lineRule="auto"/>
        <w:rPr>
          <w:i w:val="1"/>
          <w:iCs w:val="1"/>
        </w:rPr>
      </w:pPr>
      <w:r>
        <w:rPr>
          <w:i w:val="1"/>
          <w:iCs w:val="1"/>
          <w:rtl w:val="0"/>
          <w:lang w:val="en-US"/>
        </w:rPr>
        <w:t>Rationale</w:t>
      </w:r>
    </w:p>
    <w:p>
      <w:pPr>
        <w:pStyle w:val="Body"/>
        <w:spacing w:line="360" w:lineRule="auto"/>
      </w:pPr>
      <w:r>
        <w:rPr>
          <w:rtl w:val="0"/>
          <w:lang w:val="en-US"/>
        </w:rPr>
        <w:t xml:space="preserve">Self-efficacy enhances human accomplishment and personal well-being in many ways (Bandura, 1994).  Mental health disorders are rising in the UK with 12.5% of 5 to 19 year olds suffering from at least one disorder in 2017 (UK Government, 2019).  Approximately half of all lifetime mental health problems start in adolescence.  The perceived self-belief in efficacy influences the power a person has in facing challenges competently and the choices they make.  Luszczynska and Schwarzer (2005) </w:t>
      </w:r>
    </w:p>
    <w:p>
      <w:pPr>
        <w:pStyle w:val="Body"/>
        <w:spacing w:line="360" w:lineRule="auto"/>
      </w:pPr>
    </w:p>
    <w:p>
      <w:pPr>
        <w:pStyle w:val="Body"/>
        <w:spacing w:line="360" w:lineRule="auto"/>
      </w:pPr>
      <w:r>
        <w:rPr>
          <w:rtl w:val="0"/>
          <w:lang w:val="en-US"/>
        </w:rPr>
        <w:t xml:space="preserve">record compelling evidence on the positive effects of self-efficacy to behaviours affecting health and therefore accessing sources of self-efficacy is an important for adolescent well-being. </w:t>
      </w:r>
    </w:p>
    <w:p>
      <w:pPr>
        <w:pStyle w:val="Body"/>
        <w:spacing w:line="360" w:lineRule="auto"/>
      </w:pPr>
    </w:p>
    <w:p>
      <w:pPr>
        <w:pStyle w:val="Body"/>
        <w:spacing w:line="360" w:lineRule="auto"/>
      </w:pPr>
      <w:r>
        <w:rPr>
          <w:rtl w:val="0"/>
          <w:lang w:val="en-US"/>
        </w:rPr>
        <w:t>The aim of this study is two fold.</w:t>
      </w:r>
      <w:r>
        <w:rPr>
          <w:rtl w:val="0"/>
        </w:rPr>
        <w:t xml:space="preserve"> </w:t>
      </w:r>
      <w:r>
        <w:rPr>
          <w:rtl w:val="0"/>
          <w:lang w:val="en-US"/>
        </w:rPr>
        <w:t xml:space="preserve"> </w:t>
      </w:r>
      <w:r>
        <w:rPr>
          <w:rtl w:val="0"/>
          <w:lang w:val="en-US"/>
        </w:rPr>
        <w:t xml:space="preserve">Firstly, to design a programme with integrated sources of self-efficacy.  Secondly, and concurrently, for adolescents to design an orienteering-based activity during which the aforementioned sources of self-efficacy can be accessed. </w:t>
      </w:r>
      <w:r>
        <w:rPr>
          <w:rtl w:val="0"/>
          <w:lang w:val="en-US"/>
        </w:rPr>
        <w:t xml:space="preserve"> To begin this report I critically discuss various philosophical and theoretical perspectives on facilitation.  I go on to specify the methodology and practical application, followed by a critical discussion on the relationship between the subject and the actions associated with sources of self-efficacy.  Several areas for development emerged from the evaluation stage of the activity theory process, for discussion with the local community in determining future motivational outcomes. </w:t>
      </w:r>
    </w:p>
    <w:p>
      <w:pPr>
        <w:pStyle w:val="Body"/>
        <w:rPr>
          <w:sz w:val="28"/>
          <w:szCs w:val="28"/>
        </w:rPr>
      </w:pPr>
    </w:p>
    <w:p>
      <w:pPr>
        <w:pStyle w:val="Body"/>
        <w:rPr>
          <w:sz w:val="28"/>
          <w:szCs w:val="28"/>
        </w:rPr>
      </w:pPr>
    </w:p>
    <w:p>
      <w:pPr>
        <w:pStyle w:val="Body"/>
        <w:spacing w:line="360" w:lineRule="auto"/>
        <w:rPr>
          <w:b w:val="1"/>
          <w:bCs w:val="1"/>
          <w:sz w:val="28"/>
          <w:szCs w:val="28"/>
        </w:rPr>
      </w:pPr>
      <w:r>
        <w:rPr>
          <w:b w:val="1"/>
          <w:bCs w:val="1"/>
          <w:sz w:val="28"/>
          <w:szCs w:val="28"/>
          <w:rtl w:val="0"/>
          <w:lang w:val="en-US"/>
        </w:rPr>
        <w:t>Literature Review</w:t>
      </w:r>
    </w:p>
    <w:p>
      <w:pPr>
        <w:pStyle w:val="Body"/>
        <w:spacing w:line="360" w:lineRule="auto"/>
      </w:pPr>
      <w:r>
        <w:rPr>
          <w:rtl w:val="0"/>
          <w:lang w:val="en-US"/>
        </w:rPr>
        <w:t xml:space="preserve">Perceived self-efficacy has a positive influence over life-changing events for adolescents (Bandura, 1994), yet attention to sources of self-efficacy in outdoor learning programmes are rare (Sibthorp, 2003).  In designing a programme with integrated sources of self-efficacy for adolescents, I take a philosophical approach in the first instance, to understand this problem at its roots. The epistemological viewpoints and conflicting definitions of social constructionism lead to confusion for the facilitator when designing programmes underpinned by philosophy.  A discussion follows on activity theory and self-efficacy theory, and their historical context with reference to key authors such as Bandura (1994), Leontiev (1978), Vygotsky (1978), and </w:t>
      </w:r>
      <w:r>
        <w:rPr>
          <w:rtl w:val="0"/>
          <w:lang w:val="nl-NL"/>
        </w:rPr>
        <w:t>Engestr</w:t>
      </w:r>
      <w:r>
        <w:rPr>
          <w:rtl w:val="0"/>
          <w:lang w:val="sv-SE"/>
        </w:rPr>
        <w:t>ö</w:t>
      </w:r>
      <w:r>
        <w:rPr>
          <w:rtl w:val="0"/>
        </w:rPr>
        <w:t>m</w:t>
      </w:r>
      <w:r>
        <w:rPr>
          <w:rtl w:val="0"/>
          <w:lang w:val="en-US"/>
        </w:rPr>
        <w:t xml:space="preserve"> (2000).  Finally, the assumptions, principles and concepts within the framework of activity theory, are set out in the context of this project.    </w:t>
      </w:r>
    </w:p>
    <w:p>
      <w:pPr>
        <w:pStyle w:val="Body"/>
        <w:spacing w:line="360" w:lineRule="auto"/>
      </w:pPr>
    </w:p>
    <w:p>
      <w:pPr>
        <w:pStyle w:val="Body"/>
        <w:spacing w:line="360" w:lineRule="auto"/>
        <w:rPr>
          <w:b w:val="1"/>
          <w:bCs w:val="1"/>
          <w:i w:val="1"/>
          <w:iCs w:val="1"/>
        </w:rPr>
      </w:pPr>
      <w:r>
        <w:rPr>
          <w:b w:val="1"/>
          <w:bCs w:val="1"/>
          <w:i w:val="1"/>
          <w:iCs w:val="1"/>
          <w:rtl w:val="0"/>
          <w:lang w:val="en-US"/>
        </w:rPr>
        <w:t>Social constructionism</w:t>
      </w:r>
    </w:p>
    <w:p>
      <w:pPr>
        <w:pStyle w:val="Body"/>
        <w:spacing w:line="360" w:lineRule="auto"/>
      </w:pPr>
      <w:r>
        <w:rPr>
          <w:rtl w:val="0"/>
          <w:lang w:val="en-US"/>
        </w:rPr>
        <w:t>It is difficult to clearly define social constructionism at a time when sources of knowledge, research methods, participant populations, societal trends, and educational goals are changing (Seaman, 2008).  Change from the impact of human interference is also a reminder that 'nature exerts considerable constraint over our knowledge-constructing activities, and allows us to detect (and eject), our errors about it' (Phillips, 1995).  Activity theory is concerned with constructing knowledge from real-life contradictions, and in this study, perceived inefficacy in adolescents.  'People who regard themselves as highly efficacious act, think, and feel differently from those who perceive themselves as inefficacious.  They produce their own future, rather than simply foretell it' (Bandura, 1986 p. 395).  Do the roots of inefficacy lie with the social constructionists unable to agree on a consistent world?  How do these ideas interrelate?  Gergen and Gergen interpret social constructionism:</w:t>
      </w:r>
    </w:p>
    <w:p>
      <w:pPr>
        <w:pStyle w:val="Body"/>
        <w:bidi w:val="0"/>
      </w:pPr>
    </w:p>
    <w:p>
      <w:pPr>
        <w:pStyle w:val="Body"/>
        <w:spacing w:line="360" w:lineRule="auto"/>
        <w:ind w:left="567" w:right="567" w:firstLine="0"/>
      </w:pPr>
      <w:r>
        <w:rPr>
          <w:rtl w:val="0"/>
          <w:lang w:val="en-US"/>
        </w:rPr>
        <w:t xml:space="preserve">'The terms in which the world is understood are social artifacts, products of historically situated interchanges among people and from the constructionists position the process of understanding is not automatically driven by the forces of nature, but is the result of an active, cooperative enterprise of people in relationships' (Gergen and Gergen, 2003). </w:t>
      </w:r>
    </w:p>
    <w:p>
      <w:pPr>
        <w:pStyle w:val="Body"/>
        <w:bidi w:val="0"/>
      </w:pPr>
    </w:p>
    <w:p>
      <w:pPr>
        <w:pStyle w:val="Body"/>
        <w:spacing w:line="360" w:lineRule="auto"/>
      </w:pPr>
      <w:r>
        <w:rPr>
          <w:rtl w:val="0"/>
          <w:lang w:val="en-US"/>
        </w:rPr>
        <w:t xml:space="preserve">Do Gergen and Gergen suggest that inactive, uncooperative people, tentatively held together in a group, have inefficacy?  Burr adds that social constructionism insists we take a critical stance on the ways we interpret ourselves, and the world we take for granted, which are historically and culturally specific (2003).  He believes that language is a social action, and a pre-condition of thought and I concur that whilst interpreting ourselves is important, we also need to interpret pedagogies of affect, such as self-efficacy, within a wider and collaborative community.      </w:t>
      </w:r>
    </w:p>
    <w:p>
      <w:pPr>
        <w:pStyle w:val="Body"/>
        <w:spacing w:line="360" w:lineRule="auto"/>
      </w:pPr>
    </w:p>
    <w:p>
      <w:pPr>
        <w:pStyle w:val="Body"/>
        <w:spacing w:line="360" w:lineRule="auto"/>
      </w:pPr>
      <w:r>
        <w:rPr>
          <w:rtl w:val="0"/>
          <w:lang w:val="en-US"/>
        </w:rPr>
        <w:t xml:space="preserve">Social construction was founded by Berger and Luckman who argued that reality is socially constructed (1967).  Goldman, who held a veritistic epistemology, disagreed with this idea of reality, stating that 'the most significant strand of social constructionism is its characteristic denial of the extra-social existence of facts, or truths' (1992).  Phillips (1995) calls for more inclusive, knowledge-constructing communities and empowerment of 'long-silenced voices', suggesting corruption and oppression.  Exemplifying such an outcome, </w:t>
      </w:r>
      <w:r>
        <w:rPr>
          <w:rtl w:val="0"/>
          <w:lang w:val="nl-NL"/>
        </w:rPr>
        <w:t>Engestr</w:t>
      </w:r>
      <w:r>
        <w:rPr>
          <w:rtl w:val="0"/>
          <w:lang w:val="sv-SE"/>
        </w:rPr>
        <w:t>ö</w:t>
      </w:r>
      <w:r>
        <w:rPr>
          <w:rtl w:val="0"/>
        </w:rPr>
        <w:t>m</w:t>
      </w:r>
      <w:r>
        <w:rPr>
          <w:rtl w:val="0"/>
          <w:lang w:val="en-US"/>
        </w:rPr>
        <w:t xml:space="preserve"> recounts a story of four umpires, using the process of activity theory to explain their four epistemological approaches (2000).  The consequences of the choices made by the fourth umpire, a member of the community, ultimately revealed corrupt play, fuelled by financial gain, that persuaded players to stray from the rules of the game.  Despite</w:t>
      </w:r>
      <w:r>
        <w:rPr>
          <w:rtl w:val="0"/>
        </w:rPr>
        <w:t xml:space="preserve"> </w:t>
      </w:r>
      <w:r>
        <w:rPr>
          <w:rtl w:val="0"/>
          <w:lang w:val="en-US"/>
        </w:rPr>
        <w:t xml:space="preserve">the concerns revealed by </w:t>
      </w:r>
      <w:r>
        <w:rPr>
          <w:rtl w:val="0"/>
          <w:lang w:val="nl-NL"/>
        </w:rPr>
        <w:t>Engestr</w:t>
      </w:r>
      <w:r>
        <w:rPr>
          <w:rtl w:val="0"/>
          <w:lang w:val="sv-SE"/>
        </w:rPr>
        <w:t>ö</w:t>
      </w:r>
      <w:r>
        <w:rPr>
          <w:rtl w:val="0"/>
        </w:rPr>
        <w:t>m</w:t>
      </w:r>
      <w:r>
        <w:rPr>
          <w:rtl w:val="0"/>
          <w:lang w:val="en-US"/>
        </w:rPr>
        <w:t>,</w:t>
      </w:r>
      <w:r>
        <w:rPr>
          <w:rtl w:val="0"/>
        </w:rPr>
        <w:t xml:space="preserve"> </w:t>
      </w:r>
      <w:r>
        <w:rPr>
          <w:rtl w:val="0"/>
          <w:lang w:val="en-US"/>
        </w:rPr>
        <w:t xml:space="preserve">I concur with Phillips (1995), that 'a more inclusive, knowledge-constructing community' is a useful epistemological stance from which to move forward with activity theory, with </w:t>
      </w:r>
      <w:r>
        <w:rPr>
          <w:i w:val="1"/>
          <w:iCs w:val="1"/>
          <w:rtl w:val="0"/>
          <w:lang w:val="en-US"/>
        </w:rPr>
        <w:t xml:space="preserve">activity </w:t>
      </w:r>
      <w:r>
        <w:rPr>
          <w:rtl w:val="0"/>
          <w:lang w:val="en-US"/>
        </w:rPr>
        <w:t xml:space="preserve">being at the heart of the knowledge-construction process.       </w:t>
      </w:r>
    </w:p>
    <w:p>
      <w:pPr>
        <w:pStyle w:val="Body"/>
        <w:spacing w:line="360" w:lineRule="auto"/>
      </w:pPr>
    </w:p>
    <w:p>
      <w:pPr>
        <w:pStyle w:val="Body"/>
        <w:spacing w:line="360" w:lineRule="auto"/>
      </w:pPr>
      <w:r>
        <w:rPr>
          <w:rtl w:val="0"/>
          <w:lang w:val="en-US"/>
        </w:rPr>
        <w:t xml:space="preserve">The activities of Forest Schools and their epistemological position have been the topic of lively debate over the past decade.  Leather expressed surprise by the lack of theoretical foundation or philosophical underpinnings in the published work of Knight (2009) on Forest schools, and assembled his own case, initially placing them in the domain of  social constructivism with the learning being primarily child initiated and child led (Leather, 2012).  Although he advocated for social constructionism in the field of outdoor education, Leather's concern in mainstream education lay with the problem of scaffolding which required a 'vast amount of skilled activity' from the teacher.  He adds that 'scaffolding is a feature of well facilitated (outdoor) education experiences and a discovery approach to learning', pertaining to the idea that it was perhaps not feasible in a school environment (Leather, 2012).  Some years later, Leather revised his view on the epistemology of Forest Schools to one of social constructionism (2016), whilst Forest Schools maintain their position in constructivism (Knight, 2018), and whilst it is not clear why, the story does not end there. </w:t>
      </w:r>
    </w:p>
    <w:p>
      <w:pPr>
        <w:pStyle w:val="Body"/>
        <w:spacing w:line="360" w:lineRule="auto"/>
      </w:pPr>
    </w:p>
    <w:p>
      <w:pPr>
        <w:pStyle w:val="Body"/>
        <w:spacing w:line="360" w:lineRule="auto"/>
        <w:rPr>
          <w:b w:val="1"/>
          <w:bCs w:val="1"/>
          <w:i w:val="1"/>
          <w:iCs w:val="1"/>
        </w:rPr>
      </w:pPr>
      <w:r>
        <w:rPr>
          <w:b w:val="1"/>
          <w:bCs w:val="1"/>
          <w:i w:val="1"/>
          <w:iCs w:val="1"/>
          <w:rtl w:val="0"/>
          <w:lang w:val="en-US"/>
        </w:rPr>
        <w:t>Self-efficacy</w:t>
      </w:r>
    </w:p>
    <w:p>
      <w:pPr>
        <w:pStyle w:val="Body"/>
        <w:spacing w:line="360" w:lineRule="auto"/>
      </w:pPr>
      <w:r>
        <w:rPr>
          <w:rtl w:val="0"/>
          <w:lang w:val="en-US"/>
        </w:rPr>
        <w:t xml:space="preserve">Leather moves his </w:t>
      </w:r>
      <w:r>
        <w:rPr>
          <w:i w:val="1"/>
          <w:iCs w:val="1"/>
          <w:rtl w:val="0"/>
          <w:lang w:val="en-US"/>
        </w:rPr>
        <w:t>activity</w:t>
      </w:r>
      <w:r>
        <w:rPr>
          <w:rtl w:val="0"/>
          <w:lang w:val="en-US"/>
        </w:rPr>
        <w:t xml:space="preserve"> with Forest School, away from an epistemological debate to an emerging new line of enquiry, and </w:t>
      </w:r>
      <w:r>
        <w:rPr>
          <w:i w:val="1"/>
          <w:iCs w:val="1"/>
          <w:rtl w:val="0"/>
          <w:lang w:val="en-US"/>
        </w:rPr>
        <w:t xml:space="preserve">object of motivation.  </w:t>
      </w:r>
      <w:r>
        <w:rPr>
          <w:rtl w:val="0"/>
          <w:lang w:val="en-US"/>
        </w:rPr>
        <w:t>He questions the authenticity of claim made by Forest Schools regarding raised levels of self-esteem in children (2017).  Self-esteem, like self-efficacy is a pedagogy of affect, addressing feelings and emotions, measured by Schumann and Sibthorp in the development of their Teaching outdoor education self-efficacy scale (TOE-SES) and under a sub-heading 'interpersonal factors' (2014).  The authors report 'the importance of outdoor educators to competently  communicate and connect with students on a personal level is well documented (McKenzie, 2003)' and use 'communication skills used by educators to build a rapport with students'.  A rapport is defined in the Cambridge dictionary as 'a good understanding of someone and an ability to communicate with them' and as 'agreement or sympathy between people or groups' (</w:t>
      </w:r>
      <w:r>
        <w:rPr>
          <w:rStyle w:val="Hyperlink.0"/>
        </w:rPr>
        <w:fldChar w:fldCharType="begin" w:fldLock="0"/>
      </w:r>
      <w:r>
        <w:rPr>
          <w:rStyle w:val="Hyperlink.0"/>
        </w:rPr>
        <w:instrText xml:space="preserve"> HYPERLINK "https://dictionary.cambridge.org/dictionary/english/rapport"</w:instrText>
      </w:r>
      <w:r>
        <w:rPr>
          <w:rStyle w:val="Hyperlink.0"/>
        </w:rPr>
        <w:fldChar w:fldCharType="separate" w:fldLock="0"/>
      </w:r>
      <w:r>
        <w:rPr>
          <w:rStyle w:val="Hyperlink.0"/>
          <w:rtl w:val="0"/>
          <w:lang w:val="en-US"/>
        </w:rPr>
        <w:t>https://dictionary.cambridge.org/dictionary/english/rapport</w:t>
      </w:r>
      <w:r>
        <w:rPr/>
        <w:fldChar w:fldCharType="end" w:fldLock="0"/>
      </w:r>
      <w:r>
        <w:rPr>
          <w:rtl w:val="0"/>
          <w:lang w:val="en-US"/>
        </w:rPr>
        <w:t xml:space="preserve">).  This draws attention to a problem faced by facilitators in measuring levels of interpersonal skills.  Whilst psychologists can follow Lientiev's recommendations to focus on the </w:t>
      </w:r>
      <w:r>
        <w:rPr>
          <w:i w:val="1"/>
          <w:iCs w:val="1"/>
          <w:rtl w:val="0"/>
          <w:lang w:val="en-US"/>
        </w:rPr>
        <w:t>activity  in psychology</w:t>
      </w:r>
      <w:r>
        <w:rPr>
          <w:rtl w:val="0"/>
          <w:lang w:val="en-US"/>
        </w:rPr>
        <w:t xml:space="preserve">, an outdoor practitioner cannot ethically or professionally focus on the </w:t>
      </w:r>
      <w:r>
        <w:rPr>
          <w:i w:val="1"/>
          <w:iCs w:val="1"/>
          <w:rtl w:val="0"/>
          <w:lang w:val="en-US"/>
        </w:rPr>
        <w:t>psychology in activity</w:t>
      </w:r>
      <w:r>
        <w:rPr>
          <w:rtl w:val="0"/>
          <w:lang w:val="en-US"/>
        </w:rPr>
        <w:t xml:space="preserve">.  The interpersonal scales of TOE-ESS sub-scales reveal this issue, with an emphasis on the communication of the facilitator and not on the interpretation of the communication offered by the participant. </w:t>
      </w:r>
    </w:p>
    <w:p>
      <w:pPr>
        <w:pStyle w:val="Body"/>
        <w:spacing w:line="360" w:lineRule="auto"/>
      </w:pPr>
    </w:p>
    <w:p>
      <w:pPr>
        <w:pStyle w:val="Body"/>
        <w:numPr>
          <w:ilvl w:val="0"/>
          <w:numId w:val="2"/>
        </w:numPr>
        <w:spacing w:line="360" w:lineRule="auto"/>
        <w:rPr>
          <w:lang w:val="en-US"/>
        </w:rPr>
      </w:pPr>
      <w:r>
        <w:rPr>
          <w:rtl w:val="0"/>
          <w:lang w:val="en-US"/>
        </w:rPr>
        <w:t>Communicate with your students in ways that demonstrate sensitivity to cultural differences.</w:t>
      </w:r>
    </w:p>
    <w:p>
      <w:pPr>
        <w:pStyle w:val="Body"/>
        <w:numPr>
          <w:ilvl w:val="0"/>
          <w:numId w:val="2"/>
        </w:numPr>
        <w:spacing w:line="360" w:lineRule="auto"/>
        <w:rPr>
          <w:lang w:val="en-US"/>
        </w:rPr>
      </w:pPr>
      <w:r>
        <w:rPr>
          <w:rtl w:val="0"/>
          <w:lang w:val="en-US"/>
        </w:rPr>
        <w:t>Communicate empathy for each of your students.</w:t>
      </w:r>
    </w:p>
    <w:p>
      <w:pPr>
        <w:pStyle w:val="Body"/>
        <w:numPr>
          <w:ilvl w:val="0"/>
          <w:numId w:val="2"/>
        </w:numPr>
        <w:spacing w:line="360" w:lineRule="auto"/>
        <w:rPr>
          <w:lang w:val="en-US"/>
        </w:rPr>
      </w:pPr>
      <w:r>
        <w:rPr>
          <w:rtl w:val="0"/>
          <w:lang w:val="en-US"/>
        </w:rPr>
        <w:t>Communicate patience with your students after a long day of difficult weather.</w:t>
      </w:r>
    </w:p>
    <w:p>
      <w:pPr>
        <w:pStyle w:val="Body"/>
        <w:numPr>
          <w:ilvl w:val="0"/>
          <w:numId w:val="2"/>
        </w:numPr>
        <w:spacing w:line="360" w:lineRule="auto"/>
        <w:rPr>
          <w:lang w:val="en-US"/>
        </w:rPr>
      </w:pPr>
      <w:r>
        <w:rPr>
          <w:rtl w:val="0"/>
          <w:lang w:val="en-US"/>
        </w:rPr>
        <w:t xml:space="preserve">Communicate with your students in ways that demonstrate sensitivity to gender differences.     (Schumann and Sibthorp, 2014).  </w:t>
      </w:r>
    </w:p>
    <w:p>
      <w:pPr>
        <w:pStyle w:val="Body"/>
        <w:spacing w:line="360" w:lineRule="auto"/>
      </w:pPr>
    </w:p>
    <w:p>
      <w:pPr>
        <w:pStyle w:val="Body"/>
        <w:spacing w:line="360" w:lineRule="auto"/>
      </w:pPr>
      <w:r>
        <w:rPr>
          <w:rtl w:val="0"/>
          <w:lang w:val="en-US"/>
        </w:rPr>
        <w:t>Sibthorp recommended a shift from traditional external generalisation to conceptualised generalisability when measuring changes in self-efficacy (2003), however, as the TOE-SES scale indicates, the interpersonal skills of a facilitator do not build a rapport with participants that is two-way, as  suggested by the authors.  It is beyond the professional conduct of an outdoor educator to observe and interpret feelings such as inefficacy (unless they are in the field of psychology).  An unqualified facilitator may misinterpret the behaviour of a child with low efficacy, who for example, '</w:t>
      </w:r>
      <w:r>
        <w:rPr>
          <w:rtl w:val="0"/>
          <w:lang w:val="en-US"/>
        </w:rPr>
        <w:t>…</w:t>
      </w:r>
      <w:r>
        <w:rPr>
          <w:rtl w:val="0"/>
          <w:lang w:val="en-US"/>
        </w:rPr>
        <w:t>creates the impetus for learning but hinders adept use of previously established skills' (Bandura, p. 394).  Leather (2016) is somewhat unclear if an adult observer can correctly determine the self-esteem in a child, detailing his issues with observation research.</w:t>
      </w:r>
    </w:p>
    <w:p>
      <w:pPr>
        <w:pStyle w:val="Body"/>
        <w:spacing w:line="360" w:lineRule="auto"/>
      </w:pPr>
    </w:p>
    <w:p>
      <w:pPr>
        <w:pStyle w:val="Body"/>
        <w:spacing w:line="360" w:lineRule="auto"/>
        <w:ind w:left="567" w:right="567" w:firstLine="0"/>
      </w:pPr>
      <w:r>
        <w:rPr>
          <w:rtl w:val="0"/>
          <w:lang w:val="en-US"/>
        </w:rPr>
        <w:t xml:space="preserve">'I am unsure how an active and busy child can be directly correlated with self-esteem, especially when it appears that children's self-esteem is being measured using adult observations.  Emler (2001) highlights how observer ratings are untrustworthy in studies comparing observed values with self-reported values'.   </w:t>
      </w:r>
    </w:p>
    <w:p>
      <w:pPr>
        <w:pStyle w:val="Body"/>
        <w:spacing w:line="360" w:lineRule="auto"/>
        <w:rPr>
          <w:i w:val="1"/>
          <w:iCs w:val="1"/>
        </w:rPr>
      </w:pPr>
    </w:p>
    <w:p>
      <w:pPr>
        <w:pStyle w:val="Body"/>
        <w:spacing w:line="360" w:lineRule="auto"/>
      </w:pPr>
      <w:r>
        <w:rPr>
          <w:rtl w:val="0"/>
          <w:lang w:val="en-US"/>
        </w:rPr>
        <w:t xml:space="preserve"> Albert Bandura, pioneer of self-efficacy, describes it as 'people's beliefs about their capabilities to produce designated levels of performance that exercise influence over events that affect their lives' (Bandura, 1994).  The theory lies at the centre of Bandura's social cognitive theory, with observational learning and social experience playing a key part in personality development. </w:t>
      </w:r>
    </w:p>
    <w:p>
      <w:pPr>
        <w:pStyle w:val="Body"/>
        <w:spacing w:line="360" w:lineRule="auto"/>
      </w:pPr>
      <w:r>
        <w:rPr>
          <w:rtl w:val="0"/>
          <w:lang w:val="en-US"/>
        </w:rPr>
        <w:t>Although self-efficacy is of interest to many recent researchers (</w:t>
      </w:r>
      <w:r>
        <w:rPr>
          <w:rtl w:val="0"/>
          <w:lang w:val="de-DE"/>
        </w:rPr>
        <w:t>Widmer</w:t>
      </w:r>
      <w:r>
        <w:rPr>
          <w:rtl w:val="0"/>
          <w:lang w:val="en-US"/>
        </w:rPr>
        <w:t xml:space="preserve"> et al., 2014; </w:t>
      </w:r>
      <w:r>
        <w:rPr>
          <w:rtl w:val="0"/>
          <w:lang w:val="da-DK"/>
        </w:rPr>
        <w:t>Fuller</w:t>
      </w:r>
      <w:r>
        <w:rPr>
          <w:rtl w:val="0"/>
          <w:lang w:val="en-US"/>
        </w:rPr>
        <w:t xml:space="preserve"> et al., 2017; </w:t>
      </w:r>
      <w:r>
        <w:rPr>
          <w:rtl w:val="0"/>
          <w:lang w:val="fr-FR"/>
        </w:rPr>
        <w:t>Margalit</w:t>
      </w:r>
      <w:r>
        <w:rPr>
          <w:rtl w:val="0"/>
          <w:lang w:val="en-US"/>
        </w:rPr>
        <w:t xml:space="preserve"> et al., 2014; </w:t>
      </w:r>
      <w:r>
        <w:rPr>
          <w:rtl w:val="0"/>
        </w:rPr>
        <w:t>Jerusalem</w:t>
      </w:r>
      <w:r>
        <w:rPr>
          <w:rtl w:val="0"/>
          <w:lang w:val="en-US"/>
        </w:rPr>
        <w:t xml:space="preserve"> and</w:t>
      </w:r>
      <w:r>
        <w:rPr>
          <w:rtl w:val="0"/>
          <w:lang w:val="da-DK"/>
        </w:rPr>
        <w:t xml:space="preserve"> Johannes</w:t>
      </w:r>
      <w:r>
        <w:rPr>
          <w:rtl w:val="0"/>
          <w:lang w:val="en-US"/>
        </w:rPr>
        <w:t xml:space="preserve">, 2009; </w:t>
      </w:r>
      <w:r>
        <w:rPr>
          <w:rtl w:val="0"/>
          <w:lang w:val="de-DE"/>
        </w:rPr>
        <w:t>Ferguson</w:t>
      </w:r>
      <w:r>
        <w:rPr>
          <w:rtl w:val="0"/>
          <w:lang w:val="en-US"/>
        </w:rPr>
        <w:t xml:space="preserve"> et al., 2001), identifiable and robust </w:t>
      </w:r>
      <w:r>
        <w:rPr>
          <w:i w:val="1"/>
          <w:iCs w:val="1"/>
          <w:rtl w:val="0"/>
          <w:lang w:val="en-US"/>
        </w:rPr>
        <w:t>sources</w:t>
      </w:r>
      <w:r>
        <w:rPr>
          <w:rtl w:val="0"/>
          <w:lang w:val="en-US"/>
        </w:rPr>
        <w:t xml:space="preserve"> of self-efficacy in an outdoor learning environment</w:t>
      </w:r>
      <w:r>
        <w:rPr>
          <w:i w:val="1"/>
          <w:iCs w:val="1"/>
          <w:rtl w:val="0"/>
          <w:lang w:val="en-US"/>
        </w:rPr>
        <w:t xml:space="preserve"> </w:t>
      </w:r>
      <w:r>
        <w:rPr>
          <w:rtl w:val="0"/>
          <w:lang w:val="en-US"/>
        </w:rPr>
        <w:t xml:space="preserve">are less evident (Sibthorpe, 2003).      </w:t>
      </w:r>
    </w:p>
    <w:p>
      <w:pPr>
        <w:pStyle w:val="Body"/>
        <w:spacing w:line="360" w:lineRule="auto"/>
      </w:pPr>
    </w:p>
    <w:p>
      <w:pPr>
        <w:pStyle w:val="Body"/>
        <w:spacing w:line="360" w:lineRule="auto"/>
      </w:pPr>
      <w:r>
        <w:rPr>
          <w:rtl w:val="0"/>
          <w:lang w:val="en-US"/>
        </w:rPr>
        <w:t xml:space="preserve">This study is concerned with the </w:t>
      </w:r>
      <w:r>
        <w:rPr>
          <w:i w:val="1"/>
          <w:iCs w:val="1"/>
          <w:rtl w:val="0"/>
          <w:lang w:val="en-US"/>
        </w:rPr>
        <w:t>sources</w:t>
      </w:r>
      <w:r>
        <w:rPr>
          <w:rtl w:val="0"/>
          <w:lang w:val="en-US"/>
        </w:rPr>
        <w:t xml:space="preserve"> of self-efficacy</w:t>
      </w:r>
      <w:r>
        <w:rPr>
          <w:i w:val="1"/>
          <w:iCs w:val="1"/>
          <w:rtl w:val="0"/>
          <w:lang w:val="en-US"/>
        </w:rPr>
        <w:t xml:space="preserve"> </w:t>
      </w:r>
      <w:r>
        <w:rPr>
          <w:rtl w:val="0"/>
          <w:lang w:val="en-US"/>
        </w:rPr>
        <w:t xml:space="preserve">in activity.  Bandura describes the four processes of self-efficacy as cognitive, motivational, affective, and selection (1994, pp. 4-7).  Sources of self-efficacy (appendix 2) are referred to by Bandura as mastery experiences, vicarious experiences, social persuasion and reduction of stress and negative emotions (pp. 2-4) and these are integrated into the activity theory framework.   </w:t>
      </w:r>
    </w:p>
    <w:p>
      <w:pPr>
        <w:pStyle w:val="Body"/>
        <w:rPr>
          <w:i w:val="1"/>
          <w:iCs w:val="1"/>
        </w:rPr>
      </w:pPr>
    </w:p>
    <w:p>
      <w:pPr>
        <w:pStyle w:val="Body"/>
        <w:rPr>
          <w:i w:val="1"/>
          <w:iCs w:val="1"/>
        </w:rPr>
      </w:pPr>
    </w:p>
    <w:p>
      <w:pPr>
        <w:pStyle w:val="Body"/>
        <w:rPr>
          <w:i w:val="1"/>
          <w:iCs w:val="1"/>
        </w:rPr>
      </w:pPr>
      <w:r>
        <w:rPr>
          <w:b w:val="1"/>
          <w:bCs w:val="1"/>
          <w:i w:val="1"/>
          <w:iCs w:val="1"/>
          <w:rtl w:val="0"/>
          <w:lang w:val="en-US"/>
        </w:rPr>
        <w:t>Activity theory</w:t>
      </w:r>
      <w:r>
        <w:rPr>
          <w:i w:val="1"/>
          <w:iCs w:val="1"/>
          <w:rtl w:val="0"/>
          <w:lang w:val="en-US"/>
        </w:rPr>
        <w:t xml:space="preserve"> </w:t>
      </w:r>
    </w:p>
    <w:p>
      <w:pPr>
        <w:pStyle w:val="Body"/>
        <w:spacing w:line="120" w:lineRule="auto"/>
        <w:rPr>
          <w:i w:val="1"/>
          <w:iCs w:val="1"/>
        </w:rPr>
      </w:pPr>
    </w:p>
    <w:p>
      <w:pPr>
        <w:pStyle w:val="Body"/>
        <w:spacing w:line="360" w:lineRule="auto"/>
      </w:pPr>
      <w:r>
        <w:rPr>
          <w:rtl w:val="0"/>
          <w:lang w:val="en-US"/>
        </w:rPr>
        <w:t xml:space="preserve">Activity theory has grown significantly over the past thirty years as a post-cognitive approach to interaction design, (Kaptelinin et al., 2003; Kaptelinin and Nardi, 2006; </w:t>
      </w:r>
      <w:r>
        <w:rPr>
          <w:rtl w:val="0"/>
        </w:rPr>
        <w:t>B</w:t>
      </w:r>
      <w:r>
        <w:rPr>
          <w:rtl w:val="0"/>
          <w:lang w:val="da-DK"/>
        </w:rPr>
        <w:t>ø</w:t>
      </w:r>
      <w:r>
        <w:rPr>
          <w:rtl w:val="0"/>
          <w:lang w:val="da-DK"/>
        </w:rPr>
        <w:t>dker, 1991</w:t>
      </w:r>
      <w:r>
        <w:rPr>
          <w:rtl w:val="0"/>
          <w:lang w:val="en-US"/>
        </w:rPr>
        <w:t xml:space="preserve">; </w:t>
      </w:r>
      <w:r>
        <w:rPr>
          <w:rtl w:val="0"/>
          <w:lang w:val="nl-NL"/>
        </w:rPr>
        <w:t>Engestr</w:t>
      </w:r>
      <w:r>
        <w:rPr>
          <w:rtl w:val="0"/>
          <w:lang w:val="sv-SE"/>
        </w:rPr>
        <w:t>ö</w:t>
      </w:r>
      <w:r>
        <w:rPr>
          <w:rtl w:val="0"/>
        </w:rPr>
        <w:t>m</w:t>
      </w:r>
      <w:r>
        <w:rPr>
          <w:rtl w:val="0"/>
          <w:lang w:val="en-US"/>
        </w:rPr>
        <w:t xml:space="preserve"> 2000).  The theory is described by founder, Leontiev, as 'processes that realise a person's actual life is the objective world by which he is surrounded, his social being in all the richness and variety of its form' (Kaptelinin, 1977).</w:t>
      </w:r>
    </w:p>
    <w:p>
      <w:pPr>
        <w:pStyle w:val="Body"/>
        <w:spacing w:line="360" w:lineRule="auto"/>
      </w:pPr>
    </w:p>
    <w:p>
      <w:pPr>
        <w:pStyle w:val="Body"/>
        <w:spacing w:line="360" w:lineRule="auto"/>
      </w:pPr>
      <w:r>
        <w:rPr>
          <w:rtl w:val="0"/>
          <w:lang w:val="en-US"/>
        </w:rPr>
        <w:t>Activity theory emerged from several sources with three main strands led by:</w:t>
      </w:r>
      <w:r>
        <w:rPr>
          <w:rtl w:val="0"/>
          <w:lang w:val="en-US"/>
        </w:rPr>
        <w:t xml:space="preserve"> Russian psychologist and pioneer of 'activity approach' Sergei Rubinstein; </w:t>
      </w:r>
      <w:r>
        <w:rPr>
          <w:rtl w:val="0"/>
          <w:lang w:val="en-US"/>
        </w:rPr>
        <w:t xml:space="preserve">cultural-history activity theorists Leontiev, </w:t>
      </w:r>
    </w:p>
    <w:p>
      <w:pPr>
        <w:pStyle w:val="Body"/>
        <w:spacing w:line="360" w:lineRule="auto"/>
      </w:pPr>
      <w:r>
        <w:rPr>
          <w:rtl w:val="0"/>
          <w:lang w:val="en-US"/>
        </w:rPr>
        <w:t xml:space="preserve">Vygotsky, and Luria (R </w:t>
      </w:r>
      <w:r>
        <w:rPr>
          <w:rtl w:val="0"/>
          <w:lang w:val="nl-NL"/>
        </w:rPr>
        <w:t>Engestr</w:t>
      </w:r>
      <w:r>
        <w:rPr>
          <w:rtl w:val="0"/>
          <w:lang w:val="sv-SE"/>
        </w:rPr>
        <w:t>ö</w:t>
      </w:r>
      <w:r>
        <w:rPr>
          <w:rtl w:val="0"/>
        </w:rPr>
        <w:t>m</w:t>
      </w:r>
      <w:r>
        <w:rPr>
          <w:rtl w:val="0"/>
          <w:lang w:val="en-US"/>
        </w:rPr>
        <w:t xml:space="preserve">, 2014); and director at the Centre for Research on Activity Development and Learning in Finland, </w:t>
      </w:r>
      <w:r>
        <w:rPr>
          <w:rtl w:val="0"/>
        </w:rPr>
        <w:t>Yrj</w:t>
      </w:r>
      <w:r>
        <w:rPr>
          <w:rtl w:val="0"/>
          <w:lang w:val="sv-SE"/>
        </w:rPr>
        <w:t>ö</w:t>
      </w:r>
      <w:r>
        <w:rPr>
          <w:rtl w:val="0"/>
          <w:lang w:val="en-US"/>
        </w:rPr>
        <w:t xml:space="preserve"> </w:t>
      </w:r>
      <w:r>
        <w:rPr>
          <w:rtl w:val="0"/>
          <w:lang w:val="nl-NL"/>
        </w:rPr>
        <w:t>Engestr</w:t>
      </w:r>
      <w:r>
        <w:rPr>
          <w:rtl w:val="0"/>
          <w:lang w:val="sv-SE"/>
        </w:rPr>
        <w:t>ö</w:t>
      </w:r>
      <w:r>
        <w:rPr>
          <w:rtl w:val="0"/>
        </w:rPr>
        <w:t>m</w:t>
      </w:r>
      <w:r>
        <w:rPr>
          <w:rtl w:val="0"/>
          <w:lang w:val="en-US"/>
        </w:rPr>
        <w:t xml:space="preserve">.  </w:t>
      </w:r>
      <w:r>
        <w:rPr>
          <w:rtl w:val="0"/>
          <w:lang w:val="nl-NL"/>
        </w:rPr>
        <w:t>Engestr</w:t>
      </w:r>
      <w:r>
        <w:rPr>
          <w:rtl w:val="0"/>
          <w:lang w:val="sv-SE"/>
        </w:rPr>
        <w:t>ö</w:t>
      </w:r>
      <w:r>
        <w:rPr>
          <w:rtl w:val="0"/>
        </w:rPr>
        <w:t>m</w:t>
      </w:r>
      <w:r>
        <w:rPr>
          <w:rtl w:val="0"/>
          <w:lang w:val="en-US"/>
        </w:rPr>
        <w:t xml:space="preserve"> referred to activity theory as an organised system for design, which he illustrated in a triangle as shown in Figure 1.</w:t>
      </w:r>
      <w:r>
        <w:drawing>
          <wp:anchor distT="152400" distB="152400" distL="152400" distR="152400" simplePos="0" relativeHeight="251659264" behindDoc="0" locked="0" layoutInCell="1" allowOverlap="1">
            <wp:simplePos x="0" y="0"/>
            <wp:positionH relativeFrom="margin">
              <wp:posOffset>332444</wp:posOffset>
            </wp:positionH>
            <wp:positionV relativeFrom="line">
              <wp:posOffset>253917</wp:posOffset>
            </wp:positionV>
            <wp:extent cx="5442468" cy="3850257"/>
            <wp:effectExtent l="0" t="0" r="0" b="0"/>
            <wp:wrapThrough wrapText="bothSides" distL="152400" distR="152400">
              <wp:wrapPolygon edited="1">
                <wp:start x="0" y="0"/>
                <wp:lineTo x="21600" y="0"/>
                <wp:lineTo x="21600" y="21617"/>
                <wp:lineTo x="0" y="21617"/>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5442468" cy="3850257"/>
                    </a:xfrm>
                    <a:prstGeom prst="rect">
                      <a:avLst/>
                    </a:prstGeom>
                    <a:ln w="12700" cap="flat">
                      <a:noFill/>
                      <a:miter lim="400000"/>
                    </a:ln>
                    <a:effectLst/>
                  </pic:spPr>
                </pic:pic>
              </a:graphicData>
            </a:graphic>
          </wp:anchor>
        </w:drawing>
      </w:r>
      <w:r>
        <w:rPr>
          <w:rtl w:val="0"/>
          <w:lang w:val="en-US"/>
        </w:rPr>
        <w:t xml:space="preserve">  </w:t>
      </w:r>
    </w:p>
    <w:p>
      <w:pPr>
        <w:pStyle w:val="Body"/>
        <w:spacing w:line="360" w:lineRule="auto"/>
      </w:pPr>
    </w:p>
    <w:p>
      <w:pPr>
        <w:pStyle w:val="Body"/>
        <w:spacing w:line="360" w:lineRule="auto"/>
      </w:pPr>
    </w:p>
    <w:p>
      <w:pPr>
        <w:pStyle w:val="Body"/>
        <w:spacing w:line="360" w:lineRule="auto"/>
      </w:pPr>
      <w:r>
        <w:rPr>
          <w:rtl w:val="0"/>
          <w:lang w:val="en-US"/>
        </w:rPr>
        <w:t xml:space="preserve">Figure 1: </w:t>
      </w:r>
      <w:r>
        <w:rPr>
          <w:rtl w:val="0"/>
          <w:lang w:val="nl-NL"/>
        </w:rPr>
        <w:t>Engestr</w:t>
      </w:r>
      <w:r>
        <w:rPr>
          <w:rtl w:val="0"/>
          <w:lang w:val="sv-SE"/>
        </w:rPr>
        <w:t>ö</w:t>
      </w:r>
      <w:r>
        <w:rPr>
          <w:rtl w:val="0"/>
        </w:rPr>
        <w:t>m</w:t>
      </w:r>
      <w:r>
        <w:rPr>
          <w:rtl w:val="0"/>
          <w:lang w:val="en-US"/>
        </w:rPr>
        <w:t xml:space="preserve">'s conceptualised framework based on Leontiev's Activity Theory.  </w:t>
      </w:r>
    </w:p>
    <w:p>
      <w:pPr>
        <w:pStyle w:val="Body"/>
        <w:spacing w:line="360" w:lineRule="auto"/>
      </w:pPr>
    </w:p>
    <w:p>
      <w:pPr>
        <w:pStyle w:val="Body"/>
        <w:spacing w:line="360" w:lineRule="auto"/>
      </w:pPr>
      <w:r>
        <w:rPr>
          <w:rtl w:val="0"/>
          <w:lang w:val="en-US"/>
        </w:rPr>
        <w:t>The activity systems are interrelated and constantly developing (</w:t>
      </w:r>
      <w:r>
        <w:rPr>
          <w:rtl w:val="0"/>
          <w:lang w:val="nl-NL"/>
        </w:rPr>
        <w:t>Engestr</w:t>
      </w:r>
      <w:r>
        <w:rPr>
          <w:rtl w:val="0"/>
          <w:lang w:val="sv-SE"/>
        </w:rPr>
        <w:t>ö</w:t>
      </w:r>
      <w:r>
        <w:rPr>
          <w:rtl w:val="0"/>
        </w:rPr>
        <w:t>m</w:t>
      </w:r>
      <w:r>
        <w:rPr>
          <w:rtl w:val="0"/>
          <w:lang w:val="en-US"/>
        </w:rPr>
        <w:t xml:space="preserve"> 2000), influenced by the mediating tools.  The outcome maybe the completion of a yellow standard orienteering course, which on completion may lead to a new outcome such as a green standard course.  Alternatively, the participant maybe influenced by a new camera he or she receives and decide to make a film of the yellow course, or the participant may have watched a film persuading them to try a completely new sport.  </w:t>
      </w:r>
    </w:p>
    <w:p>
      <w:pPr>
        <w:pStyle w:val="Body"/>
        <w:spacing w:line="360" w:lineRule="auto"/>
        <w:rPr>
          <w:sz w:val="28"/>
          <w:szCs w:val="28"/>
        </w:rPr>
      </w:pPr>
    </w:p>
    <w:p>
      <w:pPr>
        <w:pStyle w:val="Body"/>
        <w:spacing w:line="360" w:lineRule="auto"/>
        <w:rPr>
          <w:i w:val="1"/>
          <w:iCs w:val="1"/>
        </w:rPr>
      </w:pPr>
      <w:r>
        <w:rPr>
          <w:i w:val="1"/>
          <w:iCs w:val="1"/>
          <w:rtl w:val="0"/>
          <w:lang w:val="en-US"/>
        </w:rPr>
        <w:t>A Story of Four Umpires'  (</w:t>
      </w:r>
      <w:r>
        <w:rPr>
          <w:i w:val="1"/>
          <w:iCs w:val="1"/>
          <w:rtl w:val="0"/>
          <w:lang w:val="nl-NL"/>
        </w:rPr>
        <w:t>Engestr</w:t>
      </w:r>
      <w:r>
        <w:rPr>
          <w:i w:val="1"/>
          <w:iCs w:val="1"/>
          <w:rtl w:val="0"/>
          <w:lang w:val="sv-SE"/>
        </w:rPr>
        <w:t>ö</w:t>
      </w:r>
      <w:r>
        <w:rPr>
          <w:i w:val="1"/>
          <w:iCs w:val="1"/>
          <w:rtl w:val="0"/>
        </w:rPr>
        <w:t>m</w:t>
      </w:r>
      <w:r>
        <w:rPr>
          <w:i w:val="1"/>
          <w:iCs w:val="1"/>
          <w:rtl w:val="0"/>
          <w:lang w:val="en-US"/>
        </w:rPr>
        <w:t>,</w:t>
      </w:r>
      <w:r>
        <w:rPr>
          <w:i w:val="1"/>
          <w:iCs w:val="1"/>
          <w:rtl w:val="0"/>
        </w:rPr>
        <w:t xml:space="preserve"> </w:t>
      </w:r>
      <w:r>
        <w:rPr>
          <w:i w:val="1"/>
          <w:iCs w:val="1"/>
          <w:rtl w:val="0"/>
          <w:lang w:val="en-US"/>
        </w:rPr>
        <w:t>2000)</w:t>
      </w:r>
    </w:p>
    <w:p>
      <w:pPr>
        <w:pStyle w:val="Body"/>
        <w:spacing w:line="360" w:lineRule="auto"/>
      </w:pPr>
      <w:r>
        <w:rPr>
          <w:rtl w:val="0"/>
          <w:lang w:val="nl-NL"/>
        </w:rPr>
        <w:t>Engestr</w:t>
      </w:r>
      <w:r>
        <w:rPr>
          <w:rtl w:val="0"/>
          <w:lang w:val="sv-SE"/>
        </w:rPr>
        <w:t>ö</w:t>
      </w:r>
      <w:r>
        <w:rPr>
          <w:rtl w:val="0"/>
        </w:rPr>
        <w:t>m</w:t>
      </w:r>
      <w:r>
        <w:rPr>
          <w:rtl w:val="0"/>
        </w:rPr>
        <w:t>’</w:t>
      </w:r>
      <w:r>
        <w:rPr>
          <w:rtl w:val="0"/>
        </w:rPr>
        <w:t>s</w:t>
      </w:r>
      <w:r>
        <w:rPr>
          <w:rtl w:val="0"/>
          <w:lang w:val="en-US"/>
        </w:rPr>
        <w:t xml:space="preserve"> conceptual framework of activity theory (2000), describes the story of four umpires representing four epistemological approaches that impact the outcome of a game of baseball.  The approach of the </w:t>
      </w:r>
      <w:r>
        <w:rPr>
          <w:i w:val="1"/>
          <w:iCs w:val="1"/>
          <w:rtl w:val="0"/>
          <w:lang w:val="en-US"/>
        </w:rPr>
        <w:t>forth umpire</w:t>
      </w:r>
      <w:r>
        <w:rPr>
          <w:rtl w:val="0"/>
          <w:lang w:val="en-US"/>
        </w:rPr>
        <w:t xml:space="preserve"> (subject), a member of the audience, had significant consequences in revealing the </w:t>
      </w:r>
      <w:r>
        <w:rPr>
          <w:i w:val="1"/>
          <w:iCs w:val="1"/>
          <w:rtl w:val="0"/>
          <w:lang w:val="en-US"/>
        </w:rPr>
        <w:t>motivation</w:t>
      </w:r>
      <w:r>
        <w:rPr>
          <w:rtl w:val="0"/>
          <w:lang w:val="en-US"/>
        </w:rPr>
        <w:t xml:space="preserve"> of </w:t>
      </w:r>
      <w:r>
        <w:rPr>
          <w:i w:val="1"/>
          <w:iCs w:val="1"/>
          <w:rtl w:val="0"/>
          <w:lang w:val="en-US"/>
        </w:rPr>
        <w:t>players</w:t>
      </w:r>
      <w:r>
        <w:rPr>
          <w:rtl w:val="0"/>
          <w:lang w:val="en-US"/>
        </w:rPr>
        <w:t xml:space="preserve"> (object), either to </w:t>
      </w:r>
      <w:r>
        <w:rPr>
          <w:i w:val="1"/>
          <w:iCs w:val="1"/>
          <w:rtl w:val="0"/>
          <w:lang w:val="en-US"/>
        </w:rPr>
        <w:t>benefit financially</w:t>
      </w:r>
      <w:r>
        <w:rPr>
          <w:rtl w:val="0"/>
          <w:lang w:val="en-US"/>
        </w:rPr>
        <w:t xml:space="preserve"> (object 1) through game-fixing, or to </w:t>
      </w:r>
      <w:r>
        <w:rPr>
          <w:i w:val="1"/>
          <w:iCs w:val="1"/>
          <w:rtl w:val="0"/>
          <w:lang w:val="en-US"/>
        </w:rPr>
        <w:t xml:space="preserve">win </w:t>
      </w:r>
      <w:r>
        <w:rPr>
          <w:rtl w:val="0"/>
          <w:lang w:val="en-US"/>
        </w:rPr>
        <w:t xml:space="preserve">(object 2) by playing to the </w:t>
      </w:r>
      <w:r>
        <w:rPr>
          <w:i w:val="1"/>
          <w:iCs w:val="1"/>
          <w:rtl w:val="0"/>
          <w:lang w:val="en-US"/>
        </w:rPr>
        <w:t>rules of the game</w:t>
      </w:r>
      <w:r>
        <w:rPr>
          <w:rtl w:val="0"/>
          <w:lang w:val="en-US"/>
        </w:rPr>
        <w:t xml:space="preserve"> (rules).  Artifacts, such as the </w:t>
      </w:r>
      <w:r>
        <w:rPr>
          <w:i w:val="1"/>
          <w:iCs w:val="1"/>
          <w:rtl w:val="0"/>
          <w:lang w:val="en-US"/>
        </w:rPr>
        <w:t>bat, balls</w:t>
      </w:r>
      <w:r>
        <w:rPr>
          <w:rtl w:val="0"/>
          <w:lang w:val="en-US"/>
        </w:rPr>
        <w:t xml:space="preserve"> and </w:t>
      </w:r>
      <w:r>
        <w:rPr>
          <w:i w:val="1"/>
          <w:iCs w:val="1"/>
          <w:rtl w:val="0"/>
          <w:lang w:val="en-US"/>
        </w:rPr>
        <w:t xml:space="preserve">whistle </w:t>
      </w:r>
      <w:r>
        <w:rPr>
          <w:rtl w:val="0"/>
          <w:lang w:val="en-US"/>
        </w:rPr>
        <w:t xml:space="preserve">(tools) are used in the game to connect </w:t>
      </w:r>
      <w:r>
        <w:rPr>
          <w:i w:val="1"/>
          <w:iCs w:val="1"/>
          <w:rtl w:val="0"/>
          <w:lang w:val="en-US"/>
        </w:rPr>
        <w:t>participants, audience</w:t>
      </w:r>
      <w:r>
        <w:rPr>
          <w:rtl w:val="0"/>
          <w:lang w:val="en-US"/>
        </w:rPr>
        <w:t xml:space="preserve"> and </w:t>
      </w:r>
      <w:r>
        <w:rPr>
          <w:i w:val="1"/>
          <w:iCs w:val="1"/>
          <w:rtl w:val="0"/>
          <w:lang w:val="en-US"/>
        </w:rPr>
        <w:t xml:space="preserve">observers </w:t>
      </w:r>
      <w:r>
        <w:rPr>
          <w:rtl w:val="0"/>
          <w:lang w:val="en-US"/>
        </w:rPr>
        <w:t xml:space="preserve">(community), with their cultural past.  Tools are not simply those needed to complete a task, they also include those that add 'meaning' to a task.  Meaningful tasks are motivators and sources of self-efficacy. </w:t>
      </w:r>
    </w:p>
    <w:p>
      <w:pPr>
        <w:pStyle w:val="Body"/>
        <w:spacing w:line="360" w:lineRule="auto"/>
      </w:pPr>
    </w:p>
    <w:p>
      <w:pPr>
        <w:pStyle w:val="Body"/>
        <w:spacing w:line="360" w:lineRule="auto"/>
      </w:pPr>
      <w:r>
        <w:rPr>
          <w:rtl w:val="0"/>
          <w:lang w:val="nl-NL"/>
        </w:rPr>
        <w:t>Engestr</w:t>
      </w:r>
      <w:r>
        <w:rPr>
          <w:rtl w:val="0"/>
          <w:lang w:val="sv-SE"/>
        </w:rPr>
        <w:t>ö</w:t>
      </w:r>
      <w:r>
        <w:rPr>
          <w:rtl w:val="0"/>
        </w:rPr>
        <w:t>m</w:t>
      </w:r>
      <w:r>
        <w:rPr>
          <w:rtl w:val="0"/>
          <w:lang w:val="en-US"/>
        </w:rPr>
        <w:t xml:space="preserve">'s story, taken from Eskola (1998), states that the third umpire is a constructionist          (p. 304) and that his moment of 'omnipotence', in making a decision about a foul ball, would not have existed if the game of baseball had not been constructed in the first place.  Whilst a foul ball (a </w:t>
      </w:r>
    </w:p>
    <w:p>
      <w:pPr>
        <w:pStyle w:val="Body"/>
        <w:spacing w:line="360" w:lineRule="auto"/>
      </w:pPr>
      <w:r>
        <w:rPr>
          <w:rtl w:val="0"/>
          <w:lang w:val="en-US"/>
        </w:rPr>
        <w:t>problem) is constructed by many,</w:t>
      </w:r>
      <w:r>
        <w:rPr>
          <w:rtl w:val="0"/>
          <w:lang w:val="nl-NL"/>
        </w:rPr>
        <w:t xml:space="preserve"> Engestr</w:t>
      </w:r>
      <w:r>
        <w:rPr>
          <w:rtl w:val="0"/>
          <w:lang w:val="sv-SE"/>
        </w:rPr>
        <w:t>ö</w:t>
      </w:r>
      <w:r>
        <w:rPr>
          <w:rtl w:val="0"/>
        </w:rPr>
        <w:t>m</w:t>
      </w:r>
      <w:r>
        <w:rPr>
          <w:rtl w:val="0"/>
          <w:lang w:val="en-US"/>
        </w:rPr>
        <w:t xml:space="preserve"> argues that the individualist approach of the umpire in responding to the constructed problem, by calling 'foul' and applying the consequences, puts him in the category of humans that have turned into 'societally impotent thrill seekers'.  </w:t>
      </w:r>
      <w:r>
        <w:rPr>
          <w:rtl w:val="0"/>
          <w:lang w:val="nl-NL"/>
        </w:rPr>
        <w:t>Engestr</w:t>
      </w:r>
      <w:r>
        <w:rPr>
          <w:rtl w:val="0"/>
          <w:lang w:val="sv-SE"/>
        </w:rPr>
        <w:t>ö</w:t>
      </w:r>
      <w:r>
        <w:rPr>
          <w:rtl w:val="0"/>
        </w:rPr>
        <w:t>m</w:t>
      </w:r>
      <w:r>
        <w:rPr>
          <w:rtl w:val="0"/>
          <w:lang w:val="en-US"/>
        </w:rPr>
        <w:t>'s story</w:t>
      </w:r>
    </w:p>
    <w:p>
      <w:pPr>
        <w:pStyle w:val="Body"/>
        <w:spacing w:line="360" w:lineRule="auto"/>
      </w:pPr>
      <w:r>
        <w:rPr>
          <w:rtl w:val="0"/>
          <w:lang w:val="en-US"/>
        </w:rPr>
        <w:t xml:space="preserve">invited self-reflection on meaningful facilitation, and also, illustrates the power of story in explaining a complex conceptual  framework to the community.    </w:t>
      </w:r>
    </w:p>
    <w:p>
      <w:pPr>
        <w:pStyle w:val="Body"/>
        <w:spacing w:line="360" w:lineRule="auto"/>
      </w:pPr>
    </w:p>
    <w:p>
      <w:pPr>
        <w:pStyle w:val="Body"/>
        <w:spacing w:line="360" w:lineRule="auto"/>
        <w:rPr>
          <w:i w:val="1"/>
          <w:iCs w:val="1"/>
        </w:rPr>
      </w:pPr>
      <w:r>
        <w:rPr>
          <w:i w:val="1"/>
          <w:iCs w:val="1"/>
          <w:rtl w:val="0"/>
          <w:lang w:val="en-US"/>
        </w:rPr>
        <w:t>Leontiev's hierarchial model of activity levels Figure 2).</w:t>
      </w:r>
    </w:p>
    <w:p>
      <w:pPr>
        <w:pStyle w:val="Body"/>
        <w:numPr>
          <w:ilvl w:val="0"/>
          <w:numId w:val="3"/>
        </w:numPr>
        <w:spacing w:line="360" w:lineRule="auto"/>
        <w:rPr>
          <w:lang w:val="en-US"/>
        </w:rPr>
      </w:pPr>
      <w:r>
        <w:rPr>
          <w:rtl w:val="0"/>
          <w:lang w:val="en-US"/>
        </w:rPr>
        <w:t>Highest:  Activity and the motives that drive it.</w:t>
      </w:r>
    </w:p>
    <w:p>
      <w:pPr>
        <w:pStyle w:val="Body"/>
        <w:numPr>
          <w:ilvl w:val="0"/>
          <w:numId w:val="3"/>
        </w:numPr>
        <w:spacing w:line="360" w:lineRule="auto"/>
        <w:rPr>
          <w:lang w:val="en-US"/>
        </w:rPr>
      </w:pPr>
      <w:r>
        <w:rPr>
          <w:rtl w:val="0"/>
          <w:lang w:val="en-US"/>
        </w:rPr>
        <w:t>Intermediate:  The actions and associated goals.</w:t>
      </w:r>
    </w:p>
    <w:p>
      <w:pPr>
        <w:pStyle w:val="Body"/>
        <w:numPr>
          <w:ilvl w:val="0"/>
          <w:numId w:val="3"/>
        </w:numPr>
        <w:spacing w:line="360" w:lineRule="auto"/>
        <w:rPr>
          <w:lang w:val="en-US"/>
        </w:rPr>
      </w:pPr>
      <w:r>
        <w:rPr>
          <w:rtl w:val="0"/>
          <w:lang w:val="en-US"/>
        </w:rPr>
        <w:t>Lowest:  The analysis of operations that act as a way forward in achieving these goals.</w:t>
      </w:r>
      <w:r>
        <w:drawing>
          <wp:anchor distT="152400" distB="152400" distL="152400" distR="152400" simplePos="0" relativeHeight="251660288" behindDoc="0" locked="0" layoutInCell="1" allowOverlap="1">
            <wp:simplePos x="0" y="0"/>
            <wp:positionH relativeFrom="margin">
              <wp:posOffset>-311149</wp:posOffset>
            </wp:positionH>
            <wp:positionV relativeFrom="line">
              <wp:posOffset>207100</wp:posOffset>
            </wp:positionV>
            <wp:extent cx="6120057" cy="3252749"/>
            <wp:effectExtent l="0" t="0" r="0" b="0"/>
            <wp:wrapThrough wrapText="bothSides" distL="152400" distR="152400">
              <wp:wrapPolygon edited="1">
                <wp:start x="0" y="0"/>
                <wp:lineTo x="21600" y="0"/>
                <wp:lineTo x="21600" y="21630"/>
                <wp:lineTo x="0" y="2163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6">
                      <a:extLst/>
                    </a:blip>
                    <a:stretch>
                      <a:fillRect/>
                    </a:stretch>
                  </pic:blipFill>
                  <pic:spPr>
                    <a:xfrm>
                      <a:off x="0" y="0"/>
                      <a:ext cx="6120057" cy="3252749"/>
                    </a:xfrm>
                    <a:prstGeom prst="rect">
                      <a:avLst/>
                    </a:prstGeom>
                    <a:ln w="12700" cap="flat">
                      <a:noFill/>
                      <a:miter lim="400000"/>
                    </a:ln>
                    <a:effectLst/>
                  </pic:spPr>
                </pic:pic>
              </a:graphicData>
            </a:graphic>
          </wp:anchor>
        </w:drawing>
      </w:r>
      <w:r>
        <w:rPr>
          <w:rtl w:val="0"/>
          <w:lang w:val="en-US"/>
        </w:rPr>
        <w:t xml:space="preserve">    </w:t>
      </w:r>
    </w:p>
    <w:p>
      <w:pPr>
        <w:pStyle w:val="Body"/>
        <w:bidi w:val="0"/>
      </w:pPr>
    </w:p>
    <w:p>
      <w:pPr>
        <w:pStyle w:val="Body"/>
        <w:bidi w:val="0"/>
      </w:pPr>
    </w:p>
    <w:p>
      <w:pPr>
        <w:pStyle w:val="Body"/>
        <w:bidi w:val="0"/>
      </w:pPr>
    </w:p>
    <w:p>
      <w:pPr>
        <w:pStyle w:val="Body"/>
        <w:bidi w:val="0"/>
      </w:pPr>
    </w:p>
    <w:p>
      <w:pPr>
        <w:pStyle w:val="Body"/>
        <w:bidi w:val="0"/>
        <w:rPr>
          <w:i w:val="1"/>
          <w:iCs w:val="1"/>
        </w:rPr>
      </w:pPr>
      <w:r>
        <w:rPr>
          <w:i w:val="1"/>
          <w:iCs w:val="1"/>
          <w:rtl w:val="0"/>
          <w:lang w:val="en-US"/>
        </w:rPr>
        <w:t>Assumptions and Principles of Activity Theory</w:t>
      </w:r>
    </w:p>
    <w:p>
      <w:pPr>
        <w:pStyle w:val="Body"/>
        <w:bidi w:val="0"/>
      </w:pPr>
      <w:r>
        <w:rPr>
          <w:rtl w:val="0"/>
          <w:lang w:val="en-US"/>
        </w:rPr>
        <w:t xml:space="preserve">(Jonassen &amp; Ronrer-Murphy, 1999, and </w:t>
      </w:r>
      <w:r>
        <w:rPr>
          <w:rtl w:val="0"/>
        </w:rPr>
        <w:t xml:space="preserve">Kaptelinin, </w:t>
      </w:r>
      <w:r>
        <w:rPr>
          <w:rtl w:val="0"/>
          <w:lang w:val="en-US"/>
        </w:rPr>
        <w:t>2000)</w:t>
      </w:r>
    </w:p>
    <w:p>
      <w:pPr>
        <w:pStyle w:val="Body"/>
        <w:spacing w:line="24" w:lineRule="auto"/>
      </w:pPr>
    </w:p>
    <w:p>
      <w:pPr>
        <w:pStyle w:val="Body"/>
        <w:spacing w:line="48" w:lineRule="auto"/>
      </w:pPr>
    </w:p>
    <w:p>
      <w:pPr>
        <w:pStyle w:val="Body"/>
        <w:numPr>
          <w:ilvl w:val="0"/>
          <w:numId w:val="5"/>
        </w:numPr>
        <w:bidi w:val="0"/>
      </w:pPr>
      <w:r>
        <w:rPr>
          <w:rtl w:val="0"/>
          <w:lang w:val="en-US"/>
        </w:rPr>
        <w:t xml:space="preserve"> Unified: Activity and consciousness are unified, the most fundamental of assumptions (Kaptelinin, 1996).  Traditionally learning happens before acting.  Learning </w:t>
      </w:r>
      <w:r>
        <w:rPr>
          <w:i w:val="1"/>
          <w:iCs w:val="1"/>
          <w:rtl w:val="0"/>
          <w:lang w:val="en-US"/>
        </w:rPr>
        <w:t>is</w:t>
      </w:r>
      <w:r>
        <w:rPr>
          <w:rtl w:val="0"/>
          <w:lang w:val="en-US"/>
        </w:rPr>
        <w:t xml:space="preserve"> activity. </w:t>
      </w:r>
    </w:p>
    <w:p>
      <w:pPr>
        <w:pStyle w:val="Body"/>
        <w:spacing w:line="120" w:lineRule="auto"/>
      </w:pPr>
    </w:p>
    <w:p>
      <w:pPr>
        <w:pStyle w:val="Body"/>
        <w:numPr>
          <w:ilvl w:val="0"/>
          <w:numId w:val="5"/>
        </w:numPr>
        <w:bidi w:val="0"/>
      </w:pPr>
      <w:r>
        <w:rPr>
          <w:rtl w:val="0"/>
          <w:lang w:val="en-US"/>
        </w:rPr>
        <w:t xml:space="preserve">Consciousness:  Activity consciously unifies intention, memory, reasoning and speech. "You are what you do" (Vygotsky, 1978 p. 7).  </w:t>
      </w:r>
    </w:p>
    <w:p>
      <w:pPr>
        <w:pStyle w:val="Body"/>
        <w:spacing w:line="120" w:lineRule="auto"/>
      </w:pPr>
    </w:p>
    <w:p>
      <w:pPr>
        <w:pStyle w:val="Body"/>
        <w:numPr>
          <w:ilvl w:val="0"/>
          <w:numId w:val="5"/>
        </w:numPr>
        <w:bidi w:val="0"/>
      </w:pPr>
      <w:r>
        <w:rPr>
          <w:rtl w:val="0"/>
          <w:lang w:val="en-US"/>
        </w:rPr>
        <w:t>Intentionality: Activities are purposeful actions that occur through conscious intentions.  They are in pursuit of a number of sub-goals (objects) to reach the outcome, a goal that is not finite.</w:t>
      </w:r>
    </w:p>
    <w:p>
      <w:pPr>
        <w:pStyle w:val="Body"/>
        <w:spacing w:line="120" w:lineRule="auto"/>
      </w:pPr>
    </w:p>
    <w:p>
      <w:pPr>
        <w:pStyle w:val="Body"/>
        <w:numPr>
          <w:ilvl w:val="0"/>
          <w:numId w:val="5"/>
        </w:numPr>
        <w:bidi w:val="0"/>
      </w:pPr>
      <w:r>
        <w:rPr>
          <w:rtl w:val="0"/>
          <w:lang w:val="en-US"/>
        </w:rPr>
        <w:t xml:space="preserve">Contradictions: Individual perceptions and contradictions in community emerge into outcomes.         </w:t>
      </w:r>
    </w:p>
    <w:p>
      <w:pPr>
        <w:pStyle w:val="Body"/>
        <w:spacing w:line="24" w:lineRule="auto"/>
      </w:pPr>
    </w:p>
    <w:p>
      <w:pPr>
        <w:pStyle w:val="Body"/>
        <w:spacing w:line="120" w:lineRule="auto"/>
      </w:pPr>
    </w:p>
    <w:p>
      <w:pPr>
        <w:pStyle w:val="Body"/>
        <w:numPr>
          <w:ilvl w:val="0"/>
          <w:numId w:val="5"/>
        </w:numPr>
        <w:spacing w:line="360" w:lineRule="auto"/>
        <w:rPr>
          <w:lang w:val="en-US"/>
        </w:rPr>
      </w:pPr>
      <w:r>
        <w:rPr>
          <w:rtl w:val="0"/>
          <w:lang w:val="en-US"/>
        </w:rPr>
        <w:t xml:space="preserve">Object-orientedness.  Learning and doing are inseparable. </w:t>
      </w:r>
    </w:p>
    <w:p>
      <w:pPr>
        <w:pStyle w:val="Body"/>
        <w:numPr>
          <w:ilvl w:val="0"/>
          <w:numId w:val="5"/>
        </w:numPr>
        <w:spacing w:line="360" w:lineRule="auto"/>
        <w:rPr>
          <w:lang w:val="en-US"/>
        </w:rPr>
      </w:pPr>
      <w:r>
        <w:rPr>
          <w:rtl w:val="0"/>
          <w:lang w:val="en-US"/>
        </w:rPr>
        <w:t>Community: Activities are socially constructed.</w:t>
      </w:r>
    </w:p>
    <w:p>
      <w:pPr>
        <w:pStyle w:val="Body"/>
        <w:numPr>
          <w:ilvl w:val="0"/>
          <w:numId w:val="5"/>
        </w:numPr>
        <w:bidi w:val="0"/>
      </w:pPr>
      <w:r>
        <w:rPr>
          <w:rtl w:val="0"/>
          <w:lang w:val="en-US"/>
        </w:rPr>
        <w:t>Historical-cultural: Activity in the present is characterised by the past and future components of the activity.</w:t>
      </w:r>
    </w:p>
    <w:p>
      <w:pPr>
        <w:pStyle w:val="Body"/>
        <w:spacing w:line="120" w:lineRule="auto"/>
      </w:pPr>
    </w:p>
    <w:p>
      <w:pPr>
        <w:pStyle w:val="Body"/>
        <w:numPr>
          <w:ilvl w:val="0"/>
          <w:numId w:val="5"/>
        </w:numPr>
        <w:bidi w:val="0"/>
      </w:pPr>
      <w:r>
        <w:rPr>
          <w:rtl w:val="0"/>
          <w:lang w:val="en-US"/>
        </w:rPr>
        <w:t>Tool mediation: Activities are influenced by methods, laws, equipment, procedures.  The role of artifacts alters the nature of the activity.</w:t>
      </w:r>
    </w:p>
    <w:p>
      <w:pPr>
        <w:pStyle w:val="Body"/>
        <w:spacing w:line="120" w:lineRule="auto"/>
      </w:pPr>
    </w:p>
    <w:p>
      <w:pPr>
        <w:pStyle w:val="Body"/>
        <w:numPr>
          <w:ilvl w:val="0"/>
          <w:numId w:val="5"/>
        </w:numPr>
        <w:bidi w:val="0"/>
      </w:pPr>
      <w:r>
        <w:rPr>
          <w:rtl w:val="0"/>
          <w:lang w:val="en-US"/>
        </w:rPr>
        <w:t>Collaboration: Activities, even those practiced alone, require collaboration.  For example, a person running alone on an orienteering course require others to make that happen, including the provision of kit and other mediating tools.</w:t>
      </w:r>
    </w:p>
    <w:p>
      <w:pPr>
        <w:pStyle w:val="Body"/>
        <w:spacing w:line="120" w:lineRule="auto"/>
      </w:pPr>
    </w:p>
    <w:p>
      <w:pPr>
        <w:pStyle w:val="Body"/>
        <w:numPr>
          <w:ilvl w:val="0"/>
          <w:numId w:val="5"/>
        </w:numPr>
        <w:spacing w:line="360" w:lineRule="auto"/>
        <w:rPr>
          <w:lang w:val="en-US"/>
        </w:rPr>
      </w:pPr>
      <w:r>
        <w:rPr>
          <w:rtl w:val="0"/>
          <w:lang w:val="en-US"/>
        </w:rPr>
        <w:t xml:space="preserve">Development:  Activities are analysed in terms of development, as a longitudal study.    </w:t>
      </w:r>
    </w:p>
    <w:p>
      <w:pPr>
        <w:pStyle w:val="Body"/>
        <w:spacing w:line="360" w:lineRule="auto"/>
        <w:rPr>
          <w:i w:val="1"/>
          <w:iCs w:val="1"/>
          <w:sz w:val="28"/>
          <w:szCs w:val="28"/>
        </w:rPr>
      </w:pPr>
    </w:p>
    <w:p>
      <w:pPr>
        <w:pStyle w:val="Body"/>
        <w:spacing w:line="360" w:lineRule="auto"/>
        <w:rPr>
          <w:i w:val="1"/>
          <w:iCs w:val="1"/>
          <w:sz w:val="28"/>
          <w:szCs w:val="28"/>
        </w:rPr>
      </w:pPr>
    </w:p>
    <w:p>
      <w:pPr>
        <w:pStyle w:val="Body"/>
        <w:rPr>
          <w:i w:val="1"/>
          <w:iCs w:val="1"/>
        </w:rPr>
      </w:pPr>
      <w:r>
        <w:rPr>
          <w:i w:val="1"/>
          <w:iCs w:val="1"/>
          <w:rtl w:val="0"/>
          <w:lang w:val="en-US"/>
        </w:rPr>
        <w:t xml:space="preserve">Sources of self-efficacy </w:t>
      </w:r>
    </w:p>
    <w:p>
      <w:pPr>
        <w:pStyle w:val="Body"/>
        <w:rPr>
          <w:i w:val="1"/>
          <w:iCs w:val="1"/>
        </w:rPr>
      </w:pPr>
      <w:r>
        <w:rPr>
          <w:i w:val="1"/>
          <w:iCs w:val="1"/>
          <w:rtl w:val="0"/>
          <w:lang w:val="en-US"/>
        </w:rPr>
        <w:t xml:space="preserve"> </w:t>
      </w:r>
    </w:p>
    <w:p>
      <w:pPr>
        <w:pStyle w:val="Body"/>
        <w:spacing w:line="360" w:lineRule="auto"/>
        <w:rPr>
          <w:i w:val="1"/>
          <w:iCs w:val="1"/>
          <w:sz w:val="28"/>
          <w:szCs w:val="28"/>
        </w:rPr>
      </w:pPr>
      <w:r>
        <w:rPr>
          <w:i w:val="0"/>
          <w:iCs w:val="0"/>
          <w:sz w:val="24"/>
          <w:szCs w:val="24"/>
          <w:rtl w:val="0"/>
          <w:lang w:val="en-US"/>
        </w:rPr>
        <w:t>(See appendix 1, for full list)</w:t>
      </w:r>
      <w:r>
        <w:rPr>
          <w:i w:val="0"/>
          <w:iCs w:val="0"/>
          <w:sz w:val="28"/>
          <w:szCs w:val="28"/>
          <w:rtl w:val="0"/>
          <w:lang w:val="en-US"/>
        </w:rPr>
        <w:t>.</w:t>
      </w:r>
    </w:p>
    <w:p>
      <w:pPr>
        <w:pStyle w:val="Body"/>
        <w:numPr>
          <w:ilvl w:val="0"/>
          <w:numId w:val="2"/>
        </w:numPr>
        <w:spacing w:line="360" w:lineRule="auto"/>
        <w:rPr>
          <w:lang w:val="en-US"/>
        </w:rPr>
      </w:pPr>
      <w:r>
        <w:rPr>
          <w:rtl w:val="0"/>
          <w:lang w:val="en-US"/>
        </w:rPr>
        <w:t>Mastery experiences</w:t>
        <w:tab/>
      </w:r>
    </w:p>
    <w:p>
      <w:pPr>
        <w:pStyle w:val="Body"/>
        <w:spacing w:line="360" w:lineRule="auto"/>
      </w:pPr>
      <w:r>
        <w:rPr>
          <w:rtl w:val="0"/>
          <w:lang w:val="en-US"/>
        </w:rPr>
        <w:t xml:space="preserve">According to Bandura, the most effective way of 'creating a strong sense of efficacy' (p.2).  </w:t>
      </w:r>
    </w:p>
    <w:p>
      <w:pPr>
        <w:pStyle w:val="Body"/>
        <w:numPr>
          <w:ilvl w:val="0"/>
          <w:numId w:val="2"/>
        </w:numPr>
        <w:spacing w:line="360" w:lineRule="auto"/>
        <w:rPr>
          <w:lang w:val="en-US"/>
        </w:rPr>
      </w:pPr>
      <w:r>
        <w:rPr>
          <w:rtl w:val="0"/>
          <w:lang w:val="en-US"/>
        </w:rPr>
        <w:t>Vicarious experiences</w:t>
      </w:r>
    </w:p>
    <w:p>
      <w:pPr>
        <w:pStyle w:val="Body"/>
        <w:spacing w:line="360" w:lineRule="auto"/>
      </w:pPr>
      <w:r>
        <w:rPr>
          <w:rtl w:val="0"/>
          <w:lang w:val="en-US"/>
        </w:rPr>
        <w:t>Witnessing others, similar to oneself, succeed through perseverance, raises hopes of personal ability to persevere and succeed.</w:t>
      </w:r>
    </w:p>
    <w:p>
      <w:pPr>
        <w:pStyle w:val="Body"/>
        <w:numPr>
          <w:ilvl w:val="0"/>
          <w:numId w:val="2"/>
        </w:numPr>
        <w:spacing w:line="360" w:lineRule="auto"/>
        <w:rPr>
          <w:lang w:val="en-US"/>
        </w:rPr>
      </w:pPr>
      <w:r>
        <w:rPr>
          <w:rtl w:val="0"/>
          <w:lang w:val="en-US"/>
        </w:rPr>
        <w:t>Social persuasion</w:t>
      </w:r>
    </w:p>
    <w:p>
      <w:pPr>
        <w:pStyle w:val="Body"/>
        <w:spacing w:line="360" w:lineRule="auto"/>
      </w:pPr>
      <w:r>
        <w:rPr>
          <w:rtl w:val="0"/>
          <w:lang w:val="en-US"/>
        </w:rPr>
        <w:t xml:space="preserve">Verbal persuasion leads to stronger sustained effort, rather than dwelling on doubts and personal deficiencies when faced with adversity. </w:t>
      </w:r>
    </w:p>
    <w:p>
      <w:pPr>
        <w:pStyle w:val="Body"/>
        <w:numPr>
          <w:ilvl w:val="0"/>
          <w:numId w:val="2"/>
        </w:numPr>
        <w:spacing w:line="360" w:lineRule="auto"/>
        <w:rPr>
          <w:lang w:val="en-US"/>
        </w:rPr>
      </w:pPr>
      <w:r>
        <w:rPr>
          <w:rtl w:val="0"/>
          <w:lang w:val="en-US"/>
        </w:rPr>
        <w:t xml:space="preserve">Stress reduction, alteration of negative emotional habits and misinterpretation of physical states     </w:t>
      </w:r>
    </w:p>
    <w:p>
      <w:pPr>
        <w:pStyle w:val="Body"/>
        <w:spacing w:line="360" w:lineRule="auto"/>
      </w:pPr>
      <w:r>
        <w:rPr>
          <w:rtl w:val="0"/>
          <w:lang w:val="en-US"/>
        </w:rPr>
        <w:t>Reliance on emotional and physical state in judging own capabilities.</w:t>
      </w:r>
    </w:p>
    <w:p>
      <w:pPr>
        <w:pStyle w:val="Body"/>
        <w:rPr>
          <w:rFonts w:ascii="Arial" w:cs="Arial" w:hAnsi="Arial" w:eastAsia="Arial"/>
          <w:i w:val="1"/>
          <w:iCs w:val="1"/>
          <w:outline w:val="0"/>
          <w:color w:val="d31876"/>
          <w14:textFill>
            <w14:solidFill>
              <w14:srgbClr w14:val="D41876"/>
            </w14:solidFill>
          </w14:textFill>
        </w:rPr>
      </w:pPr>
    </w:p>
    <w:p>
      <w:pPr>
        <w:pStyle w:val="Body"/>
      </w:pPr>
    </w:p>
    <w:p>
      <w:pPr>
        <w:pStyle w:val="Body"/>
      </w:pPr>
      <w:r>
        <w:rPr>
          <w:rtl w:val="0"/>
          <w:lang w:val="en-US"/>
        </w:rPr>
        <w:t>Sources of self-efficacy applied to Activity Theory Framework in Orienteering-based activities.</w:t>
      </w:r>
      <w:r>
        <w:drawing>
          <wp:anchor distT="152400" distB="152400" distL="152400" distR="152400" simplePos="0" relativeHeight="251663360" behindDoc="0" locked="0" layoutInCell="1" allowOverlap="1">
            <wp:simplePos x="0" y="0"/>
            <wp:positionH relativeFrom="margin">
              <wp:posOffset>-6350</wp:posOffset>
            </wp:positionH>
            <wp:positionV relativeFrom="line">
              <wp:posOffset>192069</wp:posOffset>
            </wp:positionV>
            <wp:extent cx="6120057" cy="1283379"/>
            <wp:effectExtent l="0" t="0" r="0" b="0"/>
            <wp:wrapThrough wrapText="bothSides" distL="152400" distR="152400">
              <wp:wrapPolygon edited="1">
                <wp:start x="0" y="0"/>
                <wp:lineTo x="21621" y="0"/>
                <wp:lineTo x="21621" y="21627"/>
                <wp:lineTo x="0" y="21627"/>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7">
                      <a:extLst/>
                    </a:blip>
                    <a:stretch>
                      <a:fillRect/>
                    </a:stretch>
                  </pic:blipFill>
                  <pic:spPr>
                    <a:xfrm>
                      <a:off x="0" y="0"/>
                      <a:ext cx="6120057" cy="1283379"/>
                    </a:xfrm>
                    <a:prstGeom prst="rect">
                      <a:avLst/>
                    </a:prstGeom>
                    <a:ln w="12700" cap="flat">
                      <a:noFill/>
                      <a:miter lim="400000"/>
                    </a:ln>
                    <a:effectLst/>
                  </pic:spPr>
                </pic:pic>
              </a:graphicData>
            </a:graphic>
          </wp:anchor>
        </w:drawing>
      </w:r>
      <w:r>
        <w:rPr>
          <w:rtl w:val="0"/>
          <w:lang w:val="en-US"/>
        </w:rPr>
        <w:t xml:space="preserve"> Figure 3: Week 1, example to demonstrate orienteering-based activities in theoretical framework. </w:t>
      </w:r>
    </w:p>
    <w:p>
      <w:pPr>
        <w:pStyle w:val="Body"/>
        <w:rPr>
          <w:sz w:val="28"/>
          <w:szCs w:val="28"/>
        </w:rPr>
      </w:pPr>
    </w:p>
    <w:p>
      <w:pPr>
        <w:pStyle w:val="Body"/>
        <w:spacing w:line="120" w:lineRule="auto"/>
        <w:rPr>
          <w:i w:val="1"/>
          <w:iCs w:val="1"/>
          <w:sz w:val="28"/>
          <w:szCs w:val="28"/>
        </w:rPr>
      </w:pPr>
    </w:p>
    <w:p>
      <w:pPr>
        <w:pStyle w:val="Body"/>
        <w:spacing w:line="120" w:lineRule="auto"/>
        <w:rPr>
          <w:i w:val="1"/>
          <w:iCs w:val="1"/>
          <w:sz w:val="28"/>
          <w:szCs w:val="28"/>
        </w:rPr>
      </w:pPr>
    </w:p>
    <w:p>
      <w:pPr>
        <w:pStyle w:val="Body"/>
        <w:spacing w:line="120" w:lineRule="auto"/>
        <w:rPr>
          <w:i w:val="1"/>
          <w:iCs w:val="1"/>
        </w:rPr>
      </w:pPr>
      <w:r>
        <w:rPr>
          <w:i w:val="1"/>
          <w:iCs w:val="1"/>
          <w:rtl w:val="0"/>
          <w:lang w:val="en-US"/>
        </w:rPr>
        <w:t>Concepts within Activity Theory Framework where 'learning is activity' (Figure 3).</w:t>
      </w:r>
    </w:p>
    <w:p>
      <w:pPr>
        <w:pStyle w:val="Body"/>
        <w:bidi w:val="0"/>
      </w:pPr>
    </w:p>
    <w:p>
      <w:pPr>
        <w:pStyle w:val="Body"/>
        <w:spacing w:line="360" w:lineRule="auto"/>
      </w:pPr>
      <w:r>
        <w:rPr>
          <w:rtl w:val="0"/>
          <w:lang w:val="en-US"/>
        </w:rPr>
        <w:t>Activity reaching sources of perceived self-efficacy:  Adolescent (</w:t>
      </w:r>
      <w:r>
        <w:rPr>
          <w:i w:val="1"/>
          <w:iCs w:val="1"/>
          <w:rtl w:val="0"/>
          <w:lang w:val="en-US"/>
        </w:rPr>
        <w:t>subjects</w:t>
      </w:r>
      <w:r>
        <w:rPr>
          <w:rtl w:val="0"/>
          <w:lang w:val="en-US"/>
        </w:rPr>
        <w:t>) are navigators, with some or no experience.  They are driven by needs.  These are the critical motivators (</w:t>
      </w:r>
      <w:r>
        <w:rPr>
          <w:i w:val="1"/>
          <w:iCs w:val="1"/>
          <w:rtl w:val="0"/>
          <w:lang w:val="en-US"/>
        </w:rPr>
        <w:t>objects</w:t>
      </w:r>
      <w:r>
        <w:rPr>
          <w:rtl w:val="0"/>
          <w:lang w:val="en-US"/>
        </w:rPr>
        <w:t xml:space="preserve">), that drive the </w:t>
      </w:r>
      <w:r>
        <w:rPr>
          <w:i w:val="1"/>
          <w:iCs w:val="1"/>
          <w:rtl w:val="0"/>
          <w:lang w:val="en-US"/>
        </w:rPr>
        <w:t xml:space="preserve">activity.  </w:t>
      </w:r>
      <w:r>
        <w:rPr>
          <w:rtl w:val="0"/>
          <w:lang w:val="en-US"/>
        </w:rPr>
        <w:t>Mastering the task (</w:t>
      </w:r>
      <w:r>
        <w:rPr>
          <w:i w:val="1"/>
          <w:iCs w:val="1"/>
          <w:rtl w:val="0"/>
          <w:lang w:val="en-US"/>
        </w:rPr>
        <w:t>object</w:t>
      </w:r>
      <w:r>
        <w:rPr>
          <w:rtl w:val="0"/>
          <w:lang w:val="en-US"/>
        </w:rPr>
        <w:t xml:space="preserve">), changes the adolescent, in their skills, knowledge and ability to navigate - 'mastery experiences' are sources of self-efficacy.  Adolescents draw on needs, integrating tools, rules and division of labour.  Community members are the decision-makers and include people outside the immediate group, but are essential to the group activities.  A collaborative approach, with members who can work through contradictions, emerge with stronger outcomes. </w:t>
      </w:r>
    </w:p>
    <w:p>
      <w:pPr>
        <w:pStyle w:val="Body"/>
        <w:spacing w:line="360" w:lineRule="auto"/>
      </w:pPr>
    </w:p>
    <w:p>
      <w:pPr>
        <w:pStyle w:val="Body"/>
        <w:spacing w:line="360" w:lineRule="auto"/>
      </w:pPr>
      <w:r>
        <w:drawing>
          <wp:anchor distT="152400" distB="152400" distL="152400" distR="152400" simplePos="0" relativeHeight="251664384" behindDoc="0" locked="0" layoutInCell="1" allowOverlap="1">
            <wp:simplePos x="0" y="0"/>
            <wp:positionH relativeFrom="margin">
              <wp:posOffset>624406</wp:posOffset>
            </wp:positionH>
            <wp:positionV relativeFrom="page">
              <wp:posOffset>453300</wp:posOffset>
            </wp:positionV>
            <wp:extent cx="4858677" cy="3765938"/>
            <wp:effectExtent l="0" t="0" r="0" b="0"/>
            <wp:wrapThrough wrapText="bothSides" distL="152400" distR="152400">
              <wp:wrapPolygon edited="1">
                <wp:start x="0" y="0"/>
                <wp:lineTo x="0" y="21600"/>
                <wp:lineTo x="21599" y="21600"/>
                <wp:lineTo x="21599" y="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tiff"/>
                    <pic:cNvPicPr>
                      <a:picLocks noChangeAspect="1"/>
                    </pic:cNvPicPr>
                  </pic:nvPicPr>
                  <pic:blipFill>
                    <a:blip r:embed="rId8">
                      <a:extLst/>
                    </a:blip>
                    <a:srcRect l="0" t="0" r="0" b="0"/>
                    <a:stretch>
                      <a:fillRect/>
                    </a:stretch>
                  </pic:blipFill>
                  <pic:spPr>
                    <a:xfrm>
                      <a:off x="0" y="0"/>
                      <a:ext cx="4858677" cy="3765938"/>
                    </a:xfrm>
                    <a:prstGeom prst="rect">
                      <a:avLst/>
                    </a:prstGeom>
                    <a:ln w="12700" cap="flat">
                      <a:noFill/>
                      <a:miter lim="400000"/>
                    </a:ln>
                    <a:effectLst/>
                  </pic:spPr>
                </pic:pic>
              </a:graphicData>
            </a:graphic>
          </wp:anchor>
        </w:drawing>
      </w:r>
      <w:r>
        <w:tab/>
      </w:r>
    </w:p>
    <w:p>
      <w:pPr>
        <w:pStyle w:val="Body"/>
        <w:spacing w:line="360" w:lineRule="auto"/>
      </w:pPr>
      <w:r>
        <w:rPr>
          <w:rtl w:val="0"/>
          <w:lang w:val="en-US"/>
        </w:rPr>
        <w:t xml:space="preserve">   </w:t>
      </w:r>
    </w:p>
    <w:p>
      <w:pPr>
        <w:pStyle w:val="Body"/>
        <w:bidi w:val="0"/>
      </w:pPr>
    </w:p>
    <w:p>
      <w:pPr>
        <w:pStyle w:val="Body"/>
        <w:bidi w:val="0"/>
      </w:pPr>
    </w:p>
    <w:p>
      <w:pPr>
        <w:pStyle w:val="Body"/>
        <w:bidi w:val="0"/>
      </w:pPr>
    </w:p>
    <w:p>
      <w:pPr>
        <w:pStyle w:val="Body"/>
        <w:bidi w:val="0"/>
      </w:pPr>
    </w:p>
    <w:p>
      <w:pPr>
        <w:pStyle w:val="Body"/>
        <w:bidi w:val="0"/>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r>
        <w:rPr>
          <w:sz w:val="28"/>
          <w:szCs w:val="28"/>
        </w:rPr>
        <mc:AlternateContent>
          <mc:Choice Requires="wps">
            <w:drawing>
              <wp:anchor distT="152400" distB="152400" distL="152400" distR="152400" simplePos="0" relativeHeight="251665408" behindDoc="0" locked="0" layoutInCell="1" allowOverlap="1">
                <wp:simplePos x="0" y="0"/>
                <wp:positionH relativeFrom="margin">
                  <wp:posOffset>202951</wp:posOffset>
                </wp:positionH>
                <wp:positionV relativeFrom="line">
                  <wp:posOffset>328437</wp:posOffset>
                </wp:positionV>
                <wp:extent cx="5985934" cy="318393"/>
                <wp:effectExtent l="0" t="0" r="0" b="0"/>
                <wp:wrapTopAndBottom distT="152400" distB="152400"/>
                <wp:docPr id="1073741830" name="officeArt object"/>
                <wp:cNvGraphicFramePr/>
                <a:graphic xmlns:a="http://schemas.openxmlformats.org/drawingml/2006/main">
                  <a:graphicData uri="http://schemas.microsoft.com/office/word/2010/wordprocessingShape">
                    <wps:wsp>
                      <wps:cNvSpPr txBox="1"/>
                      <wps:spPr>
                        <a:xfrm>
                          <a:off x="0" y="0"/>
                          <a:ext cx="5985934" cy="318393"/>
                        </a:xfrm>
                        <a:prstGeom prst="rect">
                          <a:avLst/>
                        </a:prstGeom>
                        <a:noFill/>
                        <a:ln w="12700" cap="flat">
                          <a:noFill/>
                          <a:miter lim="400000"/>
                        </a:ln>
                        <a:effectLst/>
                      </wps:spPr>
                      <wps:txbx>
                        <w:txbxContent>
                          <w:p>
                            <w:pPr>
                              <w:pStyle w:val="Body"/>
                              <w:bidi w:val="0"/>
                            </w:pPr>
                            <w:r>
                              <w:rPr>
                                <w:rtl w:val="0"/>
                                <w:lang w:val="en-US"/>
                              </w:rPr>
                              <w:t xml:space="preserve">Figure 4: Leontiev's activity theory framework with integrated orienteering-based activities.  </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6.0pt;margin-top:25.9pt;width:471.3pt;height:25.1pt;z-index:25166540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lang w:val="en-US"/>
                        </w:rPr>
                        <w:t xml:space="preserve">Figure 4: Leontiev's activity theory framework with integrated orienteering-based activities.  </w:t>
                      </w:r>
                    </w:p>
                  </w:txbxContent>
                </v:textbox>
                <w10:wrap type="topAndBottom" side="bothSides" anchorx="margin"/>
              </v:shape>
            </w:pict>
          </mc:Fallback>
        </mc:AlternateContent>
      </w:r>
    </w:p>
    <w:p>
      <w:pPr>
        <w:pStyle w:val="Body"/>
        <w:rPr>
          <w:i w:val="1"/>
          <w:iCs w:val="1"/>
        </w:rPr>
      </w:pPr>
    </w:p>
    <w:p>
      <w:pPr>
        <w:pStyle w:val="Body"/>
        <w:rPr>
          <w:i w:val="1"/>
          <w:iCs w:val="1"/>
        </w:rPr>
      </w:pPr>
    </w:p>
    <w:p>
      <w:pPr>
        <w:pStyle w:val="Body"/>
        <w:rPr>
          <w:i w:val="1"/>
          <w:iCs w:val="1"/>
        </w:rPr>
      </w:pPr>
      <w:r>
        <w:rPr>
          <w:i w:val="1"/>
          <w:iCs w:val="1"/>
          <w:rtl w:val="0"/>
          <w:lang w:val="en-US"/>
        </w:rPr>
        <w:t>Further reading</w:t>
      </w:r>
    </w:p>
    <w:p>
      <w:pPr>
        <w:pStyle w:val="Body"/>
        <w:spacing w:line="120" w:lineRule="auto"/>
      </w:pPr>
    </w:p>
    <w:p>
      <w:pPr>
        <w:pStyle w:val="Body"/>
        <w:spacing w:line="360" w:lineRule="auto"/>
      </w:pPr>
      <w:r>
        <w:rPr>
          <w:rtl w:val="0"/>
          <w:lang w:val="en-US"/>
        </w:rPr>
        <w:t xml:space="preserve">Sources of efficacy (appendix 1) are applied to the framework, for analysis and evaluation of their effectiveness as perceived sources of efficacy in adolescents.  Sibthorpe (2003) states that experiences of self-belief will vary according to the perceptions and values of individuals, and more research is required in this area (Hattie, et al., 1997).  Likewise, further research from the field of psychology directly relating to pedagogies of affect in outdoor facilitation, would be helpful.      </w:t>
      </w:r>
    </w:p>
    <w:p>
      <w:pPr>
        <w:pStyle w:val="Body"/>
        <w:spacing w:line="360" w:lineRule="auto"/>
      </w:pPr>
      <w:r>
        <w:rPr>
          <w:rtl w:val="0"/>
          <w:lang w:val="en-US"/>
        </w:rPr>
        <w:t xml:space="preserve">       </w:t>
      </w:r>
    </w:p>
    <w:p>
      <w:pPr>
        <w:pStyle w:val="Body"/>
        <w:spacing w:line="360" w:lineRule="auto"/>
      </w:pPr>
    </w:p>
    <w:p>
      <w:pPr>
        <w:pStyle w:val="Body"/>
        <w:spacing w:line="360" w:lineRule="auto"/>
      </w:pPr>
    </w:p>
    <w:p>
      <w:pPr>
        <w:pStyle w:val="Body"/>
        <w:spacing w:line="360" w:lineRule="auto"/>
        <w:rPr>
          <w:sz w:val="32"/>
          <w:szCs w:val="32"/>
        </w:rPr>
      </w:pPr>
      <w:r>
        <w:rPr>
          <w:b w:val="1"/>
          <w:bCs w:val="1"/>
          <w:sz w:val="28"/>
          <w:szCs w:val="28"/>
          <w:rtl w:val="0"/>
          <w:lang w:val="en-US"/>
        </w:rPr>
        <w:t>Methodology</w:t>
      </w:r>
      <w:r>
        <w:rPr>
          <w:sz w:val="32"/>
          <w:szCs w:val="32"/>
        </w:rPr>
        <mc:AlternateContent>
          <mc:Choice Requires="wps">
            <w:drawing>
              <wp:anchor distT="152400" distB="152400" distL="152400" distR="152400" simplePos="0" relativeHeight="251662336" behindDoc="0" locked="0" layoutInCell="1" allowOverlap="1">
                <wp:simplePos x="0" y="0"/>
                <wp:positionH relativeFrom="margin">
                  <wp:posOffset>-75720</wp:posOffset>
                </wp:positionH>
                <wp:positionV relativeFrom="line">
                  <wp:posOffset>8936619</wp:posOffset>
                </wp:positionV>
                <wp:extent cx="5907716" cy="325967"/>
                <wp:effectExtent l="0" t="0" r="0" b="0"/>
                <wp:wrapTopAndBottom distT="152400" distB="152400"/>
                <wp:docPr id="1073741831" name="officeArt object"/>
                <wp:cNvGraphicFramePr/>
                <a:graphic xmlns:a="http://schemas.openxmlformats.org/drawingml/2006/main">
                  <a:graphicData uri="http://schemas.microsoft.com/office/word/2010/wordprocessingShape">
                    <wps:wsp>
                      <wps:cNvSpPr/>
                      <wps:spPr>
                        <a:xfrm>
                          <a:off x="0" y="0"/>
                          <a:ext cx="5907716" cy="325967"/>
                        </a:xfrm>
                        <a:prstGeom prst="rect">
                          <a:avLst/>
                        </a:prstGeom>
                        <a:solidFill>
                          <a:srgbClr val="FFFFFF"/>
                        </a:solidFill>
                        <a:ln w="12700" cap="flat">
                          <a:noFill/>
                          <a:miter lim="400000"/>
                        </a:ln>
                        <a:effectLst/>
                      </wps:spPr>
                      <wps:bodyPr/>
                    </wps:wsp>
                  </a:graphicData>
                </a:graphic>
              </wp:anchor>
            </w:drawing>
          </mc:Choice>
          <mc:Fallback>
            <w:pict>
              <v:rect id="_x0000_s1027" style="visibility:visible;position:absolute;margin-left:-6.0pt;margin-top:703.7pt;width:465.2pt;height:25.7pt;z-index:251662336;mso-position-horizontal:absolute;mso-position-horizontal-relative:margin;mso-position-vertical:absolute;mso-position-vertical-relative:line;mso-wrap-distance-left:12.0pt;mso-wrap-distance-top:12.0pt;mso-wrap-distance-right:12.0pt;mso-wrap-distance-bottom:12.0pt;">
                <v:fill color="#FFFFFF" opacity="100.0%" type="solid"/>
                <v:stroke on="f" weight="1.0pt" dashstyle="solid" endcap="flat" miterlimit="400.0%" joinstyle="miter" linestyle="single" startarrow="none" startarrowwidth="medium" startarrowlength="medium" endarrow="none" endarrowwidth="medium" endarrowlength="medium"/>
                <w10:wrap type="topAndBottom" side="bothSides" anchorx="margin"/>
              </v:rect>
            </w:pict>
          </mc:Fallback>
        </mc:AlternateContent>
      </w:r>
    </w:p>
    <w:p>
      <w:pPr>
        <w:pStyle w:val="Body"/>
        <w:spacing w:line="360" w:lineRule="auto"/>
      </w:pPr>
      <w:r>
        <w:rPr>
          <w:i w:val="1"/>
          <w:iCs w:val="1"/>
          <w:rtl w:val="0"/>
          <w:lang w:val="en-US"/>
        </w:rPr>
        <w:t>Ethics</w:t>
      </w:r>
      <w:r>
        <w:rPr>
          <w:rFonts w:ascii="Arial Unicode MS" w:cs="Arial Unicode MS" w:hAnsi="Arial Unicode MS" w:eastAsia="Arial Unicode MS"/>
          <w:b w:val="0"/>
          <w:bCs w:val="0"/>
          <w:i w:val="0"/>
          <w:iCs w:val="0"/>
        </w:rPr>
        <w:br w:type="textWrapping"/>
      </w:r>
      <w:r>
        <w:rPr>
          <w:rtl w:val="0"/>
          <w:lang w:val="en-US"/>
        </w:rPr>
        <w:t>T</w:t>
      </w:r>
      <w:r>
        <w:rPr>
          <w:rtl w:val="0"/>
          <w:lang w:val="en-US"/>
        </w:rPr>
        <w:t xml:space="preserve">his project was approved by the UWTSD ethics committee. </w:t>
      </w:r>
      <w:r>
        <w:rPr>
          <w:rtl w:val="0"/>
          <w:lang w:val="en-US"/>
        </w:rPr>
        <w:t xml:space="preserve"> </w:t>
      </w:r>
      <w:r>
        <w:rPr>
          <w:rtl w:val="0"/>
          <w:lang w:val="en-US"/>
        </w:rPr>
        <w:t xml:space="preserve">A copy of </w:t>
      </w:r>
      <w:r>
        <w:rPr>
          <w:rtl w:val="0"/>
          <w:lang w:val="en-US"/>
        </w:rPr>
        <w:t xml:space="preserve"> a</w:t>
      </w:r>
      <w:r>
        <w:rPr>
          <w:rtl w:val="0"/>
          <w:lang w:val="fr-FR"/>
        </w:rPr>
        <w:t xml:space="preserve"> consent form </w:t>
      </w:r>
      <w:r>
        <w:rPr>
          <w:rtl w:val="0"/>
          <w:lang w:val="en-US"/>
        </w:rPr>
        <w:t xml:space="preserve">was sent </w:t>
      </w:r>
      <w:r>
        <w:rPr>
          <w:rtl w:val="0"/>
          <w:lang w:val="en-US"/>
        </w:rPr>
        <w:t>to parents</w:t>
      </w:r>
      <w:r>
        <w:rPr>
          <w:rtl w:val="0"/>
          <w:lang w:val="en-US"/>
        </w:rPr>
        <w:t xml:space="preserve"> and returned before the project began.</w:t>
      </w:r>
      <w:r>
        <w:rPr>
          <w:rtl w:val="0"/>
        </w:rPr>
        <w:t xml:space="preserve"> </w:t>
      </w:r>
      <w:r>
        <w:rPr>
          <w:rtl w:val="0"/>
          <w:lang w:val="en-US"/>
        </w:rPr>
        <w:t xml:space="preserve"> </w:t>
      </w:r>
      <w:r>
        <w:rPr>
          <w:rtl w:val="0"/>
          <w:lang w:val="en-US"/>
        </w:rPr>
        <w:t>The idea that orienteering-based exercises could</w:t>
      </w:r>
      <w:r>
        <w:rPr>
          <w:rtl w:val="0"/>
          <w:lang w:val="en-US"/>
        </w:rPr>
        <w:t xml:space="preserve"> provide opportunities to source self-efficacy </w:t>
      </w:r>
      <w:r>
        <w:rPr>
          <w:rtl w:val="0"/>
          <w:lang w:val="en-US"/>
        </w:rPr>
        <w:t xml:space="preserve">was </w:t>
      </w:r>
      <w:r>
        <w:rPr>
          <w:rtl w:val="0"/>
          <w:lang w:val="en-US"/>
        </w:rPr>
        <w:t xml:space="preserve">discussed </w:t>
      </w:r>
      <w:r>
        <w:rPr>
          <w:rtl w:val="0"/>
          <w:lang w:val="en-US"/>
        </w:rPr>
        <w:t xml:space="preserve">with </w:t>
      </w:r>
      <w:r>
        <w:rPr>
          <w:rtl w:val="0"/>
          <w:lang w:val="en-US"/>
        </w:rPr>
        <w:t xml:space="preserve">the </w:t>
      </w:r>
      <w:r>
        <w:rPr>
          <w:rtl w:val="0"/>
          <w:lang w:val="en-US"/>
        </w:rPr>
        <w:t>three adolescents</w:t>
      </w:r>
      <w:r>
        <w:rPr>
          <w:rtl w:val="0"/>
          <w:lang w:val="en-US"/>
        </w:rPr>
        <w:t xml:space="preserve"> taking part.</w:t>
      </w:r>
    </w:p>
    <w:p>
      <w:pPr>
        <w:pStyle w:val="Body"/>
        <w:spacing w:line="360" w:lineRule="auto"/>
        <w:rPr>
          <w:rFonts w:ascii="Arial" w:cs="Arial" w:hAnsi="Arial" w:eastAsia="Arial"/>
          <w:i w:val="1"/>
          <w:iCs w:val="1"/>
          <w:outline w:val="0"/>
          <w:color w:val="d31876"/>
          <w14:textFill>
            <w14:solidFill>
              <w14:srgbClr w14:val="D41876"/>
            </w14:solidFill>
          </w14:textFill>
        </w:rPr>
      </w:pPr>
    </w:p>
    <w:p>
      <w:pPr>
        <w:pStyle w:val="Body"/>
        <w:spacing w:line="360" w:lineRule="auto"/>
        <w:rPr>
          <w:i w:val="1"/>
          <w:iCs w:val="1"/>
        </w:rPr>
      </w:pPr>
    </w:p>
    <w:p>
      <w:pPr>
        <w:pStyle w:val="Body"/>
        <w:spacing w:line="360" w:lineRule="auto"/>
        <w:rPr>
          <w:i w:val="1"/>
          <w:iCs w:val="1"/>
        </w:rPr>
      </w:pPr>
    </w:p>
    <w:p>
      <w:pPr>
        <w:pStyle w:val="Body"/>
        <w:spacing w:line="360" w:lineRule="auto"/>
        <w:rPr>
          <w:i w:val="1"/>
          <w:iCs w:val="1"/>
        </w:rPr>
      </w:pPr>
      <w:r>
        <w:rPr>
          <w:i w:val="1"/>
          <w:iCs w:val="1"/>
          <w:rtl w:val="0"/>
          <w:lang w:val="en-US"/>
        </w:rPr>
        <w:t>Concerns</w:t>
      </w:r>
    </w:p>
    <w:p>
      <w:pPr>
        <w:pStyle w:val="Body"/>
        <w:spacing w:line="360" w:lineRule="auto"/>
      </w:pPr>
      <w:r>
        <w:rPr>
          <w:rtl w:val="0"/>
          <w:lang w:val="en-US"/>
        </w:rPr>
        <w:t xml:space="preserve">This note serves to address my position on integrating aspects of psychology in this study.  As the social and cognitive sciences become increasingly intertwined the collaboration between different fields of expertise can only serve as a benefit to the increasing number of adolescents with mental health issues who also enjoy being outside.       </w:t>
      </w:r>
    </w:p>
    <w:p>
      <w:pPr>
        <w:pStyle w:val="Body"/>
        <w:spacing w:line="360" w:lineRule="auto"/>
      </w:pPr>
    </w:p>
    <w:p>
      <w:pPr>
        <w:pStyle w:val="Body"/>
        <w:spacing w:line="360" w:lineRule="auto"/>
        <w:rPr>
          <w:i w:val="1"/>
          <w:iCs w:val="1"/>
        </w:rPr>
      </w:pPr>
      <w:r>
        <w:rPr>
          <w:i w:val="1"/>
          <w:iCs w:val="1"/>
          <w:rtl w:val="0"/>
          <w:lang w:val="en-US"/>
        </w:rPr>
        <w:t>Overview</w:t>
      </w:r>
    </w:p>
    <w:p>
      <w:pPr>
        <w:pStyle w:val="Body"/>
        <w:spacing w:line="360" w:lineRule="auto"/>
      </w:pPr>
      <w:r>
        <w:rPr>
          <w:rtl w:val="0"/>
          <w:lang w:val="en-US"/>
        </w:rPr>
        <w:t>Four male adolescents joined this study consisting of six, two to three hour sessions, in four separate locations, including school grounds, and forests further afield.  Activity theory  is used to analyse this project as part of an ongoing project, with the final outcome for this phase to be concluded a the end of October 2020.  This is a physically and mentally challenging activity developed in 2010, known as ParcoursO, with a club also under that name, registered with the British Orienteering Federation.  Appendix 1 lists the sources of self-efficacy and driving forces which are integrated into ParcoursO.  A personal diary was used to record my observations at the end of each session over the six weeks (see Appendix 3).</w:t>
      </w:r>
    </w:p>
    <w:p>
      <w:pPr>
        <w:pStyle w:val="Body"/>
        <w:spacing w:line="360" w:lineRule="auto"/>
      </w:pPr>
      <w:r>
        <w:rPr>
          <w:rtl w:val="0"/>
          <w:lang w:val="en-US"/>
        </w:rPr>
        <w:t xml:space="preserve">  </w:t>
      </w:r>
    </w:p>
    <w:p>
      <w:pPr>
        <w:pStyle w:val="Body"/>
        <w:spacing w:line="360" w:lineRule="auto"/>
        <w:rPr>
          <w:i w:val="1"/>
          <w:iCs w:val="1"/>
        </w:rPr>
      </w:pPr>
      <w:r>
        <w:rPr>
          <w:i w:val="1"/>
          <w:iCs w:val="1"/>
          <w:rtl w:val="0"/>
          <w:lang w:val="en-US"/>
        </w:rPr>
        <w:t>Community, history and culture</w:t>
      </w:r>
    </w:p>
    <w:p>
      <w:pPr>
        <w:pStyle w:val="Body"/>
        <w:spacing w:line="360" w:lineRule="auto"/>
      </w:pPr>
      <w:r>
        <w:rPr>
          <w:rtl w:val="0"/>
          <w:lang w:val="en-US"/>
        </w:rPr>
        <w:t xml:space="preserve">Week one introductory session:  The extended community, including parents, were introduced to the project.  In this initial briefing, a range of local maps dating back to different eras, connected the motivating objective (to learn to navigate), with the roots of the 'map reading' community.  Subsequently, the adolescents looked at their homes located on maps over a hundred years old with one member locating a train station across the field from his house.  Two members of the group were able to connect with the future of mapping, contributing to the 'missing maps' campaign and creating maps of the future.  Discussions about the past and future are characteristic of activity theory in the context of what is being studied in the present.  I was able to consciously embrace this each week, using the maps, held in our hands, or on a computer screen, as mediating tools.  </w:t>
      </w:r>
    </w:p>
    <w:p>
      <w:pPr>
        <w:pStyle w:val="Body"/>
        <w:spacing w:line="360" w:lineRule="auto"/>
      </w:pPr>
    </w:p>
    <w:p>
      <w:pPr>
        <w:pStyle w:val="Body"/>
        <w:spacing w:line="360" w:lineRule="auto"/>
        <w:rPr>
          <w:i w:val="1"/>
          <w:iCs w:val="1"/>
        </w:rPr>
      </w:pPr>
      <w:r>
        <w:rPr>
          <w:i w:val="1"/>
          <w:iCs w:val="1"/>
          <w:rtl w:val="0"/>
          <w:lang w:val="en-US"/>
        </w:rPr>
        <w:t>Rules</w:t>
      </w:r>
    </w:p>
    <w:p>
      <w:pPr>
        <w:pStyle w:val="Body"/>
        <w:spacing w:line="360" w:lineRule="auto"/>
      </w:pPr>
      <w:r>
        <w:rPr>
          <w:rtl w:val="0"/>
          <w:lang w:val="en-US"/>
        </w:rPr>
        <w:t>The rules of the British orienteering federation were discussed at the outset, and a check-list from the federation website printed off for referral.  There were no fixed rules on how each session should run, merely a motivator to aim for each week, with mediating tools for task completion.</w:t>
      </w:r>
    </w:p>
    <w:p>
      <w:pPr>
        <w:pStyle w:val="Body"/>
        <w:spacing w:line="360" w:lineRule="auto"/>
      </w:pPr>
    </w:p>
    <w:p>
      <w:pPr>
        <w:pStyle w:val="Body"/>
        <w:spacing w:line="360" w:lineRule="auto"/>
      </w:pPr>
    </w:p>
    <w:p>
      <w:pPr>
        <w:pStyle w:val="Body"/>
        <w:spacing w:line="360" w:lineRule="auto"/>
        <w:rPr>
          <w:i w:val="1"/>
          <w:iCs w:val="1"/>
        </w:rPr>
      </w:pPr>
      <w:r>
        <w:rPr>
          <w:i w:val="1"/>
          <w:iCs w:val="1"/>
          <w:rtl w:val="0"/>
          <w:lang w:val="en-US"/>
        </w:rPr>
        <w:t>ParcoursO activities and mediating tools</w:t>
      </w:r>
    </w:p>
    <w:p>
      <w:pPr>
        <w:pStyle w:val="Body"/>
        <w:spacing w:line="360" w:lineRule="auto"/>
      </w:pPr>
      <w:r>
        <w:rPr>
          <w:rtl w:val="0"/>
          <w:lang w:val="en-US"/>
        </w:rPr>
        <w:t xml:space="preserve">The tasks each week were broad in interest, ranging from learning to use a camera and making a short promotional film, to learning navigation skills the adolescents could later teach family members.  Over the six week period they took on numerous tasks, using the tools they could access, to achieve their motivational goals.  They developed through transformational development goals, and learning from being actively involved.    </w:t>
      </w:r>
    </w:p>
    <w:p>
      <w:pPr>
        <w:pStyle w:val="Body"/>
        <w:spacing w:line="360" w:lineRule="auto"/>
      </w:pPr>
    </w:p>
    <w:p>
      <w:pPr>
        <w:pStyle w:val="Body"/>
        <w:spacing w:line="360" w:lineRule="auto"/>
      </w:pPr>
      <w:r>
        <w:rPr>
          <w:rtl w:val="0"/>
          <w:lang w:val="en-US"/>
        </w:rPr>
        <w:t xml:space="preserve">Learning whilst doing the activities is a fundamental part of the system unifying cognition and activity.  An example of 'group reflection' was evident in the choice of activity and motivating goal chosen for the next week.  Individual reflections were understood from one-to-one conversations with participants, in time purposefully set aside, between completion of the session and parents collecting the adolescents.    </w:t>
      </w:r>
    </w:p>
    <w:p>
      <w:pPr>
        <w:pStyle w:val="Body"/>
        <w:spacing w:line="360" w:lineRule="auto"/>
        <w:rPr>
          <w:b w:val="1"/>
          <w:bCs w:val="1"/>
          <w:sz w:val="28"/>
          <w:szCs w:val="28"/>
        </w:rPr>
      </w:pPr>
    </w:p>
    <w:p>
      <w:pPr>
        <w:pStyle w:val="Body"/>
        <w:spacing w:line="360" w:lineRule="auto"/>
        <w:rPr>
          <w:b w:val="1"/>
          <w:bCs w:val="1"/>
          <w:outline w:val="0"/>
          <w:color w:val="017000"/>
          <w:sz w:val="28"/>
          <w:szCs w:val="28"/>
          <w14:textFill>
            <w14:solidFill>
              <w14:srgbClr w14:val="017100"/>
            </w14:solidFill>
          </w14:textFill>
        </w:rPr>
      </w:pPr>
    </w:p>
    <w:p>
      <w:pPr>
        <w:pStyle w:val="Body"/>
        <w:spacing w:line="360" w:lineRule="auto"/>
        <w:rPr>
          <w:b w:val="1"/>
          <w:bCs w:val="1"/>
          <w:sz w:val="28"/>
          <w:szCs w:val="28"/>
        </w:rPr>
      </w:pPr>
    </w:p>
    <w:p>
      <w:pPr>
        <w:pStyle w:val="Body"/>
        <w:spacing w:line="432" w:lineRule="auto"/>
        <w:rPr>
          <w:b w:val="1"/>
          <w:bCs w:val="1"/>
          <w:sz w:val="28"/>
          <w:szCs w:val="28"/>
        </w:rPr>
      </w:pPr>
      <w:r>
        <w:rPr>
          <w:b w:val="1"/>
          <w:bCs w:val="1"/>
          <w:sz w:val="28"/>
          <w:szCs w:val="28"/>
          <w:rtl w:val="0"/>
          <w:lang w:val="en-US"/>
        </w:rPr>
        <w:t>Analysis</w:t>
      </w:r>
    </w:p>
    <w:p>
      <w:pPr>
        <w:pStyle w:val="Body"/>
        <w:spacing w:line="360" w:lineRule="auto"/>
      </w:pPr>
      <w:r>
        <w:rPr>
          <w:rtl w:val="0"/>
          <w:lang w:val="en-US"/>
        </w:rPr>
        <w:t xml:space="preserve">Critical discussion and evaluation on facilitation of orienteering-based activity programme, with integrated sources of self-efficacy for adolescents.    </w:t>
      </w:r>
    </w:p>
    <w:p>
      <w:pPr>
        <w:pStyle w:val="Body"/>
        <w:spacing w:line="360" w:lineRule="auto"/>
      </w:pPr>
    </w:p>
    <w:p>
      <w:pPr>
        <w:pStyle w:val="Body"/>
        <w:numPr>
          <w:ilvl w:val="0"/>
          <w:numId w:val="6"/>
        </w:numPr>
        <w:spacing w:line="360" w:lineRule="auto"/>
        <w:rPr>
          <w:lang w:val="en-US"/>
        </w:rPr>
      </w:pPr>
      <w:r>
        <w:rPr>
          <w:rtl w:val="0"/>
          <w:lang w:val="en-US"/>
        </w:rPr>
        <w:t xml:space="preserve">Collected data.  </w:t>
      </w:r>
    </w:p>
    <w:p>
      <w:pPr>
        <w:pStyle w:val="Body"/>
        <w:spacing w:line="360" w:lineRule="auto"/>
      </w:pPr>
      <w:r>
        <w:rPr>
          <w:rtl w:val="0"/>
          <w:lang w:val="en-US"/>
        </w:rPr>
        <w:t>Empirical qualitative research methods were supported by observations, and diary notes recorded after each session</w:t>
      </w:r>
      <w:r>
        <w:rPr>
          <w:i w:val="1"/>
          <w:iCs w:val="1"/>
          <w:rtl w:val="0"/>
          <w:lang w:val="en-US"/>
        </w:rPr>
        <w:t>.</w:t>
      </w:r>
      <w:r>
        <w:rPr>
          <w:rtl w:val="0"/>
          <w:lang w:val="en-US"/>
        </w:rPr>
        <w:t xml:space="preserve">  With a small sample of 4, observational research was comprehensively recorded in a diary.  To consider perceptions and bias, thoughts and ideas were noted down from alternative points-of-view regarding the same situation. </w:t>
      </w:r>
    </w:p>
    <w:p>
      <w:pPr>
        <w:pStyle w:val="Body"/>
        <w:spacing w:line="360" w:lineRule="auto"/>
      </w:pPr>
      <w:r>
        <w:rPr>
          <w:rtl w:val="0"/>
          <w:lang w:val="en-US"/>
        </w:rPr>
        <w:t xml:space="preserve"> </w:t>
      </w:r>
    </w:p>
    <w:p>
      <w:pPr>
        <w:pStyle w:val="Body"/>
        <w:numPr>
          <w:ilvl w:val="0"/>
          <w:numId w:val="5"/>
        </w:numPr>
        <w:spacing w:line="360" w:lineRule="auto"/>
        <w:rPr>
          <w:lang w:val="en-US"/>
        </w:rPr>
      </w:pPr>
      <w:r>
        <w:rPr>
          <w:rtl w:val="0"/>
          <w:lang w:val="en-US"/>
        </w:rPr>
        <w:t xml:space="preserve">Analysing data.  </w:t>
      </w:r>
    </w:p>
    <w:p>
      <w:pPr>
        <w:pStyle w:val="Body"/>
        <w:spacing w:line="360" w:lineRule="auto"/>
      </w:pPr>
      <w:r>
        <w:rPr>
          <w:rtl w:val="0"/>
          <w:lang w:val="en-US"/>
        </w:rPr>
        <w:t xml:space="preserve">Bandura's Activity theory systems were transferred onto a table (see Figure 5 below) to show the relationship between subject, object and the outcome of the activities.  The table in appendix 2 shows the interrelating concepts, each week telling a different story which evolved from the outcomes of the previous week.  </w:t>
      </w:r>
    </w:p>
    <w:p>
      <w:pPr>
        <w:pStyle w:val="Body"/>
        <w:spacing w:line="360" w:lineRule="auto"/>
      </w:pPr>
    </w:p>
    <w:tbl>
      <w:tblPr>
        <w:tblW w:w="9622" w:type="dxa"/>
        <w:jc w:val="left"/>
        <w:tblInd w:w="108" w:type="dxa"/>
        <w:tblBorders>
          <w:top w:val="single" w:color="929292" w:sz="2" w:space="0" w:shadow="0" w:frame="0"/>
          <w:left w:val="single" w:color="929292" w:sz="2" w:space="0" w:shadow="0" w:frame="0"/>
          <w:bottom w:val="single" w:color="929292" w:sz="2" w:space="0" w:shadow="0" w:frame="0"/>
          <w:right w:val="single" w:color="929292" w:sz="2" w:space="0" w:shadow="0" w:frame="0"/>
          <w:insideH w:val="single" w:color="929292" w:sz="6" w:space="0" w:shadow="0" w:frame="0"/>
          <w:insideV w:val="single" w:color="929292" w:sz="6" w:space="0" w:shadow="0" w:frame="0"/>
        </w:tblBorders>
        <w:shd w:val="clear" w:color="auto" w:fill="auto"/>
        <w:tblLayout w:type="fixed"/>
      </w:tblPr>
      <w:tblGrid>
        <w:gridCol w:w="2728"/>
        <w:gridCol w:w="2260"/>
        <w:gridCol w:w="2229"/>
        <w:gridCol w:w="2405"/>
      </w:tblGrid>
      <w:tr>
        <w:tblPrEx>
          <w:shd w:val="clear" w:color="auto" w:fill="auto"/>
        </w:tblPrEx>
        <w:trPr>
          <w:trHeight w:val="492" w:hRule="atLeast"/>
          <w:tblHeader/>
        </w:trPr>
        <w:tc>
          <w:tcPr>
            <w:tcW w:type="dxa" w:w="2728"/>
            <w:tcBorders>
              <w:top w:val="single" w:color="929292" w:sz="6" w:space="0" w:shadow="0" w:frame="0"/>
              <w:left w:val="single" w:color="929292" w:sz="6" w:space="0" w:shadow="0" w:frame="0"/>
              <w:bottom w:val="single" w:color="89847f" w:sz="8" w:space="0" w:shadow="0" w:frame="0"/>
              <w:right w:val="single" w:color="5e5e5e" w:sz="2" w:space="0" w:shadow="0" w:frame="0"/>
            </w:tcBorders>
            <w:shd w:val="clear" w:color="auto" w:fill="auto"/>
            <w:tcMar>
              <w:top w:type="dxa" w:w="80"/>
              <w:left w:type="dxa" w:w="80"/>
              <w:bottom w:type="dxa" w:w="80"/>
              <w:right w:type="dxa" w:w="80"/>
            </w:tcMar>
            <w:vAlign w:val="top"/>
          </w:tcPr>
          <w:p>
            <w:pPr>
              <w:pStyle w:val="Table Style 7"/>
              <w:bidi w:val="0"/>
            </w:pPr>
          </w:p>
          <w:p>
            <w:pPr>
              <w:pStyle w:val="Table Style 7"/>
              <w:bidi w:val="0"/>
            </w:pPr>
            <w:r>
              <w:rPr>
                <w:rFonts w:ascii="Helvetica Neue" w:cs="Arial Unicode MS" w:hAnsi="Helvetica Neue" w:eastAsia="Arial Unicode MS"/>
                <w:rtl w:val="0"/>
              </w:rPr>
              <w:t>VENUE</w:t>
            </w:r>
          </w:p>
        </w:tc>
        <w:tc>
          <w:tcPr>
            <w:tcW w:type="dxa" w:w="2259"/>
            <w:tcBorders>
              <w:top w:val="single" w:color="929292" w:sz="6" w:space="0" w:shadow="0" w:frame="0"/>
              <w:left w:val="single" w:color="5e5e5e" w:sz="2" w:space="0" w:shadow="0" w:frame="0"/>
              <w:bottom w:val="single" w:color="89847f" w:sz="8" w:space="0" w:shadow="0" w:frame="0"/>
              <w:right w:val="single" w:color="5e5e5e" w:sz="2" w:space="0" w:shadow="0" w:frame="0"/>
            </w:tcBorders>
            <w:shd w:val="clear" w:color="auto" w:fill="auto"/>
            <w:tcMar>
              <w:top w:type="dxa" w:w="80"/>
              <w:left w:type="dxa" w:w="80"/>
              <w:bottom w:type="dxa" w:w="80"/>
              <w:right w:type="dxa" w:w="80"/>
            </w:tcMar>
            <w:vAlign w:val="top"/>
          </w:tcPr>
          <w:p>
            <w:pPr>
              <w:pStyle w:val="Table Style 7"/>
              <w:bidi w:val="0"/>
            </w:pPr>
            <w:r>
              <w:rPr>
                <w:rFonts w:ascii="Helvetica Neue" w:cs="Arial Unicode MS" w:hAnsi="Helvetica Neue" w:eastAsia="Arial Unicode MS"/>
                <w:rtl w:val="0"/>
              </w:rPr>
              <w:t>SUBJECTS:</w:t>
            </w:r>
          </w:p>
          <w:p>
            <w:pPr>
              <w:pStyle w:val="Table Style 7"/>
              <w:bidi w:val="0"/>
            </w:pPr>
            <w:r>
              <w:rPr>
                <w:rFonts w:ascii="Helvetica Neue" w:cs="Arial Unicode MS" w:hAnsi="Helvetica Neue" w:eastAsia="Arial Unicode MS"/>
                <w:rtl w:val="0"/>
              </w:rPr>
              <w:t>ADOLESCENTS</w:t>
            </w:r>
          </w:p>
        </w:tc>
        <w:tc>
          <w:tcPr>
            <w:tcW w:type="dxa" w:w="2229"/>
            <w:tcBorders>
              <w:top w:val="single" w:color="929292" w:sz="6" w:space="0" w:shadow="0" w:frame="0"/>
              <w:left w:val="single" w:color="5e5e5e" w:sz="2" w:space="0" w:shadow="0" w:frame="0"/>
              <w:bottom w:val="single" w:color="89847f" w:sz="8" w:space="0" w:shadow="0" w:frame="0"/>
              <w:right w:val="single" w:color="5e5e5e" w:sz="2" w:space="0" w:shadow="0" w:frame="0"/>
            </w:tcBorders>
            <w:shd w:val="clear" w:color="auto" w:fill="auto"/>
            <w:tcMar>
              <w:top w:type="dxa" w:w="80"/>
              <w:left w:type="dxa" w:w="80"/>
              <w:bottom w:type="dxa" w:w="80"/>
              <w:right w:type="dxa" w:w="80"/>
            </w:tcMar>
            <w:vAlign w:val="top"/>
          </w:tcPr>
          <w:p>
            <w:pPr>
              <w:pStyle w:val="Table Style 7"/>
              <w:bidi w:val="0"/>
            </w:pPr>
            <w:r>
              <w:rPr>
                <w:rFonts w:ascii="Helvetica Neue" w:cs="Arial Unicode MS" w:hAnsi="Helvetica Neue" w:eastAsia="Arial Unicode MS"/>
                <w:rtl w:val="0"/>
              </w:rPr>
              <w:t>OBJECT MOTIVATORS</w:t>
            </w:r>
          </w:p>
        </w:tc>
        <w:tc>
          <w:tcPr>
            <w:tcW w:type="dxa" w:w="2405"/>
            <w:tcBorders>
              <w:top w:val="single" w:color="929292" w:sz="6" w:space="0" w:shadow="0" w:frame="0"/>
              <w:left w:val="single" w:color="5e5e5e" w:sz="2" w:space="0" w:shadow="0" w:frame="0"/>
              <w:bottom w:val="single" w:color="89847f" w:sz="8" w:space="0" w:shadow="0" w:frame="0"/>
              <w:right w:val="single" w:color="929292" w:sz="6" w:space="0" w:shadow="0" w:frame="0"/>
            </w:tcBorders>
            <w:shd w:val="clear" w:color="auto" w:fill="auto"/>
            <w:tcMar>
              <w:top w:type="dxa" w:w="80"/>
              <w:left w:type="dxa" w:w="80"/>
              <w:bottom w:type="dxa" w:w="80"/>
              <w:right w:type="dxa" w:w="80"/>
            </w:tcMar>
            <w:vAlign w:val="top"/>
          </w:tcPr>
          <w:p>
            <w:pPr>
              <w:pStyle w:val="Table Style 7"/>
              <w:bidi w:val="0"/>
            </w:pPr>
            <w:r>
              <w:rPr>
                <w:rFonts w:ascii="Helvetica Neue" w:cs="Arial Unicode MS" w:hAnsi="Helvetica Neue" w:eastAsia="Arial Unicode MS"/>
                <w:rtl w:val="0"/>
              </w:rPr>
              <w:t>ACTIVITIES</w:t>
            </w:r>
          </w:p>
        </w:tc>
      </w:tr>
      <w:tr>
        <w:tblPrEx>
          <w:shd w:val="clear" w:color="auto" w:fill="auto"/>
        </w:tblPrEx>
        <w:trPr>
          <w:trHeight w:val="727" w:hRule="atLeast"/>
        </w:trPr>
        <w:tc>
          <w:tcPr>
            <w:tcW w:type="dxa" w:w="2728"/>
            <w:tcBorders>
              <w:top w:val="single" w:color="89847f" w:sz="8" w:space="0" w:shadow="0" w:frame="0"/>
              <w:left w:val="single" w:color="929292" w:sz="6" w:space="0" w:shadow="0" w:frame="0"/>
              <w:bottom w:val="single" w:color="929292" w:sz="2"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bidi w:val="0"/>
            </w:pPr>
            <w:r>
              <w:rPr>
                <w:rFonts w:ascii="Helvetica Neue Medium" w:cs="Arial Unicode MS" w:hAnsi="Helvetica Neue Medium" w:eastAsia="Arial Unicode MS"/>
                <w:rtl w:val="0"/>
              </w:rPr>
              <w:t xml:space="preserve">Week One: </w:t>
            </w:r>
          </w:p>
          <w:p>
            <w:pPr>
              <w:pStyle w:val="Table Style 6"/>
              <w:bidi w:val="0"/>
            </w:pPr>
            <w:r>
              <w:rPr>
                <w:rFonts w:ascii="Helvetica Neue Medium" w:cs="Arial Unicode MS" w:hAnsi="Helvetica Neue Medium" w:eastAsia="Arial Unicode MS"/>
                <w:rtl w:val="0"/>
              </w:rPr>
              <w:t>School Site</w:t>
            </w:r>
          </w:p>
        </w:tc>
        <w:tc>
          <w:tcPr>
            <w:tcW w:type="dxa" w:w="2259"/>
            <w:tcBorders>
              <w:top w:val="single" w:color="89847f" w:sz="8" w:space="0" w:shadow="0" w:frame="0"/>
              <w:left w:val="single" w:color="89847f" w:sz="6" w:space="0" w:shadow="0" w:frame="0"/>
              <w:bottom w:val="single" w:color="929292" w:sz="2" w:space="0" w:shadow="0" w:frame="0"/>
              <w:right w:val="single" w:color="929292"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Adolescents &amp; </w:t>
            </w:r>
          </w:p>
          <w:p>
            <w:pPr>
              <w:pStyle w:val="Table Style 2"/>
              <w:bidi w:val="0"/>
            </w:pPr>
            <w:r>
              <w:rPr>
                <w:rFonts w:ascii="Helvetica Neue" w:cs="Arial Unicode MS" w:hAnsi="Helvetica Neue" w:eastAsia="Arial Unicode MS"/>
                <w:rtl w:val="0"/>
              </w:rPr>
              <w:t xml:space="preserve">Unexperienced navigators </w:t>
            </w:r>
          </w:p>
        </w:tc>
        <w:tc>
          <w:tcPr>
            <w:tcW w:type="dxa" w:w="2229"/>
            <w:tcBorders>
              <w:top w:val="single" w:color="89847f" w:sz="8" w:space="0" w:shadow="0" w:frame="0"/>
              <w:left w:val="single" w:color="929292" w:sz="2" w:space="0" w:shadow="0" w:frame="0"/>
              <w:bottom w:val="single" w:color="929292" w:sz="2" w:space="0" w:shadow="0" w:frame="0"/>
              <w:right w:val="single" w:color="929292"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5 * Navigation Challenge</w:t>
            </w:r>
          </w:p>
        </w:tc>
        <w:tc>
          <w:tcPr>
            <w:tcW w:type="dxa" w:w="2405"/>
            <w:tcBorders>
              <w:top w:val="single" w:color="89847f" w:sz="8" w:space="0" w:shadow="0" w:frame="0"/>
              <w:left w:val="single" w:color="929292" w:sz="2" w:space="0" w:shadow="0" w:frame="0"/>
              <w:bottom w:val="single" w:color="929292" w:sz="2" w:space="0" w:shadow="0" w:frame="0"/>
              <w:right w:val="single" w:color="929292" w:sz="6"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Navigating</w:t>
            </w:r>
          </w:p>
          <w:p>
            <w:pPr>
              <w:pStyle w:val="Table Style 2"/>
              <w:bidi w:val="0"/>
            </w:pPr>
            <w:r>
              <w:rPr>
                <w:rFonts w:ascii="Helvetica Neue" w:cs="Arial Unicode MS" w:hAnsi="Helvetica Neue" w:eastAsia="Arial Unicode MS"/>
                <w:rtl w:val="0"/>
              </w:rPr>
              <w:t>Outcome: Achieved</w:t>
            </w:r>
          </w:p>
        </w:tc>
      </w:tr>
      <w:tr>
        <w:tblPrEx>
          <w:shd w:val="clear" w:color="auto" w:fill="auto"/>
        </w:tblPrEx>
        <w:trPr>
          <w:trHeight w:val="719" w:hRule="atLeast"/>
        </w:trPr>
        <w:tc>
          <w:tcPr>
            <w:tcW w:type="dxa" w:w="2728"/>
            <w:tcBorders>
              <w:top w:val="single" w:color="929292" w:sz="2" w:space="0" w:shadow="0" w:frame="0"/>
              <w:left w:val="single" w:color="929292" w:sz="6" w:space="0" w:shadow="0" w:frame="0"/>
              <w:bottom w:val="single" w:color="929292" w:sz="2"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bidi w:val="0"/>
            </w:pPr>
            <w:r>
              <w:rPr>
                <w:rFonts w:ascii="Helvetica Neue Medium" w:cs="Arial Unicode MS" w:hAnsi="Helvetica Neue Medium" w:eastAsia="Arial Unicode MS"/>
                <w:rtl w:val="0"/>
              </w:rPr>
              <w:t xml:space="preserve">Week Two:  </w:t>
            </w:r>
          </w:p>
          <w:p>
            <w:pPr>
              <w:pStyle w:val="Table Style 6"/>
              <w:bidi w:val="0"/>
            </w:pPr>
            <w:r>
              <w:rPr>
                <w:rFonts w:ascii="Helvetica Neue Medium" w:cs="Arial Unicode MS" w:hAnsi="Helvetica Neue Medium" w:eastAsia="Arial Unicode MS"/>
                <w:rtl w:val="0"/>
              </w:rPr>
              <w:t>Local Woods</w:t>
            </w:r>
          </w:p>
        </w:tc>
        <w:tc>
          <w:tcPr>
            <w:tcW w:type="dxa" w:w="2259"/>
            <w:tcBorders>
              <w:top w:val="single" w:color="929292" w:sz="2" w:space="0" w:shadow="0" w:frame="0"/>
              <w:left w:val="single" w:color="89847f" w:sz="6" w:space="0" w:shadow="0" w:frame="0"/>
              <w:bottom w:val="single" w:color="929292" w:sz="2" w:space="0" w:shadow="0" w:frame="0"/>
              <w:right w:val="single" w:color="929292" w:sz="2"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Adolescents &amp;</w:t>
            </w:r>
          </w:p>
          <w:p>
            <w:pPr>
              <w:pStyle w:val="Table Style 2"/>
              <w:bidi w:val="0"/>
            </w:pPr>
            <w:r>
              <w:rPr>
                <w:rFonts w:ascii="Helvetica Neue" w:cs="Arial Unicode MS" w:hAnsi="Helvetica Neue" w:eastAsia="Arial Unicode MS"/>
                <w:rtl w:val="0"/>
              </w:rPr>
              <w:t>Confident runner in familiar environment</w:t>
            </w:r>
          </w:p>
        </w:tc>
        <w:tc>
          <w:tcPr>
            <w:tcW w:type="dxa" w:w="2229"/>
            <w:tcBorders>
              <w:top w:val="single" w:color="929292" w:sz="2" w:space="0" w:shadow="0" w:frame="0"/>
              <w:left w:val="single" w:color="929292" w:sz="2" w:space="0" w:shadow="0" w:frame="0"/>
              <w:bottom w:val="single" w:color="929292" w:sz="2" w:space="0" w:shadow="0" w:frame="0"/>
              <w:right w:val="single" w:color="929292" w:sz="2"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 Running /Time Trial Familiarisation / Social</w:t>
            </w:r>
          </w:p>
        </w:tc>
        <w:tc>
          <w:tcPr>
            <w:tcW w:type="dxa" w:w="2405"/>
            <w:tcBorders>
              <w:top w:val="single" w:color="929292" w:sz="2" w:space="0" w:shadow="0" w:frame="0"/>
              <w:left w:val="single" w:color="929292" w:sz="2" w:space="0" w:shadow="0" w:frame="0"/>
              <w:bottom w:val="single" w:color="929292" w:sz="2" w:space="0" w:shadow="0" w:frame="0"/>
              <w:right w:val="single" w:color="929292" w:sz="6"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Running: 1.5km.</w:t>
            </w:r>
          </w:p>
          <w:p>
            <w:pPr>
              <w:pStyle w:val="Table Style 2"/>
              <w:bidi w:val="0"/>
            </w:pPr>
            <w:r>
              <w:rPr>
                <w:rFonts w:ascii="Helvetica Neue" w:cs="Arial Unicode MS" w:hAnsi="Helvetica Neue" w:eastAsia="Arial Unicode MS"/>
                <w:rtl w:val="0"/>
              </w:rPr>
              <w:t xml:space="preserve">Outcome: Gold &amp; Silver times.  </w:t>
            </w:r>
          </w:p>
        </w:tc>
      </w:tr>
      <w:tr>
        <w:tblPrEx>
          <w:shd w:val="clear" w:color="auto" w:fill="auto"/>
        </w:tblPrEx>
        <w:trPr>
          <w:trHeight w:val="959" w:hRule="atLeast"/>
        </w:trPr>
        <w:tc>
          <w:tcPr>
            <w:tcW w:type="dxa" w:w="2728"/>
            <w:tcBorders>
              <w:top w:val="single" w:color="929292" w:sz="2" w:space="0" w:shadow="0" w:frame="0"/>
              <w:left w:val="single" w:color="929292" w:sz="6" w:space="0" w:shadow="0" w:frame="0"/>
              <w:bottom w:val="single" w:color="929292" w:sz="2"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bidi w:val="0"/>
            </w:pPr>
            <w:r>
              <w:rPr>
                <w:rFonts w:ascii="Helvetica Neue Medium" w:cs="Arial Unicode MS" w:hAnsi="Helvetica Neue Medium" w:eastAsia="Arial Unicode MS"/>
                <w:rtl w:val="0"/>
              </w:rPr>
              <w:t xml:space="preserve">Week Three:  </w:t>
            </w:r>
          </w:p>
          <w:p>
            <w:pPr>
              <w:pStyle w:val="Table Style 6"/>
              <w:bidi w:val="0"/>
            </w:pPr>
            <w:r>
              <w:rPr>
                <w:rFonts w:ascii="Helvetica Neue Medium" w:cs="Arial Unicode MS" w:hAnsi="Helvetica Neue Medium" w:eastAsia="Arial Unicode MS"/>
                <w:rtl w:val="0"/>
              </w:rPr>
              <w:t>Monmouthshire Forest</w:t>
            </w:r>
          </w:p>
        </w:tc>
        <w:tc>
          <w:tcPr>
            <w:tcW w:type="dxa" w:w="2259"/>
            <w:tcBorders>
              <w:top w:val="single" w:color="929292" w:sz="2" w:space="0" w:shadow="0" w:frame="0"/>
              <w:left w:val="single" w:color="89847f" w:sz="6" w:space="0" w:shadow="0" w:frame="0"/>
              <w:bottom w:val="single" w:color="929292" w:sz="2" w:space="0" w:shadow="0" w:frame="0"/>
              <w:right w:val="single" w:color="929292"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Adolescents &amp; </w:t>
            </w:r>
          </w:p>
          <w:p>
            <w:pPr>
              <w:pStyle w:val="Table Style 2"/>
              <w:bidi w:val="0"/>
            </w:pPr>
            <w:r>
              <w:rPr>
                <w:rFonts w:ascii="Helvetica Neue" w:cs="Arial Unicode MS" w:hAnsi="Helvetica Neue" w:eastAsia="Arial Unicode MS"/>
                <w:rtl w:val="0"/>
              </w:rPr>
              <w:t>Perceived experienced Navigator, in unknown environment</w:t>
            </w:r>
          </w:p>
        </w:tc>
        <w:tc>
          <w:tcPr>
            <w:tcW w:type="dxa" w:w="2229"/>
            <w:tcBorders>
              <w:top w:val="single" w:color="929292" w:sz="2" w:space="0" w:shadow="0" w:frame="0"/>
              <w:left w:val="single" w:color="929292" w:sz="2" w:space="0" w:shadow="0" w:frame="0"/>
              <w:bottom w:val="single" w:color="929292" w:sz="2" w:space="0" w:shadow="0" w:frame="0"/>
              <w:right w:val="single" w:color="929292"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Orange Course</w:t>
            </w:r>
          </w:p>
        </w:tc>
        <w:tc>
          <w:tcPr>
            <w:tcW w:type="dxa" w:w="2405"/>
            <w:tcBorders>
              <w:top w:val="single" w:color="929292" w:sz="2" w:space="0" w:shadow="0" w:frame="0"/>
              <w:left w:val="single" w:color="929292" w:sz="2" w:space="0" w:shadow="0" w:frame="0"/>
              <w:bottom w:val="single" w:color="929292" w:sz="2" w:space="0" w:shadow="0" w:frame="0"/>
              <w:right w:val="single" w:color="929292" w:sz="6"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Navigating: </w:t>
            </w:r>
          </w:p>
          <w:p>
            <w:pPr>
              <w:pStyle w:val="Table Style 2"/>
              <w:bidi w:val="0"/>
            </w:pPr>
            <w:r>
              <w:rPr>
                <w:rFonts w:ascii="Helvetica Neue" w:cs="Arial Unicode MS" w:hAnsi="Helvetica Neue" w:eastAsia="Arial Unicode MS"/>
                <w:rtl w:val="0"/>
              </w:rPr>
              <w:t>Outcome: Completed course</w:t>
            </w:r>
          </w:p>
        </w:tc>
      </w:tr>
      <w:tr>
        <w:tblPrEx>
          <w:shd w:val="clear" w:color="auto" w:fill="auto"/>
        </w:tblPrEx>
        <w:trPr>
          <w:trHeight w:val="1679" w:hRule="atLeast"/>
        </w:trPr>
        <w:tc>
          <w:tcPr>
            <w:tcW w:type="dxa" w:w="2728"/>
            <w:tcBorders>
              <w:top w:val="single" w:color="929292" w:sz="2" w:space="0" w:shadow="0" w:frame="0"/>
              <w:left w:val="single" w:color="929292" w:sz="6" w:space="0" w:shadow="0" w:frame="0"/>
              <w:bottom w:val="single" w:color="929292" w:sz="2"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bidi w:val="0"/>
            </w:pPr>
            <w:r>
              <w:rPr>
                <w:rFonts w:ascii="Helvetica Neue Medium" w:cs="Arial Unicode MS" w:hAnsi="Helvetica Neue Medium" w:eastAsia="Arial Unicode MS"/>
                <w:rtl w:val="0"/>
              </w:rPr>
              <w:t xml:space="preserve">Week Four:  </w:t>
            </w:r>
          </w:p>
          <w:p>
            <w:pPr>
              <w:pStyle w:val="Table Style 6"/>
              <w:bidi w:val="0"/>
            </w:pPr>
            <w:r>
              <w:rPr>
                <w:rFonts w:ascii="Helvetica Neue Medium" w:cs="Arial Unicode MS" w:hAnsi="Helvetica Neue Medium" w:eastAsia="Arial Unicode MS"/>
                <w:rtl w:val="0"/>
              </w:rPr>
              <w:t>Gloucestershire Forest</w:t>
            </w:r>
          </w:p>
        </w:tc>
        <w:tc>
          <w:tcPr>
            <w:tcW w:type="dxa" w:w="2259"/>
            <w:tcBorders>
              <w:top w:val="single" w:color="929292" w:sz="2" w:space="0" w:shadow="0" w:frame="0"/>
              <w:left w:val="single" w:color="89847f" w:sz="6" w:space="0" w:shadow="0" w:frame="0"/>
              <w:bottom w:val="single" w:color="929292" w:sz="2" w:space="0" w:shadow="0" w:frame="0"/>
              <w:right w:val="single" w:color="929292" w:sz="2"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Adolescents &amp;</w:t>
            </w:r>
          </w:p>
          <w:p>
            <w:pPr>
              <w:pStyle w:val="Table Style 2"/>
              <w:bidi w:val="0"/>
            </w:pPr>
            <w:r>
              <w:rPr>
                <w:rFonts w:ascii="Helvetica Neue" w:cs="Arial Unicode MS" w:hAnsi="Helvetica Neue" w:eastAsia="Arial Unicode MS"/>
                <w:rtl w:val="0"/>
              </w:rPr>
              <w:t xml:space="preserve">Perceived semi-experienced navigators, </w:t>
            </w:r>
          </w:p>
          <w:p>
            <w:pPr>
              <w:pStyle w:val="Table Style 2"/>
              <w:bidi w:val="0"/>
            </w:pPr>
            <w:r>
              <w:rPr>
                <w:rFonts w:ascii="Helvetica Neue" w:cs="Arial Unicode MS" w:hAnsi="Helvetica Neue" w:eastAsia="Arial Unicode MS"/>
                <w:rtl w:val="0"/>
              </w:rPr>
              <w:t>able to complete course, in unknown environment</w:t>
            </w:r>
          </w:p>
        </w:tc>
        <w:tc>
          <w:tcPr>
            <w:tcW w:type="dxa" w:w="2229"/>
            <w:tcBorders>
              <w:top w:val="single" w:color="929292" w:sz="2" w:space="0" w:shadow="0" w:frame="0"/>
              <w:left w:val="single" w:color="929292" w:sz="2" w:space="0" w:shadow="0" w:frame="0"/>
              <w:bottom w:val="single" w:color="929292" w:sz="2" w:space="0" w:shadow="0" w:frame="0"/>
              <w:right w:val="single" w:color="929292" w:sz="2"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Light Green Course</w:t>
            </w:r>
          </w:p>
        </w:tc>
        <w:tc>
          <w:tcPr>
            <w:tcW w:type="dxa" w:w="2405"/>
            <w:tcBorders>
              <w:top w:val="single" w:color="929292" w:sz="2" w:space="0" w:shadow="0" w:frame="0"/>
              <w:left w:val="single" w:color="929292" w:sz="2" w:space="0" w:shadow="0" w:frame="0"/>
              <w:bottom w:val="single" w:color="929292" w:sz="2" w:space="0" w:shadow="0" w:frame="0"/>
              <w:right w:val="single" w:color="929292" w:sz="6"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Navigating:</w:t>
            </w:r>
          </w:p>
          <w:p>
            <w:pPr>
              <w:pStyle w:val="Table Style 2"/>
              <w:bidi w:val="0"/>
            </w:pPr>
            <w:r>
              <w:rPr>
                <w:rFonts w:ascii="Helvetica Neue" w:cs="Arial Unicode MS" w:hAnsi="Helvetica Neue" w:eastAsia="Arial Unicode MS"/>
                <w:rtl w:val="0"/>
              </w:rPr>
              <w:t xml:space="preserve">Outcome: Uncompleted course (control 1 not found).  </w:t>
            </w:r>
          </w:p>
        </w:tc>
      </w:tr>
      <w:tr>
        <w:tblPrEx>
          <w:shd w:val="clear" w:color="auto" w:fill="auto"/>
        </w:tblPrEx>
        <w:trPr>
          <w:trHeight w:val="1199" w:hRule="atLeast"/>
        </w:trPr>
        <w:tc>
          <w:tcPr>
            <w:tcW w:type="dxa" w:w="2728"/>
            <w:tcBorders>
              <w:top w:val="single" w:color="929292" w:sz="2" w:space="0" w:shadow="0" w:frame="0"/>
              <w:left w:val="single" w:color="929292" w:sz="6" w:space="0" w:shadow="0" w:frame="0"/>
              <w:bottom w:val="single" w:color="929292" w:sz="2"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bidi w:val="0"/>
            </w:pPr>
            <w:r>
              <w:rPr>
                <w:rFonts w:ascii="Helvetica Neue Medium" w:cs="Arial Unicode MS" w:hAnsi="Helvetica Neue Medium" w:eastAsia="Arial Unicode MS"/>
                <w:rtl w:val="0"/>
              </w:rPr>
              <w:t>Week Five:</w:t>
            </w:r>
          </w:p>
          <w:p>
            <w:pPr>
              <w:pStyle w:val="Table Style 6"/>
              <w:bidi w:val="0"/>
            </w:pPr>
            <w:r>
              <w:rPr>
                <w:rFonts w:ascii="Helvetica Neue Medium" w:cs="Arial Unicode MS" w:hAnsi="Helvetica Neue Medium" w:eastAsia="Arial Unicode MS"/>
                <w:rtl w:val="0"/>
              </w:rPr>
              <w:t>School Site</w:t>
            </w:r>
          </w:p>
        </w:tc>
        <w:tc>
          <w:tcPr>
            <w:tcW w:type="dxa" w:w="2259"/>
            <w:tcBorders>
              <w:top w:val="single" w:color="929292" w:sz="2" w:space="0" w:shadow="0" w:frame="0"/>
              <w:left w:val="single" w:color="89847f" w:sz="6" w:space="0" w:shadow="0" w:frame="0"/>
              <w:bottom w:val="single" w:color="929292" w:sz="2" w:space="0" w:shadow="0" w:frame="0"/>
              <w:right w:val="single" w:color="929292"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Adolescents &amp; </w:t>
            </w:r>
          </w:p>
          <w:p>
            <w:pPr>
              <w:pStyle w:val="Table Style 2"/>
              <w:bidi w:val="0"/>
            </w:pPr>
            <w:r>
              <w:rPr>
                <w:rFonts w:ascii="Helvetica Neue" w:cs="Arial Unicode MS" w:hAnsi="Helvetica Neue" w:eastAsia="Arial Unicode MS"/>
                <w:rtl w:val="0"/>
              </w:rPr>
              <w:t>Event organisers</w:t>
            </w:r>
          </w:p>
          <w:p>
            <w:pPr>
              <w:pStyle w:val="Table Style 2"/>
              <w:bidi w:val="0"/>
            </w:pPr>
            <w:r>
              <w:rPr>
                <w:rFonts w:ascii="Helvetica Neue" w:cs="Arial Unicode MS" w:hAnsi="Helvetica Neue" w:eastAsia="Arial Unicode MS"/>
                <w:rtl w:val="0"/>
              </w:rPr>
              <w:t xml:space="preserve">(Specific Title: Variable). </w:t>
            </w:r>
          </w:p>
          <w:p>
            <w:pPr>
              <w:pStyle w:val="Table Style 2"/>
              <w:bidi w:val="0"/>
            </w:pPr>
          </w:p>
        </w:tc>
        <w:tc>
          <w:tcPr>
            <w:tcW w:type="dxa" w:w="2229"/>
            <w:tcBorders>
              <w:top w:val="single" w:color="929292" w:sz="2" w:space="0" w:shadow="0" w:frame="0"/>
              <w:left w:val="single" w:color="929292" w:sz="2" w:space="0" w:shadow="0" w:frame="0"/>
              <w:bottom w:val="single" w:color="929292" w:sz="2" w:space="0" w:shadow="0" w:frame="0"/>
              <w:right w:val="single" w:color="929292"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Design 'O' Activity</w:t>
            </w:r>
          </w:p>
        </w:tc>
        <w:tc>
          <w:tcPr>
            <w:tcW w:type="dxa" w:w="2405"/>
            <w:tcBorders>
              <w:top w:val="single" w:color="929292" w:sz="2" w:space="0" w:shadow="0" w:frame="0"/>
              <w:left w:val="single" w:color="929292" w:sz="2" w:space="0" w:shadow="0" w:frame="0"/>
              <w:bottom w:val="single" w:color="929292" w:sz="2" w:space="0" w:shadow="0" w:frame="0"/>
              <w:right w:val="single" w:color="929292" w:sz="6"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Designing activity</w:t>
            </w:r>
          </w:p>
          <w:p>
            <w:pPr>
              <w:pStyle w:val="Table Style 2"/>
              <w:bidi w:val="0"/>
            </w:pPr>
            <w:r>
              <w:rPr>
                <w:rFonts w:ascii="Helvetica Neue" w:cs="Arial Unicode MS" w:hAnsi="Helvetica Neue" w:eastAsia="Arial Unicode MS"/>
                <w:rtl w:val="0"/>
              </w:rPr>
              <w:t>Filming</w:t>
            </w:r>
          </w:p>
          <w:p>
            <w:pPr>
              <w:pStyle w:val="Table Style 2"/>
              <w:bidi w:val="0"/>
            </w:pPr>
            <w:r>
              <w:rPr>
                <w:rFonts w:ascii="Helvetica Neue" w:cs="Arial Unicode MS" w:hAnsi="Helvetica Neue" w:eastAsia="Arial Unicode MS"/>
                <w:rtl w:val="0"/>
              </w:rPr>
              <w:t>Equipment organisation</w:t>
            </w:r>
          </w:p>
          <w:p>
            <w:pPr>
              <w:pStyle w:val="Table Style 2"/>
              <w:bidi w:val="0"/>
            </w:pPr>
            <w:r>
              <w:rPr>
                <w:rFonts w:ascii="Helvetica Neue" w:cs="Arial Unicode MS" w:hAnsi="Helvetica Neue" w:eastAsia="Arial Unicode MS"/>
                <w:rtl w:val="0"/>
              </w:rPr>
              <w:t>Map-making</w:t>
            </w:r>
          </w:p>
          <w:p>
            <w:pPr>
              <w:pStyle w:val="Table Style 2"/>
              <w:bidi w:val="0"/>
            </w:pPr>
            <w:r>
              <w:rPr>
                <w:rFonts w:ascii="Helvetica Neue" w:cs="Arial Unicode MS" w:hAnsi="Helvetica Neue" w:eastAsia="Arial Unicode MS"/>
                <w:rtl w:val="0"/>
              </w:rPr>
              <w:t>Official letter-writing</w:t>
            </w:r>
          </w:p>
        </w:tc>
      </w:tr>
      <w:tr>
        <w:tblPrEx>
          <w:shd w:val="clear" w:color="auto" w:fill="auto"/>
        </w:tblPrEx>
        <w:trPr>
          <w:trHeight w:val="1444" w:hRule="atLeast"/>
        </w:trPr>
        <w:tc>
          <w:tcPr>
            <w:tcW w:type="dxa" w:w="2728"/>
            <w:tcBorders>
              <w:top w:val="single" w:color="929292" w:sz="2" w:space="0" w:shadow="0" w:frame="0"/>
              <w:left w:val="single" w:color="929292" w:sz="6" w:space="0" w:shadow="0" w:frame="0"/>
              <w:bottom w:val="single" w:color="929292" w:sz="6" w:space="0" w:shadow="0" w:frame="0"/>
              <w:right w:val="single" w:color="89847f" w:sz="6" w:space="0" w:shadow="0" w:frame="0"/>
            </w:tcBorders>
            <w:shd w:val="clear" w:color="auto" w:fill="auto"/>
            <w:tcMar>
              <w:top w:type="dxa" w:w="80"/>
              <w:left w:type="dxa" w:w="80"/>
              <w:bottom w:type="dxa" w:w="80"/>
              <w:right w:type="dxa" w:w="80"/>
            </w:tcMar>
            <w:vAlign w:val="top"/>
          </w:tcPr>
          <w:p>
            <w:pPr>
              <w:pStyle w:val="Table Style 6"/>
              <w:bidi w:val="0"/>
            </w:pPr>
            <w:r>
              <w:rPr>
                <w:rFonts w:ascii="Helvetica Neue Medium" w:cs="Arial Unicode MS" w:hAnsi="Helvetica Neue Medium" w:eastAsia="Arial Unicode MS"/>
                <w:rtl w:val="0"/>
              </w:rPr>
              <w:t>Week Six:</w:t>
            </w:r>
          </w:p>
          <w:p>
            <w:pPr>
              <w:pStyle w:val="Table Style 6"/>
              <w:bidi w:val="0"/>
            </w:pPr>
            <w:r>
              <w:rPr>
                <w:rFonts w:ascii="Helvetica Neue Medium" w:cs="Arial Unicode MS" w:hAnsi="Helvetica Neue Medium" w:eastAsia="Arial Unicode MS"/>
                <w:rtl w:val="0"/>
              </w:rPr>
              <w:t>Aconbury Woods</w:t>
            </w:r>
          </w:p>
        </w:tc>
        <w:tc>
          <w:tcPr>
            <w:tcW w:type="dxa" w:w="2259"/>
            <w:tcBorders>
              <w:top w:val="single" w:color="929292" w:sz="2" w:space="0" w:shadow="0" w:frame="0"/>
              <w:left w:val="single" w:color="89847f" w:sz="6" w:space="0" w:shadow="0" w:frame="0"/>
              <w:bottom w:val="single" w:color="929292" w:sz="6" w:space="0" w:shadow="0" w:frame="0"/>
              <w:right w:val="single" w:color="929292" w:sz="2"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Adolescents &amp; </w:t>
            </w:r>
          </w:p>
          <w:p>
            <w:pPr>
              <w:pStyle w:val="Table Style 2"/>
              <w:bidi w:val="0"/>
            </w:pPr>
            <w:r>
              <w:rPr>
                <w:rFonts w:ascii="Helvetica Neue" w:cs="Arial Unicode MS" w:hAnsi="Helvetica Neue" w:eastAsia="Arial Unicode MS"/>
                <w:rtl w:val="0"/>
              </w:rPr>
              <w:t>Perceived developing navigators in</w:t>
            </w:r>
          </w:p>
          <w:p>
            <w:pPr>
              <w:pStyle w:val="Table Style 2"/>
              <w:bidi w:val="0"/>
            </w:pPr>
            <w:r>
              <w:rPr>
                <w:rFonts w:ascii="Helvetica Neue" w:cs="Arial Unicode MS" w:hAnsi="Helvetica Neue" w:eastAsia="Arial Unicode MS"/>
                <w:rtl w:val="0"/>
              </w:rPr>
              <w:t>familiar  and social environment</w:t>
            </w:r>
          </w:p>
          <w:p>
            <w:pPr>
              <w:pStyle w:val="Table Style 2"/>
              <w:bidi w:val="0"/>
            </w:pPr>
          </w:p>
        </w:tc>
        <w:tc>
          <w:tcPr>
            <w:tcW w:type="dxa" w:w="2229"/>
            <w:tcBorders>
              <w:top w:val="single" w:color="929292" w:sz="2" w:space="0" w:shadow="0" w:frame="0"/>
              <w:left w:val="single" w:color="929292" w:sz="2" w:space="0" w:shadow="0" w:frame="0"/>
              <w:bottom w:val="single" w:color="929292" w:sz="6" w:space="0" w:shadow="0" w:frame="0"/>
              <w:right w:val="single" w:color="929292" w:sz="2"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 Trial Run</w:t>
            </w:r>
          </w:p>
        </w:tc>
        <w:tc>
          <w:tcPr>
            <w:tcW w:type="dxa" w:w="2405"/>
            <w:tcBorders>
              <w:top w:val="single" w:color="929292" w:sz="2" w:space="0" w:shadow="0" w:frame="0"/>
              <w:left w:val="single" w:color="929292" w:sz="2" w:space="0" w:shadow="0" w:frame="0"/>
              <w:bottom w:val="single" w:color="929292" w:sz="6" w:space="0" w:shadow="0" w:frame="0"/>
              <w:right w:val="single" w:color="929292" w:sz="6" w:space="0" w:shadow="0" w:frame="0"/>
            </w:tcBorders>
            <w:shd w:val="clear" w:color="auto" w:fill="f4f9f8"/>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Putting out controls</w:t>
            </w:r>
          </w:p>
          <w:p>
            <w:pPr>
              <w:pStyle w:val="Table Style 2"/>
              <w:bidi w:val="0"/>
            </w:pPr>
            <w:r>
              <w:rPr>
                <w:rFonts w:ascii="Helvetica Neue" w:cs="Arial Unicode MS" w:hAnsi="Helvetica Neue" w:eastAsia="Arial Unicode MS"/>
                <w:rtl w:val="0"/>
              </w:rPr>
              <w:t>Navigating</w:t>
            </w:r>
          </w:p>
          <w:p>
            <w:pPr>
              <w:pStyle w:val="Table Style 2"/>
              <w:bidi w:val="0"/>
            </w:pPr>
            <w:r>
              <w:rPr>
                <w:rFonts w:ascii="Helvetica Neue" w:cs="Arial Unicode MS" w:hAnsi="Helvetica Neue" w:eastAsia="Arial Unicode MS"/>
                <w:rtl w:val="0"/>
              </w:rPr>
              <w:t>Socialising</w:t>
            </w:r>
          </w:p>
        </w:tc>
      </w:tr>
    </w:tbl>
    <w:p>
      <w:pPr>
        <w:pStyle w:val="Body"/>
        <w:spacing w:line="360" w:lineRule="auto"/>
      </w:pPr>
    </w:p>
    <w:p>
      <w:pPr>
        <w:pStyle w:val="Body"/>
        <w:spacing w:line="360" w:lineRule="auto"/>
      </w:pPr>
      <w:r>
        <w:rPr>
          <w:rtl w:val="0"/>
          <w:lang w:val="en-US"/>
        </w:rPr>
        <w:t>Figure 5:  Orienteering-based activities integrated into conceptual framework of activity theory.</w:t>
      </w:r>
    </w:p>
    <w:p>
      <w:pPr>
        <w:pStyle w:val="Body"/>
        <w:spacing w:line="360" w:lineRule="auto"/>
      </w:pPr>
      <w:r>
        <w:rPr>
          <w:rtl w:val="0"/>
          <w:lang w:val="en-US"/>
        </w:rPr>
        <w:t xml:space="preserve">  </w:t>
      </w:r>
    </w:p>
    <w:p>
      <w:pPr>
        <w:pStyle w:val="Body"/>
        <w:spacing w:line="360" w:lineRule="auto"/>
      </w:pPr>
      <w:r>
        <w:rPr>
          <w:rtl w:val="0"/>
          <w:lang w:val="en-US"/>
        </w:rPr>
        <w:t>3.   Evaluation.</w:t>
      </w:r>
    </w:p>
    <w:p>
      <w:pPr>
        <w:pStyle w:val="Body"/>
        <w:spacing w:line="360" w:lineRule="auto"/>
      </w:pPr>
      <w:r>
        <w:rPr>
          <w:rtl w:val="0"/>
          <w:lang w:val="en-US"/>
        </w:rPr>
        <w:t xml:space="preserve">Activity systems were used to evaluate the actions and activities of the subjects alongside the sources of perceived self-efficacy (Figure 5 and Appendix 2).  This is, in my opinion,  the closest indicator to perceived levels of self-efficacy, with a direct link between activities (navigation) and sources of self-efficacy (mastery of experiences).  Bandura also informs us that mastery experiences are the strongest source of perceived self-efficacy (1994) and the structure provided in this facilitation lends itself well to the mastery experiences that he recommends.  The following explains how the integrated concepts of activity theory contributed to mastery experiences.  The scope for analysis is much greater than is shown in the text here:  </w:t>
      </w:r>
    </w:p>
    <w:p>
      <w:pPr>
        <w:pStyle w:val="Body"/>
        <w:spacing w:line="360" w:lineRule="auto"/>
      </w:pPr>
    </w:p>
    <w:p>
      <w:pPr>
        <w:pStyle w:val="Body"/>
        <w:spacing w:line="360" w:lineRule="auto"/>
      </w:pPr>
      <w:r>
        <w:rPr>
          <w:rtl w:val="0"/>
          <w:lang w:val="en-US"/>
        </w:rPr>
        <w:t xml:space="preserve">Activities in the environment developed from week one, in a local school environment, to a local wood, local forest in Monmouthshire, and forest in Gloucestershire, ultimately returning to the local wood.  The familiar local wood required less facilitator input, and the adolescents exercised greater autonomy.  The social atmosphere was more relaxed, however, there was less concern for the task being completed.  The casual manner may have been to disguise inefficacy,  bias told me they were simply enjoying a sunny day in the local and familiar wood.  The more difficult the activity was over the six weeks, the more focus on the task was observed.  The running task in week two offered no rewards, and was not a race.  The object was to achieve a gold, silver or bronze time over a 1.5mile distance.  They 'ambled' happily to the start on a forest track, and put in effort on their return to achieve the gold, silver or bronze time award.  In the forests where the surroundings were unfamiliar, the focus on the tasks was more evident.  The group were noticeably less relaxed.  The forest events involved a wider community and role models, offering vicarious experiences.  On completion, there was a group consensus was that the next training should be at a similar event.  </w:t>
      </w:r>
    </w:p>
    <w:p>
      <w:pPr>
        <w:pStyle w:val="Body"/>
        <w:spacing w:line="360" w:lineRule="auto"/>
        <w:ind w:left="283" w:right="283" w:firstLine="0"/>
      </w:pPr>
    </w:p>
    <w:p>
      <w:pPr>
        <w:pStyle w:val="Body"/>
        <w:spacing w:line="360" w:lineRule="auto"/>
      </w:pPr>
      <w:r>
        <w:rPr>
          <w:rtl w:val="0"/>
          <w:lang w:val="en-US"/>
        </w:rPr>
        <w:t xml:space="preserve">The orange event saw the participants completing the course, however, the following event, with a more difficult  light green course, was not completed, with the adolescents being unable to find the first control.  On returning, they voiced that they did not enjoy the time as much as the previous orange course event and would like to try that level course again.  </w:t>
      </w:r>
    </w:p>
    <w:p>
      <w:pPr>
        <w:pStyle w:val="Body"/>
        <w:spacing w:line="360" w:lineRule="auto"/>
      </w:pPr>
    </w:p>
    <w:p>
      <w:pPr>
        <w:pStyle w:val="Body"/>
        <w:spacing w:line="360" w:lineRule="auto"/>
      </w:pPr>
      <w:r>
        <w:rPr>
          <w:rtl w:val="0"/>
          <w:lang w:val="en-US"/>
        </w:rPr>
        <w:t xml:space="preserve">The relationship between tasks, levels of difficulty, environment, community and mediating tools, do have an impact on the feelings of the participants, however, what these feelings precisely are, cannot be ascertained.  This is an area for further study, with input from the field of psychology to gain a more in-depth and accurate understanding.  Through a longitudal study, it is more likely that a closer interpretation of these feelings could be made in relation to the frequency the actions of the adolescents display a behaviour, directly relating to Bandura's sources of efficacy.  Research in this area would be useful to facilitators and outdoor educators wanting to understand how they can directly impact perceived levels of self-efficacy in adolescents.   </w:t>
      </w:r>
    </w:p>
    <w:p>
      <w:pPr>
        <w:pStyle w:val="Body"/>
        <w:spacing w:line="360" w:lineRule="auto"/>
      </w:pPr>
    </w:p>
    <w:p>
      <w:pPr>
        <w:pStyle w:val="Body"/>
        <w:spacing w:line="360" w:lineRule="auto"/>
      </w:pPr>
      <w:r>
        <w:rPr>
          <w:rtl w:val="0"/>
          <w:lang w:val="en-US"/>
        </w:rPr>
        <w:t xml:space="preserve">Although my analysis of the interrelationship between the concepts in Figure 5  is far from complete, the opportunity for further scrutiny is evident.  As Sibthorp stated though, the problems with such an approach, as with much empirical research is there are 'few quality studies available to guide practice and progress decisions - usually enigmatic processes based on gut instinct, past </w:t>
      </w:r>
    </w:p>
    <w:p>
      <w:pPr>
        <w:pStyle w:val="Body"/>
        <w:spacing w:line="360" w:lineRule="auto"/>
      </w:pPr>
    </w:p>
    <w:p>
      <w:pPr>
        <w:pStyle w:val="Body"/>
        <w:spacing w:line="360" w:lineRule="auto"/>
      </w:pPr>
      <w:r>
        <w:rPr>
          <w:rtl w:val="0"/>
          <w:lang w:val="en-US"/>
        </w:rPr>
        <w:t xml:space="preserve">experience, borrowed or untested philosophical understanding, or belief' (2003).  This very point signifies the issues faced by Forest Schools (Leather, 2017) and the lack of robust empirical research to confirm the claims that their schools increase self-esteem in children.  Sibthorp recommends that to understand more about eh adventure experience and feelings of self-efficacy, more detailed identification of the components of experience are needed, the development of tools and mixed-methodology, and a shift from external to conceptualised generalisation. (Sibthorp, 2003).  Whilst his study a decade later (2014),  addresses the conceptualisation idea, the generalisation is still too obscure to bring meaningful and useful knowledge to the table. </w:t>
      </w:r>
    </w:p>
    <w:p>
      <w:pPr>
        <w:pStyle w:val="Body"/>
        <w:bidi w:val="0"/>
      </w:pPr>
    </w:p>
    <w:p>
      <w:pPr>
        <w:pStyle w:val="Body"/>
        <w:bidi w:val="0"/>
        <w:rPr>
          <w:b w:val="1"/>
          <w:bCs w:val="1"/>
        </w:rPr>
      </w:pPr>
    </w:p>
    <w:p>
      <w:pPr>
        <w:pStyle w:val="Body"/>
        <w:spacing w:line="360" w:lineRule="auto"/>
      </w:pPr>
      <w:r>
        <w:rPr>
          <w:rtl w:val="0"/>
          <w:lang w:val="en-US"/>
        </w:rPr>
        <w:t>4. Reflections</w:t>
      </w:r>
    </w:p>
    <w:p>
      <w:pPr>
        <w:pStyle w:val="Body"/>
        <w:spacing w:line="360" w:lineRule="auto"/>
      </w:pPr>
      <w:r>
        <w:rPr>
          <w:rtl w:val="0"/>
          <w:lang w:val="en-US"/>
        </w:rPr>
        <w:t>The following points were drawn up after a period of stepping away from the project and considered as areas for development in using activity theory for accessing sources of self-efficacy.   These points all have a research-base for consideration when proposing to the community group for the next stage of development:</w:t>
      </w:r>
    </w:p>
    <w:p>
      <w:pPr>
        <w:pStyle w:val="Body"/>
        <w:spacing w:line="360" w:lineRule="auto"/>
      </w:pPr>
      <w:r>
        <w:rPr>
          <w:rtl w:val="0"/>
          <w:lang w:val="en-US"/>
        </w:rPr>
        <w:t xml:space="preserve"> </w:t>
      </w:r>
    </w:p>
    <w:p>
      <w:pPr>
        <w:pStyle w:val="Body"/>
        <w:spacing w:line="360" w:lineRule="auto"/>
        <w:rPr>
          <w:i w:val="1"/>
          <w:iCs w:val="1"/>
        </w:rPr>
      </w:pPr>
      <w:r>
        <w:rPr>
          <w:i w:val="1"/>
          <w:iCs w:val="1"/>
          <w:rtl w:val="0"/>
          <w:lang w:val="en-US"/>
        </w:rPr>
        <w:t>Reflections</w:t>
      </w:r>
    </w:p>
    <w:p>
      <w:pPr>
        <w:pStyle w:val="Body"/>
        <w:spacing w:line="360" w:lineRule="auto"/>
      </w:pPr>
      <w:r>
        <w:rPr>
          <w:rtl w:val="0"/>
          <w:lang w:val="en-US"/>
        </w:rPr>
        <w:t xml:space="preserve">Social group reflections as a procurement to individual reflective learning. </w:t>
      </w:r>
    </w:p>
    <w:p>
      <w:pPr>
        <w:pStyle w:val="Body"/>
        <w:spacing w:line="360" w:lineRule="auto"/>
      </w:pPr>
      <w:r>
        <w:rPr>
          <w:rtl w:val="0"/>
          <w:lang w:val="en-US"/>
        </w:rPr>
        <w:t>Established practice of use of diaries.  Discover alternative methods for recording conceptual data from observations.</w:t>
      </w:r>
    </w:p>
    <w:p>
      <w:pPr>
        <w:pStyle w:val="Body"/>
        <w:spacing w:line="360" w:lineRule="auto"/>
        <w:rPr>
          <w:b w:val="1"/>
          <w:bCs w:val="1"/>
        </w:rPr>
      </w:pPr>
      <w:r>
        <w:rPr>
          <w:rtl w:val="0"/>
          <w:lang w:val="en-US"/>
        </w:rPr>
        <w:t xml:space="preserve">Further consideration on ethical considerations and discussions with qualified psychologists on psychological construct theory for potential future development.       </w:t>
      </w:r>
    </w:p>
    <w:p>
      <w:pPr>
        <w:pStyle w:val="Body"/>
        <w:spacing w:line="360" w:lineRule="auto"/>
        <w:rPr>
          <w:b w:val="1"/>
          <w:bCs w:val="1"/>
        </w:rPr>
      </w:pPr>
    </w:p>
    <w:p>
      <w:pPr>
        <w:pStyle w:val="Body"/>
        <w:spacing w:line="360" w:lineRule="auto"/>
        <w:rPr>
          <w:i w:val="1"/>
          <w:iCs w:val="1"/>
        </w:rPr>
      </w:pPr>
      <w:r>
        <w:rPr>
          <w:i w:val="1"/>
          <w:iCs w:val="1"/>
          <w:rtl w:val="0"/>
          <w:lang w:val="en-US"/>
        </w:rPr>
        <w:t>Methodology and Layering</w:t>
      </w:r>
    </w:p>
    <w:p>
      <w:pPr>
        <w:pStyle w:val="Body"/>
        <w:spacing w:line="360" w:lineRule="auto"/>
      </w:pPr>
      <w:r>
        <w:rPr>
          <w:rtl w:val="0"/>
          <w:lang w:val="en-US"/>
        </w:rPr>
        <w:t>Multiple frameworks for layering of two-fold aims and individual participant aims.</w:t>
      </w:r>
    </w:p>
    <w:p>
      <w:pPr>
        <w:pStyle w:val="Body"/>
        <w:spacing w:line="360" w:lineRule="auto"/>
      </w:pPr>
      <w:r>
        <w:rPr>
          <w:rtl w:val="0"/>
          <w:lang w:val="en-US"/>
        </w:rPr>
        <w:t>Multiple frameworks for layering individual sources of efficacy, mediating tools and other concepts.</w:t>
      </w:r>
    </w:p>
    <w:p>
      <w:pPr>
        <w:pStyle w:val="Body"/>
        <w:spacing w:line="360" w:lineRule="auto"/>
      </w:pPr>
      <w:r>
        <w:rPr>
          <w:rtl w:val="0"/>
          <w:lang w:val="en-US"/>
        </w:rPr>
        <w:t>Source method for measuring high and low sources of self-efficacy.</w:t>
      </w:r>
    </w:p>
    <w:p>
      <w:pPr>
        <w:pStyle w:val="Body"/>
        <w:spacing w:line="360" w:lineRule="auto"/>
      </w:pPr>
      <w:r>
        <w:rPr>
          <w:rtl w:val="0"/>
          <w:lang w:val="en-US"/>
        </w:rPr>
        <w:t xml:space="preserve">  </w:t>
      </w:r>
    </w:p>
    <w:p>
      <w:pPr>
        <w:pStyle w:val="Body"/>
        <w:bidi w:val="0"/>
      </w:pPr>
    </w:p>
    <w:p>
      <w:pPr>
        <w:pStyle w:val="Body"/>
        <w:bidi w:val="0"/>
      </w:pPr>
    </w:p>
    <w:p>
      <w:pPr>
        <w:pStyle w:val="Default"/>
        <w:bidi w:val="0"/>
        <w:spacing w:before="0"/>
        <w:ind w:left="0" w:right="0" w:firstLine="0"/>
        <w:jc w:val="left"/>
        <w:rPr>
          <w:rFonts w:ascii="Times New Roman" w:cs="Times New Roman" w:hAnsi="Times New Roman" w:eastAsia="Times New Roman"/>
          <w:b w:val="1"/>
          <w:bCs w:val="1"/>
          <w:sz w:val="28"/>
          <w:szCs w:val="28"/>
          <w:rtl w:val="0"/>
        </w:rPr>
      </w:pPr>
      <w:r>
        <w:rPr>
          <w:rFonts w:ascii="Times New Roman" w:hAnsi="Times New Roman"/>
          <w:b w:val="1"/>
          <w:bCs w:val="1"/>
          <w:sz w:val="28"/>
          <w:szCs w:val="28"/>
          <w:rtl w:val="0"/>
          <w:lang w:val="en-US"/>
        </w:rPr>
        <w:t>Conclusion</w:t>
      </w:r>
    </w:p>
    <w:p>
      <w:pPr>
        <w:pStyle w:val="Default"/>
        <w:bidi w:val="0"/>
        <w:spacing w:before="0" w:line="360" w:lineRule="auto"/>
        <w:ind w:left="0" w:right="0" w:firstLine="0"/>
        <w:jc w:val="left"/>
        <w:rPr>
          <w:rFonts w:ascii="Times New Roman" w:cs="Times New Roman" w:hAnsi="Times New Roman" w:eastAsia="Times New Roman"/>
          <w:rtl w:val="0"/>
        </w:rPr>
      </w:pPr>
    </w:p>
    <w:p>
      <w:pPr>
        <w:pStyle w:val="Body"/>
        <w:spacing w:line="360" w:lineRule="auto"/>
      </w:pPr>
      <w:r>
        <w:rPr>
          <w:rtl w:val="0"/>
          <w:lang w:val="en-US"/>
        </w:rPr>
        <w:t xml:space="preserve">Four adolescents joined this study consisting of six, three hour sessions in four separate locations.  The aims were discussed with participants, and ethical issues addressed.  Sources of self-efficacy Bandura (1994) and associated changes amongst adolescents were observed and noted in a personal diary.  A critical discussion and evaluation led to the conclusion that a facilitation programme, integrating sources of self-efficacy, can be usefully applied to adolescents engaged in activity theory.  Further study would indicate how 'meaningful' levels of perceived self-belief in efficacy may be defined for adolescents living in complex times.  Certain developmental themes emerged from this study that require further research and evaluation for potential inclusion into this developing activity framework.  Self-efficacy is a cognitive affect and as such, a collaborative study with researchers in the field of psychology would be useful in extending the depth of enquiry, from a focus on 'activity' into interpreting the behaviour of the participant relative to activity.   </w:t>
      </w:r>
    </w:p>
    <w:p>
      <w:pPr>
        <w:pStyle w:val="Default"/>
        <w:bidi w:val="0"/>
        <w:spacing w:before="0" w:line="360" w:lineRule="auto"/>
        <w:ind w:left="0" w:right="0" w:firstLine="0"/>
        <w:jc w:val="left"/>
        <w:rPr>
          <w:rFonts w:ascii="Times New Roman" w:cs="Times New Roman" w:hAnsi="Times New Roman" w:eastAsia="Times New Roman"/>
          <w:rtl w:val="0"/>
        </w:rPr>
      </w:pPr>
      <w:r>
        <w:rPr>
          <w:rFonts w:ascii="Times New Roman" w:hAnsi="Times New Roman"/>
          <w:rtl w:val="0"/>
          <w:lang w:val="en-US"/>
        </w:rPr>
        <w:t>'How important these areas are to a programmes development goals remains largely unknown whilst it is commonly believed programmes can be designed for specific goals and objectives, they are too distinctive in nature to offer useful generalisations' (Sibthorpe and Schumann, 2014).</w:t>
      </w:r>
    </w:p>
    <w:p>
      <w:pPr>
        <w:pStyle w:val="Body"/>
        <w:spacing w:line="360" w:lineRule="auto"/>
      </w:pPr>
    </w:p>
    <w:p>
      <w:pPr>
        <w:pStyle w:val="Body"/>
        <w:spacing w:line="360" w:lineRule="auto"/>
      </w:pPr>
    </w:p>
    <w:p>
      <w:pPr>
        <w:pStyle w:val="Body"/>
        <w:spacing w:line="360" w:lineRule="auto"/>
      </w:pPr>
      <w:r>
        <w:rPr>
          <w:rtl w:val="0"/>
          <w:lang w:val="en-US"/>
        </w:rPr>
        <w:t>4606 words.</w:t>
      </w: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bidi w:val="0"/>
      </w:pPr>
    </w:p>
    <w:p>
      <w:pPr>
        <w:pStyle w:val="Body"/>
        <w:bidi w:val="0"/>
      </w:pPr>
    </w:p>
    <w:p>
      <w:pPr>
        <w:pStyle w:val="Default"/>
        <w:bidi w:val="0"/>
        <w:spacing w:before="0"/>
        <w:ind w:left="0" w:right="0" w:firstLine="0"/>
        <w:jc w:val="left"/>
        <w:rPr>
          <w:rFonts w:ascii="Times New Roman" w:cs="Times New Roman" w:hAnsi="Times New Roman" w:eastAsia="Times New Roman"/>
          <w:shd w:val="clear" w:color="auto" w:fill="ffffff"/>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r>
        <w:rPr>
          <w:rFonts w:ascii="Times New Roman" w:hAnsi="Times New Roman"/>
          <w:b w:val="1"/>
          <w:bCs w:val="1"/>
          <w:sz w:val="28"/>
          <w:szCs w:val="28"/>
          <w:rtl w:val="0"/>
          <w:lang w:val="en-US"/>
        </w:rPr>
        <w:t>References</w:t>
      </w:r>
      <w:r>
        <w:rPr>
          <w:rFonts w:ascii="Times New Roman" w:hAnsi="Times New Roman"/>
          <w:sz w:val="28"/>
          <w:szCs w:val="28"/>
          <w:rtl w:val="0"/>
          <w:lang w:val="en-US"/>
        </w:rPr>
        <w:t xml:space="preserve"> </w:t>
      </w:r>
    </w:p>
    <w:p>
      <w:pPr>
        <w:pStyle w:val="Body"/>
        <w:bidi w:val="0"/>
      </w:pPr>
    </w:p>
    <w:p>
      <w:pPr>
        <w:pStyle w:val="Body"/>
        <w:bidi w:val="0"/>
      </w:pPr>
      <w:r>
        <w:rPr>
          <w:rtl w:val="0"/>
          <w:lang w:val="en-US"/>
        </w:rPr>
        <w:t xml:space="preserve">Bandura, A. (1994). Self-efficacy.  In V. S. Ramachaundran (Ed.), </w:t>
      </w:r>
      <w:r>
        <w:rPr>
          <w:i w:val="1"/>
          <w:iCs w:val="1"/>
          <w:rtl w:val="0"/>
          <w:lang w:val="en-US"/>
        </w:rPr>
        <w:t xml:space="preserve">Encyclopedia of human behaviour </w:t>
      </w:r>
      <w:r>
        <w:rPr>
          <w:rtl w:val="0"/>
          <w:lang w:val="en-US"/>
        </w:rPr>
        <w:t xml:space="preserve">(Vol. 4, pp.71-81).  New York: Academic Press. (Reprinted in H. Friedman [Ed.], </w:t>
      </w:r>
      <w:r>
        <w:rPr>
          <w:i w:val="1"/>
          <w:iCs w:val="1"/>
          <w:rtl w:val="0"/>
          <w:lang w:val="en-US"/>
        </w:rPr>
        <w:t>Encyclopaedia of mental health</w:t>
      </w:r>
      <w:r>
        <w:rPr>
          <w:rtl w:val="0"/>
          <w:lang w:val="en-US"/>
        </w:rPr>
        <w:t>.  San Dieto: Academic Press, 1998).</w:t>
      </w:r>
    </w:p>
    <w:p>
      <w:pPr>
        <w:pStyle w:val="Body"/>
        <w:bidi w:val="0"/>
      </w:pPr>
    </w:p>
    <w:p>
      <w:pPr>
        <w:pStyle w:val="Default"/>
        <w:bidi w:val="0"/>
        <w:spacing w:before="0" w:after="240" w:line="300" w:lineRule="atLeast"/>
        <w:ind w:left="0" w:right="0" w:firstLine="0"/>
        <w:jc w:val="left"/>
        <w:rPr>
          <w:rFonts w:ascii="Times Roman" w:cs="Times Roman" w:hAnsi="Times Roman" w:eastAsia="Times Roman"/>
          <w:i w:val="1"/>
          <w:iCs w:val="1"/>
          <w:sz w:val="27"/>
          <w:szCs w:val="27"/>
          <w:rtl w:val="0"/>
        </w:rPr>
      </w:pPr>
      <w:r>
        <w:rPr>
          <w:rFonts w:ascii="Times Roman" w:hAnsi="Times Roman"/>
          <w:i w:val="0"/>
          <w:iCs w:val="0"/>
          <w:sz w:val="27"/>
          <w:szCs w:val="27"/>
          <w:rtl w:val="0"/>
        </w:rPr>
        <w:t xml:space="preserve">Berger, P. L., &amp; Luckmann, T. (1967). </w:t>
      </w:r>
      <w:r>
        <w:rPr>
          <w:rFonts w:ascii="Times Roman" w:hAnsi="Times Roman"/>
          <w:i w:val="1"/>
          <w:iCs w:val="1"/>
          <w:sz w:val="27"/>
          <w:szCs w:val="27"/>
          <w:rtl w:val="0"/>
          <w:lang w:val="en-US"/>
        </w:rPr>
        <w:t>The social construction of reality: A treatise in the sociology of knowledg</w:t>
      </w:r>
      <w:r>
        <w:rPr>
          <w:rFonts w:ascii="Times Roman" w:hAnsi="Times Roman"/>
          <w:i w:val="0"/>
          <w:iCs w:val="0"/>
          <w:sz w:val="27"/>
          <w:szCs w:val="27"/>
          <w:rtl w:val="0"/>
          <w:lang w:val="en-US"/>
        </w:rPr>
        <w:t xml:space="preserve">e. London, England: Penguin. </w:t>
      </w:r>
    </w:p>
    <w:p>
      <w:pPr>
        <w:pStyle w:val="Body"/>
        <w:bidi w:val="0"/>
      </w:pPr>
      <w:r>
        <w:rPr>
          <w:rtl w:val="0"/>
          <w:lang w:val="en-US"/>
        </w:rPr>
        <w:t xml:space="preserve">Burr, V. (2003). </w:t>
      </w:r>
      <w:r>
        <w:rPr>
          <w:i w:val="1"/>
          <w:iCs w:val="1"/>
          <w:rtl w:val="0"/>
          <w:lang w:val="en-US"/>
        </w:rPr>
        <w:t>Social constructionism</w:t>
      </w:r>
      <w:r>
        <w:rPr>
          <w:rtl w:val="0"/>
          <w:lang w:val="en-US"/>
        </w:rPr>
        <w:t>. London: Routledge.</w:t>
      </w:r>
    </w:p>
    <w:p>
      <w:pPr>
        <w:pStyle w:val="Body"/>
        <w:bidi w:val="0"/>
      </w:pPr>
    </w:p>
    <w:p>
      <w:pPr>
        <w:pStyle w:val="Body"/>
        <w:bidi w:val="0"/>
      </w:pPr>
      <w:r>
        <w:rPr>
          <w:rtl w:val="0"/>
          <w:lang w:val="nl-NL"/>
        </w:rPr>
        <w:t>Engestr</w:t>
      </w:r>
      <w:r>
        <w:rPr>
          <w:rtl w:val="0"/>
          <w:lang w:val="sv-SE"/>
        </w:rPr>
        <w:t>ö</w:t>
      </w:r>
      <w:r>
        <w:rPr>
          <w:rtl w:val="0"/>
        </w:rPr>
        <w:t>m</w:t>
      </w:r>
      <w:r>
        <w:rPr>
          <w:rtl w:val="0"/>
          <w:lang w:val="en-US"/>
        </w:rPr>
        <w:t xml:space="preserve">, R. (2014). The Activity Theory Approach to Learning.  Forum Oswiatowe, 2(52), 137-146. Retrieved from: </w:t>
      </w:r>
      <w:r>
        <w:rPr>
          <w:rStyle w:val="Hyperlink.1"/>
        </w:rPr>
        <w:fldChar w:fldCharType="begin" w:fldLock="0"/>
      </w:r>
      <w:r>
        <w:rPr>
          <w:rStyle w:val="Hyperlink.1"/>
        </w:rPr>
        <w:instrText xml:space="preserve"> HYPERLINK "http://forumoswiatowe.pl/index.php/czasopismo/article/view/276"</w:instrText>
      </w:r>
      <w:r>
        <w:rPr>
          <w:rStyle w:val="Hyperlink.1"/>
        </w:rPr>
        <w:fldChar w:fldCharType="separate" w:fldLock="0"/>
      </w:r>
      <w:r>
        <w:rPr>
          <w:rStyle w:val="Hyperlink.1"/>
          <w:rtl w:val="0"/>
          <w:lang w:val="en-US"/>
        </w:rPr>
        <w:t>http://forumoswiatowe.pl/index.php/czasopismo/article/view/276</w:t>
      </w:r>
      <w:r>
        <w:rPr/>
        <w:fldChar w:fldCharType="end" w:fldLock="0"/>
      </w:r>
    </w:p>
    <w:p>
      <w:pPr>
        <w:pStyle w:val="Body"/>
        <w:bidi w:val="0"/>
      </w:pPr>
    </w:p>
    <w:p>
      <w:pPr>
        <w:pStyle w:val="Body"/>
        <w:bidi w:val="0"/>
      </w:pPr>
      <w:r>
        <w:rPr>
          <w:rtl w:val="0"/>
          <w:lang w:val="nl-NL"/>
        </w:rPr>
        <w:t>Engestr</w:t>
      </w:r>
      <w:r>
        <w:rPr>
          <w:rtl w:val="0"/>
          <w:lang w:val="sv-SE"/>
        </w:rPr>
        <w:t>ö</w:t>
      </w:r>
      <w:r>
        <w:rPr>
          <w:rtl w:val="0"/>
        </w:rPr>
        <w:t>m</w:t>
      </w:r>
      <w:r>
        <w:rPr>
          <w:rtl w:val="0"/>
          <w:lang w:val="en-US"/>
        </w:rPr>
        <w:t xml:space="preserve"> Y.  (2000).  Comment on Blackler et al. </w:t>
      </w:r>
      <w:r>
        <w:rPr>
          <w:i w:val="1"/>
          <w:iCs w:val="1"/>
          <w:rtl w:val="0"/>
          <w:lang w:val="en-US"/>
        </w:rPr>
        <w:t>Activity Theory and the Social Construction of Knowledge: A Story of Four Umpires</w:t>
      </w:r>
      <w:r>
        <w:rPr>
          <w:rtl w:val="0"/>
          <w:lang w:val="en-US"/>
        </w:rPr>
        <w:t xml:space="preserve">.  </w:t>
      </w:r>
      <w:r>
        <w:rPr>
          <w:i w:val="1"/>
          <w:iCs w:val="1"/>
          <w:rtl w:val="0"/>
          <w:lang w:val="en-US"/>
        </w:rPr>
        <w:t xml:space="preserve">Organisation, </w:t>
      </w:r>
      <w:r>
        <w:rPr>
          <w:rtl w:val="0"/>
          <w:lang w:val="en-US"/>
        </w:rPr>
        <w:t xml:space="preserve">7(2): 301 - 310. </w:t>
      </w:r>
    </w:p>
    <w:p>
      <w:pPr>
        <w:pStyle w:val="Body"/>
        <w:bidi w:val="0"/>
      </w:pPr>
    </w:p>
    <w:p>
      <w:pPr>
        <w:pStyle w:val="Body"/>
        <w:bidi w:val="0"/>
        <w:rPr>
          <w:sz w:val="24"/>
          <w:szCs w:val="24"/>
          <w:rtl w:val="0"/>
        </w:rPr>
      </w:pPr>
      <w:r>
        <w:rPr>
          <w:sz w:val="24"/>
          <w:szCs w:val="24"/>
          <w:rtl w:val="0"/>
          <w:lang w:val="en-US"/>
        </w:rPr>
        <w:t>Ferguson, Daniel D; Jones, Karna. Therapeutic Recreation Journal; Urbana</w:t>
      </w:r>
      <w:r>
        <w:rPr>
          <w:sz w:val="24"/>
          <w:szCs w:val="24"/>
          <w:rtl w:val="0"/>
        </w:rPr>
        <w:t> </w:t>
      </w:r>
      <w:r>
        <w:rPr>
          <w:sz w:val="24"/>
          <w:szCs w:val="24"/>
          <w:rtl w:val="0"/>
          <w:lang w:val="pt-PT"/>
        </w:rPr>
        <w:t>Vol.</w:t>
      </w:r>
      <w:r>
        <w:rPr>
          <w:sz w:val="24"/>
          <w:szCs w:val="24"/>
          <w:rtl w:val="0"/>
        </w:rPr>
        <w:t> </w:t>
      </w:r>
      <w:r>
        <w:rPr>
          <w:sz w:val="24"/>
          <w:szCs w:val="24"/>
          <w:rtl w:val="0"/>
        </w:rPr>
        <w:t>35,</w:t>
      </w:r>
      <w:r>
        <w:rPr>
          <w:sz w:val="24"/>
          <w:szCs w:val="24"/>
          <w:rtl w:val="0"/>
        </w:rPr>
        <w:t> </w:t>
      </w:r>
      <w:r>
        <w:rPr>
          <w:sz w:val="24"/>
          <w:szCs w:val="24"/>
          <w:rtl w:val="0"/>
          <w:lang w:val="pt-PT"/>
        </w:rPr>
        <w:t>Iss.</w:t>
      </w:r>
      <w:r>
        <w:rPr>
          <w:sz w:val="24"/>
          <w:szCs w:val="24"/>
          <w:rtl w:val="0"/>
        </w:rPr>
        <w:t> </w:t>
      </w:r>
      <w:r>
        <w:rPr>
          <w:sz w:val="24"/>
          <w:szCs w:val="24"/>
          <w:rtl w:val="0"/>
        </w:rPr>
        <w:t>4,</w:t>
      </w:r>
      <w:r>
        <w:rPr>
          <w:sz w:val="24"/>
          <w:szCs w:val="24"/>
          <w:rtl w:val="0"/>
        </w:rPr>
        <w:t xml:space="preserve">  </w:t>
      </w:r>
      <w:r>
        <w:rPr>
          <w:sz w:val="24"/>
          <w:szCs w:val="24"/>
          <w:rtl w:val="0"/>
          <w:lang w:val="en-US"/>
        </w:rPr>
        <w:t>(Fourth Quarter 2001): 357.</w:t>
      </w:r>
    </w:p>
    <w:p>
      <w:pPr>
        <w:pStyle w:val="Body"/>
        <w:bidi w:val="0"/>
      </w:pPr>
    </w:p>
    <w:p>
      <w:pPr>
        <w:pStyle w:val="Body"/>
        <w:bidi w:val="0"/>
      </w:pPr>
      <w:r>
        <w:rPr>
          <w:sz w:val="24"/>
          <w:szCs w:val="24"/>
          <w:shd w:val="clear" w:color="auto" w:fill="ffffff"/>
          <w:rtl w:val="0"/>
          <w:lang w:val="en-US"/>
        </w:rPr>
        <w:t>Fuller, Carol; Powell, Daisy; Fox, Simon. Educational Review</w:t>
      </w:r>
      <w:r>
        <w:rPr>
          <w:sz w:val="24"/>
          <w:szCs w:val="24"/>
          <w:shd w:val="clear" w:color="auto" w:fill="ffffff"/>
          <w:rtl w:val="0"/>
        </w:rPr>
        <w:t> </w:t>
      </w:r>
      <w:r>
        <w:rPr>
          <w:sz w:val="24"/>
          <w:szCs w:val="24"/>
          <w:shd w:val="clear" w:color="auto" w:fill="ffffff"/>
          <w:rtl w:val="0"/>
          <w:lang w:val="pt-PT"/>
        </w:rPr>
        <w:t>Vol.</w:t>
      </w:r>
      <w:r>
        <w:rPr>
          <w:sz w:val="24"/>
          <w:szCs w:val="24"/>
          <w:shd w:val="clear" w:color="auto" w:fill="ffffff"/>
          <w:rtl w:val="0"/>
        </w:rPr>
        <w:t> </w:t>
      </w:r>
      <w:r>
        <w:rPr>
          <w:sz w:val="24"/>
          <w:szCs w:val="24"/>
          <w:shd w:val="clear" w:color="auto" w:fill="ffffff"/>
          <w:rtl w:val="0"/>
        </w:rPr>
        <w:t>69,</w:t>
      </w:r>
      <w:r>
        <w:rPr>
          <w:sz w:val="24"/>
          <w:szCs w:val="24"/>
          <w:shd w:val="clear" w:color="auto" w:fill="ffffff"/>
          <w:rtl w:val="0"/>
        </w:rPr>
        <w:t> </w:t>
      </w:r>
      <w:r>
        <w:rPr>
          <w:sz w:val="24"/>
          <w:szCs w:val="24"/>
          <w:shd w:val="clear" w:color="auto" w:fill="ffffff"/>
          <w:rtl w:val="0"/>
          <w:lang w:val="pt-PT"/>
        </w:rPr>
        <w:t>Iss.</w:t>
      </w:r>
      <w:r>
        <w:rPr>
          <w:sz w:val="24"/>
          <w:szCs w:val="24"/>
          <w:shd w:val="clear" w:color="auto" w:fill="ffffff"/>
          <w:rtl w:val="0"/>
        </w:rPr>
        <w:t> </w:t>
      </w:r>
      <w:r>
        <w:rPr>
          <w:sz w:val="24"/>
          <w:szCs w:val="24"/>
          <w:shd w:val="clear" w:color="auto" w:fill="ffffff"/>
          <w:rtl w:val="0"/>
        </w:rPr>
        <w:t>2,</w:t>
      </w:r>
      <w:r>
        <w:rPr>
          <w:sz w:val="24"/>
          <w:szCs w:val="24"/>
          <w:shd w:val="clear" w:color="auto" w:fill="ffffff"/>
          <w:rtl w:val="0"/>
        </w:rPr>
        <w:t xml:space="preserve">  </w:t>
      </w:r>
      <w:r>
        <w:rPr>
          <w:sz w:val="24"/>
          <w:szCs w:val="24"/>
          <w:shd w:val="clear" w:color="auto" w:fill="ffffff"/>
          <w:rtl w:val="0"/>
        </w:rPr>
        <w:t>(2017): 232-247.</w:t>
      </w:r>
    </w:p>
    <w:p>
      <w:pPr>
        <w:pStyle w:val="Body"/>
        <w:bidi w:val="0"/>
      </w:pPr>
    </w:p>
    <w:p>
      <w:pPr>
        <w:pStyle w:val="Body"/>
        <w:bidi w:val="0"/>
        <w:rPr>
          <w:sz w:val="24"/>
          <w:szCs w:val="24"/>
        </w:rPr>
      </w:pPr>
      <w:r>
        <w:rPr>
          <w:sz w:val="24"/>
          <w:szCs w:val="24"/>
          <w:rtl w:val="0"/>
          <w:lang w:val="it-IT"/>
        </w:rPr>
        <w:t>Gergen, K.J. &amp; Gergen, M.M. (2003). Social construction: a reader. London: Sage.</w:t>
      </w:r>
    </w:p>
    <w:p>
      <w:pPr>
        <w:pStyle w:val="Body"/>
        <w:bidi w:val="0"/>
        <w:rPr>
          <w:sz w:val="24"/>
          <w:szCs w:val="24"/>
        </w:rPr>
      </w:pPr>
    </w:p>
    <w:p>
      <w:pPr>
        <w:pStyle w:val="Default"/>
        <w:bidi w:val="0"/>
        <w:spacing w:before="0" w:after="240" w:line="260" w:lineRule="atLeast"/>
        <w:ind w:left="0" w:right="0" w:firstLine="0"/>
        <w:jc w:val="left"/>
        <w:rPr>
          <w:rFonts w:ascii="Times Roman" w:cs="Times Roman" w:hAnsi="Times Roman" w:eastAsia="Times Roman"/>
          <w:sz w:val="21"/>
          <w:szCs w:val="21"/>
          <w:rtl w:val="0"/>
        </w:rPr>
      </w:pPr>
      <w:r>
        <w:rPr>
          <w:rFonts w:ascii="Times Roman" w:hAnsi="Times Roman"/>
          <w:sz w:val="24"/>
          <w:szCs w:val="24"/>
          <w:rtl w:val="0"/>
          <w:lang w:val="en-US"/>
        </w:rPr>
        <w:t>Goldman, A. (1992). Liaisons. Cambridge, MA: MIT Press/Bradford</w:t>
      </w:r>
    </w:p>
    <w:p>
      <w:pPr>
        <w:pStyle w:val="Body"/>
        <w:bidi w:val="0"/>
      </w:pPr>
      <w:r>
        <w:rPr>
          <w:rtl w:val="0"/>
          <w:lang w:val="en-US"/>
        </w:rPr>
        <w:t xml:space="preserve">Grant, C., Osanloo, A., (2014).  </w:t>
      </w:r>
      <w:r>
        <w:rPr>
          <w:i w:val="1"/>
          <w:iCs w:val="1"/>
          <w:rtl w:val="0"/>
          <w:lang w:val="en-US"/>
        </w:rPr>
        <w:t xml:space="preserve">Understanding, Selecting, and Integrating a Theoretical Framework In Dissertation Research: Creating the Blueprint For Your </w:t>
      </w:r>
      <w:r>
        <w:rPr>
          <w:i w:val="1"/>
          <w:iCs w:val="1"/>
          <w:rtl w:val="0"/>
          <w:lang w:val="en-US"/>
        </w:rPr>
        <w:t>“</w:t>
      </w:r>
      <w:r>
        <w:rPr>
          <w:i w:val="1"/>
          <w:iCs w:val="1"/>
          <w:rtl w:val="0"/>
          <w:lang w:val="en-US"/>
        </w:rPr>
        <w:t>House.</w:t>
      </w:r>
      <w:r>
        <w:rPr>
          <w:i w:val="1"/>
          <w:iCs w:val="1"/>
          <w:rtl w:val="0"/>
          <w:lang w:val="en-US"/>
        </w:rPr>
        <w:t xml:space="preserve">”  </w:t>
      </w:r>
      <w:r>
        <w:rPr>
          <w:rtl w:val="0"/>
          <w:lang w:val="en-US"/>
        </w:rPr>
        <w:t>Administrative Issues Journel Education Practice and Research.  DOI: 10.5929/2014.4.2.9</w:t>
      </w:r>
    </w:p>
    <w:p>
      <w:pPr>
        <w:pStyle w:val="Body"/>
        <w:bidi w:val="0"/>
      </w:pPr>
    </w:p>
    <w:p>
      <w:pPr>
        <w:pStyle w:val="Default"/>
        <w:bidi w:val="0"/>
        <w:spacing w:before="0"/>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de-DE"/>
        </w:rPr>
        <w:t>Jerusalem, Matthias; Johannes Klein Hessling</w:t>
      </w:r>
      <w:r>
        <w:rPr>
          <w:rFonts w:ascii="Times New Roman" w:hAnsi="Times New Roman"/>
          <w:shd w:val="clear" w:color="auto" w:fill="ffffff"/>
          <w:rtl w:val="0"/>
          <w:lang w:val="en-US"/>
        </w:rPr>
        <w:t xml:space="preserve"> (2009).</w:t>
      </w:r>
      <w:r>
        <w:rPr>
          <w:rFonts w:ascii="Times New Roman" w:hAnsi="Times New Roman"/>
          <w:shd w:val="clear" w:color="auto" w:fill="ffffff"/>
          <w:rtl w:val="0"/>
        </w:rPr>
        <w:t xml:space="preserve"> </w:t>
      </w:r>
      <w:r>
        <w:rPr>
          <w:rFonts w:ascii="Times New Roman" w:hAnsi="Times New Roman"/>
          <w:i w:val="1"/>
          <w:iCs w:val="1"/>
          <w:shd w:val="clear" w:color="auto" w:fill="ffffff"/>
          <w:rtl w:val="0"/>
          <w:lang w:val="en-US"/>
        </w:rPr>
        <w:t>Health Education; Bradford</w:t>
      </w:r>
      <w:r>
        <w:rPr>
          <w:rFonts w:ascii="Times New Roman" w:hAnsi="Times New Roman" w:hint="default"/>
          <w:shd w:val="clear" w:color="auto" w:fill="ffffff"/>
          <w:rtl w:val="0"/>
        </w:rPr>
        <w:t> </w:t>
      </w:r>
      <w:r>
        <w:rPr>
          <w:rFonts w:ascii="Times New Roman" w:hAnsi="Times New Roman"/>
          <w:shd w:val="clear" w:color="auto" w:fill="ffffff"/>
          <w:rtl w:val="0"/>
          <w:lang w:val="pt-PT"/>
        </w:rPr>
        <w:t>Vol.</w:t>
      </w:r>
      <w:r>
        <w:rPr>
          <w:rFonts w:ascii="Times New Roman" w:hAnsi="Times New Roman" w:hint="default"/>
          <w:shd w:val="clear" w:color="auto" w:fill="ffffff"/>
          <w:rtl w:val="0"/>
        </w:rPr>
        <w:t> </w:t>
      </w:r>
      <w:r>
        <w:rPr>
          <w:rFonts w:ascii="Times New Roman" w:hAnsi="Times New Roman"/>
          <w:shd w:val="clear" w:color="auto" w:fill="ffffff"/>
          <w:rtl w:val="0"/>
        </w:rPr>
        <w:t>109,</w:t>
      </w:r>
      <w:r>
        <w:rPr>
          <w:rFonts w:ascii="Times New Roman" w:hAnsi="Times New Roman" w:hint="default"/>
          <w:shd w:val="clear" w:color="auto" w:fill="ffffff"/>
          <w:rtl w:val="0"/>
        </w:rPr>
        <w:t> </w:t>
      </w:r>
      <w:r>
        <w:rPr>
          <w:rFonts w:ascii="Times New Roman" w:hAnsi="Times New Roman"/>
          <w:shd w:val="clear" w:color="auto" w:fill="ffffff"/>
          <w:rtl w:val="0"/>
          <w:lang w:val="pt-PT"/>
        </w:rPr>
        <w:t>Iss.</w:t>
      </w:r>
      <w:r>
        <w:rPr>
          <w:rFonts w:ascii="Times New Roman" w:hAnsi="Times New Roman" w:hint="default"/>
          <w:shd w:val="clear" w:color="auto" w:fill="ffffff"/>
          <w:rtl w:val="0"/>
        </w:rPr>
        <w:t> </w:t>
      </w:r>
      <w:r>
        <w:rPr>
          <w:rFonts w:ascii="Times New Roman" w:hAnsi="Times New Roman"/>
          <w:shd w:val="clear" w:color="auto" w:fill="ffffff"/>
          <w:rtl w:val="0"/>
        </w:rPr>
        <w:t>4</w:t>
      </w:r>
      <w:r>
        <w:rPr>
          <w:rFonts w:ascii="Times New Roman" w:hAnsi="Times New Roman"/>
          <w:shd w:val="clear" w:color="auto" w:fill="ffffff"/>
          <w:rtl w:val="0"/>
          <w:lang w:val="en-US"/>
        </w:rPr>
        <w:t xml:space="preserve">.  pp. </w:t>
      </w:r>
      <w:r>
        <w:rPr>
          <w:rFonts w:ascii="Times New Roman" w:hAnsi="Times New Roman"/>
          <w:shd w:val="clear" w:color="auto" w:fill="ffffff"/>
          <w:rtl w:val="0"/>
        </w:rPr>
        <w:t>329-341.</w:t>
      </w:r>
    </w:p>
    <w:p>
      <w:pPr>
        <w:pStyle w:val="Default"/>
        <w:bidi w:val="0"/>
        <w:spacing w:before="0"/>
        <w:ind w:left="0" w:right="0" w:firstLine="0"/>
        <w:jc w:val="left"/>
        <w:rPr>
          <w:rFonts w:ascii="Times New Roman" w:cs="Times New Roman" w:hAnsi="Times New Roman" w:eastAsia="Times New Roman"/>
          <w:shd w:val="clear" w:color="auto" w:fill="ffffff"/>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Jonassen, D.H., Rohrer-Murphy, L., 1999. Activity theory as a framework for designing constructivist learning environments. Educational Technology Research and Development 47, 61</w:t>
      </w:r>
      <w:r>
        <w:rPr>
          <w:rFonts w:ascii="Times New Roman" w:hAnsi="Times New Roman" w:hint="default"/>
          <w:sz w:val="24"/>
          <w:szCs w:val="24"/>
          <w:rtl w:val="0"/>
        </w:rPr>
        <w:t>–</w:t>
      </w:r>
      <w:r>
        <w:rPr>
          <w:rFonts w:ascii="Times New Roman" w:hAnsi="Times New Roman"/>
          <w:sz w:val="24"/>
          <w:szCs w:val="24"/>
          <w:rtl w:val="0"/>
        </w:rPr>
        <w:t>79.  DOI: 10.1007/BF02299477</w:t>
      </w:r>
    </w:p>
    <w:p>
      <w:pPr>
        <w:pStyle w:val="Default"/>
        <w:bidi w:val="0"/>
        <w:spacing w:before="0"/>
        <w:ind w:left="0" w:right="0" w:firstLine="0"/>
        <w:jc w:val="left"/>
        <w:rPr>
          <w:rFonts w:ascii="Times New Roman" w:cs="Times New Roman" w:hAnsi="Times New Roman" w:eastAsia="Times New Roman"/>
          <w:rtl w:val="0"/>
        </w:rPr>
      </w:pPr>
    </w:p>
    <w:p>
      <w:pPr>
        <w:pStyle w:val="Body"/>
        <w:bidi w:val="0"/>
      </w:pPr>
      <w:r>
        <w:rPr>
          <w:rtl w:val="0"/>
          <w:lang w:val="en-US"/>
        </w:rPr>
        <w:t xml:space="preserve">Kaptelinin, V. (1996).  Activity theory: Implications for human-computer interaction.  In B.A. Nardi (Ed.), </w:t>
      </w:r>
      <w:r>
        <w:rPr>
          <w:i w:val="1"/>
          <w:iCs w:val="1"/>
          <w:rtl w:val="0"/>
          <w:lang w:val="en-US"/>
        </w:rPr>
        <w:t>Context and consciousness: Activity theory and human computer interaction.</w:t>
      </w:r>
      <w:r>
        <w:rPr>
          <w:rtl w:val="0"/>
          <w:lang w:val="en-US"/>
        </w:rPr>
        <w:t xml:space="preserve"> Cambridge, MA: MIT Press.  </w:t>
      </w:r>
    </w:p>
    <w:p>
      <w:pPr>
        <w:pStyle w:val="Body"/>
        <w:bidi w:val="0"/>
      </w:pPr>
    </w:p>
    <w:p>
      <w:pPr>
        <w:pStyle w:val="Body"/>
        <w:bidi w:val="0"/>
      </w:pPr>
      <w:r>
        <w:rPr>
          <w:rtl w:val="0"/>
          <w:lang w:val="en-US"/>
        </w:rPr>
        <w:t xml:space="preserve">Kaptelinin, V. (2006).  </w:t>
      </w:r>
      <w:r>
        <w:rPr>
          <w:i w:val="1"/>
          <w:iCs w:val="1"/>
          <w:rtl w:val="0"/>
          <w:lang w:val="en-US"/>
        </w:rPr>
        <w:t xml:space="preserve">Encylopedia of Human - Computer Interaction, 2nd Edition: Activity Theory.  </w:t>
      </w:r>
      <w:r>
        <w:rPr>
          <w:rtl w:val="0"/>
          <w:lang w:val="en-US"/>
        </w:rPr>
        <w:t xml:space="preserve">[ONLINE] </w:t>
      </w:r>
      <w:r>
        <w:rPr>
          <w:rStyle w:val="Hyperlink.1"/>
        </w:rPr>
        <w:fldChar w:fldCharType="begin" w:fldLock="0"/>
      </w:r>
      <w:r>
        <w:rPr>
          <w:rStyle w:val="Hyperlink.1"/>
        </w:rPr>
        <w:instrText xml:space="preserve"> HYPERLINK "https://www.interaction-design.org/literature/book/the-encyclopedia-of-human-computer-interaction-2nd-ed/activity-theory"</w:instrText>
      </w:r>
      <w:r>
        <w:rPr>
          <w:rStyle w:val="Hyperlink.1"/>
        </w:rPr>
        <w:fldChar w:fldCharType="separate" w:fldLock="0"/>
      </w:r>
      <w:r>
        <w:rPr>
          <w:rStyle w:val="Hyperlink.1"/>
          <w:rtl w:val="0"/>
          <w:lang w:val="en-US"/>
        </w:rPr>
        <w:t>https://www.interaction-design.org/literature/book/the-encyclopedia-of-human-computer-interaction-2nd-ed/activity-theory</w:t>
      </w:r>
      <w:r>
        <w:rPr/>
        <w:fldChar w:fldCharType="end" w:fldLock="0"/>
      </w:r>
    </w:p>
    <w:p>
      <w:pPr>
        <w:pStyle w:val="Body"/>
        <w:bidi w:val="0"/>
      </w:pPr>
    </w:p>
    <w:p>
      <w:pPr>
        <w:pStyle w:val="Default"/>
        <w:bidi w:val="0"/>
        <w:spacing w:before="0" w:after="240"/>
        <w:ind w:left="0" w:right="0" w:firstLine="0"/>
        <w:jc w:val="left"/>
        <w:rPr>
          <w:rFonts w:ascii="Times New Roman" w:cs="Times New Roman" w:hAnsi="Times New Roman" w:eastAsia="Times New Roman"/>
          <w:i w:val="1"/>
          <w:iCs w:val="1"/>
          <w:rtl w:val="0"/>
        </w:rPr>
      </w:pPr>
      <w:r>
        <w:rPr>
          <w:rFonts w:ascii="Times New Roman" w:hAnsi="Times New Roman"/>
          <w:i w:val="0"/>
          <w:iCs w:val="0"/>
          <w:rtl w:val="0"/>
          <w:lang w:val="en-US"/>
        </w:rPr>
        <w:t xml:space="preserve">Knight, S. (2009). </w:t>
      </w:r>
      <w:r>
        <w:rPr>
          <w:rFonts w:ascii="Times New Roman" w:hAnsi="Times New Roman"/>
          <w:i w:val="1"/>
          <w:iCs w:val="1"/>
          <w:rtl w:val="0"/>
          <w:lang w:val="en-US"/>
        </w:rPr>
        <w:t xml:space="preserve">Forest schools and outdoor learning in the early years. </w:t>
      </w:r>
      <w:r>
        <w:rPr>
          <w:rFonts w:ascii="Times New Roman" w:hAnsi="Times New Roman"/>
          <w:i w:val="0"/>
          <w:iCs w:val="0"/>
          <w:rtl w:val="0"/>
        </w:rPr>
        <w:t xml:space="preserve">London, England: Sage. </w:t>
      </w:r>
    </w:p>
    <w:p>
      <w:pPr>
        <w:pStyle w:val="Default"/>
        <w:bidi w:val="0"/>
        <w:spacing w:before="0" w:after="240"/>
        <w:ind w:left="0" w:right="0" w:firstLine="0"/>
        <w:jc w:val="left"/>
        <w:rPr>
          <w:rFonts w:ascii="Times New Roman" w:cs="Times New Roman" w:hAnsi="Times New Roman" w:eastAsia="Times New Roman"/>
          <w:i w:val="1"/>
          <w:iCs w:val="1"/>
          <w:rtl w:val="0"/>
        </w:rPr>
      </w:pPr>
      <w:r>
        <w:rPr>
          <w:rFonts w:ascii="Times New Roman" w:hAnsi="Times New Roman"/>
          <w:i w:val="0"/>
          <w:iCs w:val="0"/>
          <w:rtl w:val="0"/>
          <w:lang w:val="en-US"/>
        </w:rPr>
        <w:t xml:space="preserve">Knight, S. (2018). </w:t>
      </w:r>
      <w:r>
        <w:rPr>
          <w:rFonts w:ascii="Times New Roman" w:hAnsi="Times New Roman"/>
          <w:i w:val="0"/>
          <w:iCs w:val="0"/>
          <w:rtl w:val="0"/>
          <w:lang w:val="en-US"/>
        </w:rPr>
        <w:t>Translating Forest School: A response to Leather</w:t>
      </w:r>
      <w:r>
        <w:rPr>
          <w:rFonts w:ascii="Times New Roman" w:hAnsi="Times New Roman"/>
          <w:i w:val="0"/>
          <w:iCs w:val="0"/>
          <w:rtl w:val="0"/>
          <w:lang w:val="en-US"/>
        </w:rPr>
        <w:t xml:space="preserve">.  </w:t>
      </w:r>
      <w:r>
        <w:rPr>
          <w:rFonts w:ascii="Times New Roman" w:hAnsi="Times New Roman"/>
          <w:i w:val="0"/>
          <w:iCs w:val="0"/>
          <w:rtl w:val="0"/>
          <w:lang w:val="en-US"/>
        </w:rPr>
        <w:t>Journal of Outdoor and Environmental Education (2018) 21:19</w:t>
      </w:r>
      <w:r>
        <w:rPr>
          <w:rFonts w:ascii="Times New Roman" w:hAnsi="Times New Roman" w:hint="default"/>
          <w:i w:val="0"/>
          <w:iCs w:val="0"/>
          <w:rtl w:val="0"/>
        </w:rPr>
        <w:t>–</w:t>
      </w:r>
      <w:r>
        <w:rPr>
          <w:rFonts w:ascii="Times New Roman" w:hAnsi="Times New Roman"/>
          <w:i w:val="0"/>
          <w:iCs w:val="0"/>
          <w:rtl w:val="0"/>
        </w:rPr>
        <w:t xml:space="preserve">23 </w:t>
      </w:r>
      <w:r>
        <w:rPr>
          <w:rStyle w:val="Hyperlink.2"/>
          <w:rFonts w:ascii="Times New Roman" w:cs="Times New Roman" w:hAnsi="Times New Roman" w:eastAsia="Times New Roman"/>
          <w:i w:val="0"/>
          <w:iCs w:val="0"/>
          <w:u w:val="none"/>
          <w:rtl w:val="0"/>
        </w:rPr>
        <w:fldChar w:fldCharType="begin" w:fldLock="0"/>
      </w:r>
      <w:r>
        <w:rPr>
          <w:rStyle w:val="Hyperlink.2"/>
          <w:rFonts w:ascii="Times New Roman" w:cs="Times New Roman" w:hAnsi="Times New Roman" w:eastAsia="Times New Roman"/>
          <w:i w:val="0"/>
          <w:iCs w:val="0"/>
          <w:u w:val="none"/>
          <w:rtl w:val="0"/>
        </w:rPr>
        <w:instrText xml:space="preserve"> HYPERLINK "https://doi.org/10.1007/s42322-017-0010-5"</w:instrText>
      </w:r>
      <w:r>
        <w:rPr>
          <w:rStyle w:val="Hyperlink.2"/>
          <w:rFonts w:ascii="Times New Roman" w:cs="Times New Roman" w:hAnsi="Times New Roman" w:eastAsia="Times New Roman"/>
          <w:i w:val="0"/>
          <w:iCs w:val="0"/>
          <w:u w:val="none"/>
          <w:rtl w:val="0"/>
        </w:rPr>
        <w:fldChar w:fldCharType="separate" w:fldLock="0"/>
      </w:r>
      <w:r>
        <w:rPr>
          <w:rStyle w:val="Hyperlink.2"/>
          <w:rFonts w:ascii="Times New Roman" w:hAnsi="Times New Roman"/>
          <w:i w:val="0"/>
          <w:iCs w:val="0"/>
          <w:u w:val="none"/>
          <w:rtl w:val="0"/>
        </w:rPr>
        <w:t>https://doi.org/10.1007/s42322-017-0010-5</w:t>
      </w:r>
      <w:r>
        <w:rPr>
          <w:rFonts w:ascii="Times New Roman" w:cs="Times New Roman" w:hAnsi="Times New Roman" w:eastAsia="Times New Roman"/>
          <w:i w:val="1"/>
          <w:iCs w:val="1"/>
          <w:rtl w:val="0"/>
        </w:rPr>
        <w:fldChar w:fldCharType="end" w:fldLock="0"/>
      </w:r>
    </w:p>
    <w:p>
      <w:pPr>
        <w:pStyle w:val="Body"/>
        <w:bidi w:val="0"/>
      </w:pPr>
    </w:p>
    <w:p>
      <w:pPr>
        <w:pStyle w:val="Body"/>
        <w:bidi w:val="0"/>
      </w:pPr>
      <w:r>
        <w:rPr>
          <w:rtl w:val="0"/>
          <w:lang w:val="en-US"/>
        </w:rPr>
        <w:t xml:space="preserve">Leather, M. (2012). </w:t>
      </w:r>
      <w:r>
        <w:rPr>
          <w:i w:val="1"/>
          <w:iCs w:val="1"/>
          <w:rtl w:val="0"/>
          <w:lang w:val="en-US"/>
        </w:rPr>
        <w:t>Can't see the wood from the trees:  Constructionism and constructivism for outdoor experiential education.</w:t>
      </w:r>
      <w:r>
        <w:rPr>
          <w:rtl w:val="0"/>
          <w:lang w:val="en-US"/>
        </w:rPr>
        <w:t xml:space="preserve">  [ONLINE] </w:t>
      </w:r>
      <w:r>
        <w:rPr>
          <w:rStyle w:val="Hyperlink.1"/>
        </w:rPr>
        <w:fldChar w:fldCharType="begin" w:fldLock="0"/>
      </w:r>
      <w:r>
        <w:rPr>
          <w:rStyle w:val="Hyperlink.1"/>
        </w:rPr>
        <w:instrText xml:space="preserve"> HYPERLINK "https://www.researchgate.net/publication/316547961_Seeing_the_wood_from_the_trees_constructionism_and_constructivism_for_outdoor_and_experiential_education"</w:instrText>
      </w:r>
      <w:r>
        <w:rPr>
          <w:rStyle w:val="Hyperlink.1"/>
        </w:rPr>
        <w:fldChar w:fldCharType="separate" w:fldLock="0"/>
      </w:r>
      <w:r>
        <w:rPr>
          <w:rStyle w:val="Hyperlink.1"/>
          <w:rtl w:val="0"/>
          <w:lang w:val="en-US"/>
        </w:rPr>
        <w:t>https://www.researchgate.net/publication/316547961_Seeing_the_wood_from_the_trees_constructionism_and_constructivism_for_outdoor_and_experiential_education</w:t>
      </w:r>
      <w:r>
        <w:rPr/>
        <w:fldChar w:fldCharType="end" w:fldLock="0"/>
      </w:r>
      <w:r>
        <w:rPr>
          <w:rtl w:val="0"/>
          <w:lang w:val="en-US"/>
        </w:rPr>
        <w:t xml:space="preserve"> </w:t>
      </w:r>
    </w:p>
    <w:p>
      <w:pPr>
        <w:pStyle w:val="Body"/>
        <w:bidi w:val="0"/>
      </w:pPr>
    </w:p>
    <w:p>
      <w:pPr>
        <w:pStyle w:val="Body"/>
        <w:bidi w:val="0"/>
      </w:pPr>
      <w:r>
        <w:rPr>
          <w:rtl w:val="0"/>
          <w:lang w:val="en-US"/>
        </w:rPr>
        <w:t xml:space="preserve">Leather, M., (2016) </w:t>
      </w:r>
      <w:r>
        <w:rPr>
          <w:i w:val="1"/>
          <w:iCs w:val="1"/>
          <w:rtl w:val="0"/>
          <w:lang w:val="en-US"/>
        </w:rPr>
        <w:t>Journal of Outdoor and Environmental Education</w:t>
      </w:r>
      <w:r>
        <w:rPr>
          <w:i w:val="1"/>
          <w:iCs w:val="1"/>
          <w:rtl w:val="0"/>
          <w:lang w:val="en-US"/>
        </w:rPr>
        <w:t xml:space="preserve">. </w:t>
      </w:r>
      <w:r>
        <w:rPr>
          <w:i w:val="1"/>
          <w:iCs w:val="1"/>
          <w:rtl w:val="0"/>
          <w:lang w:val="en-US"/>
        </w:rPr>
        <w:t>A critique of Forest School: Something lost in translation</w:t>
      </w:r>
      <w:r>
        <w:rPr>
          <w:i w:val="1"/>
          <w:iCs w:val="1"/>
          <w:rtl w:val="0"/>
          <w:lang w:val="en-US"/>
        </w:rPr>
        <w:t xml:space="preserve">.  </w:t>
      </w:r>
      <w:r>
        <w:rPr>
          <w:rtl w:val="0"/>
          <w:lang w:val="en-US"/>
        </w:rPr>
        <w:t>University of St Mark &amp; St John, England</w:t>
      </w:r>
      <w:r>
        <w:rPr>
          <w:rtl w:val="0"/>
          <w:lang w:val="en-US"/>
        </w:rPr>
        <w:t>.</w:t>
      </w:r>
    </w:p>
    <w:p>
      <w:pPr>
        <w:pStyle w:val="Body"/>
        <w:bidi w:val="0"/>
      </w:pPr>
      <w:r>
        <w:rPr>
          <w:rtl w:val="0"/>
          <w:lang w:val="en-US"/>
        </w:rPr>
        <w:t xml:space="preserve">  </w:t>
      </w:r>
    </w:p>
    <w:p>
      <w:pPr>
        <w:pStyle w:val="Body"/>
        <w:bidi w:val="0"/>
      </w:pPr>
      <w:r>
        <w:rPr>
          <w:rtl w:val="0"/>
          <w:lang w:val="en-US"/>
        </w:rPr>
        <w:t xml:space="preserve">Leontiev, D., (2012).  </w:t>
      </w:r>
      <w:r>
        <w:rPr>
          <w:i w:val="1"/>
          <w:iCs w:val="1"/>
          <w:rtl w:val="0"/>
          <w:lang w:val="en-US"/>
        </w:rPr>
        <w:t>Personal meaning as the basis of motivational processes</w:t>
      </w:r>
      <w:r>
        <w:rPr>
          <w:i w:val="1"/>
          <w:iCs w:val="1"/>
          <w:rtl w:val="0"/>
          <w:lang w:val="en-US"/>
        </w:rPr>
        <w:t xml:space="preserve">:  </w:t>
      </w:r>
      <w:r>
        <w:rPr>
          <w:i w:val="1"/>
          <w:iCs w:val="1"/>
          <w:rtl w:val="0"/>
          <w:lang w:val="en-US"/>
        </w:rPr>
        <w:t>Motivation, Consciousness and Self-Regulation</w:t>
      </w:r>
      <w:r>
        <w:rPr>
          <w:i w:val="1"/>
          <w:iCs w:val="1"/>
          <w:rtl w:val="0"/>
          <w:lang w:val="en-US"/>
        </w:rPr>
        <w:t xml:space="preserve">.  </w:t>
      </w:r>
      <w:r>
        <w:rPr>
          <w:rtl w:val="0"/>
          <w:lang w:val="en-US"/>
        </w:rPr>
        <w:t>Nova Science Publishers, Inc.</w:t>
      </w:r>
    </w:p>
    <w:p>
      <w:pPr>
        <w:pStyle w:val="Body"/>
        <w:bidi w:val="0"/>
      </w:pPr>
    </w:p>
    <w:p>
      <w:pPr>
        <w:pStyle w:val="Body"/>
        <w:bidi w:val="0"/>
      </w:pPr>
      <w:r>
        <w:rPr>
          <w:rtl w:val="0"/>
          <w:lang w:val="en-US"/>
        </w:rPr>
        <w:t xml:space="preserve">Leontiev, A.N. (1978)  </w:t>
      </w:r>
      <w:r>
        <w:rPr>
          <w:i w:val="1"/>
          <w:iCs w:val="1"/>
          <w:rtl w:val="0"/>
          <w:lang w:val="en-US"/>
        </w:rPr>
        <w:t>Activity, Consciousness, and Personality</w:t>
      </w:r>
      <w:r>
        <w:rPr>
          <w:rtl w:val="0"/>
          <w:lang w:val="en-US"/>
        </w:rPr>
        <w:t>. Englewood Cliffs, NJ: Prentice Hall.</w:t>
      </w:r>
    </w:p>
    <w:p>
      <w:pPr>
        <w:pStyle w:val="Body"/>
        <w:bidi w:val="0"/>
      </w:pPr>
    </w:p>
    <w:p>
      <w:pPr>
        <w:pStyle w:val="Body"/>
        <w:bidi w:val="0"/>
      </w:pPr>
      <w:r>
        <w:rPr>
          <w:rtl w:val="0"/>
          <w:lang w:val="en-US"/>
        </w:rPr>
        <w:t xml:space="preserve">Luszczynska, A. &amp; Schwarzer, R. (2005). </w:t>
      </w:r>
      <w:r>
        <w:rPr>
          <w:i w:val="1"/>
          <w:iCs w:val="1"/>
          <w:rtl w:val="0"/>
          <w:lang w:val="en-US"/>
        </w:rPr>
        <w:t>Social cognitive theory</w:t>
      </w:r>
      <w:r>
        <w:rPr>
          <w:rtl w:val="0"/>
          <w:lang w:val="en-US"/>
        </w:rPr>
        <w:t xml:space="preserve">. In M.Conner &amp; P. Norman (eds.). </w:t>
      </w:r>
      <w:r>
        <w:rPr>
          <w:i w:val="1"/>
          <w:iCs w:val="1"/>
          <w:rtl w:val="0"/>
          <w:lang w:val="en-US"/>
        </w:rPr>
        <w:t xml:space="preserve">Predicting health behaviour </w:t>
      </w:r>
      <w:r>
        <w:rPr>
          <w:rtl w:val="0"/>
          <w:lang w:val="en-US"/>
        </w:rPr>
        <w:t>(2nd ed.rev.ed.). Buckingham, England: Open University Press. pp. 127-169.</w:t>
      </w:r>
    </w:p>
    <w:p>
      <w:pPr>
        <w:pStyle w:val="Body"/>
        <w:bidi w:val="0"/>
      </w:pPr>
    </w:p>
    <w:p>
      <w:pPr>
        <w:pStyle w:val="Default"/>
        <w:bidi w:val="0"/>
        <w:spacing w:before="0"/>
        <w:ind w:left="0" w:right="0" w:firstLine="0"/>
        <w:jc w:val="left"/>
        <w:rPr>
          <w:rFonts w:ascii="Times New Roman" w:cs="Times New Roman" w:hAnsi="Times New Roman" w:eastAsia="Times New Roman"/>
          <w:rtl w:val="0"/>
        </w:rPr>
      </w:pPr>
      <w:r>
        <w:rPr>
          <w:rFonts w:ascii="Times New Roman" w:hAnsi="Times New Roman"/>
          <w:rtl w:val="0"/>
          <w:lang w:val="it-IT"/>
        </w:rPr>
        <w:t>Margalit, Daniella; Ben-ari, Amichai.</w:t>
      </w:r>
      <w:r>
        <w:rPr>
          <w:rFonts w:ascii="Times New Roman" w:hAnsi="Times New Roman"/>
          <w:rtl w:val="0"/>
          <w:lang w:val="en-US"/>
        </w:rPr>
        <w:t>, (2014)</w:t>
      </w:r>
      <w:r>
        <w:rPr>
          <w:rFonts w:ascii="Times New Roman" w:hAnsi="Times New Roman"/>
          <w:rtl w:val="0"/>
        </w:rPr>
        <w:t xml:space="preserve"> </w:t>
      </w:r>
      <w:r>
        <w:rPr>
          <w:rFonts w:ascii="Times New Roman" w:hAnsi="Times New Roman"/>
          <w:i w:val="1"/>
          <w:iCs w:val="1"/>
          <w:rtl w:val="0"/>
          <w:lang w:val="en-US"/>
        </w:rPr>
        <w:t>Child &amp; Youth Care Forum</w:t>
      </w:r>
      <w:r>
        <w:rPr>
          <w:rFonts w:ascii="Times New Roman" w:hAnsi="Times New Roman"/>
          <w:i w:val="1"/>
          <w:iCs w:val="1"/>
          <w:rtl w:val="0"/>
          <w:lang w:val="en-US"/>
        </w:rPr>
        <w:t>.</w:t>
      </w:r>
      <w:r>
        <w:rPr>
          <w:rFonts w:ascii="Times New Roman" w:hAnsi="Times New Roman"/>
          <w:rtl w:val="0"/>
          <w:lang w:val="en-US"/>
        </w:rPr>
        <w:t xml:space="preserve"> New York</w:t>
      </w:r>
      <w:r>
        <w:rPr>
          <w:rFonts w:ascii="Times New Roman" w:hAnsi="Times New Roman" w:hint="default"/>
          <w:rtl w:val="0"/>
        </w:rPr>
        <w:t> </w:t>
      </w:r>
      <w:r>
        <w:rPr>
          <w:rFonts w:ascii="Times New Roman" w:hAnsi="Times New Roman"/>
          <w:rtl w:val="0"/>
          <w:lang w:val="pt-PT"/>
        </w:rPr>
        <w:t>Vol.</w:t>
      </w:r>
      <w:r>
        <w:rPr>
          <w:rFonts w:ascii="Times New Roman" w:hAnsi="Times New Roman" w:hint="default"/>
          <w:rtl w:val="0"/>
        </w:rPr>
        <w:t> </w:t>
      </w:r>
      <w:r>
        <w:rPr>
          <w:rFonts w:ascii="Times New Roman" w:hAnsi="Times New Roman"/>
          <w:rtl w:val="0"/>
        </w:rPr>
        <w:t>43,</w:t>
      </w:r>
      <w:r>
        <w:rPr>
          <w:rFonts w:ascii="Times New Roman" w:hAnsi="Times New Roman" w:hint="default"/>
          <w:rtl w:val="0"/>
        </w:rPr>
        <w:t> </w:t>
      </w:r>
      <w:r>
        <w:rPr>
          <w:rFonts w:ascii="Times New Roman" w:hAnsi="Times New Roman"/>
          <w:rtl w:val="0"/>
          <w:lang w:val="pt-PT"/>
        </w:rPr>
        <w:t>Iss.</w:t>
      </w:r>
      <w:r>
        <w:rPr>
          <w:rFonts w:ascii="Times New Roman" w:hAnsi="Times New Roman" w:hint="default"/>
          <w:rtl w:val="0"/>
        </w:rPr>
        <w:t> </w:t>
      </w:r>
      <w:r>
        <w:rPr>
          <w:rFonts w:ascii="Times New Roman" w:hAnsi="Times New Roman"/>
          <w:rtl w:val="0"/>
        </w:rPr>
        <w:t>2,</w:t>
      </w:r>
      <w:r>
        <w:rPr>
          <w:rFonts w:ascii="Times New Roman" w:hAnsi="Times New Roman" w:hint="default"/>
          <w:rtl w:val="0"/>
        </w:rPr>
        <w:t xml:space="preserve">  </w:t>
      </w:r>
      <w:r>
        <w:rPr>
          <w:rFonts w:ascii="Times New Roman" w:hAnsi="Times New Roman"/>
          <w:rtl w:val="0"/>
          <w:lang w:val="en-US"/>
        </w:rPr>
        <w:t>pp.</w:t>
      </w:r>
      <w:r>
        <w:rPr>
          <w:rFonts w:ascii="Times New Roman" w:hAnsi="Times New Roman"/>
          <w:rtl w:val="0"/>
        </w:rPr>
        <w:t xml:space="preserve"> 181-194.</w:t>
      </w:r>
    </w:p>
    <w:p>
      <w:pPr>
        <w:pStyle w:val="Body"/>
        <w:bidi w:val="0"/>
      </w:pPr>
      <w:r>
        <w:rPr>
          <w:rtl w:val="0"/>
          <w:lang w:val="it-IT"/>
        </w:rPr>
        <w:t xml:space="preserve">Picton, C., Kahu, E. R., &amp; Nelson, K. (2018). </w:t>
      </w:r>
      <w:r>
        <w:rPr>
          <w:rtl w:val="0"/>
        </w:rPr>
        <w:t>‘</w:t>
      </w:r>
      <w:r>
        <w:rPr>
          <w:i w:val="1"/>
          <w:iCs w:val="1"/>
          <w:rtl w:val="0"/>
          <w:lang w:val="en-US"/>
        </w:rPr>
        <w:t>Hardworking, determined and happy</w:t>
      </w:r>
      <w:r>
        <w:rPr>
          <w:i w:val="1"/>
          <w:iCs w:val="1"/>
          <w:rtl w:val="0"/>
        </w:rPr>
        <w:t>’</w:t>
      </w:r>
      <w:r>
        <w:rPr>
          <w:i w:val="1"/>
          <w:iCs w:val="1"/>
          <w:rtl w:val="0"/>
          <w:lang w:val="en-US"/>
        </w:rPr>
        <w:t>: First-year students</w:t>
      </w:r>
      <w:r>
        <w:rPr>
          <w:i w:val="1"/>
          <w:iCs w:val="1"/>
          <w:rtl w:val="0"/>
        </w:rPr>
        <w:t xml:space="preserve">’ </w:t>
      </w:r>
      <w:r>
        <w:rPr>
          <w:i w:val="1"/>
          <w:iCs w:val="1"/>
          <w:rtl w:val="0"/>
          <w:lang w:val="en-US"/>
        </w:rPr>
        <w:t>understanding and experience of success. Higher Education Research &amp; Development,</w:t>
      </w:r>
      <w:r>
        <w:rPr>
          <w:rtl w:val="0"/>
        </w:rPr>
        <w:t xml:space="preserve"> 37(6), 1260-1273.</w:t>
      </w:r>
      <w:r>
        <w:rPr>
          <w:rtl w:val="0"/>
          <w:lang w:val="en-US"/>
        </w:rPr>
        <w:t xml:space="preserve"> [ONLINE]</w:t>
      </w:r>
      <w:r>
        <w:rPr>
          <w:rtl w:val="0"/>
          <w:lang w:val="pt-PT"/>
        </w:rPr>
        <w:t xml:space="preserve"> doi:10.1080/07294360.2018.1478803</w:t>
      </w:r>
    </w:p>
    <w:p>
      <w:pPr>
        <w:pStyle w:val="Body"/>
        <w:bidi w:val="0"/>
      </w:pPr>
    </w:p>
    <w:p>
      <w:pPr>
        <w:pStyle w:val="Default"/>
        <w:bidi w:val="0"/>
        <w:spacing w:before="0" w:after="240" w:line="200" w:lineRule="atLeast"/>
        <w:ind w:left="0" w:right="0" w:firstLine="0"/>
        <w:jc w:val="left"/>
        <w:rPr>
          <w:rFonts w:ascii="Times New Roman" w:cs="Times New Roman" w:hAnsi="Times New Roman" w:eastAsia="Times New Roman"/>
          <w:rtl w:val="0"/>
        </w:rPr>
      </w:pPr>
      <w:r>
        <w:rPr>
          <w:rFonts w:ascii="Times New Roman" w:hAnsi="Times New Roman"/>
          <w:rtl w:val="0"/>
          <w:lang w:val="en-US"/>
        </w:rPr>
        <w:t xml:space="preserve">Phillips, D. C. (1995). The good, the bad, and the ugly: the many faces of constructivism. </w:t>
      </w:r>
      <w:r>
        <w:rPr>
          <w:rFonts w:ascii="Times Roman" w:hAnsi="Times Roman"/>
          <w:i w:val="1"/>
          <w:iCs w:val="1"/>
          <w:rtl w:val="0"/>
          <w:lang w:val="en-US"/>
        </w:rPr>
        <w:t>Educational Researcher</w:t>
      </w:r>
      <w:r>
        <w:rPr>
          <w:rFonts w:ascii="Times New Roman" w:hAnsi="Times New Roman"/>
          <w:rtl w:val="0"/>
        </w:rPr>
        <w:t xml:space="preserve">, 24 (7), 5-12. </w:t>
      </w:r>
    </w:p>
    <w:p>
      <w:pPr>
        <w:pStyle w:val="Default"/>
        <w:bidi w:val="0"/>
        <w:spacing w:before="0" w:after="240"/>
        <w:ind w:left="0" w:right="0" w:firstLine="0"/>
        <w:jc w:val="left"/>
        <w:rPr>
          <w:rFonts w:ascii="Times New Roman" w:cs="Times New Roman" w:hAnsi="Times New Roman" w:eastAsia="Times New Roman"/>
          <w:i w:val="1"/>
          <w:iCs w:val="1"/>
          <w:rtl w:val="0"/>
        </w:rPr>
      </w:pPr>
      <w:r>
        <w:rPr>
          <w:rFonts w:ascii="Times New Roman" w:hAnsi="Times New Roman"/>
          <w:i w:val="1"/>
          <w:iCs w:val="1"/>
          <w:rtl w:val="0"/>
          <w:lang w:val="en-US"/>
        </w:rPr>
        <w:t xml:space="preserve">Rapport.  </w:t>
      </w:r>
      <w:r>
        <w:rPr>
          <w:rFonts w:ascii="Times New Roman" w:hAnsi="Times New Roman"/>
          <w:i w:val="0"/>
          <w:iCs w:val="0"/>
          <w:rtl w:val="0"/>
          <w:lang w:val="en-US"/>
        </w:rPr>
        <w:t xml:space="preserve">Cambridge Dictionary [ONLINE] </w:t>
      </w:r>
      <w:r>
        <w:rPr>
          <w:rStyle w:val="Hyperlink.1"/>
          <w:rFonts w:ascii="Times New Roman" w:cs="Times New Roman" w:hAnsi="Times New Roman" w:eastAsia="Times New Roman"/>
          <w:i w:val="1"/>
          <w:iCs w:val="1"/>
          <w:rtl w:val="0"/>
        </w:rPr>
        <w:fldChar w:fldCharType="begin" w:fldLock="0"/>
      </w:r>
      <w:r>
        <w:rPr>
          <w:rStyle w:val="Hyperlink.1"/>
          <w:rFonts w:ascii="Times New Roman" w:cs="Times New Roman" w:hAnsi="Times New Roman" w:eastAsia="Times New Roman"/>
          <w:i w:val="1"/>
          <w:iCs w:val="1"/>
          <w:rtl w:val="0"/>
        </w:rPr>
        <w:instrText xml:space="preserve"> HYPERLINK "https://dictionary.cambridge.org/dictionary/english/rapport"</w:instrText>
      </w:r>
      <w:r>
        <w:rPr>
          <w:rStyle w:val="Hyperlink.1"/>
          <w:rFonts w:ascii="Times New Roman" w:cs="Times New Roman" w:hAnsi="Times New Roman" w:eastAsia="Times New Roman"/>
          <w:i w:val="1"/>
          <w:iCs w:val="1"/>
          <w:rtl w:val="0"/>
        </w:rPr>
        <w:fldChar w:fldCharType="separate" w:fldLock="0"/>
      </w:r>
      <w:r>
        <w:rPr>
          <w:rStyle w:val="Hyperlink.1"/>
          <w:rFonts w:ascii="Times New Roman" w:hAnsi="Times New Roman"/>
          <w:i w:val="1"/>
          <w:iCs w:val="1"/>
          <w:rtl w:val="0"/>
          <w:lang w:val="en-US"/>
        </w:rPr>
        <w:t>https://dictionary.cambridge.org/dictionary/english/rapport</w:t>
      </w:r>
      <w:r>
        <w:rPr>
          <w:rFonts w:ascii="Times New Roman" w:cs="Times New Roman" w:hAnsi="Times New Roman" w:eastAsia="Times New Roman"/>
          <w:i w:val="1"/>
          <w:iCs w:val="1"/>
          <w:rtl w:val="0"/>
        </w:rPr>
        <w:fldChar w:fldCharType="end" w:fldLock="0"/>
      </w:r>
    </w:p>
    <w:p>
      <w:pPr>
        <w:pStyle w:val="Body"/>
        <w:bidi w:val="0"/>
      </w:pPr>
      <w:r>
        <w:rPr>
          <w:rtl w:val="0"/>
          <w:lang w:val="en-US"/>
        </w:rPr>
        <w:t xml:space="preserve">Schwarzer, R., Jerusalem, M., (1995).  </w:t>
      </w:r>
      <w:r>
        <w:rPr>
          <w:i w:val="1"/>
          <w:iCs w:val="1"/>
          <w:rtl w:val="0"/>
          <w:lang w:val="en-US"/>
        </w:rPr>
        <w:t>Measures in Health Psychology: A User's Portfolio. Causal and Control Beliefs</w:t>
      </w:r>
      <w:r>
        <w:rPr>
          <w:rtl w:val="0"/>
          <w:lang w:val="en-US"/>
        </w:rPr>
        <w:t xml:space="preserve">.  [ONLINE] </w:t>
      </w:r>
      <w:r>
        <w:rPr>
          <w:rStyle w:val="Hyperlink.1"/>
        </w:rPr>
        <w:fldChar w:fldCharType="begin" w:fldLock="0"/>
      </w:r>
      <w:r>
        <w:rPr>
          <w:rStyle w:val="Hyperlink.1"/>
        </w:rPr>
        <w:instrText xml:space="preserve"> HYPERLINK "https://doi.org/10.3200/JRLP.139.5.439-457"</w:instrText>
      </w:r>
      <w:r>
        <w:rPr>
          <w:rStyle w:val="Hyperlink.1"/>
        </w:rPr>
        <w:fldChar w:fldCharType="separate" w:fldLock="0"/>
      </w:r>
      <w:r>
        <w:rPr>
          <w:rStyle w:val="Hyperlink.1"/>
          <w:rtl w:val="0"/>
        </w:rPr>
        <w:t>https://doi.org/10.3200/JRLP.139.5.439-457</w:t>
      </w:r>
      <w:r>
        <w:rPr/>
        <w:fldChar w:fldCharType="end" w:fldLock="0"/>
      </w:r>
    </w:p>
    <w:p>
      <w:pPr>
        <w:pStyle w:val="Body"/>
        <w:bidi w:val="0"/>
      </w:pPr>
    </w:p>
    <w:p>
      <w:pPr>
        <w:pStyle w:val="Body"/>
        <w:bidi w:val="0"/>
      </w:pPr>
      <w:r>
        <w:rPr>
          <w:rtl w:val="0"/>
          <w:lang w:val="en-US"/>
        </w:rPr>
        <w:t xml:space="preserve">Seaman, J. (2008).  </w:t>
      </w:r>
      <w:r>
        <w:rPr>
          <w:i w:val="1"/>
          <w:iCs w:val="1"/>
          <w:rtl w:val="0"/>
          <w:lang w:val="en-US"/>
        </w:rPr>
        <w:t>Experience, Reflect, Critique: The end of the "Learning Cycles" Era</w:t>
      </w:r>
      <w:r>
        <w:rPr>
          <w:rtl w:val="0"/>
          <w:lang w:val="en-US"/>
        </w:rPr>
        <w:t xml:space="preserve">.  JEE Vol 31(1), 3-18.  </w:t>
      </w:r>
    </w:p>
    <w:p>
      <w:pPr>
        <w:pStyle w:val="Body"/>
        <w:bidi w:val="0"/>
      </w:pPr>
    </w:p>
    <w:p>
      <w:pPr>
        <w:pStyle w:val="Default"/>
        <w:bidi w:val="0"/>
        <w:spacing w:before="0" w:after="240"/>
        <w:ind w:left="0" w:right="0" w:firstLine="0"/>
        <w:jc w:val="left"/>
        <w:rPr>
          <w:rFonts w:ascii="Times New Roman" w:cs="Times New Roman" w:hAnsi="Times New Roman" w:eastAsia="Times New Roman"/>
          <w:rtl w:val="0"/>
        </w:rPr>
      </w:pPr>
      <w:r>
        <w:rPr>
          <w:rFonts w:ascii="Times New Roman" w:hAnsi="Times New Roman"/>
          <w:rtl w:val="0"/>
          <w:lang w:val="de-DE"/>
        </w:rPr>
        <w:t>Sibthorp, J</w:t>
      </w:r>
      <w:r>
        <w:rPr>
          <w:rFonts w:ascii="Times New Roman" w:hAnsi="Times New Roman"/>
          <w:rtl w:val="0"/>
          <w:lang w:val="en-US"/>
        </w:rPr>
        <w:t xml:space="preserve">., (2003): An empirical look at Walsh and Golins' adventure education process model: Relationships between antecedent Factors, perceptions of characteristics of an adventure education experience, and changes in self-efficacy: </w:t>
      </w:r>
      <w:r>
        <w:rPr>
          <w:rFonts w:ascii="Times New Roman" w:hAnsi="Times New Roman"/>
          <w:i w:val="1"/>
          <w:iCs w:val="1"/>
          <w:rtl w:val="0"/>
          <w:lang w:val="en-US"/>
        </w:rPr>
        <w:t xml:space="preserve">Journal of Leisure Research; </w:t>
      </w:r>
      <w:r>
        <w:rPr>
          <w:rFonts w:ascii="Times New Roman" w:hAnsi="Times New Roman"/>
          <w:rtl w:val="0"/>
          <w:lang w:val="en-US"/>
        </w:rPr>
        <w:t>First Quarter 2003; 35, 1; ProQuest Central pg. 80</w:t>
      </w:r>
      <w:r>
        <w:rPr>
          <w:rFonts w:ascii="Times New Roman" w:hAnsi="Times New Roman"/>
          <w:rtl w:val="0"/>
          <w:lang w:val="en-US"/>
        </w:rPr>
        <w:t xml:space="preserve">-160 [ONLINE] </w:t>
      </w:r>
      <w:r>
        <w:rPr>
          <w:rStyle w:val="Hyperlink.3"/>
          <w:rFonts w:ascii="Times New Roman" w:cs="Times New Roman" w:hAnsi="Times New Roman" w:eastAsia="Times New Roman"/>
          <w:rtl w:val="0"/>
        </w:rPr>
        <w:fldChar w:fldCharType="begin" w:fldLock="0"/>
      </w:r>
      <w:r>
        <w:rPr>
          <w:rStyle w:val="Hyperlink.3"/>
          <w:rFonts w:ascii="Times New Roman" w:cs="Times New Roman" w:hAnsi="Times New Roman" w:eastAsia="Times New Roman"/>
          <w:rtl w:val="0"/>
        </w:rPr>
        <w:instrText xml:space="preserve"> HYPERLINK "https://doi-org.ezproxy.uwtsd.ac.uk/10.18666/jlr-2003-v35-i1-611"</w:instrText>
      </w:r>
      <w:r>
        <w:rPr>
          <w:rStyle w:val="Hyperlink.3"/>
          <w:rFonts w:ascii="Times New Roman" w:cs="Times New Roman" w:hAnsi="Times New Roman" w:eastAsia="Times New Roman"/>
          <w:rtl w:val="0"/>
        </w:rPr>
        <w:fldChar w:fldCharType="separate" w:fldLock="0"/>
      </w:r>
      <w:r>
        <w:rPr>
          <w:rStyle w:val="Hyperlink.3"/>
          <w:rFonts w:ascii="Times New Roman" w:hAnsi="Times New Roman"/>
          <w:rtl w:val="0"/>
        </w:rPr>
        <w:t>https://doi-org.ezproxy.uwtsd.ac.uk/10.18666/jlr-2003-v35-i1-611</w:t>
      </w:r>
      <w:r>
        <w:rPr>
          <w:rFonts w:ascii="Times New Roman" w:cs="Times New Roman" w:hAnsi="Times New Roman" w:eastAsia="Times New Roman"/>
          <w:rtl w:val="0"/>
        </w:rPr>
        <w:fldChar w:fldCharType="end" w:fldLock="0"/>
      </w:r>
    </w:p>
    <w:p>
      <w:pPr>
        <w:pStyle w:val="Body"/>
        <w:bidi w:val="0"/>
      </w:pPr>
      <w:r>
        <w:rPr>
          <w:rtl w:val="0"/>
          <w:lang w:val="en-US"/>
        </w:rPr>
        <w:t xml:space="preserve">Sibthorp, J., and Schumann, S. (2014): </w:t>
      </w:r>
      <w:r>
        <w:rPr>
          <w:rStyle w:val="None"/>
          <w:i w:val="1"/>
          <w:iCs w:val="1"/>
          <w:rtl w:val="0"/>
          <w:lang w:val="en-US"/>
        </w:rPr>
        <w:t>The development and scaling of the teaching outdoor education self-efficacy scale.  Research in Outdoor Education</w:t>
      </w:r>
      <w:r>
        <w:rPr>
          <w:rtl w:val="0"/>
          <w:lang w:val="en-US"/>
        </w:rPr>
        <w:t xml:space="preserve">   Vol. 12. pp. 80-98</w:t>
      </w:r>
    </w:p>
    <w:p>
      <w:pPr>
        <w:pStyle w:val="Body"/>
        <w:bidi w:val="0"/>
      </w:pPr>
    </w:p>
    <w:p>
      <w:pPr>
        <w:pStyle w:val="Body"/>
        <w:bidi w:val="0"/>
      </w:pPr>
      <w:r>
        <w:rPr>
          <w:rtl w:val="0"/>
          <w:lang w:val="en-US"/>
        </w:rPr>
        <w:t xml:space="preserve">UK Government (2019). </w:t>
      </w:r>
      <w:r>
        <w:rPr>
          <w:rStyle w:val="None"/>
          <w:i w:val="1"/>
          <w:iCs w:val="1"/>
          <w:rtl w:val="0"/>
          <w:lang w:val="en-US"/>
        </w:rPr>
        <w:t xml:space="preserve">Children and Young People </w:t>
      </w:r>
      <w:r>
        <w:rPr>
          <w:rtl w:val="0"/>
          <w:lang w:val="en-US"/>
        </w:rPr>
        <w:t xml:space="preserve">[ONLINE] </w:t>
      </w:r>
      <w:r>
        <w:rPr>
          <w:rStyle w:val="Hyperlink.1"/>
        </w:rPr>
        <w:fldChar w:fldCharType="begin" w:fldLock="0"/>
      </w:r>
      <w:r>
        <w:rPr>
          <w:rStyle w:val="Hyperlink.1"/>
        </w:rPr>
        <w:instrText xml:space="preserve"> HYPERLINK "https://www.gov.uk/government/publications/better-mental-health-jsna-toolkit/5-children-and-young-people"</w:instrText>
      </w:r>
      <w:r>
        <w:rPr>
          <w:rStyle w:val="Hyperlink.1"/>
        </w:rPr>
        <w:fldChar w:fldCharType="separate" w:fldLock="0"/>
      </w:r>
      <w:r>
        <w:rPr>
          <w:rStyle w:val="Hyperlink.1"/>
          <w:rtl w:val="0"/>
          <w:lang w:val="en-US"/>
        </w:rPr>
        <w:t>https://www.gov.uk/government/publications/better-mental-health-jsna-toolkit/5-children-and-young-people</w:t>
      </w:r>
      <w:r>
        <w:rPr/>
        <w:fldChar w:fldCharType="end" w:fldLock="0"/>
      </w:r>
    </w:p>
    <w:p>
      <w:pPr>
        <w:pStyle w:val="Body"/>
        <w:bidi w:val="0"/>
      </w:pPr>
    </w:p>
    <w:p>
      <w:pPr>
        <w:pStyle w:val="Default"/>
        <w:bidi w:val="0"/>
        <w:spacing w:before="0"/>
        <w:ind w:left="0" w:right="0" w:firstLine="0"/>
        <w:jc w:val="left"/>
        <w:rPr>
          <w:rFonts w:ascii="Times New Roman" w:cs="Times New Roman" w:hAnsi="Times New Roman" w:eastAsia="Times New Roman"/>
          <w:shd w:val="clear" w:color="auto" w:fill="ffffff"/>
          <w:rtl w:val="0"/>
        </w:rPr>
      </w:pPr>
      <w:r>
        <w:rPr>
          <w:rFonts w:ascii="Times New Roman" w:cs="Times New Roman" w:hAnsi="Times New Roman" w:eastAsia="Times New Roman"/>
          <w:shd w:val="clear" w:color="auto" w:fill="ffffff"/>
          <w:rtl w:val="0"/>
        </w:rPr>
        <w:fldChar w:fldCharType="begin" w:fldLock="0"/>
      </w:r>
      <w:r>
        <w:rPr>
          <w:rFonts w:ascii="Times New Roman" w:cs="Times New Roman" w:hAnsi="Times New Roman" w:eastAsia="Times New Roman"/>
          <w:shd w:val="clear" w:color="auto" w:fill="ffffff"/>
          <w:rtl w:val="0"/>
        </w:rPr>
        <w:instrText xml:space="preserve"> HYPERLINK "https://www.interaction-design.org/references/authors/lev_vygotsky.html"</w:instrText>
      </w:r>
      <w:r>
        <w:rPr>
          <w:rFonts w:ascii="Times New Roman" w:cs="Times New Roman" w:hAnsi="Times New Roman" w:eastAsia="Times New Roman"/>
          <w:shd w:val="clear" w:color="auto" w:fill="ffffff"/>
          <w:rtl w:val="0"/>
        </w:rPr>
        <w:fldChar w:fldCharType="separate" w:fldLock="0"/>
      </w:r>
      <w:r>
        <w:rPr>
          <w:rFonts w:ascii="Times New Roman" w:hAnsi="Times New Roman"/>
          <w:shd w:val="clear" w:color="auto" w:fill="ffffff"/>
          <w:rtl w:val="0"/>
        </w:rPr>
        <w:t>Vygotsky</w:t>
      </w:r>
      <w:r>
        <w:rPr>
          <w:rFonts w:ascii="Times New Roman" w:cs="Times New Roman" w:hAnsi="Times New Roman" w:eastAsia="Times New Roman"/>
          <w:shd w:val="clear" w:color="auto" w:fill="ffffff"/>
          <w:rtl w:val="0"/>
        </w:rPr>
        <w:fldChar w:fldCharType="end" w:fldLock="0"/>
      </w:r>
      <w:r>
        <w:rPr>
          <w:rFonts w:ascii="Times New Roman" w:hAnsi="Times New Roman"/>
          <w:shd w:val="clear" w:color="auto" w:fill="ffffff"/>
          <w:rtl w:val="0"/>
        </w:rPr>
        <w:t>, Lev (1978)</w:t>
      </w:r>
      <w:r>
        <w:rPr>
          <w:rFonts w:ascii="Times New Roman" w:hAnsi="Times New Roman"/>
          <w:shd w:val="clear" w:color="auto" w:fill="ffffff"/>
          <w:rtl w:val="0"/>
          <w:lang w:val="en-US"/>
        </w:rPr>
        <w:t>.</w:t>
      </w:r>
      <w:r>
        <w:rPr>
          <w:rFonts w:ascii="Times New Roman" w:hAnsi="Times New Roman"/>
          <w:shd w:val="clear" w:color="auto" w:fill="ffffff"/>
          <w:rtl w:val="0"/>
        </w:rPr>
        <w:t xml:space="preserve"> </w:t>
      </w:r>
      <w:r>
        <w:rPr>
          <w:rStyle w:val="None"/>
          <w:rFonts w:ascii="Times New Roman" w:hAnsi="Times New Roman"/>
          <w:i w:val="1"/>
          <w:iCs w:val="1"/>
          <w:shd w:val="clear" w:color="auto" w:fill="ffffff"/>
          <w:rtl w:val="0"/>
          <w:lang w:val="en-US"/>
        </w:rPr>
        <w:t>Mind in Society: The Development of Higher Psychological Processes</w:t>
      </w:r>
      <w:r>
        <w:rPr>
          <w:rFonts w:ascii="Times New Roman" w:hAnsi="Times New Roman"/>
          <w:shd w:val="clear" w:color="auto" w:fill="ffffff"/>
          <w:rtl w:val="0"/>
          <w:lang w:val="en-US"/>
        </w:rPr>
        <w:t>. Harvard University Press</w:t>
      </w:r>
    </w:p>
    <w:p>
      <w:pPr>
        <w:pStyle w:val="Default"/>
        <w:bidi w:val="0"/>
        <w:spacing w:before="0"/>
        <w:ind w:left="0" w:right="0" w:firstLine="0"/>
        <w:jc w:val="left"/>
        <w:rPr>
          <w:rFonts w:ascii="Times New Roman" w:cs="Times New Roman" w:hAnsi="Times New Roman" w:eastAsia="Times New Roman"/>
          <w:shd w:val="clear" w:color="auto" w:fill="ffffff"/>
          <w:rtl w:val="0"/>
        </w:rPr>
      </w:pPr>
    </w:p>
    <w:p>
      <w:pPr>
        <w:pStyle w:val="Body"/>
        <w:bidi w:val="0"/>
      </w:pPr>
      <w:r>
        <w:rPr>
          <w:rtl w:val="0"/>
          <w:lang w:val="en-US"/>
        </w:rPr>
        <w:t xml:space="preserve">Ward, K., Hoare, J., Gott, M., (2015) </w:t>
      </w:r>
      <w:r>
        <w:rPr>
          <w:rStyle w:val="None"/>
          <w:i w:val="1"/>
          <w:iCs w:val="1"/>
          <w:rtl w:val="0"/>
          <w:lang w:val="en-US"/>
        </w:rPr>
        <w:t>Evolving from a positivist to constructionist epistemology while using grounded theory: reflections of a novice researcher</w:t>
      </w:r>
      <w:r>
        <w:rPr>
          <w:rStyle w:val="None"/>
          <w:i w:val="1"/>
          <w:iCs w:val="1"/>
          <w:rtl w:val="0"/>
          <w:lang w:val="en-US"/>
        </w:rPr>
        <w:t>.</w:t>
      </w:r>
      <w:r>
        <w:rPr>
          <w:rtl w:val="0"/>
          <w:lang w:val="en-US"/>
        </w:rPr>
        <w:t xml:space="preserve"> [ONLINE] </w:t>
      </w:r>
      <w:r>
        <w:rPr>
          <w:rStyle w:val="Hyperlink.1"/>
        </w:rPr>
        <w:fldChar w:fldCharType="begin" w:fldLock="0"/>
      </w:r>
      <w:r>
        <w:rPr>
          <w:rStyle w:val="Hyperlink.1"/>
        </w:rPr>
        <w:instrText xml:space="preserve"> HYPERLINK "https://doi.org/10.1177/1744987115597731"</w:instrText>
      </w:r>
      <w:r>
        <w:rPr>
          <w:rStyle w:val="Hyperlink.1"/>
        </w:rPr>
        <w:fldChar w:fldCharType="separate" w:fldLock="0"/>
      </w:r>
      <w:r>
        <w:rPr>
          <w:rStyle w:val="Hyperlink.1"/>
          <w:rtl w:val="0"/>
        </w:rPr>
        <w:t>https://doi.org/10.1177/1744987115597731</w:t>
      </w:r>
      <w:r>
        <w:rPr/>
        <w:fldChar w:fldCharType="end" w:fldLock="0"/>
      </w:r>
    </w:p>
    <w:p>
      <w:pPr>
        <w:pStyle w:val="Body"/>
        <w:bidi w:val="0"/>
      </w:pPr>
    </w:p>
    <w:p>
      <w:pPr>
        <w:pStyle w:val="Default"/>
        <w:bidi w:val="0"/>
        <w:spacing w:before="0"/>
        <w:ind w:left="0" w:right="0" w:firstLine="0"/>
        <w:jc w:val="left"/>
        <w:rPr>
          <w:rFonts w:ascii="Times New Roman" w:cs="Times New Roman" w:hAnsi="Times New Roman" w:eastAsia="Times New Roman"/>
          <w:rtl w:val="0"/>
        </w:rPr>
      </w:pPr>
      <w:r>
        <w:rPr>
          <w:rFonts w:ascii="Times New Roman" w:hAnsi="Times New Roman"/>
          <w:rtl w:val="0"/>
          <w:lang w:val="de-DE"/>
        </w:rPr>
        <w:t>Widmer, Mark A; Duerden, Mat D; Taniguchi, Stacy T. J</w:t>
      </w:r>
      <w:r>
        <w:rPr>
          <w:rStyle w:val="None"/>
          <w:rFonts w:ascii="Times New Roman" w:hAnsi="Times New Roman"/>
          <w:i w:val="1"/>
          <w:iCs w:val="1"/>
          <w:rtl w:val="0"/>
          <w:lang w:val="en-US"/>
        </w:rPr>
        <w:t>ournal of Leisure Research; Urbana</w:t>
      </w:r>
      <w:r>
        <w:rPr>
          <w:rStyle w:val="None"/>
          <w:rFonts w:ascii="Times New Roman" w:hAnsi="Times New Roman" w:hint="default"/>
          <w:i w:val="1"/>
          <w:iCs w:val="1"/>
          <w:rtl w:val="0"/>
        </w:rPr>
        <w:t> </w:t>
      </w:r>
      <w:r>
        <w:rPr>
          <w:rFonts w:ascii="Times New Roman" w:hAnsi="Times New Roman"/>
          <w:rtl w:val="0"/>
          <w:lang w:val="pt-PT"/>
        </w:rPr>
        <w:t>Vol.</w:t>
      </w:r>
      <w:r>
        <w:rPr>
          <w:rFonts w:ascii="Times New Roman" w:hAnsi="Times New Roman" w:hint="default"/>
          <w:rtl w:val="0"/>
        </w:rPr>
        <w:t> </w:t>
      </w:r>
      <w:r>
        <w:rPr>
          <w:rFonts w:ascii="Times New Roman" w:hAnsi="Times New Roman"/>
          <w:rtl w:val="0"/>
        </w:rPr>
        <w:t>46,</w:t>
      </w:r>
      <w:r>
        <w:rPr>
          <w:rFonts w:ascii="Times New Roman" w:hAnsi="Times New Roman" w:hint="default"/>
          <w:rtl w:val="0"/>
        </w:rPr>
        <w:t> </w:t>
      </w:r>
      <w:r>
        <w:rPr>
          <w:rFonts w:ascii="Times New Roman" w:hAnsi="Times New Roman"/>
          <w:rtl w:val="0"/>
          <w:lang w:val="pt-PT"/>
        </w:rPr>
        <w:t>Iss.</w:t>
      </w:r>
      <w:r>
        <w:rPr>
          <w:rFonts w:ascii="Times New Roman" w:hAnsi="Times New Roman" w:hint="default"/>
          <w:rtl w:val="0"/>
        </w:rPr>
        <w:t> </w:t>
      </w:r>
      <w:r>
        <w:rPr>
          <w:rFonts w:ascii="Times New Roman" w:hAnsi="Times New Roman"/>
          <w:rtl w:val="0"/>
        </w:rPr>
        <w:t>2,</w:t>
      </w:r>
      <w:r>
        <w:rPr>
          <w:rFonts w:ascii="Times New Roman" w:hAnsi="Times New Roman" w:hint="default"/>
          <w:rtl w:val="0"/>
        </w:rPr>
        <w:t xml:space="preserve">  </w:t>
      </w:r>
      <w:r>
        <w:rPr>
          <w:rFonts w:ascii="Times New Roman" w:hAnsi="Times New Roman"/>
          <w:rtl w:val="0"/>
        </w:rPr>
        <w:t>(2014): 165-183.</w:t>
      </w: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r>
        <w:rPr>
          <w:rFonts w:ascii="Times New Roman" w:hAnsi="Times New Roman"/>
          <w:sz w:val="28"/>
          <w:szCs w:val="28"/>
          <w:rtl w:val="0"/>
          <w:lang w:val="en-US"/>
        </w:rPr>
        <w:t>Appendices</w:t>
      </w: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left"/>
        <w:rPr>
          <w:rFonts w:ascii="Times New Roman" w:cs="Times New Roman" w:hAnsi="Times New Roman" w:eastAsia="Times New Roman"/>
          <w:rtl w:val="0"/>
        </w:rPr>
      </w:pPr>
      <w:r>
        <w:rPr>
          <w:rFonts w:ascii="Times New Roman" w:hAnsi="Times New Roman"/>
          <w:rtl w:val="0"/>
          <w:lang w:val="en-US"/>
        </w:rPr>
        <w:t xml:space="preserve">Appendix 1: </w:t>
        <w:tab/>
        <w:t>Sources of self-efficacy</w:t>
      </w:r>
    </w:p>
    <w:p>
      <w:pPr>
        <w:pStyle w:val="Default"/>
        <w:bidi w:val="0"/>
        <w:spacing w:before="0"/>
        <w:ind w:left="0" w:right="0" w:firstLine="0"/>
        <w:jc w:val="left"/>
        <w:rPr>
          <w:rFonts w:ascii="Times New Roman" w:cs="Times New Roman" w:hAnsi="Times New Roman" w:eastAsia="Times New Roman"/>
          <w:rtl w:val="0"/>
        </w:rPr>
      </w:pPr>
      <w:r>
        <w:rPr>
          <w:rFonts w:ascii="Times New Roman" w:cs="Times New Roman" w:hAnsi="Times New Roman" w:eastAsia="Times New Roman"/>
          <w:rtl w:val="0"/>
        </w:rPr>
        <w:tab/>
        <w:t xml:space="preserve"> </w:t>
        <w:tab/>
        <w:tab/>
      </w:r>
    </w:p>
    <w:p>
      <w:pPr>
        <w:pStyle w:val="Default"/>
        <w:bidi w:val="0"/>
        <w:spacing w:before="0"/>
        <w:ind w:left="0" w:right="0" w:firstLine="0"/>
        <w:jc w:val="left"/>
        <w:rPr>
          <w:rFonts w:ascii="Times New Roman" w:cs="Times New Roman" w:hAnsi="Times New Roman" w:eastAsia="Times New Roman"/>
          <w:rtl w:val="0"/>
        </w:rPr>
      </w:pPr>
      <w:r>
        <w:rPr>
          <w:rFonts w:ascii="Times New Roman" w:hAnsi="Times New Roman"/>
          <w:rtl w:val="0"/>
          <w:lang w:val="en-US"/>
        </w:rPr>
        <w:t>Appendix 2:</w:t>
        <w:tab/>
        <w:t>Six week session plan, analysis and evaluation framework.</w:t>
      </w: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sz w:val="28"/>
          <w:szCs w:val="28"/>
          <w:rtl w:val="0"/>
        </w:rPr>
      </w:pPr>
      <w:r>
        <w:rPr>
          <w:rFonts w:ascii="Times New Roman" w:hAnsi="Times New Roman"/>
          <w:sz w:val="28"/>
          <w:szCs w:val="28"/>
          <w:rtl w:val="0"/>
          <w:lang w:val="en-US"/>
        </w:rPr>
        <w:t>Appendix 1</w:t>
      </w: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r>
        <w:rPr>
          <w:rFonts w:ascii="Times New Roman" w:hAnsi="Times New Roman"/>
          <w:rtl w:val="0"/>
          <w:lang w:val="en-US"/>
        </w:rPr>
        <w:t>Sources of Self-Efficacy</w:t>
      </w: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Body"/>
        <w:spacing w:line="360" w:lineRule="auto"/>
        <w:rPr>
          <w:i w:val="1"/>
          <w:iCs w:val="1"/>
          <w:sz w:val="28"/>
          <w:szCs w:val="28"/>
        </w:rPr>
      </w:pPr>
      <w:r>
        <w:rPr>
          <w:i w:val="1"/>
          <w:iCs w:val="1"/>
          <w:sz w:val="28"/>
          <w:szCs w:val="28"/>
          <w:rtl w:val="0"/>
          <w:lang w:val="en-US"/>
        </w:rPr>
        <w:t>Sources of self-efficacy (Bandura, 1994).</w:t>
      </w:r>
    </w:p>
    <w:p>
      <w:pPr>
        <w:pStyle w:val="Body"/>
        <w:spacing w:line="360" w:lineRule="auto"/>
      </w:pPr>
      <w:r>
        <w:rPr>
          <w:rStyle w:val="None"/>
          <w:i w:val="1"/>
          <w:iCs w:val="1"/>
          <w:rtl w:val="0"/>
          <w:lang w:val="en-US"/>
        </w:rPr>
        <w:t>Mastery experiences</w:t>
      </w:r>
      <w:r>
        <w:tab/>
      </w:r>
    </w:p>
    <w:p>
      <w:pPr>
        <w:pStyle w:val="Body"/>
        <w:spacing w:line="360" w:lineRule="auto"/>
      </w:pPr>
      <w:r>
        <w:rPr>
          <w:rtl w:val="0"/>
          <w:lang w:val="en-US"/>
        </w:rPr>
        <w:t xml:space="preserve">According to Bandura, the most effective way of 'creating a strong sense of efficacy' (p.2).  </w:t>
      </w:r>
    </w:p>
    <w:p>
      <w:pPr>
        <w:pStyle w:val="Body"/>
        <w:numPr>
          <w:ilvl w:val="0"/>
          <w:numId w:val="2"/>
        </w:numPr>
        <w:spacing w:line="360" w:lineRule="auto"/>
        <w:rPr>
          <w:lang w:val="en-US"/>
        </w:rPr>
      </w:pPr>
      <w:r>
        <w:rPr>
          <w:rtl w:val="0"/>
          <w:lang w:val="en-US"/>
        </w:rPr>
        <w:t>Build on successes that sometimes require perseverance and effort.</w:t>
      </w:r>
    </w:p>
    <w:p>
      <w:pPr>
        <w:pStyle w:val="Body"/>
        <w:numPr>
          <w:ilvl w:val="0"/>
          <w:numId w:val="2"/>
        </w:numPr>
        <w:spacing w:line="360" w:lineRule="auto"/>
        <w:rPr>
          <w:lang w:val="en-US"/>
        </w:rPr>
      </w:pPr>
      <w:r>
        <w:rPr>
          <w:rtl w:val="0"/>
          <w:lang w:val="en-US"/>
        </w:rPr>
        <w:t>Avoid failures, in particular, before perceptions of self-efficacy have been established.</w:t>
      </w:r>
    </w:p>
    <w:p>
      <w:pPr>
        <w:pStyle w:val="Body"/>
        <w:numPr>
          <w:ilvl w:val="0"/>
          <w:numId w:val="2"/>
        </w:numPr>
        <w:spacing w:line="360" w:lineRule="auto"/>
        <w:rPr>
          <w:lang w:val="en-US"/>
        </w:rPr>
      </w:pPr>
      <w:r>
        <w:rPr>
          <w:rtl w:val="0"/>
          <w:lang w:val="en-US"/>
        </w:rPr>
        <w:t>Use difficult situations to instil idea that success requires sustained effort.</w:t>
      </w:r>
    </w:p>
    <w:p>
      <w:pPr>
        <w:pStyle w:val="Body"/>
        <w:numPr>
          <w:ilvl w:val="0"/>
          <w:numId w:val="2"/>
        </w:numPr>
        <w:spacing w:line="360" w:lineRule="auto"/>
        <w:rPr>
          <w:lang w:val="en-US"/>
        </w:rPr>
      </w:pPr>
      <w:r>
        <w:rPr>
          <w:rtl w:val="0"/>
          <w:lang w:val="en-US"/>
        </w:rPr>
        <w:t>Perceived ability to succeed leads to perseverance in face of adversity and ability to bounce back when times are tough.</w:t>
      </w:r>
    </w:p>
    <w:p>
      <w:pPr>
        <w:pStyle w:val="Body"/>
        <w:spacing w:line="360" w:lineRule="auto"/>
      </w:pPr>
    </w:p>
    <w:p>
      <w:pPr>
        <w:pStyle w:val="Body"/>
        <w:spacing w:line="360" w:lineRule="auto"/>
        <w:rPr>
          <w:i w:val="1"/>
          <w:iCs w:val="1"/>
        </w:rPr>
      </w:pPr>
      <w:r>
        <w:rPr>
          <w:i w:val="1"/>
          <w:iCs w:val="1"/>
          <w:rtl w:val="0"/>
          <w:lang w:val="en-US"/>
        </w:rPr>
        <w:t>Vicarious experiences</w:t>
      </w:r>
    </w:p>
    <w:p>
      <w:pPr>
        <w:pStyle w:val="Body"/>
        <w:numPr>
          <w:ilvl w:val="0"/>
          <w:numId w:val="2"/>
        </w:numPr>
        <w:spacing w:line="360" w:lineRule="auto"/>
        <w:rPr>
          <w:lang w:val="en-US"/>
        </w:rPr>
      </w:pPr>
      <w:r>
        <w:rPr>
          <w:rtl w:val="0"/>
          <w:lang w:val="en-US"/>
        </w:rPr>
        <w:t>Witnessing others, similar to oneself, succeed through perseverance, raises hopes of personal ability to persevere and succeed.</w:t>
      </w:r>
    </w:p>
    <w:p>
      <w:pPr>
        <w:pStyle w:val="Body"/>
        <w:numPr>
          <w:ilvl w:val="0"/>
          <w:numId w:val="2"/>
        </w:numPr>
        <w:spacing w:line="360" w:lineRule="auto"/>
        <w:rPr>
          <w:lang w:val="en-US"/>
        </w:rPr>
      </w:pPr>
      <w:r>
        <w:rPr>
          <w:rtl w:val="0"/>
          <w:lang w:val="en-US"/>
        </w:rPr>
        <w:t>Witnessing others, similar to oneself, fail despite perseverance, lowers hopes of personal ability to persevere and succeed.</w:t>
      </w:r>
    </w:p>
    <w:p>
      <w:pPr>
        <w:pStyle w:val="Body"/>
        <w:numPr>
          <w:ilvl w:val="0"/>
          <w:numId w:val="2"/>
        </w:numPr>
        <w:spacing w:line="360" w:lineRule="auto"/>
        <w:rPr>
          <w:lang w:val="en-US"/>
        </w:rPr>
      </w:pPr>
      <w:r>
        <w:rPr>
          <w:rtl w:val="0"/>
          <w:lang w:val="en-US"/>
        </w:rPr>
        <w:t>Similarity to the role-model strongly influences perceived levels of self-efficacy.</w:t>
      </w:r>
    </w:p>
    <w:p>
      <w:pPr>
        <w:pStyle w:val="Body"/>
        <w:numPr>
          <w:ilvl w:val="0"/>
          <w:numId w:val="2"/>
        </w:numPr>
        <w:spacing w:line="360" w:lineRule="auto"/>
        <w:rPr>
          <w:lang w:val="en-US"/>
        </w:rPr>
      </w:pPr>
      <w:r>
        <w:rPr>
          <w:rtl w:val="0"/>
          <w:lang w:val="en-US"/>
        </w:rPr>
        <w:t>The greater the similarity to the role-model, the stronger their influence on failures or successes.</w:t>
      </w:r>
    </w:p>
    <w:p>
      <w:pPr>
        <w:pStyle w:val="Body"/>
        <w:numPr>
          <w:ilvl w:val="0"/>
          <w:numId w:val="2"/>
        </w:numPr>
        <w:spacing w:line="360" w:lineRule="auto"/>
        <w:rPr>
          <w:lang w:val="en-US"/>
        </w:rPr>
      </w:pPr>
      <w:r>
        <w:rPr>
          <w:rtl w:val="0"/>
          <w:lang w:val="en-US"/>
        </w:rPr>
        <w:t>If the role models are very different, influence on perceptions of self-efficacy are low, and have little influence on results.</w:t>
      </w:r>
    </w:p>
    <w:p>
      <w:pPr>
        <w:pStyle w:val="Body"/>
        <w:spacing w:line="360" w:lineRule="auto"/>
      </w:pPr>
    </w:p>
    <w:p>
      <w:pPr>
        <w:pStyle w:val="Body"/>
        <w:spacing w:line="360" w:lineRule="auto"/>
        <w:rPr>
          <w:i w:val="1"/>
          <w:iCs w:val="1"/>
        </w:rPr>
      </w:pPr>
      <w:r>
        <w:rPr>
          <w:i w:val="1"/>
          <w:iCs w:val="1"/>
          <w:rtl w:val="0"/>
          <w:lang w:val="en-US"/>
        </w:rPr>
        <w:t>Social persuasion</w:t>
      </w:r>
    </w:p>
    <w:p>
      <w:pPr>
        <w:pStyle w:val="Body"/>
        <w:numPr>
          <w:ilvl w:val="0"/>
          <w:numId w:val="2"/>
        </w:numPr>
        <w:spacing w:line="360" w:lineRule="auto"/>
        <w:rPr>
          <w:lang w:val="en-US"/>
        </w:rPr>
      </w:pPr>
      <w:r>
        <w:rPr>
          <w:rtl w:val="0"/>
          <w:lang w:val="en-US"/>
        </w:rPr>
        <w:t>Verbal persuasion leads to stronger sustained effort, rather than dwelling on doubts and personal deficiencies when faced with adversity.</w:t>
      </w:r>
    </w:p>
    <w:p>
      <w:pPr>
        <w:pStyle w:val="Body"/>
        <w:numPr>
          <w:ilvl w:val="0"/>
          <w:numId w:val="2"/>
        </w:numPr>
        <w:spacing w:line="360" w:lineRule="auto"/>
        <w:rPr>
          <w:lang w:val="en-US"/>
        </w:rPr>
      </w:pPr>
      <w:r>
        <w:rPr>
          <w:rtl w:val="0"/>
          <w:lang w:val="en-US"/>
        </w:rPr>
        <w:t>Stronger sustained effort promotes development of skills and perceptions of self-efficacy.</w:t>
      </w:r>
    </w:p>
    <w:p>
      <w:pPr>
        <w:pStyle w:val="Body"/>
        <w:numPr>
          <w:ilvl w:val="0"/>
          <w:numId w:val="2"/>
        </w:numPr>
        <w:spacing w:line="360" w:lineRule="auto"/>
        <w:rPr>
          <w:lang w:val="en-US"/>
        </w:rPr>
      </w:pPr>
      <w:r>
        <w:rPr>
          <w:rtl w:val="0"/>
          <w:lang w:val="en-US"/>
        </w:rPr>
        <w:t>Social persuasions can more easily undermine perceptions of self-efficacy, than it can instil them, and unrealistic boosts lead to negative results.</w:t>
      </w:r>
    </w:p>
    <w:p>
      <w:pPr>
        <w:pStyle w:val="Body"/>
        <w:numPr>
          <w:ilvl w:val="0"/>
          <w:numId w:val="2"/>
        </w:numPr>
        <w:spacing w:line="360" w:lineRule="auto"/>
        <w:rPr>
          <w:lang w:val="en-US"/>
        </w:rPr>
      </w:pPr>
      <w:r>
        <w:rPr>
          <w:rtl w:val="0"/>
          <w:lang w:val="en-US"/>
        </w:rPr>
        <w:t>People persuaded they lack capability avoid challenging activities that can build up potential, and give up easily when faced with adversity.</w:t>
      </w:r>
    </w:p>
    <w:p>
      <w:pPr>
        <w:pStyle w:val="Body"/>
        <w:spacing w:line="360" w:lineRule="auto"/>
      </w:pPr>
    </w:p>
    <w:p>
      <w:pPr>
        <w:pStyle w:val="Body"/>
        <w:numPr>
          <w:ilvl w:val="0"/>
          <w:numId w:val="2"/>
        </w:numPr>
        <w:spacing w:line="360" w:lineRule="auto"/>
        <w:rPr>
          <w:lang w:val="en-US"/>
        </w:rPr>
      </w:pPr>
      <w:r>
        <w:rPr>
          <w:rtl w:val="0"/>
          <w:lang w:val="en-US"/>
        </w:rPr>
        <w:t xml:space="preserve"> Avoiding activities and lacking in motivation is validation of own belief in lacking of capability.</w:t>
      </w:r>
    </w:p>
    <w:p>
      <w:pPr>
        <w:pStyle w:val="Body"/>
        <w:numPr>
          <w:ilvl w:val="0"/>
          <w:numId w:val="2"/>
        </w:numPr>
        <w:spacing w:line="360" w:lineRule="auto"/>
        <w:rPr>
          <w:lang w:val="en-US"/>
        </w:rPr>
      </w:pPr>
      <w:r>
        <w:rPr>
          <w:rtl w:val="0"/>
          <w:lang w:val="en-US"/>
        </w:rPr>
        <w:t>Situations created to raise adolescents belief in capabilities, avoiding situations that will lead to consistent failure.</w:t>
      </w:r>
    </w:p>
    <w:p>
      <w:pPr>
        <w:pStyle w:val="Body"/>
        <w:numPr>
          <w:ilvl w:val="0"/>
          <w:numId w:val="2"/>
        </w:numPr>
        <w:spacing w:line="360" w:lineRule="auto"/>
        <w:rPr>
          <w:lang w:val="en-US"/>
        </w:rPr>
      </w:pPr>
      <w:r>
        <w:rPr>
          <w:rtl w:val="0"/>
          <w:lang w:val="en-US"/>
        </w:rPr>
        <w:t xml:space="preserve">Success is measured by self-improvement and not by success over others.  </w:t>
      </w:r>
    </w:p>
    <w:p>
      <w:pPr>
        <w:pStyle w:val="Body"/>
        <w:spacing w:line="360" w:lineRule="auto"/>
      </w:pPr>
    </w:p>
    <w:p>
      <w:pPr>
        <w:pStyle w:val="Body"/>
        <w:spacing w:line="360" w:lineRule="auto"/>
      </w:pPr>
      <w:r>
        <w:rPr>
          <w:rStyle w:val="None"/>
          <w:i w:val="1"/>
          <w:iCs w:val="1"/>
          <w:rtl w:val="0"/>
          <w:lang w:val="en-US"/>
        </w:rPr>
        <w:t xml:space="preserve">Stress reduction, alteration of negative emotional habits and misinterpretation of physical states </w:t>
      </w:r>
      <w:r>
        <w:rPr>
          <w:rtl w:val="0"/>
          <w:lang w:val="en-US"/>
        </w:rPr>
        <w:t xml:space="preserve">    </w:t>
      </w:r>
    </w:p>
    <w:p>
      <w:pPr>
        <w:pStyle w:val="Body"/>
        <w:numPr>
          <w:ilvl w:val="0"/>
          <w:numId w:val="2"/>
        </w:numPr>
        <w:spacing w:line="360" w:lineRule="auto"/>
        <w:rPr>
          <w:lang w:val="en-US"/>
        </w:rPr>
      </w:pPr>
      <w:r>
        <w:rPr>
          <w:rtl w:val="0"/>
          <w:lang w:val="en-US"/>
        </w:rPr>
        <w:t>Reliance on emotional and physical state in judging own capabilities.</w:t>
      </w:r>
    </w:p>
    <w:p>
      <w:pPr>
        <w:pStyle w:val="Body"/>
        <w:numPr>
          <w:ilvl w:val="0"/>
          <w:numId w:val="2"/>
        </w:numPr>
        <w:spacing w:line="360" w:lineRule="auto"/>
        <w:rPr>
          <w:lang w:val="en-US"/>
        </w:rPr>
      </w:pPr>
      <w:r>
        <w:rPr>
          <w:rtl w:val="0"/>
          <w:lang w:val="en-US"/>
        </w:rPr>
        <w:t>Personal stress and tensions are interpreted as signs of vulnerability to failure.</w:t>
      </w:r>
    </w:p>
    <w:p>
      <w:pPr>
        <w:pStyle w:val="Body"/>
        <w:numPr>
          <w:ilvl w:val="0"/>
          <w:numId w:val="2"/>
        </w:numPr>
        <w:spacing w:line="360" w:lineRule="auto"/>
        <w:rPr>
          <w:lang w:val="en-US"/>
        </w:rPr>
      </w:pPr>
      <w:r>
        <w:rPr>
          <w:rtl w:val="0"/>
          <w:lang w:val="en-US"/>
        </w:rPr>
        <w:t xml:space="preserve">In activities requiring strength and stamina, adolescents perceive tiredness, aches and pains as signs of physical weakness. </w:t>
      </w:r>
    </w:p>
    <w:p>
      <w:pPr>
        <w:pStyle w:val="Body"/>
        <w:numPr>
          <w:ilvl w:val="0"/>
          <w:numId w:val="2"/>
        </w:numPr>
        <w:spacing w:line="360" w:lineRule="auto"/>
        <w:rPr>
          <w:lang w:val="en-US"/>
        </w:rPr>
      </w:pPr>
      <w:r>
        <w:rPr>
          <w:rtl w:val="0"/>
          <w:lang w:val="en-US"/>
        </w:rPr>
        <w:t>Positive mood enhances perceptions of self-efficacy, whilst despondency diminishes it.</w:t>
      </w:r>
    </w:p>
    <w:p>
      <w:pPr>
        <w:pStyle w:val="Body"/>
        <w:numPr>
          <w:ilvl w:val="0"/>
          <w:numId w:val="2"/>
        </w:numPr>
        <w:spacing w:line="360" w:lineRule="auto"/>
        <w:rPr>
          <w:lang w:val="en-US"/>
        </w:rPr>
      </w:pPr>
      <w:r>
        <w:rPr>
          <w:rtl w:val="0"/>
          <w:lang w:val="en-US"/>
        </w:rPr>
        <w:t xml:space="preserve">Intensity of emotions and physical reactions is unimportant.  How they are perceived and interpreted matters.  </w:t>
      </w:r>
    </w:p>
    <w:p>
      <w:pPr>
        <w:pStyle w:val="Body"/>
        <w:rPr>
          <w:rFonts w:ascii="Arial" w:cs="Arial" w:hAnsi="Arial" w:eastAsia="Arial"/>
          <w:i w:val="1"/>
          <w:iCs w:val="1"/>
          <w:outline w:val="0"/>
          <w:color w:val="d31876"/>
          <w14:textFill>
            <w14:solidFill>
              <w14:srgbClr w14:val="D41876"/>
            </w14:solidFill>
          </w14:textFill>
        </w:rPr>
      </w:pPr>
    </w:p>
    <w:p>
      <w:pPr>
        <w:pStyle w:val="Body"/>
        <w:rPr>
          <w:rFonts w:ascii="Arial" w:cs="Arial" w:hAnsi="Arial" w:eastAsia="Arial"/>
          <w:i w:val="1"/>
          <w:iCs w:val="1"/>
          <w:outline w:val="0"/>
          <w:color w:val="d31876"/>
          <w14:textFill>
            <w14:solidFill>
              <w14:srgbClr w14:val="D41876"/>
            </w14:solidFill>
          </w14:textFill>
        </w:rPr>
      </w:pPr>
    </w:p>
    <w:p>
      <w:pPr>
        <w:pStyle w:val="Body"/>
        <w:rPr>
          <w:rFonts w:ascii="Arial" w:cs="Arial" w:hAnsi="Arial" w:eastAsia="Arial"/>
          <w:i w:val="1"/>
          <w:iCs w:val="1"/>
          <w:outline w:val="0"/>
          <w:color w:val="d31876"/>
          <w14:textFill>
            <w14:solidFill>
              <w14:srgbClr w14:val="D41876"/>
            </w14:solidFill>
          </w14:textFill>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r>
        <w:rPr>
          <w:rFonts w:ascii="Times New Roman" w:hAnsi="Times New Roman"/>
          <w:sz w:val="28"/>
          <w:szCs w:val="28"/>
          <w:rtl w:val="0"/>
          <w:lang w:val="en-US"/>
        </w:rPr>
        <w:t>Appendix 2</w:t>
      </w:r>
    </w:p>
    <w:p>
      <w:pPr>
        <w:pStyle w:val="Default"/>
        <w:bidi w:val="0"/>
        <w:spacing w:before="0"/>
        <w:ind w:left="0" w:right="0" w:firstLine="0"/>
        <w:jc w:val="center"/>
        <w:rPr>
          <w:rFonts w:ascii="Times New Roman" w:cs="Times New Roman" w:hAnsi="Times New Roman" w:eastAsia="Times New Roman"/>
          <w:rtl w:val="0"/>
        </w:rPr>
      </w:pPr>
      <w:r>
        <w:rPr>
          <w:rFonts w:ascii="Times New Roman" w:hAnsi="Times New Roman"/>
          <w:rtl w:val="0"/>
          <w:lang w:val="en-US"/>
        </w:rPr>
        <w:t>S</w:t>
      </w:r>
      <w:r>
        <w:drawing>
          <wp:anchor distT="152400" distB="152400" distL="152400" distR="152400" simplePos="0" relativeHeight="251661312" behindDoc="0" locked="0" layoutInCell="1" allowOverlap="1">
            <wp:simplePos x="0" y="0"/>
            <wp:positionH relativeFrom="page">
              <wp:posOffset>685395</wp:posOffset>
            </wp:positionH>
            <wp:positionV relativeFrom="page">
              <wp:posOffset>1319440</wp:posOffset>
            </wp:positionV>
            <wp:extent cx="6189428" cy="9044193"/>
            <wp:effectExtent l="0" t="0" r="0" b="0"/>
            <wp:wrapThrough wrapText="bothSides" distL="152400" distR="152400">
              <wp:wrapPolygon edited="1">
                <wp:start x="0" y="0"/>
                <wp:lineTo x="0" y="21600"/>
                <wp:lineTo x="21599" y="21600"/>
                <wp:lineTo x="21599" y="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tiff"/>
                    <pic:cNvPicPr>
                      <a:picLocks noChangeAspect="1"/>
                    </pic:cNvPicPr>
                  </pic:nvPicPr>
                  <pic:blipFill>
                    <a:blip r:embed="rId9">
                      <a:extLst/>
                    </a:blip>
                    <a:srcRect l="0" t="0" r="0" b="0"/>
                    <a:stretch>
                      <a:fillRect/>
                    </a:stretch>
                  </pic:blipFill>
                  <pic:spPr>
                    <a:xfrm>
                      <a:off x="0" y="0"/>
                      <a:ext cx="6189428" cy="9044193"/>
                    </a:xfrm>
                    <a:prstGeom prst="rect">
                      <a:avLst/>
                    </a:prstGeom>
                    <a:ln w="12700" cap="flat">
                      <a:noFill/>
                      <a:miter lim="400000"/>
                    </a:ln>
                    <a:effectLst/>
                  </pic:spPr>
                </pic:pic>
              </a:graphicData>
            </a:graphic>
          </wp:anchor>
        </w:drawing>
      </w:r>
      <w:r>
        <w:rPr>
          <w:rFonts w:ascii="Times New Roman" w:hAnsi="Times New Roman"/>
          <w:rtl w:val="0"/>
          <w:lang w:val="en-US"/>
        </w:rPr>
        <w:t>ession plan</w:t>
      </w: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sz w:val="28"/>
          <w:szCs w:val="28"/>
          <w:rtl w:val="0"/>
        </w:rPr>
      </w:pPr>
    </w:p>
    <w:p>
      <w:pPr>
        <w:pStyle w:val="Default"/>
        <w:bidi w:val="0"/>
        <w:spacing w:before="0"/>
        <w:ind w:left="0" w:right="0" w:firstLine="0"/>
        <w:jc w:val="center"/>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outline w:val="0"/>
          <w:color w:val="b41700"/>
          <w:rtl w:val="0"/>
          <w14:textFill>
            <w14:solidFill>
              <w14:srgbClr w14:val="B51700"/>
            </w14:solidFill>
          </w14:textFill>
        </w:rPr>
      </w:pPr>
    </w:p>
    <w:p>
      <w:pPr>
        <w:pStyle w:val="Default"/>
        <w:bidi w:val="0"/>
        <w:spacing w:before="0"/>
        <w:ind w:left="0" w:right="0" w:firstLine="0"/>
        <w:jc w:val="left"/>
        <w:rPr>
          <w:rFonts w:ascii="Times New Roman" w:cs="Times New Roman" w:hAnsi="Times New Roman" w:eastAsia="Times New Roman"/>
          <w:outline w:val="0"/>
          <w:color w:val="b41700"/>
          <w:rtl w:val="0"/>
          <w14:textFill>
            <w14:solidFill>
              <w14:srgbClr w14:val="B51700"/>
            </w14:solidFill>
          </w14:textFill>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ind w:left="0" w:right="0" w:firstLine="0"/>
        <w:jc w:val="left"/>
        <w:rPr>
          <w:rFonts w:ascii="Times New Roman" w:cs="Times New Roman" w:hAnsi="Times New Roman" w:eastAsia="Times New Roman"/>
          <w:rtl w:val="0"/>
        </w:rPr>
      </w:pPr>
    </w:p>
    <w:p>
      <w:pPr>
        <w:pStyle w:val="Default"/>
        <w:bidi w:val="0"/>
        <w:spacing w:before="0" w:line="360" w:lineRule="auto"/>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Fonts w:ascii="Times New Roman" w:cs="Times New Roman" w:hAnsi="Times New Roman" w:eastAsia="Times New Roman"/>
          <w:outline w:val="0"/>
          <w:color w:val="3f3f3f"/>
          <w:shd w:val="clear" w:color="auto" w:fill="ffffff"/>
          <w:rtl w:val="0"/>
          <w14:textFill>
            <w14:solidFill>
              <w14:srgbClr w14:val="404040"/>
            </w14:solidFill>
          </w14:textFill>
        </w:rPr>
      </w:pPr>
    </w:p>
    <w:p>
      <w:pPr>
        <w:pStyle w:val="Default"/>
        <w:bidi w:val="0"/>
        <w:spacing w:before="0"/>
        <w:ind w:left="0" w:right="0" w:firstLine="0"/>
        <w:jc w:val="left"/>
        <w:rPr>
          <w:rtl w:val="0"/>
        </w:rPr>
      </w:pPr>
      <w:r>
        <w:rPr>
          <w:rFonts w:ascii="Times New Roman" w:cs="Times New Roman" w:hAnsi="Times New Roman" w:eastAsia="Times New Roman"/>
          <w:outline w:val="0"/>
          <w:color w:val="3f3f3f"/>
          <w:shd w:val="clear" w:color="auto" w:fill="ffffff"/>
          <w:rtl w:val="0"/>
          <w14:textFill>
            <w14:solidFill>
              <w14:srgbClr w14:val="404040"/>
            </w14:solidFill>
          </w14:textFill>
        </w:rPr>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Tahoma Bold">
    <w:charset w:val="00"/>
    <w:family w:val="roman"/>
    <w:pitch w:val="default"/>
  </w:font>
  <w:font w:name="Tahoma">
    <w:charset w:val="00"/>
    <w:family w:val="roman"/>
    <w:pitch w:val="default"/>
  </w:font>
  <w:font w:name="Helvetica Neue Medium">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4">
    <w:abstractNumId w:val="3"/>
  </w:num>
  <w:num w:numId="5">
    <w:abstractNumId w:val="2"/>
  </w:num>
  <w:num w:numId="6">
    <w:abstractNumId w:val="2"/>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numbering" w:styleId="Bullet">
    <w:name w:val="Bullet"/>
    <w:pPr>
      <w:numPr>
        <w:numId w:val="1"/>
      </w:numPr>
    </w:pPr>
  </w:style>
  <w:style w:type="numbering" w:styleId="Numbered">
    <w:name w:val="Numbered"/>
    <w:pPr>
      <w:numPr>
        <w:numId w:val="4"/>
      </w:numPr>
    </w:pPr>
  </w:style>
  <w:style w:type="paragraph" w:styleId="Table Style 7">
    <w:name w:val="Table Style 7"/>
    <w:next w:val="Table Style 7"/>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323232"/>
      <w:spacing w:val="0"/>
      <w:kern w:val="0"/>
      <w:position w:val="0"/>
      <w:sz w:val="20"/>
      <w:szCs w:val="20"/>
      <w:u w:val="none"/>
      <w:shd w:val="nil" w:color="auto" w:fill="auto"/>
      <w:vertAlign w:val="baseline"/>
      <w14:textOutline>
        <w14:noFill/>
      </w14:textOutline>
      <w14:textFill>
        <w14:solidFill>
          <w14:srgbClr w14:val="323232"/>
        </w14:solidFill>
      </w14:textFill>
    </w:rPr>
  </w:style>
  <w:style w:type="paragraph" w:styleId="Table Style 6">
    <w:name w:val="Table Style 6"/>
    <w:next w:val="Table Style 6"/>
    <w:pPr>
      <w:keepNext w:val="0"/>
      <w:keepLines w:val="1"/>
      <w:pageBreakBefore w:val="0"/>
      <w:widowControl w:val="1"/>
      <w:shd w:val="clear" w:color="auto" w:fill="auto"/>
      <w:suppressAutoHyphens w:val="0"/>
      <w:bidi w:val="0"/>
      <w:spacing w:before="0" w:after="0" w:line="240" w:lineRule="auto"/>
      <w:ind w:left="0" w:right="0" w:firstLine="0"/>
      <w:jc w:val="left"/>
      <w:outlineLvl w:val="9"/>
    </w:pPr>
    <w:rPr>
      <w:rFonts w:ascii="Helvetica Neue Medium" w:cs="Helvetica Neue Medium" w:hAnsi="Helvetica Neue Medium" w:eastAsia="Helvetica Neue Medium"/>
      <w:b w:val="0"/>
      <w:bCs w:val="0"/>
      <w:i w:val="0"/>
      <w:iCs w:val="0"/>
      <w:caps w:val="0"/>
      <w:smallCaps w:val="0"/>
      <w:strike w:val="0"/>
      <w:dstrike w:val="0"/>
      <w:outline w:val="0"/>
      <w:color w:val="323232"/>
      <w:spacing w:val="0"/>
      <w:kern w:val="0"/>
      <w:position w:val="0"/>
      <w:sz w:val="20"/>
      <w:szCs w:val="20"/>
      <w:u w:val="none"/>
      <w:shd w:val="nil" w:color="auto" w:fill="auto"/>
      <w:vertAlign w:val="baseline"/>
      <w14:textOutline>
        <w14:noFill/>
      </w14:textOutline>
      <w14:textFill>
        <w14:solidFill>
          <w14:srgbClr w14:val="323232"/>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character" w:styleId="Hyperlink.1">
    <w:name w:val="Hyperlink.1"/>
    <w:basedOn w:val="Hyperlink.0"/>
    <w:next w:val="Hyperlink.1"/>
    <w:rPr>
      <w:u w:val="none"/>
    </w:rPr>
  </w:style>
  <w:style w:type="character" w:styleId="Hyperlink.2">
    <w:name w:val="Hyperlink.2"/>
    <w:basedOn w:val="Hyperlink.0"/>
    <w:next w:val="Hyperlink.2"/>
    <w:rPr>
      <w:i w:val="0"/>
      <w:iCs w:val="0"/>
      <w:u w:val="none"/>
    </w:rPr>
  </w:style>
  <w:style w:type="character" w:styleId="None">
    <w:name w:val="None"/>
  </w:style>
  <w:style w:type="character" w:styleId="Hyperlink.3">
    <w:name w:val="Hyperlink.3"/>
    <w:basedOn w:val="None"/>
    <w:next w:val="Hyperlink.3"/>
    <w:rPr>
      <w:u w:color="004b83"/>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tif"/><Relationship Id="rId6" Type="http://schemas.openxmlformats.org/officeDocument/2006/relationships/image" Target="media/image2.tif"/><Relationship Id="rId7" Type="http://schemas.openxmlformats.org/officeDocument/2006/relationships/image" Target="media/image3.tif"/><Relationship Id="rId8" Type="http://schemas.openxmlformats.org/officeDocument/2006/relationships/image" Target="media/image4.tif"/><Relationship Id="rId9" Type="http://schemas.openxmlformats.org/officeDocument/2006/relationships/image" Target="media/image5.tif"/><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