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9B3FC" w14:textId="77777777" w:rsidR="00E62189" w:rsidRDefault="00E62189" w:rsidP="00DD1A83">
      <w:pPr>
        <w:spacing w:line="480" w:lineRule="auto"/>
      </w:pPr>
    </w:p>
    <w:p w14:paraId="41DF1CD7" w14:textId="66E17AFD" w:rsidR="007E6687" w:rsidRDefault="00320125" w:rsidP="00DD1A83">
      <w:pPr>
        <w:spacing w:line="480" w:lineRule="auto"/>
      </w:pPr>
      <w:r>
        <w:t xml:space="preserve">It has been suggested that </w:t>
      </w:r>
      <w:r w:rsidR="00011152">
        <w:t>“there can be no objective definition of a nation”</w:t>
      </w:r>
      <w:r w:rsidR="005A6761">
        <w:t>.</w:t>
      </w:r>
      <w:r w:rsidR="00011152">
        <w:rPr>
          <w:rStyle w:val="FootnoteReference"/>
        </w:rPr>
        <w:footnoteReference w:id="1"/>
      </w:r>
      <w:r w:rsidR="005A6761">
        <w:t xml:space="preserve"> </w:t>
      </w:r>
      <w:r w:rsidR="00FB2D14">
        <w:t>Following</w:t>
      </w:r>
      <w:r w:rsidR="00FE6637">
        <w:t xml:space="preserve"> the </w:t>
      </w:r>
      <w:r w:rsidR="005B6E29">
        <w:t>Partition of India in 1947</w:t>
      </w:r>
      <w:r w:rsidR="009037FA">
        <w:t xml:space="preserve"> </w:t>
      </w:r>
      <w:r w:rsidR="006771B8">
        <w:t>Indian</w:t>
      </w:r>
      <w:r w:rsidR="009037FA">
        <w:t xml:space="preserve"> and</w:t>
      </w:r>
      <w:r w:rsidR="003E378B">
        <w:t xml:space="preserve"> </w:t>
      </w:r>
      <w:r w:rsidR="00917763">
        <w:t xml:space="preserve">Anglo-centric cultural identities remain inextricably bound. </w:t>
      </w:r>
      <w:r w:rsidR="00AC7C8B">
        <w:t>Joshi argues that</w:t>
      </w:r>
      <w:r w:rsidR="00143E65">
        <w:t xml:space="preserve"> </w:t>
      </w:r>
      <w:r w:rsidR="00E54CB7">
        <w:t xml:space="preserve">“No account of colonial India can do it justice </w:t>
      </w:r>
      <w:r w:rsidR="00A950AE">
        <w:t>without taking into direct account the presence and practices of the British</w:t>
      </w:r>
      <w:r w:rsidR="00A236DF">
        <w:t>”</w:t>
      </w:r>
      <w:r w:rsidR="00752852">
        <w:t xml:space="preserve"> and any story unfolding in twentieth century Britain </w:t>
      </w:r>
      <w:r w:rsidR="00CD393F">
        <w:t xml:space="preserve">inherently involves </w:t>
      </w:r>
      <w:r w:rsidR="004B29B5">
        <w:t>the inadvertent presence of the colonies.</w:t>
      </w:r>
      <w:r w:rsidR="004B29B5">
        <w:rPr>
          <w:rStyle w:val="FootnoteReference"/>
        </w:rPr>
        <w:footnoteReference w:id="2"/>
      </w:r>
      <w:r w:rsidR="00471F96">
        <w:t xml:space="preserve"> This essay will focus on two such stories:</w:t>
      </w:r>
      <w:r w:rsidR="009E46D8">
        <w:t xml:space="preserve"> Primarily</w:t>
      </w:r>
      <w:r w:rsidR="00471F96">
        <w:t xml:space="preserve"> </w:t>
      </w:r>
      <w:r w:rsidR="00534A13">
        <w:rPr>
          <w:i/>
          <w:iCs/>
        </w:rPr>
        <w:t>The God of Small Things</w:t>
      </w:r>
      <w:r w:rsidR="00534A13">
        <w:t xml:space="preserve"> by Arundhati Roy</w:t>
      </w:r>
      <w:r w:rsidR="00A41D0B">
        <w:rPr>
          <w:rStyle w:val="FootnoteReference"/>
        </w:rPr>
        <w:footnoteReference w:id="3"/>
      </w:r>
      <w:r w:rsidR="00A41D0B">
        <w:t xml:space="preserve"> </w:t>
      </w:r>
      <w:r w:rsidR="00DF20C2">
        <w:t>but</w:t>
      </w:r>
      <w:r w:rsidR="005D1CFE">
        <w:t xml:space="preserve"> also</w:t>
      </w:r>
      <w:r w:rsidR="00A41D0B">
        <w:t xml:space="preserve"> </w:t>
      </w:r>
      <w:r w:rsidR="000E6767">
        <w:rPr>
          <w:i/>
          <w:iCs/>
        </w:rPr>
        <w:t>White Teeth</w:t>
      </w:r>
      <w:r w:rsidR="000E6767">
        <w:t xml:space="preserve"> by Zadie Smith</w:t>
      </w:r>
      <w:r w:rsidR="002D3649">
        <w:t>.</w:t>
      </w:r>
      <w:r w:rsidR="002D3649">
        <w:rPr>
          <w:rStyle w:val="FootnoteReference"/>
        </w:rPr>
        <w:footnoteReference w:id="4"/>
      </w:r>
      <w:r w:rsidR="00690F66">
        <w:t xml:space="preserve"> </w:t>
      </w:r>
      <w:r w:rsidR="00E15FAB">
        <w:t xml:space="preserve">The value and </w:t>
      </w:r>
      <w:r w:rsidR="0003511A">
        <w:t>mimicry</w:t>
      </w:r>
      <w:r w:rsidR="00E15FAB">
        <w:t xml:space="preserve"> of whiteness o</w:t>
      </w:r>
      <w:r w:rsidR="00B94032">
        <w:t>r</w:t>
      </w:r>
      <w:r w:rsidR="00E15FAB">
        <w:t xml:space="preserve"> Englishness</w:t>
      </w:r>
      <w:r w:rsidR="002B5ABD">
        <w:t xml:space="preserve"> in both texts</w:t>
      </w:r>
      <w:r w:rsidR="00E15FAB">
        <w:t xml:space="preserve"> will </w:t>
      </w:r>
      <w:r w:rsidR="002B5ABD">
        <w:t>be discussed. Whilst the</w:t>
      </w:r>
      <w:r w:rsidR="00D2655F">
        <w:t xml:space="preserve"> characters in these stories have many similarities, their realities </w:t>
      </w:r>
      <w:r w:rsidR="0003511A">
        <w:t xml:space="preserve">lead them to perform </w:t>
      </w:r>
      <w:r w:rsidR="003C72C5">
        <w:t xml:space="preserve">Englishness in contrasting ways. </w:t>
      </w:r>
      <w:r w:rsidR="008177AE">
        <w:t>Most</w:t>
      </w:r>
      <w:r w:rsidR="00532538">
        <w:t xml:space="preserve"> characters are subalterns, experiencing varying levels of intersectionality. </w:t>
      </w:r>
      <w:r w:rsidR="00DD0EDD">
        <w:t xml:space="preserve">Through </w:t>
      </w:r>
      <w:r w:rsidR="00125DF4">
        <w:t xml:space="preserve">concepts of belonging, </w:t>
      </w:r>
      <w:r w:rsidR="0049707F">
        <w:t>identity,</w:t>
      </w:r>
      <w:r w:rsidR="00125DF4">
        <w:t xml:space="preserve"> and agency it will be </w:t>
      </w:r>
      <w:r w:rsidR="005D1CFE">
        <w:t>suggest</w:t>
      </w:r>
      <w:r w:rsidR="00125DF4">
        <w:t xml:space="preserve">ed that </w:t>
      </w:r>
      <w:r w:rsidR="00CC0A15">
        <w:t xml:space="preserve">displaced identities and </w:t>
      </w:r>
      <w:r w:rsidR="007C096D">
        <w:t>unacceptance</w:t>
      </w:r>
      <w:r w:rsidR="00FD71AB">
        <w:t xml:space="preserve"> of hybridity l</w:t>
      </w:r>
      <w:r w:rsidR="009A6507">
        <w:t xml:space="preserve">eads to a parodic performance of </w:t>
      </w:r>
      <w:r w:rsidR="00F05EFF">
        <w:t xml:space="preserve">outdated </w:t>
      </w:r>
      <w:r w:rsidR="009A6507">
        <w:t xml:space="preserve">English ideals in response to </w:t>
      </w:r>
      <w:r w:rsidR="00F97C4C">
        <w:t xml:space="preserve">cultural and educational colonisation, notably in </w:t>
      </w:r>
      <w:r w:rsidR="00F97C4C">
        <w:rPr>
          <w:i/>
          <w:iCs/>
        </w:rPr>
        <w:t>The God of Small Things.</w:t>
      </w:r>
      <w:r w:rsidR="00F97C4C">
        <w:t xml:space="preserve"> </w:t>
      </w:r>
      <w:r w:rsidR="00500274">
        <w:t xml:space="preserve">Across both texts </w:t>
      </w:r>
      <w:r w:rsidR="00E27C8A">
        <w:t xml:space="preserve">the irony and hypocrisy of </w:t>
      </w:r>
      <w:r w:rsidR="0013784D">
        <w:t xml:space="preserve">those that are both victims and perpetuators of </w:t>
      </w:r>
      <w:r w:rsidR="0049707F">
        <w:t>hegemonic discourses</w:t>
      </w:r>
      <w:r w:rsidR="0013784D">
        <w:t xml:space="preserve"> </w:t>
      </w:r>
      <w:r w:rsidR="00784A5F">
        <w:t xml:space="preserve">will be </w:t>
      </w:r>
      <w:r w:rsidR="00320016">
        <w:t>discussed</w:t>
      </w:r>
      <w:r w:rsidR="00784A5F">
        <w:t>.</w:t>
      </w:r>
      <w:r w:rsidR="009F0165">
        <w:t xml:space="preserve"> </w:t>
      </w:r>
      <w:r w:rsidR="001B4663">
        <w:t xml:space="preserve">Anderson’s </w:t>
      </w:r>
      <w:r w:rsidR="004F5438">
        <w:t>theory that there are “no inauthentic nations; a nation is an imagined community</w:t>
      </w:r>
      <w:r w:rsidR="00FC4A35">
        <w:t xml:space="preserve"> that can mean whatever its members want it to mean”</w:t>
      </w:r>
      <w:r w:rsidR="00C92D1D">
        <w:t>,</w:t>
      </w:r>
      <w:r w:rsidR="00FC4A35">
        <w:rPr>
          <w:rStyle w:val="FootnoteReference"/>
        </w:rPr>
        <w:footnoteReference w:id="5"/>
      </w:r>
      <w:r w:rsidR="00380248">
        <w:t xml:space="preserve"> </w:t>
      </w:r>
      <w:r w:rsidR="00A44420">
        <w:t>occasions</w:t>
      </w:r>
      <w:r w:rsidR="00380248">
        <w:t xml:space="preserve"> that Barthes</w:t>
      </w:r>
      <w:r w:rsidR="00B24D05">
        <w:t>’</w:t>
      </w:r>
      <w:r w:rsidR="00A44420">
        <w:t xml:space="preserve"> theory of </w:t>
      </w:r>
      <w:r w:rsidR="00F43EA7">
        <w:t>signification</w:t>
      </w:r>
      <w:r w:rsidR="00E2203E">
        <w:rPr>
          <w:rStyle w:val="FootnoteReference"/>
        </w:rPr>
        <w:footnoteReference w:id="6"/>
      </w:r>
      <w:r w:rsidR="00A44420">
        <w:t xml:space="preserve"> </w:t>
      </w:r>
      <w:r w:rsidR="0023114A">
        <w:t xml:space="preserve">can be utilised to </w:t>
      </w:r>
      <w:r w:rsidR="009C1FCB">
        <w:t>consider</w:t>
      </w:r>
      <w:r w:rsidR="0023114A">
        <w:t xml:space="preserve"> Englishness as a </w:t>
      </w:r>
      <w:r w:rsidR="009C1FCB">
        <w:t>meta-geography</w:t>
      </w:r>
      <w:r w:rsidR="00407A58">
        <w:t>, not tied to one place but an ideology illustrated by signifiers</w:t>
      </w:r>
      <w:r w:rsidR="00E2203E">
        <w:t>.</w:t>
      </w:r>
      <w:r w:rsidR="00F13AE5">
        <w:t xml:space="preserve"> “In a colonial setting</w:t>
      </w:r>
      <w:r w:rsidR="00F03AB8">
        <w:t xml:space="preserve"> […] whiteness can be viewed </w:t>
      </w:r>
      <w:r w:rsidR="00EB4C9A">
        <w:t xml:space="preserve">as a shared space in which the psychological, cultural, political </w:t>
      </w:r>
      <w:r w:rsidR="00DC3503">
        <w:t>and economic dimensions</w:t>
      </w:r>
      <w:r w:rsidR="005124DC">
        <w:t xml:space="preserve"> </w:t>
      </w:r>
      <w:r w:rsidR="00DC3503">
        <w:t>of this privileged positionality are normalised as refere</w:t>
      </w:r>
      <w:r w:rsidR="005124DC">
        <w:t>nt.”</w:t>
      </w:r>
      <w:r w:rsidR="005124DC">
        <w:rPr>
          <w:rStyle w:val="FootnoteReference"/>
        </w:rPr>
        <w:footnoteReference w:id="7"/>
      </w:r>
      <w:r w:rsidR="00FB539E">
        <w:t xml:space="preserve"> </w:t>
      </w:r>
      <w:r w:rsidR="00123ED3">
        <w:t xml:space="preserve">These signifiers however vary, as Englishness </w:t>
      </w:r>
      <w:r w:rsidR="00226DA4">
        <w:t xml:space="preserve">has different meanings to </w:t>
      </w:r>
      <w:r w:rsidR="003B11C9">
        <w:t xml:space="preserve">different </w:t>
      </w:r>
      <w:r w:rsidR="00226DA4">
        <w:t xml:space="preserve">characters, depending on their </w:t>
      </w:r>
      <w:r w:rsidR="003A16B4">
        <w:t>context</w:t>
      </w:r>
      <w:r w:rsidR="00226DA4">
        <w:t xml:space="preserve">. Ironically, the characters in both texts that reside in Britain appear less </w:t>
      </w:r>
      <w:r w:rsidR="005D2C36">
        <w:t xml:space="preserve">stereotypically </w:t>
      </w:r>
      <w:r w:rsidR="00565F5F">
        <w:t>white</w:t>
      </w:r>
      <w:r w:rsidR="00AB2B81">
        <w:t xml:space="preserve"> </w:t>
      </w:r>
      <w:r w:rsidR="004A70F5">
        <w:t>-</w:t>
      </w:r>
      <w:r w:rsidR="00AB2B81">
        <w:t xml:space="preserve"> when whiteness is characterised by a</w:t>
      </w:r>
      <w:r w:rsidR="005A3FD5">
        <w:t xml:space="preserve"> </w:t>
      </w:r>
      <w:r w:rsidR="00893C1E">
        <w:t>stereotypical</w:t>
      </w:r>
      <w:r w:rsidR="00AB2B81">
        <w:t xml:space="preserve"> series of signifiers</w:t>
      </w:r>
      <w:r w:rsidR="004A70F5">
        <w:t xml:space="preserve"> - </w:t>
      </w:r>
      <w:r w:rsidR="005D2C36">
        <w:t>than their counterparts living in India.</w:t>
      </w:r>
      <w:r w:rsidR="00C70524">
        <w:t xml:space="preserve"> Although the</w:t>
      </w:r>
      <w:r w:rsidR="00722E28">
        <w:t>se people</w:t>
      </w:r>
      <w:r w:rsidR="00C70524">
        <w:t xml:space="preserve"> are no longer physically colonised, </w:t>
      </w:r>
      <w:r w:rsidR="00C2138D">
        <w:lastRenderedPageBreak/>
        <w:t>t</w:t>
      </w:r>
      <w:r w:rsidR="00722E28">
        <w:t xml:space="preserve">hey </w:t>
      </w:r>
      <w:r w:rsidR="004940EA">
        <w:t xml:space="preserve">remain culturally and linguistically colonised. </w:t>
      </w:r>
      <w:r w:rsidR="00FF5B9B">
        <w:t xml:space="preserve">Through comparisons of characters, but also discussion of signifiers such </w:t>
      </w:r>
      <w:r w:rsidR="007E4555">
        <w:t xml:space="preserve">as clothing, </w:t>
      </w:r>
      <w:r w:rsidR="002C6F96">
        <w:t>education,</w:t>
      </w:r>
      <w:r w:rsidR="00BB08FE">
        <w:t xml:space="preserve"> and </w:t>
      </w:r>
      <w:r w:rsidR="00756D19">
        <w:t>class</w:t>
      </w:r>
      <w:r w:rsidR="0018607B">
        <w:t xml:space="preserve"> this essay will </w:t>
      </w:r>
      <w:r w:rsidR="00EC02CA">
        <w:t>consider</w:t>
      </w:r>
      <w:r w:rsidR="0018607B">
        <w:t xml:space="preserve"> performances of English identities</w:t>
      </w:r>
      <w:r w:rsidR="00A1592D">
        <w:t xml:space="preserve"> through the lens of the colonised or displaced.</w:t>
      </w:r>
      <w:r w:rsidR="003D6DC9">
        <w:t xml:space="preserve"> </w:t>
      </w:r>
      <w:r w:rsidR="009E20CF">
        <w:t xml:space="preserve">The irony of </w:t>
      </w:r>
      <w:r w:rsidR="00B84207">
        <w:t>bo</w:t>
      </w:r>
      <w:r w:rsidR="009E20CF">
        <w:t xml:space="preserve">th texts with regards </w:t>
      </w:r>
      <w:r w:rsidR="00B84207">
        <w:t>to these performances will suggest the characters</w:t>
      </w:r>
      <w:r w:rsidR="007E6687">
        <w:t xml:space="preserve"> who appear inauthentic</w:t>
      </w:r>
      <w:r w:rsidR="0070695B">
        <w:t xml:space="preserve"> </w:t>
      </w:r>
      <w:r w:rsidR="00CC40CC">
        <w:t xml:space="preserve">cannot accept their </w:t>
      </w:r>
      <w:r w:rsidR="00D63ABB">
        <w:t>hybridity as an identity</w:t>
      </w:r>
      <w:r w:rsidR="006D00B5">
        <w:t xml:space="preserve"> due to colonial amnesia</w:t>
      </w:r>
      <w:r w:rsidR="00931375">
        <w:t xml:space="preserve"> and</w:t>
      </w:r>
      <w:r w:rsidR="0077156D">
        <w:t xml:space="preserve"> </w:t>
      </w:r>
      <w:r w:rsidR="009F3BDC">
        <w:t>continuing to experience</w:t>
      </w:r>
      <w:r w:rsidR="00C16574">
        <w:t xml:space="preserve"> the </w:t>
      </w:r>
      <w:r w:rsidR="00EF2073">
        <w:t>notion of</w:t>
      </w:r>
      <w:r w:rsidR="0077156D">
        <w:t xml:space="preserve"> whiteness as superior.</w:t>
      </w:r>
      <w:r w:rsidR="00393FBA">
        <w:t xml:space="preserve"> </w:t>
      </w:r>
      <w:r w:rsidR="00DE36F2">
        <w:t>The perceived superiority of whiteness is inherent in character</w:t>
      </w:r>
      <w:r w:rsidR="008D29E8">
        <w:t xml:space="preserve">s’ identities, even if those identities are characterised by the avoidance of whiteness. </w:t>
      </w:r>
      <w:r w:rsidR="00DF292A">
        <w:t>Englishness</w:t>
      </w:r>
      <w:r w:rsidR="00B21D90">
        <w:t xml:space="preserve"> in </w:t>
      </w:r>
      <w:r w:rsidR="00575C16">
        <w:t xml:space="preserve">Roy’s setting </w:t>
      </w:r>
      <w:proofErr w:type="spellStart"/>
      <w:r w:rsidR="00B21D90">
        <w:t>Ayemenem</w:t>
      </w:r>
      <w:proofErr w:type="spellEnd"/>
      <w:r w:rsidR="00B21D90">
        <w:t xml:space="preserve"> </w:t>
      </w:r>
      <w:r w:rsidR="00BD61CD">
        <w:t xml:space="preserve">is seen as something to strive for, for most characters. </w:t>
      </w:r>
      <w:r w:rsidR="00295AC9">
        <w:t>Those who do not strive for whiteness</w:t>
      </w:r>
      <w:r w:rsidR="00A4175C">
        <w:t xml:space="preserve"> are shown to lack agency and respect, although </w:t>
      </w:r>
      <w:r w:rsidR="00836B11">
        <w:t xml:space="preserve">this is also due to </w:t>
      </w:r>
      <w:r w:rsidR="007E6687">
        <w:t>intersectionality through gender or the caste system</w:t>
      </w:r>
      <w:r w:rsidR="00836B11">
        <w:t>. Colonial whiteness</w:t>
      </w:r>
      <w:r w:rsidR="00535AA5">
        <w:t xml:space="preserve"> </w:t>
      </w:r>
      <w:r w:rsidR="00F03057">
        <w:t>is presented as archaic</w:t>
      </w:r>
      <w:r w:rsidR="00724F6C">
        <w:t xml:space="preserve"> and seems to parody the external world view of the English. </w:t>
      </w:r>
    </w:p>
    <w:p w14:paraId="792420E1" w14:textId="5F91C1B1" w:rsidR="00DE36F2" w:rsidRDefault="007E6687" w:rsidP="00DD1A83">
      <w:pPr>
        <w:spacing w:line="480" w:lineRule="auto"/>
      </w:pPr>
      <w:r>
        <w:t xml:space="preserve">The use of </w:t>
      </w:r>
      <w:r w:rsidR="00280223">
        <w:t xml:space="preserve">semiotics to </w:t>
      </w:r>
      <w:r w:rsidR="009561BC">
        <w:t xml:space="preserve">study the signifiers prevalent in </w:t>
      </w:r>
      <w:r w:rsidR="009561BC">
        <w:rPr>
          <w:i/>
          <w:iCs/>
        </w:rPr>
        <w:t>The God of Small Things</w:t>
      </w:r>
      <w:r w:rsidR="00E25988">
        <w:rPr>
          <w:i/>
          <w:iCs/>
        </w:rPr>
        <w:t xml:space="preserve"> </w:t>
      </w:r>
      <w:r w:rsidR="00B05E50">
        <w:t>can help to decode the myths of mass culture</w:t>
      </w:r>
      <w:r w:rsidR="00E562A1">
        <w:t xml:space="preserve">. </w:t>
      </w:r>
      <w:r w:rsidR="00A90A20">
        <w:t>Accor</w:t>
      </w:r>
      <w:r w:rsidR="00C550B9">
        <w:t xml:space="preserve">ding to </w:t>
      </w:r>
      <w:r w:rsidR="00584980">
        <w:t>structuralists “meanings are arbitrary and relational”</w:t>
      </w:r>
      <w:r w:rsidR="00830DD1">
        <w:t>.</w:t>
      </w:r>
      <w:r w:rsidR="00584980">
        <w:rPr>
          <w:rStyle w:val="FootnoteReference"/>
        </w:rPr>
        <w:footnoteReference w:id="8"/>
      </w:r>
      <w:r w:rsidR="00830DD1">
        <w:t xml:space="preserve"> The Ipe family’s</w:t>
      </w:r>
      <w:r w:rsidR="00486B05">
        <w:t xml:space="preserve"> use of signifiers shows that their reverence for </w:t>
      </w:r>
      <w:r w:rsidR="00057DEC">
        <w:t>items and habits that they associate with Englishness are relative to their location</w:t>
      </w:r>
      <w:r w:rsidR="00E11407">
        <w:t xml:space="preserve">, as </w:t>
      </w:r>
      <w:r w:rsidR="00761055">
        <w:t xml:space="preserve">the </w:t>
      </w:r>
      <w:r w:rsidR="00203BE3">
        <w:t xml:space="preserve">collective consciousness of </w:t>
      </w:r>
      <w:proofErr w:type="spellStart"/>
      <w:r w:rsidR="00203BE3">
        <w:t>Ayemenem</w:t>
      </w:r>
      <w:proofErr w:type="spellEnd"/>
      <w:r w:rsidR="00203BE3">
        <w:t xml:space="preserve"> </w:t>
      </w:r>
      <w:r w:rsidR="00821982">
        <w:t>has more respect for these signifiers than their English visitors</w:t>
      </w:r>
      <w:r w:rsidR="006B47B3">
        <w:t xml:space="preserve"> do</w:t>
      </w:r>
      <w:r w:rsidR="00821982">
        <w:t>.</w:t>
      </w:r>
      <w:r w:rsidR="00E94490">
        <w:t xml:space="preserve"> </w:t>
      </w:r>
      <w:r w:rsidR="003E212E">
        <w:t xml:space="preserve">Semiology </w:t>
      </w:r>
      <w:r w:rsidR="000F76BB">
        <w:t>conveys</w:t>
      </w:r>
      <w:r w:rsidR="00FA2E9C">
        <w:t xml:space="preserve"> that definitions can only occur by </w:t>
      </w:r>
      <w:r w:rsidR="002550D0">
        <w:t>highlighting what something is not.</w:t>
      </w:r>
      <w:r w:rsidR="002550D0">
        <w:rPr>
          <w:rStyle w:val="FootnoteReference"/>
        </w:rPr>
        <w:footnoteReference w:id="9"/>
      </w:r>
      <w:r w:rsidR="00893292">
        <w:t xml:space="preserve"> The Anglo-</w:t>
      </w:r>
      <w:proofErr w:type="spellStart"/>
      <w:r w:rsidR="00893292">
        <w:t>philes</w:t>
      </w:r>
      <w:proofErr w:type="spellEnd"/>
      <w:r w:rsidR="00893292">
        <w:t xml:space="preserve"> </w:t>
      </w:r>
      <w:r w:rsidR="00DA0467">
        <w:t xml:space="preserve">of Roy’s story seek to set themselves apart from </w:t>
      </w:r>
      <w:r w:rsidR="001F01F0">
        <w:t xml:space="preserve">those who don’t strive for whiteness. </w:t>
      </w:r>
      <w:r w:rsidR="00955210">
        <w:t>This binary interpretation of</w:t>
      </w:r>
      <w:r w:rsidR="00711F9C">
        <w:t xml:space="preserve"> archaic, stereotypical, colonial</w:t>
      </w:r>
      <w:r w:rsidR="00955210">
        <w:t xml:space="preserve"> whiteness </w:t>
      </w:r>
      <w:r w:rsidR="00711F9C">
        <w:t>as superior</w:t>
      </w:r>
      <w:r w:rsidR="00987444">
        <w:t xml:space="preserve"> to anything Other</w:t>
      </w:r>
      <w:r w:rsidR="00893292">
        <w:t xml:space="preserve"> </w:t>
      </w:r>
      <w:r w:rsidR="00711F9C">
        <w:t xml:space="preserve">is </w:t>
      </w:r>
      <w:r w:rsidR="00D001A8">
        <w:t xml:space="preserve">challenged in </w:t>
      </w:r>
      <w:r w:rsidR="00D001A8">
        <w:rPr>
          <w:i/>
          <w:iCs/>
        </w:rPr>
        <w:t>White Teeth</w:t>
      </w:r>
      <w:r w:rsidR="005D5BA3">
        <w:rPr>
          <w:i/>
          <w:iCs/>
        </w:rPr>
        <w:t>,</w:t>
      </w:r>
      <w:r w:rsidR="00D001A8">
        <w:t xml:space="preserve"> where </w:t>
      </w:r>
      <w:r w:rsidR="00071AFC">
        <w:t xml:space="preserve">Englishness is presented in multiple </w:t>
      </w:r>
      <w:r w:rsidR="00F964DB">
        <w:t>forms.</w:t>
      </w:r>
      <w:r w:rsidR="00074DF4">
        <w:t xml:space="preserve"> </w:t>
      </w:r>
      <w:r w:rsidR="00074DF4">
        <w:rPr>
          <w:i/>
          <w:iCs/>
        </w:rPr>
        <w:t xml:space="preserve">White Teeth </w:t>
      </w:r>
      <w:r w:rsidR="00074DF4">
        <w:t xml:space="preserve">disrupts </w:t>
      </w:r>
      <w:r w:rsidR="00DD6F8C">
        <w:t>the dominant narrative of what it means to be British</w:t>
      </w:r>
      <w:r w:rsidR="007525BB">
        <w:t xml:space="preserve"> and highlight</w:t>
      </w:r>
      <w:r w:rsidR="00A72E4C">
        <w:t xml:space="preserve">s </w:t>
      </w:r>
      <w:r w:rsidR="007525BB">
        <w:t xml:space="preserve">multiculturalism as an ideology. </w:t>
      </w:r>
      <w:r w:rsidR="000121E0">
        <w:t xml:space="preserve">It </w:t>
      </w:r>
      <w:r w:rsidR="00707A41">
        <w:t xml:space="preserve">presents immigrants as </w:t>
      </w:r>
      <w:r w:rsidR="004302E3">
        <w:t>performing</w:t>
      </w:r>
      <w:r w:rsidR="00707A41">
        <w:t xml:space="preserve"> the </w:t>
      </w:r>
      <w:proofErr w:type="spellStart"/>
      <w:r w:rsidR="004302E3">
        <w:t>homoglossic</w:t>
      </w:r>
      <w:proofErr w:type="spellEnd"/>
      <w:r w:rsidR="004302E3">
        <w:t xml:space="preserve"> stereotype</w:t>
      </w:r>
      <w:r w:rsidR="004569E6">
        <w:t xml:space="preserve">. “Only </w:t>
      </w:r>
      <w:r w:rsidR="00EA6E4B">
        <w:t xml:space="preserve">the </w:t>
      </w:r>
      <w:r w:rsidR="00E74296">
        <w:t>immigrants can speak the Queen’s English these days.”</w:t>
      </w:r>
      <w:r w:rsidR="00E74296">
        <w:rPr>
          <w:rStyle w:val="FootnoteReference"/>
        </w:rPr>
        <w:footnoteReference w:id="10"/>
      </w:r>
      <w:r w:rsidR="00CD1635">
        <w:t xml:space="preserve"> Heteroglossia is presented </w:t>
      </w:r>
      <w:r w:rsidR="00B84C45">
        <w:t>as the “dominant mode of language in contemporary Britain</w:t>
      </w:r>
      <w:r w:rsidR="00864A4A">
        <w:t>.”</w:t>
      </w:r>
      <w:r w:rsidR="00864A4A">
        <w:rPr>
          <w:rStyle w:val="FootnoteReference"/>
        </w:rPr>
        <w:footnoteReference w:id="11"/>
      </w:r>
      <w:r w:rsidR="00E03346">
        <w:t xml:space="preserve"> </w:t>
      </w:r>
      <w:r w:rsidR="00135B65">
        <w:t xml:space="preserve">The younger characters speak in a range of street colloquialisms, Archie has a cockney accent, </w:t>
      </w:r>
      <w:r w:rsidR="00E94448">
        <w:t>Hortense</w:t>
      </w:r>
      <w:r w:rsidR="008C326E">
        <w:t xml:space="preserve"> speaks in patois. </w:t>
      </w:r>
      <w:r w:rsidR="008F0919">
        <w:t xml:space="preserve">Contrastingly, the characters in </w:t>
      </w:r>
      <w:r w:rsidR="008F0919">
        <w:rPr>
          <w:i/>
          <w:iCs/>
        </w:rPr>
        <w:t xml:space="preserve">The God of Small Things </w:t>
      </w:r>
      <w:r w:rsidR="008F0919">
        <w:t>seem to have just 2 modes of language</w:t>
      </w:r>
      <w:r w:rsidR="007651BA">
        <w:t xml:space="preserve">: English and </w:t>
      </w:r>
      <w:r w:rsidR="00C54726">
        <w:t>Malaya</w:t>
      </w:r>
      <w:r w:rsidR="00BE715B">
        <w:t>la</w:t>
      </w:r>
      <w:r w:rsidR="00C54726">
        <w:t>m</w:t>
      </w:r>
      <w:r w:rsidR="007651BA">
        <w:t xml:space="preserve">. </w:t>
      </w:r>
      <w:r w:rsidR="00FD6E68">
        <w:t xml:space="preserve">The multiple performances of English in </w:t>
      </w:r>
      <w:r w:rsidR="00FD6E68">
        <w:rPr>
          <w:i/>
          <w:iCs/>
        </w:rPr>
        <w:t xml:space="preserve">White Teeth </w:t>
      </w:r>
      <w:r w:rsidR="00FD6E68">
        <w:t>are</w:t>
      </w:r>
      <w:r w:rsidR="00E03346">
        <w:t xml:space="preserve"> reinforced </w:t>
      </w:r>
      <w:r w:rsidR="0091673D">
        <w:t xml:space="preserve">by the </w:t>
      </w:r>
      <w:r w:rsidR="00D82F12">
        <w:t>d</w:t>
      </w:r>
      <w:r w:rsidR="0091673D">
        <w:t xml:space="preserve">eference to subjectivity. </w:t>
      </w:r>
      <w:r w:rsidR="00011833">
        <w:t>Samad placates a mentally disturbed woman</w:t>
      </w:r>
      <w:r w:rsidR="006617B6">
        <w:t xml:space="preserve">, saying </w:t>
      </w:r>
      <w:r w:rsidR="0091673D">
        <w:t xml:space="preserve">“Your past is not my </w:t>
      </w:r>
      <w:r w:rsidR="0091673D">
        <w:lastRenderedPageBreak/>
        <w:t>past</w:t>
      </w:r>
      <w:r w:rsidR="001C701A">
        <w:t xml:space="preserve"> and your truth is not my truth</w:t>
      </w:r>
      <w:r w:rsidR="00622F81">
        <w:t>”</w:t>
      </w:r>
      <w:r w:rsidR="005E3135">
        <w:t>.</w:t>
      </w:r>
      <w:r w:rsidR="004B0506">
        <w:rPr>
          <w:rStyle w:val="FootnoteReference"/>
        </w:rPr>
        <w:footnoteReference w:id="12"/>
      </w:r>
      <w:r w:rsidR="00011833">
        <w:t xml:space="preserve"> </w:t>
      </w:r>
      <w:r w:rsidR="006617B6">
        <w:t xml:space="preserve"> </w:t>
      </w:r>
      <w:r w:rsidR="005E3135">
        <w:t xml:space="preserve">Although </w:t>
      </w:r>
      <w:r w:rsidR="006617B6">
        <w:t xml:space="preserve">Samad is incredibly confused about his own </w:t>
      </w:r>
      <w:r w:rsidR="002E6E81">
        <w:t>historical and religious identity</w:t>
      </w:r>
      <w:r w:rsidR="005E3135">
        <w:t xml:space="preserve"> he recognises that his is not the only valid experience.</w:t>
      </w:r>
      <w:r w:rsidR="00130171">
        <w:t xml:space="preserve"> The London presented in </w:t>
      </w:r>
      <w:r w:rsidR="00130171">
        <w:rPr>
          <w:i/>
          <w:iCs/>
        </w:rPr>
        <w:t xml:space="preserve">White Teeth </w:t>
      </w:r>
      <w:r w:rsidR="00130171">
        <w:t>ide</w:t>
      </w:r>
      <w:r w:rsidR="002E0646">
        <w:t>alises a coming together of cultures</w:t>
      </w:r>
      <w:r w:rsidR="00EB4D77">
        <w:t xml:space="preserve">, where “Englishness and </w:t>
      </w:r>
      <w:r w:rsidR="00953705">
        <w:t>multiculturalism can be conceived as having a dialectical relationship”.</w:t>
      </w:r>
      <w:r w:rsidR="00953705">
        <w:rPr>
          <w:rStyle w:val="FootnoteReference"/>
        </w:rPr>
        <w:footnoteReference w:id="13"/>
      </w:r>
      <w:r w:rsidR="00D4207D">
        <w:t xml:space="preserve"> </w:t>
      </w:r>
      <w:r w:rsidR="00184E74">
        <w:t xml:space="preserve">Smith writes “This </w:t>
      </w:r>
      <w:r w:rsidR="00612C41">
        <w:t xml:space="preserve">has been the century of strangers, brown, </w:t>
      </w:r>
      <w:proofErr w:type="gramStart"/>
      <w:r w:rsidR="00612C41">
        <w:t>yellow</w:t>
      </w:r>
      <w:proofErr w:type="gramEnd"/>
      <w:r w:rsidR="00612C41">
        <w:t xml:space="preserve"> and white. This has been the century </w:t>
      </w:r>
      <w:r w:rsidR="00F509E4">
        <w:t>of the great immigrant experiment. […] Children with first and last names on a direct collision course</w:t>
      </w:r>
      <w:r w:rsidR="00F67AAB">
        <w:t>.</w:t>
      </w:r>
      <w:r w:rsidR="003D3A08">
        <w:t>”</w:t>
      </w:r>
      <w:r w:rsidR="00F67AAB">
        <w:rPr>
          <w:rStyle w:val="FootnoteReference"/>
        </w:rPr>
        <w:footnoteReference w:id="14"/>
      </w:r>
      <w:r w:rsidR="0073598F">
        <w:t xml:space="preserve"> The signifiers of </w:t>
      </w:r>
      <w:r w:rsidR="00F67F1A">
        <w:t>Englis</w:t>
      </w:r>
      <w:r w:rsidR="0017486F">
        <w:t>hness</w:t>
      </w:r>
      <w:r w:rsidR="0073598F">
        <w:t xml:space="preserve"> in </w:t>
      </w:r>
      <w:r w:rsidR="002D393C">
        <w:rPr>
          <w:i/>
          <w:iCs/>
        </w:rPr>
        <w:t xml:space="preserve">White Teeth </w:t>
      </w:r>
      <w:r w:rsidR="002D393C">
        <w:t>are wide and subjective</w:t>
      </w:r>
      <w:r w:rsidR="0017486F">
        <w:t xml:space="preserve">. This directly contrasts </w:t>
      </w:r>
      <w:r w:rsidR="00604D36">
        <w:t xml:space="preserve">with the </w:t>
      </w:r>
      <w:r w:rsidR="00A46A84">
        <w:t xml:space="preserve">ideology of the </w:t>
      </w:r>
      <w:r w:rsidR="00604D36">
        <w:t>characters in Roy’s text, who feel justified in treating members of their own society poorly</w:t>
      </w:r>
      <w:r w:rsidR="00865D4D">
        <w:t xml:space="preserve">, because </w:t>
      </w:r>
      <w:r w:rsidR="009C18CB">
        <w:t xml:space="preserve">they don’t </w:t>
      </w:r>
      <w:r w:rsidR="005A143A">
        <w:t>(or are not allowed to) perform the accepted stereotypes of whiteness</w:t>
      </w:r>
      <w:r w:rsidR="00865D4D">
        <w:t>.</w:t>
      </w:r>
      <w:r w:rsidR="00936C54">
        <w:t xml:space="preserve"> Bentley suggests that</w:t>
      </w:r>
      <w:r w:rsidR="005C4C5C">
        <w:t xml:space="preserve"> Englishness is more complex than </w:t>
      </w:r>
      <w:r w:rsidR="00211D63">
        <w:t xml:space="preserve">Englishness and Others. </w:t>
      </w:r>
      <w:r w:rsidR="00C45EC9">
        <w:t xml:space="preserve">Englishness indicates a person’s </w:t>
      </w:r>
      <w:r w:rsidR="00641C91">
        <w:t>self-awareness</w:t>
      </w:r>
      <w:r w:rsidR="00270963">
        <w:t xml:space="preserve"> </w:t>
      </w:r>
      <w:r w:rsidR="00641C91">
        <w:t>of</w:t>
      </w:r>
      <w:r w:rsidR="00270963">
        <w:t xml:space="preserve"> identity, but also </w:t>
      </w:r>
      <w:r w:rsidR="00641C91">
        <w:t xml:space="preserve">a collective discourse, </w:t>
      </w:r>
      <w:r w:rsidR="008A23EF">
        <w:t>multiculturalism,</w:t>
      </w:r>
      <w:r w:rsidR="00641C91">
        <w:t xml:space="preserve"> and Post-Colonial Guilt.</w:t>
      </w:r>
      <w:r w:rsidR="007F2430">
        <w:rPr>
          <w:rStyle w:val="FootnoteReference"/>
        </w:rPr>
        <w:footnoteReference w:id="15"/>
      </w:r>
      <w:r w:rsidR="008A23EF">
        <w:t xml:space="preserve"> </w:t>
      </w:r>
    </w:p>
    <w:p w14:paraId="0CB84DCD" w14:textId="6036DCA5" w:rsidR="009B338D" w:rsidRDefault="00104C19" w:rsidP="00DD1A83">
      <w:pPr>
        <w:spacing w:line="480" w:lineRule="auto"/>
      </w:pPr>
      <w:r>
        <w:t>Sophie Mol</w:t>
      </w:r>
      <w:r w:rsidR="007E6687">
        <w:t>’</w:t>
      </w:r>
      <w:r>
        <w:t xml:space="preserve">s arrival in </w:t>
      </w:r>
      <w:proofErr w:type="spellStart"/>
      <w:r>
        <w:t>Ayemenem</w:t>
      </w:r>
      <w:proofErr w:type="spellEnd"/>
      <w:r>
        <w:t xml:space="preserve"> is </w:t>
      </w:r>
      <w:r w:rsidR="00D1434A">
        <w:t>insidious through its anticipation</w:t>
      </w:r>
      <w:r w:rsidR="00D25338">
        <w:t xml:space="preserve"> (</w:t>
      </w:r>
      <w:r w:rsidR="000F799A">
        <w:t>“</w:t>
      </w:r>
      <w:r w:rsidR="00476CE8">
        <w:t xml:space="preserve">It had been the </w:t>
      </w:r>
      <w:r w:rsidR="00476CE8">
        <w:rPr>
          <w:i/>
          <w:iCs/>
        </w:rPr>
        <w:t xml:space="preserve">What Will Sophie Mol Think? </w:t>
      </w:r>
      <w:r w:rsidR="000F799A">
        <w:rPr>
          <w:i/>
          <w:iCs/>
        </w:rPr>
        <w:t>Week”</w:t>
      </w:r>
      <w:r w:rsidR="000F799A">
        <w:rPr>
          <w:rStyle w:val="FootnoteReference"/>
          <w:i/>
          <w:iCs/>
        </w:rPr>
        <w:footnoteReference w:id="16"/>
      </w:r>
      <w:r w:rsidR="000F799A">
        <w:rPr>
          <w:i/>
          <w:iCs/>
        </w:rPr>
        <w:t>)</w:t>
      </w:r>
      <w:r w:rsidR="00D1434A">
        <w:t>, culminating in the upheaval of her presence</w:t>
      </w:r>
      <w:r w:rsidR="00427EFB">
        <w:t>.</w:t>
      </w:r>
      <w:r w:rsidR="007D1BA7">
        <w:t xml:space="preserve"> </w:t>
      </w:r>
      <w:r w:rsidR="006C6E97">
        <w:t>This could be said to</w:t>
      </w:r>
      <w:r w:rsidR="007D1BA7">
        <w:t xml:space="preserve"> </w:t>
      </w:r>
      <w:r w:rsidR="006C6E97">
        <w:t xml:space="preserve">allegorise </w:t>
      </w:r>
      <w:r w:rsidR="007D1BA7">
        <w:t xml:space="preserve">the </w:t>
      </w:r>
      <w:r w:rsidR="00D1434A">
        <w:t xml:space="preserve">East India Company and </w:t>
      </w:r>
      <w:r w:rsidR="00427EFB">
        <w:t>subsequent British Raj.</w:t>
      </w:r>
      <w:r w:rsidR="00F108D8">
        <w:t xml:space="preserve"> </w:t>
      </w:r>
      <w:proofErr w:type="spellStart"/>
      <w:r w:rsidR="00B23410">
        <w:t>Mammachi</w:t>
      </w:r>
      <w:proofErr w:type="spellEnd"/>
      <w:r w:rsidR="00B23410">
        <w:t>, t</w:t>
      </w:r>
      <w:r w:rsidR="002B07CA">
        <w:t>he matriarch of the Ipe family</w:t>
      </w:r>
      <w:r w:rsidR="00B23410">
        <w:t xml:space="preserve">, </w:t>
      </w:r>
      <w:r w:rsidR="00CC677C">
        <w:t>privileges Sophie Mol by</w:t>
      </w:r>
      <w:r w:rsidR="00044F9D">
        <w:t xml:space="preserve"> first</w:t>
      </w:r>
      <w:r w:rsidR="00CA02FF">
        <w:t xml:space="preserve"> claiming her</w:t>
      </w:r>
      <w:r w:rsidR="007E6687">
        <w:t>,</w:t>
      </w:r>
      <w:r w:rsidR="00CA02FF">
        <w:t xml:space="preserve"> “my Sophie Mol”</w:t>
      </w:r>
      <w:r w:rsidR="00CA02FF">
        <w:rPr>
          <w:rStyle w:val="FootnoteReference"/>
        </w:rPr>
        <w:footnoteReference w:id="17"/>
      </w:r>
      <w:r w:rsidR="00CC677C">
        <w:t xml:space="preserve"> </w:t>
      </w:r>
      <w:r w:rsidR="00795120">
        <w:t xml:space="preserve">and then </w:t>
      </w:r>
      <w:r w:rsidR="00CC677C">
        <w:rPr>
          <w:i/>
          <w:iCs/>
        </w:rPr>
        <w:t xml:space="preserve">seeing </w:t>
      </w:r>
      <w:r w:rsidR="001A462F">
        <w:t xml:space="preserve">her. </w:t>
      </w:r>
      <w:proofErr w:type="spellStart"/>
      <w:r w:rsidR="001A462F">
        <w:t>Mammachi</w:t>
      </w:r>
      <w:proofErr w:type="spellEnd"/>
      <w:r w:rsidR="001A462F">
        <w:t xml:space="preserve"> is almost blind and can only see </w:t>
      </w:r>
      <w:r w:rsidR="00795120">
        <w:t>“</w:t>
      </w:r>
      <w:r w:rsidR="001A462F">
        <w:t xml:space="preserve">light and </w:t>
      </w:r>
      <w:r w:rsidR="00795120">
        <w:t>shadow”</w:t>
      </w:r>
      <w:r w:rsidR="001A462F">
        <w:t>.</w:t>
      </w:r>
      <w:r w:rsidR="00795120">
        <w:rPr>
          <w:rStyle w:val="FootnoteReference"/>
        </w:rPr>
        <w:footnoteReference w:id="18"/>
      </w:r>
      <w:r w:rsidR="001A462F">
        <w:t xml:space="preserve"> </w:t>
      </w:r>
      <w:r w:rsidR="004656D5">
        <w:t xml:space="preserve">This reflects </w:t>
      </w:r>
      <w:proofErr w:type="spellStart"/>
      <w:r w:rsidR="004656D5">
        <w:t>Mammachi’s</w:t>
      </w:r>
      <w:proofErr w:type="spellEnd"/>
      <w:r w:rsidR="004656D5">
        <w:t xml:space="preserve"> distorted view of reality. </w:t>
      </w:r>
      <w:r w:rsidR="001A462F">
        <w:t xml:space="preserve">From this initial moment Sophie </w:t>
      </w:r>
      <w:r w:rsidR="003061A3">
        <w:t>Mol is elevated as a deity, a light source.</w:t>
      </w:r>
      <w:r w:rsidR="002B764E">
        <w:t xml:space="preserve"> This reflects </w:t>
      </w:r>
      <w:r w:rsidR="00957DC7">
        <w:t>Menon’s</w:t>
      </w:r>
      <w:r w:rsidR="002B764E">
        <w:t xml:space="preserve"> argument that “White supremacy depends upon</w:t>
      </w:r>
      <w:r w:rsidR="00450D9B">
        <w:t xml:space="preserve"> maintaining</w:t>
      </w:r>
      <w:r w:rsidR="000E509B">
        <w:t xml:space="preserve"> i</w:t>
      </w:r>
      <w:r w:rsidR="00450D9B">
        <w:t>llusions that blinded subjects accept without resistance</w:t>
      </w:r>
      <w:r w:rsidR="00A73A6F">
        <w:t>”</w:t>
      </w:r>
      <w:r w:rsidR="00450D9B">
        <w:t xml:space="preserve">; </w:t>
      </w:r>
      <w:proofErr w:type="spellStart"/>
      <w:r w:rsidR="00ED5B57">
        <w:t>Mammachi’s</w:t>
      </w:r>
      <w:proofErr w:type="spellEnd"/>
      <w:r w:rsidR="00ED5B57">
        <w:t xml:space="preserve"> behaviour is </w:t>
      </w:r>
      <w:r w:rsidR="0093020B">
        <w:t>“based on her biased internalisation of white hegemonic codifications”</w:t>
      </w:r>
      <w:r w:rsidR="000E509B">
        <w:t>.</w:t>
      </w:r>
      <w:r w:rsidR="0093020B">
        <w:rPr>
          <w:rStyle w:val="FootnoteReference"/>
        </w:rPr>
        <w:footnoteReference w:id="19"/>
      </w:r>
      <w:r w:rsidR="00C12864">
        <w:t xml:space="preserve"> This treatment by </w:t>
      </w:r>
      <w:proofErr w:type="spellStart"/>
      <w:r w:rsidR="00C12864">
        <w:t>Mammachi</w:t>
      </w:r>
      <w:proofErr w:type="spellEnd"/>
      <w:r w:rsidR="00C12864">
        <w:t xml:space="preserve"> quickly places </w:t>
      </w:r>
      <w:proofErr w:type="spellStart"/>
      <w:r w:rsidR="00C12864">
        <w:t>Rahel</w:t>
      </w:r>
      <w:proofErr w:type="spellEnd"/>
      <w:r w:rsidR="00C12864">
        <w:t xml:space="preserve"> and </w:t>
      </w:r>
      <w:proofErr w:type="spellStart"/>
      <w:r w:rsidR="00C12864">
        <w:t>Esthe</w:t>
      </w:r>
      <w:proofErr w:type="spellEnd"/>
      <w:r w:rsidR="00C12864">
        <w:t xml:space="preserve"> as the Others in this scene, although they are in their own home</w:t>
      </w:r>
      <w:r w:rsidR="00DB6204">
        <w:t xml:space="preserve">, and this is an event in their story. </w:t>
      </w:r>
      <w:proofErr w:type="spellStart"/>
      <w:r w:rsidR="00DB6204">
        <w:t>Rahel</w:t>
      </w:r>
      <w:proofErr w:type="spellEnd"/>
      <w:r w:rsidR="00DB6204">
        <w:t xml:space="preserve">, having been quieted by her mother </w:t>
      </w:r>
      <w:r w:rsidR="00341B6E">
        <w:t>“looked around her and saw that she was in a Play. But she only had a small part.”</w:t>
      </w:r>
      <w:r w:rsidR="00F178F9">
        <w:rPr>
          <w:rStyle w:val="FootnoteReference"/>
        </w:rPr>
        <w:footnoteReference w:id="20"/>
      </w:r>
      <w:r w:rsidR="00BA63EF">
        <w:t xml:space="preserve"> Sophie Mol is the protagonist.</w:t>
      </w:r>
      <w:r w:rsidR="00A64894">
        <w:t xml:space="preserve"> The twins have been coached to p</w:t>
      </w:r>
      <w:r w:rsidR="00BE1B7B">
        <w:t xml:space="preserve">erform </w:t>
      </w:r>
      <w:r w:rsidR="00CA79EA">
        <w:t xml:space="preserve">Baby </w:t>
      </w:r>
      <w:proofErr w:type="spellStart"/>
      <w:r w:rsidR="00CA79EA">
        <w:t>Kochamma’s</w:t>
      </w:r>
      <w:proofErr w:type="spellEnd"/>
      <w:r w:rsidR="00CA79EA">
        <w:t xml:space="preserve"> idealised whiteness to Sophie Mol</w:t>
      </w:r>
      <w:r w:rsidR="00DC1E2B">
        <w:t>, prior to her arrival,</w:t>
      </w:r>
      <w:r w:rsidR="00CA79EA">
        <w:t xml:space="preserve"> </w:t>
      </w:r>
      <w:r w:rsidR="00DC1E2B">
        <w:t>t</w:t>
      </w:r>
      <w:r w:rsidR="000656A1">
        <w:t xml:space="preserve">hrough </w:t>
      </w:r>
      <w:r w:rsidR="000656A1">
        <w:lastRenderedPageBreak/>
        <w:t xml:space="preserve">their costumes </w:t>
      </w:r>
      <w:r w:rsidR="00BE1B7B">
        <w:t>and their spoken language</w:t>
      </w:r>
      <w:r w:rsidR="00527CE2">
        <w:t xml:space="preserve">. </w:t>
      </w:r>
      <w:r w:rsidR="00D1228D">
        <w:t>They received fines for speaking in Malayalam and had to write one hundred lines vowing to always speak in English</w:t>
      </w:r>
      <w:r w:rsidR="001718D0">
        <w:t>.</w:t>
      </w:r>
      <w:r w:rsidR="00D1228D">
        <w:rPr>
          <w:rStyle w:val="FootnoteReference"/>
        </w:rPr>
        <w:footnoteReference w:id="21"/>
      </w:r>
      <w:r w:rsidR="00485338">
        <w:t xml:space="preserve"> </w:t>
      </w:r>
      <w:r w:rsidR="007C41FE">
        <w:t>The Ipe family are linguistically colonised, as only speaking in English is recognised as acceptable, which doesn’t not reflect their local experience.</w:t>
      </w:r>
      <w:r w:rsidR="0065797E">
        <w:t xml:space="preserve"> </w:t>
      </w:r>
      <w:r w:rsidR="006F19F4">
        <w:t xml:space="preserve">“Colonisation refers </w:t>
      </w:r>
      <w:r w:rsidR="0005296A">
        <w:t xml:space="preserve">not only to physical domination but also to the production of specific forms of knowledge and discourse </w:t>
      </w:r>
      <w:r w:rsidR="00624C81">
        <w:t>to justify this colonisation process.”</w:t>
      </w:r>
      <w:r w:rsidR="00624C81">
        <w:rPr>
          <w:rStyle w:val="FootnoteReference"/>
        </w:rPr>
        <w:footnoteReference w:id="22"/>
      </w:r>
      <w:r w:rsidR="008D511F">
        <w:t xml:space="preserve"> Generations of the </w:t>
      </w:r>
      <w:r w:rsidR="00F75C76">
        <w:t xml:space="preserve">Ipe family have been colonised through English education. The East India </w:t>
      </w:r>
      <w:r w:rsidR="0022263B">
        <w:t>C</w:t>
      </w:r>
      <w:r w:rsidR="00F75C76">
        <w:t>ompany</w:t>
      </w:r>
      <w:r w:rsidR="0022263B">
        <w:t xml:space="preserve">’s charter renewal was the catalyst </w:t>
      </w:r>
      <w:r w:rsidR="00DB41C3">
        <w:t xml:space="preserve">for 100,000 rupees per year allocated by parliament </w:t>
      </w:r>
      <w:r w:rsidR="00791893">
        <w:t>towards education. The English education system</w:t>
      </w:r>
      <w:r w:rsidR="00187E74">
        <w:t xml:space="preserve"> and culture</w:t>
      </w:r>
      <w:r w:rsidR="00791893">
        <w:t xml:space="preserve"> was promoted as superior </w:t>
      </w:r>
      <w:r w:rsidR="001E28BF">
        <w:t>and was intended to create a class of Indian person that was superior (English) in opinion</w:t>
      </w:r>
      <w:r w:rsidR="00EB5E1D">
        <w:t xml:space="preserve">, </w:t>
      </w:r>
      <w:r w:rsidR="00F506FA">
        <w:t>intellect,</w:t>
      </w:r>
      <w:r w:rsidR="001E28BF">
        <w:t xml:space="preserve"> and </w:t>
      </w:r>
      <w:r w:rsidR="00EB5E1D">
        <w:t>morals.</w:t>
      </w:r>
      <w:r w:rsidR="00EB5E1D">
        <w:rPr>
          <w:rStyle w:val="FootnoteReference"/>
        </w:rPr>
        <w:footnoteReference w:id="23"/>
      </w:r>
      <w:r w:rsidR="00B71153">
        <w:t xml:space="preserve"> A </w:t>
      </w:r>
      <w:r w:rsidR="001F5F6B">
        <w:t>p</w:t>
      </w:r>
      <w:r w:rsidR="00931BEC">
        <w:t>opulation</w:t>
      </w:r>
      <w:r w:rsidR="001F5F6B">
        <w:t xml:space="preserve"> already defined by the caste system w</w:t>
      </w:r>
      <w:r w:rsidR="00774C9B">
        <w:t>ere highly suitable</w:t>
      </w:r>
      <w:r w:rsidR="001F5F6B">
        <w:t xml:space="preserve"> for interpellation.</w:t>
      </w:r>
      <w:r w:rsidR="00A74C0A">
        <w:t xml:space="preserve"> The caste system operates </w:t>
      </w:r>
      <w:r w:rsidR="00E644DC">
        <w:t>on the similar notion that a group of people can be superior, just by virtue of birth.</w:t>
      </w:r>
      <w:r w:rsidR="0090494F">
        <w:rPr>
          <w:rStyle w:val="FootnoteReference"/>
        </w:rPr>
        <w:footnoteReference w:id="24"/>
      </w:r>
      <w:r w:rsidR="00CF3579">
        <w:t xml:space="preserve"> During the nineteenth century the British novel was</w:t>
      </w:r>
      <w:r w:rsidR="00F401EC">
        <w:t xml:space="preserve"> </w:t>
      </w:r>
      <w:r w:rsidR="008F2EE4">
        <w:t xml:space="preserve">introduced </w:t>
      </w:r>
      <w:r w:rsidR="00E023D9">
        <w:t xml:space="preserve">into India </w:t>
      </w:r>
      <w:r w:rsidR="008F2EE4">
        <w:t xml:space="preserve">to legitimate and </w:t>
      </w:r>
      <w:r w:rsidR="003D2E8B">
        <w:t>encourage Englishness.</w:t>
      </w:r>
      <w:r w:rsidR="003D2E8B">
        <w:rPr>
          <w:rStyle w:val="FootnoteReference"/>
        </w:rPr>
        <w:footnoteReference w:id="25"/>
      </w:r>
      <w:r w:rsidR="00245A58">
        <w:t xml:space="preserve"> </w:t>
      </w:r>
      <w:r w:rsidR="00F401EC">
        <w:t>The introduction of the English language as a socially superior form of education</w:t>
      </w:r>
      <w:r w:rsidR="00722B39">
        <w:t xml:space="preserve"> offered touchable </w:t>
      </w:r>
      <w:r w:rsidR="00DE15C3">
        <w:t xml:space="preserve">people another way to gain superiority, whilst </w:t>
      </w:r>
      <w:r w:rsidR="00472827">
        <w:t>simultaneously</w:t>
      </w:r>
      <w:r w:rsidR="00F401EC">
        <w:t xml:space="preserve"> enabl</w:t>
      </w:r>
      <w:r w:rsidR="00DE15C3">
        <w:t>ing</w:t>
      </w:r>
      <w:r w:rsidR="00F401EC">
        <w:t xml:space="preserve"> the</w:t>
      </w:r>
      <w:r w:rsidR="00472827">
        <w:t xml:space="preserve"> British to</w:t>
      </w:r>
      <w:r w:rsidR="00C10CCA">
        <w:t xml:space="preserve"> control ideology.</w:t>
      </w:r>
      <w:r w:rsidR="008B7096">
        <w:t xml:space="preserve"> As </w:t>
      </w:r>
      <w:proofErr w:type="spellStart"/>
      <w:r w:rsidR="008B7096">
        <w:t>Gusta</w:t>
      </w:r>
      <w:r w:rsidR="00181464">
        <w:t>r</w:t>
      </w:r>
      <w:proofErr w:type="spellEnd"/>
      <w:r w:rsidR="008B7096">
        <w:t xml:space="preserve"> notes, language is “efficacious </w:t>
      </w:r>
      <w:r w:rsidR="008F7B4F">
        <w:t>in creating and controlling reality”.</w:t>
      </w:r>
      <w:r w:rsidR="008F7B4F">
        <w:rPr>
          <w:rStyle w:val="FootnoteReference"/>
        </w:rPr>
        <w:footnoteReference w:id="26"/>
      </w:r>
      <w:r w:rsidR="00BB4A8C">
        <w:t xml:space="preserve"> Chacko</w:t>
      </w:r>
      <w:r w:rsidR="003B676B">
        <w:t xml:space="preserve">, the </w:t>
      </w:r>
      <w:r w:rsidR="00804C2E">
        <w:t>high caste</w:t>
      </w:r>
      <w:r w:rsidR="003B676B">
        <w:t xml:space="preserve"> male character in </w:t>
      </w:r>
      <w:r w:rsidR="003B676B">
        <w:rPr>
          <w:i/>
          <w:iCs/>
        </w:rPr>
        <w:t>The God of Small Things</w:t>
      </w:r>
      <w:r w:rsidR="00804C2E">
        <w:rPr>
          <w:i/>
          <w:iCs/>
        </w:rPr>
        <w:t>,</w:t>
      </w:r>
      <w:r w:rsidR="00BB4A8C">
        <w:t xml:space="preserve"> perpetuates the superiority of western education by periodically and inappropriately quoting from books. “Chacko had been a Rhodes scholar at Oxford and was permitted excesses and eccentricities nobody else was.”</w:t>
      </w:r>
      <w:r w:rsidR="00BB4A8C">
        <w:rPr>
          <w:rStyle w:val="FootnoteReference"/>
        </w:rPr>
        <w:footnoteReference w:id="27"/>
      </w:r>
      <w:r w:rsidR="007870D5">
        <w:t xml:space="preserve"> </w:t>
      </w:r>
      <w:r w:rsidR="009321A2">
        <w:t>Although Chacko mock</w:t>
      </w:r>
      <w:r w:rsidR="00A04C9D">
        <w:t>s</w:t>
      </w:r>
      <w:r w:rsidR="009321A2">
        <w:t xml:space="preserve"> </w:t>
      </w:r>
      <w:proofErr w:type="spellStart"/>
      <w:r w:rsidR="009321A2">
        <w:t>Pappachi</w:t>
      </w:r>
      <w:proofErr w:type="spellEnd"/>
      <w:r w:rsidR="009321A2">
        <w:t xml:space="preserve"> for being </w:t>
      </w:r>
      <w:r w:rsidR="00A45D16">
        <w:t xml:space="preserve">obsessed with the English </w:t>
      </w:r>
      <w:r w:rsidR="00571728">
        <w:t>and</w:t>
      </w:r>
      <w:r w:rsidR="00544553">
        <w:t xml:space="preserve"> the </w:t>
      </w:r>
      <w:r w:rsidR="00DA69BB">
        <w:t>refers to</w:t>
      </w:r>
      <w:r w:rsidR="00571728">
        <w:t xml:space="preserve"> </w:t>
      </w:r>
      <w:r w:rsidR="00571728">
        <w:rPr>
          <w:i/>
          <w:iCs/>
        </w:rPr>
        <w:t xml:space="preserve">The Sound of Music </w:t>
      </w:r>
      <w:r w:rsidR="00544553">
        <w:t xml:space="preserve">as </w:t>
      </w:r>
      <w:r w:rsidR="00FA789E">
        <w:t>“an extended exercise in Anglophilia”</w:t>
      </w:r>
      <w:r w:rsidR="00531830">
        <w:rPr>
          <w:rStyle w:val="FootnoteReference"/>
        </w:rPr>
        <w:footnoteReference w:id="28"/>
      </w:r>
      <w:r w:rsidR="009321A2">
        <w:t xml:space="preserve"> </w:t>
      </w:r>
      <w:r w:rsidR="00A04C9D">
        <w:t>he also wears English clothes</w:t>
      </w:r>
      <w:r w:rsidR="00DA69BB">
        <w:t xml:space="preserve"> and has </w:t>
      </w:r>
      <w:r w:rsidR="00531830">
        <w:t>“</w:t>
      </w:r>
      <w:r w:rsidR="00DA69BB">
        <w:t>Oxford Moods”.</w:t>
      </w:r>
      <w:r w:rsidR="00531830">
        <w:rPr>
          <w:rStyle w:val="FootnoteReference"/>
        </w:rPr>
        <w:footnoteReference w:id="29"/>
      </w:r>
    </w:p>
    <w:p w14:paraId="1965225F" w14:textId="16F4166D" w:rsidR="00D85C1B" w:rsidRDefault="00485338" w:rsidP="00DD1A83">
      <w:pPr>
        <w:spacing w:line="480" w:lineRule="auto"/>
      </w:pPr>
      <w:r>
        <w:lastRenderedPageBreak/>
        <w:t xml:space="preserve">The </w:t>
      </w:r>
      <w:r w:rsidR="005B1A27">
        <w:t xml:space="preserve">twins’ ontological experience is undermined by Baby </w:t>
      </w:r>
      <w:proofErr w:type="spellStart"/>
      <w:r w:rsidR="005B1A27">
        <w:t>Kochamma’s</w:t>
      </w:r>
      <w:proofErr w:type="spellEnd"/>
      <w:r w:rsidR="005B1A27">
        <w:t xml:space="preserve"> insistences and punishments.</w:t>
      </w:r>
      <w:r w:rsidR="006A06DA">
        <w:t xml:space="preserve"> </w:t>
      </w:r>
      <w:r w:rsidR="003B7E2C">
        <w:t>“By imagining the imm</w:t>
      </w:r>
      <w:r w:rsidR="007C41FE">
        <w:t>i</w:t>
      </w:r>
      <w:r w:rsidR="003B7E2C">
        <w:t>nent perceptions of their British cousin</w:t>
      </w:r>
      <w:r w:rsidR="00A335DF">
        <w:t>, the twins are made to recognise as subordinate their own ways of seeing.”</w:t>
      </w:r>
      <w:r w:rsidR="00A335DF">
        <w:rPr>
          <w:rStyle w:val="FootnoteReference"/>
        </w:rPr>
        <w:footnoteReference w:id="30"/>
      </w:r>
      <w:r w:rsidR="001718D0">
        <w:t xml:space="preserve"> </w:t>
      </w:r>
      <w:r w:rsidR="00A13D2C">
        <w:t>Their</w:t>
      </w:r>
      <w:r w:rsidR="00815530">
        <w:t xml:space="preserve"> rehearsal and part in the performance of Sophie Mol’s visit </w:t>
      </w:r>
      <w:r w:rsidR="006047D9">
        <w:t>“makes the twins more aware of their depreciation”</w:t>
      </w:r>
      <w:r w:rsidR="00EB2F50">
        <w:t>.</w:t>
      </w:r>
      <w:r w:rsidR="006047D9">
        <w:rPr>
          <w:rStyle w:val="FootnoteReference"/>
        </w:rPr>
        <w:footnoteReference w:id="31"/>
      </w:r>
      <w:r w:rsidR="00EB2F50">
        <w:t xml:space="preserve"> </w:t>
      </w:r>
      <w:r w:rsidR="00E85EC0">
        <w:t xml:space="preserve">Baby </w:t>
      </w:r>
      <w:proofErr w:type="spellStart"/>
      <w:r w:rsidR="00E85EC0">
        <w:t>Kochamma</w:t>
      </w:r>
      <w:proofErr w:type="spellEnd"/>
      <w:r w:rsidR="00E85EC0">
        <w:t xml:space="preserve"> </w:t>
      </w:r>
      <w:r w:rsidR="003E5D17">
        <w:t>describes Sophie Mol as a sprite</w:t>
      </w:r>
      <w:r w:rsidR="00DA27FA">
        <w:t>, in a strange new English accent</w:t>
      </w:r>
      <w:r w:rsidR="003E5D17">
        <w:t>, likening her to Ariel to show</w:t>
      </w:r>
      <w:r w:rsidR="00DA27FA">
        <w:t>case</w:t>
      </w:r>
      <w:r w:rsidR="003E5D17">
        <w:t xml:space="preserve"> </w:t>
      </w:r>
      <w:r w:rsidR="007C319F">
        <w:t xml:space="preserve">Baby </w:t>
      </w:r>
      <w:proofErr w:type="spellStart"/>
      <w:r w:rsidR="007C319F">
        <w:t>Kochamma’s</w:t>
      </w:r>
      <w:proofErr w:type="spellEnd"/>
      <w:r w:rsidR="003E5D17">
        <w:t xml:space="preserve"> knowledge of Shakespeare.</w:t>
      </w:r>
      <w:r w:rsidR="006F75B7">
        <w:rPr>
          <w:rStyle w:val="FootnoteReference"/>
        </w:rPr>
        <w:footnoteReference w:id="32"/>
      </w:r>
      <w:r w:rsidR="004B453C">
        <w:t xml:space="preserve"> </w:t>
      </w:r>
      <w:r w:rsidR="003E5D17">
        <w:t>Ironically this goes</w:t>
      </w:r>
      <w:r w:rsidR="002050A0">
        <w:t xml:space="preserve"> unnoticed by Sophie Mol, who is only interested in sashaying</w:t>
      </w:r>
      <w:r w:rsidR="001807E4">
        <w:t xml:space="preserve"> and whose parents are more violent</w:t>
      </w:r>
      <w:r w:rsidR="002050A0">
        <w:t>.</w:t>
      </w:r>
      <w:r w:rsidR="00203F3D">
        <w:rPr>
          <w:rStyle w:val="FootnoteReference"/>
        </w:rPr>
        <w:footnoteReference w:id="33"/>
      </w:r>
      <w:r w:rsidR="002050A0">
        <w:t xml:space="preserve"> </w:t>
      </w:r>
      <w:r w:rsidR="00E50007">
        <w:t xml:space="preserve">Sophie Mol’s placement as an angel or mythical being, juxtaposes the </w:t>
      </w:r>
      <w:r w:rsidR="00ED1777">
        <w:t>“</w:t>
      </w:r>
      <w:proofErr w:type="spellStart"/>
      <w:r w:rsidR="00E50007">
        <w:t>mudbrown</w:t>
      </w:r>
      <w:proofErr w:type="spellEnd"/>
      <w:r w:rsidR="00ED1777">
        <w:t>” twins.</w:t>
      </w:r>
      <w:r w:rsidR="00ED1777">
        <w:rPr>
          <w:rStyle w:val="FootnoteReference"/>
        </w:rPr>
        <w:footnoteReference w:id="34"/>
      </w:r>
      <w:r w:rsidR="007C41FE">
        <w:t xml:space="preserve"> The comparison of their skin colour to mud shows they have little value, can be treated like dirt and are to be walked over.</w:t>
      </w:r>
      <w:r w:rsidR="003A1A8D">
        <w:t xml:space="preserve"> </w:t>
      </w:r>
      <w:r w:rsidR="00CE7316">
        <w:t>Sophie</w:t>
      </w:r>
      <w:r w:rsidR="000F019C">
        <w:t>’s worth</w:t>
      </w:r>
      <w:r w:rsidR="00D43E35">
        <w:t xml:space="preserve"> and right to be loved</w:t>
      </w:r>
      <w:r w:rsidR="00CE7316">
        <w:t xml:space="preserve"> is aligned with the fictional “peppermint children” in </w:t>
      </w:r>
      <w:r w:rsidR="00CE7316">
        <w:rPr>
          <w:i/>
          <w:iCs/>
        </w:rPr>
        <w:t>The Sound of Music</w:t>
      </w:r>
      <w:r w:rsidR="009F14DD">
        <w:rPr>
          <w:i/>
          <w:iCs/>
        </w:rPr>
        <w:t xml:space="preserve">. </w:t>
      </w:r>
      <w:r w:rsidR="00ED4581">
        <w:t xml:space="preserve">Tickell states that “the cultural </w:t>
      </w:r>
      <w:r w:rsidR="003B5A9E">
        <w:t xml:space="preserve">authority invested in </w:t>
      </w:r>
      <w:r w:rsidR="003B5A9E">
        <w:rPr>
          <w:i/>
          <w:iCs/>
        </w:rPr>
        <w:t xml:space="preserve">The Sound of Music </w:t>
      </w:r>
      <w:r w:rsidR="003B5A9E">
        <w:t xml:space="preserve">means that </w:t>
      </w:r>
      <w:proofErr w:type="spellStart"/>
      <w:r w:rsidR="003B5A9E">
        <w:t>Estha</w:t>
      </w:r>
      <w:proofErr w:type="spellEnd"/>
      <w:r w:rsidR="003B5A9E">
        <w:t xml:space="preserve"> and </w:t>
      </w:r>
      <w:proofErr w:type="spellStart"/>
      <w:r w:rsidR="003B5A9E">
        <w:t>Rahel</w:t>
      </w:r>
      <w:proofErr w:type="spellEnd"/>
      <w:r w:rsidR="00F660C1">
        <w:t xml:space="preserve"> </w:t>
      </w:r>
      <w:r w:rsidR="00E651CF">
        <w:t>can believe that the version of the child in the film is the only legitimate one.”</w:t>
      </w:r>
      <w:r w:rsidR="00E651CF">
        <w:rPr>
          <w:rStyle w:val="FootnoteReference"/>
        </w:rPr>
        <w:footnoteReference w:id="35"/>
      </w:r>
      <w:r w:rsidR="008255D8">
        <w:t xml:space="preserve"> </w:t>
      </w:r>
      <w:proofErr w:type="spellStart"/>
      <w:r w:rsidR="008255D8">
        <w:t>Estha</w:t>
      </w:r>
      <w:proofErr w:type="spellEnd"/>
      <w:r w:rsidR="008255D8">
        <w:t xml:space="preserve"> and </w:t>
      </w:r>
      <w:proofErr w:type="spellStart"/>
      <w:r w:rsidR="008255D8">
        <w:t>Rahel</w:t>
      </w:r>
      <w:proofErr w:type="spellEnd"/>
      <w:r w:rsidR="008255D8">
        <w:t xml:space="preserve"> are further illegitimated by their race and lack of</w:t>
      </w:r>
      <w:r w:rsidR="007C41FE">
        <w:t xml:space="preserve"> present</w:t>
      </w:r>
      <w:r w:rsidR="008255D8">
        <w:t xml:space="preserve"> father.</w:t>
      </w:r>
      <w:r w:rsidR="00B908CC">
        <w:rPr>
          <w:rStyle w:val="FootnoteReference"/>
        </w:rPr>
        <w:footnoteReference w:id="36"/>
      </w:r>
      <w:r w:rsidR="0027363F">
        <w:t xml:space="preserve"> Even though the peppermint children </w:t>
      </w:r>
      <w:r w:rsidR="003573F3">
        <w:t xml:space="preserve">are nameless and faceless, their personification of </w:t>
      </w:r>
      <w:r w:rsidR="00980ACA">
        <w:t xml:space="preserve">cleanliness </w:t>
      </w:r>
      <w:r w:rsidR="00A70E48">
        <w:t>serves as a trope for “colonialist ways of making knowledge”.</w:t>
      </w:r>
      <w:r w:rsidR="008926FB">
        <w:t xml:space="preserve"> The cinema serves to rein</w:t>
      </w:r>
      <w:r w:rsidR="00843F56">
        <w:t>force cultural imperialism</w:t>
      </w:r>
      <w:r w:rsidR="00470559">
        <w:t xml:space="preserve"> and hegemonic family values</w:t>
      </w:r>
      <w:r w:rsidR="00843F56">
        <w:t>.</w:t>
      </w:r>
      <w:r w:rsidR="008962FC">
        <w:rPr>
          <w:rStyle w:val="FootnoteReference"/>
        </w:rPr>
        <w:footnoteReference w:id="37"/>
      </w:r>
      <w:r w:rsidR="00CB29D3">
        <w:t xml:space="preserve"> Whiteness is synonymous with </w:t>
      </w:r>
      <w:r w:rsidR="007C41FE">
        <w:t>confectionary and sweetness</w:t>
      </w:r>
      <w:r w:rsidR="00CB29D3">
        <w:t xml:space="preserve">, which creates a sharp contrast to </w:t>
      </w:r>
      <w:proofErr w:type="spellStart"/>
      <w:r w:rsidR="00CB29D3">
        <w:t>Estha’s</w:t>
      </w:r>
      <w:proofErr w:type="spellEnd"/>
      <w:r w:rsidR="00CB29D3">
        <w:t xml:space="preserve"> real experience in the sa</w:t>
      </w:r>
      <w:r w:rsidR="009D5E79">
        <w:t xml:space="preserve">me moment with the </w:t>
      </w:r>
      <w:proofErr w:type="spellStart"/>
      <w:r w:rsidR="00570FC9">
        <w:t>Orangedrink</w:t>
      </w:r>
      <w:proofErr w:type="spellEnd"/>
      <w:r w:rsidR="00570FC9">
        <w:t xml:space="preserve"> </w:t>
      </w:r>
      <w:proofErr w:type="spellStart"/>
      <w:r w:rsidR="009D5E79">
        <w:t>Lemondrink</w:t>
      </w:r>
      <w:proofErr w:type="spellEnd"/>
      <w:r w:rsidR="009D5E79">
        <w:t xml:space="preserve"> Man.</w:t>
      </w:r>
      <w:r w:rsidR="00741A30">
        <w:rPr>
          <w:rStyle w:val="FootnoteReference"/>
        </w:rPr>
        <w:footnoteReference w:id="38"/>
      </w:r>
      <w:r w:rsidR="005C203D">
        <w:t xml:space="preserve"> </w:t>
      </w:r>
      <w:r w:rsidR="00351F22">
        <w:t>The twins idolise the peppermint children and Julie Andrews but when they are presented with Sophie Mol in real life they</w:t>
      </w:r>
      <w:r w:rsidR="00312EFF">
        <w:t xml:space="preserve"> are confused by </w:t>
      </w:r>
      <w:r w:rsidR="008A4F1F">
        <w:t>their disenfranchisement</w:t>
      </w:r>
      <w:r w:rsidR="00A82B58">
        <w:t xml:space="preserve">. </w:t>
      </w:r>
      <w:r w:rsidR="000E7366">
        <w:t>Although</w:t>
      </w:r>
      <w:r w:rsidR="00A82B58">
        <w:t xml:space="preserve"> Sophie Mol is </w:t>
      </w:r>
      <w:r w:rsidR="00D05B9F">
        <w:t>half English</w:t>
      </w:r>
      <w:r w:rsidR="008970AE">
        <w:t xml:space="preserve">, the universality of childhood </w:t>
      </w:r>
      <w:r w:rsidR="00770BA5">
        <w:t xml:space="preserve">indicates to them that </w:t>
      </w:r>
      <w:r w:rsidR="008970AE">
        <w:t>they should feel equal.</w:t>
      </w:r>
      <w:r w:rsidR="00D93416">
        <w:t xml:space="preserve"> Baby </w:t>
      </w:r>
      <w:proofErr w:type="spellStart"/>
      <w:r w:rsidR="00D93416">
        <w:t>Kochamma</w:t>
      </w:r>
      <w:proofErr w:type="spellEnd"/>
      <w:r w:rsidR="00D93416">
        <w:t xml:space="preserve"> strives to show her cultural </w:t>
      </w:r>
      <w:r w:rsidR="00430ED5">
        <w:t>superiority to Margaret</w:t>
      </w:r>
      <w:r w:rsidR="00F05030">
        <w:t xml:space="preserve">, which </w:t>
      </w:r>
      <w:r w:rsidR="00ED17A1">
        <w:t xml:space="preserve">is comedic and gives the character an edge of desperation for acceptance. </w:t>
      </w:r>
      <w:r w:rsidR="003E3665">
        <w:t xml:space="preserve">“The local subjects </w:t>
      </w:r>
      <w:r w:rsidR="00E14161">
        <w:t>struggle within an environment</w:t>
      </w:r>
      <w:r w:rsidR="00AD4CA2">
        <w:t xml:space="preserve"> </w:t>
      </w:r>
      <w:r w:rsidR="00E14161">
        <w:t xml:space="preserve">shouting whiteness representing </w:t>
      </w:r>
      <w:r w:rsidR="00E14161">
        <w:lastRenderedPageBreak/>
        <w:t xml:space="preserve">those that </w:t>
      </w:r>
      <w:r w:rsidR="00AD4CA2">
        <w:t>have learned to value themselves only as imitators of whiteness.”</w:t>
      </w:r>
      <w:r w:rsidR="00AD4CA2">
        <w:rPr>
          <w:rStyle w:val="FootnoteReference"/>
        </w:rPr>
        <w:footnoteReference w:id="39"/>
      </w:r>
      <w:r w:rsidR="00D57B8E">
        <w:t xml:space="preserve"> </w:t>
      </w:r>
      <w:r w:rsidR="00B00BB9">
        <w:t xml:space="preserve">Baby </w:t>
      </w:r>
      <w:proofErr w:type="spellStart"/>
      <w:r w:rsidR="00B00BB9">
        <w:t>Kochamma</w:t>
      </w:r>
      <w:proofErr w:type="spellEnd"/>
      <w:r w:rsidR="00B00BB9">
        <w:t xml:space="preserve"> cannot accept her hybridity.</w:t>
      </w:r>
      <w:r w:rsidR="00AA1384">
        <w:t xml:space="preserve"> </w:t>
      </w:r>
    </w:p>
    <w:p w14:paraId="7190269A" w14:textId="5AF2AA69" w:rsidR="001B74CD" w:rsidRDefault="00D85C1B" w:rsidP="00DD1A83">
      <w:pPr>
        <w:spacing w:line="480" w:lineRule="auto"/>
      </w:pPr>
      <w:r>
        <w:t xml:space="preserve">In </w:t>
      </w:r>
      <w:r>
        <w:rPr>
          <w:i/>
          <w:iCs/>
        </w:rPr>
        <w:t>White Teeth</w:t>
      </w:r>
      <w:r>
        <w:t xml:space="preserve"> hybridity is the norm.</w:t>
      </w:r>
      <w:r w:rsidR="008F6959">
        <w:t xml:space="preserve"> </w:t>
      </w:r>
      <w:proofErr w:type="spellStart"/>
      <w:r w:rsidR="008F6959">
        <w:t>Irie</w:t>
      </w:r>
      <w:proofErr w:type="spellEnd"/>
      <w:r w:rsidR="008F6959">
        <w:t xml:space="preserve"> is as </w:t>
      </w:r>
      <w:r w:rsidR="00413D44">
        <w:t xml:space="preserve">English genetically as Sophie Mol is, but is not seen as purely English, or deified </w:t>
      </w:r>
      <w:r w:rsidR="00E9312F">
        <w:t xml:space="preserve">for having </w:t>
      </w:r>
      <w:r w:rsidR="001731EC">
        <w:t xml:space="preserve">English </w:t>
      </w:r>
      <w:r w:rsidR="00E9312F">
        <w:t>heritage.</w:t>
      </w:r>
      <w:r w:rsidR="001731EC">
        <w:t xml:space="preserve"> </w:t>
      </w:r>
      <w:r w:rsidR="00D724A3">
        <w:t>Indeed,</w:t>
      </w:r>
      <w:r w:rsidR="001731EC">
        <w:t xml:space="preserve"> </w:t>
      </w:r>
      <w:proofErr w:type="spellStart"/>
      <w:r w:rsidR="0055653D">
        <w:t>Irie</w:t>
      </w:r>
      <w:proofErr w:type="spellEnd"/>
      <w:r w:rsidR="0055653D">
        <w:t xml:space="preserve"> experiences casual racism and objectification from the </w:t>
      </w:r>
      <w:proofErr w:type="spellStart"/>
      <w:r w:rsidR="0055653D">
        <w:t>Chalfen</w:t>
      </w:r>
      <w:proofErr w:type="spellEnd"/>
      <w:r w:rsidR="0055653D">
        <w:t xml:space="preserve"> family,</w:t>
      </w:r>
      <w:r w:rsidR="00591779">
        <w:t xml:space="preserve"> </w:t>
      </w:r>
      <w:r w:rsidR="00DE3E2C">
        <w:t>who call her and Millat “exotic”</w:t>
      </w:r>
      <w:r w:rsidR="00DE3E2C">
        <w:rPr>
          <w:rStyle w:val="FootnoteReference"/>
        </w:rPr>
        <w:footnoteReference w:id="40"/>
      </w:r>
      <w:r w:rsidR="00DE3E2C">
        <w:t xml:space="preserve"> and </w:t>
      </w:r>
      <w:r w:rsidR="0055653D">
        <w:t xml:space="preserve">seek to </w:t>
      </w:r>
      <w:r w:rsidR="000C7884">
        <w:t>a</w:t>
      </w:r>
      <w:r w:rsidR="008305C1">
        <w:t xml:space="preserve">ppropriate </w:t>
      </w:r>
      <w:r w:rsidR="000C7884">
        <w:t xml:space="preserve">the </w:t>
      </w:r>
      <w:proofErr w:type="gramStart"/>
      <w:r w:rsidR="000C7884">
        <w:t>Other</w:t>
      </w:r>
      <w:proofErr w:type="gramEnd"/>
      <w:r w:rsidR="000C7884">
        <w:t xml:space="preserve"> children at the expense of their own. </w:t>
      </w:r>
      <w:r w:rsidR="00BA3491">
        <w:t xml:space="preserve">The </w:t>
      </w:r>
      <w:proofErr w:type="spellStart"/>
      <w:r w:rsidR="00D715F8">
        <w:t>Chalfen</w:t>
      </w:r>
      <w:proofErr w:type="spellEnd"/>
      <w:r w:rsidR="00D715F8">
        <w:t xml:space="preserve"> family should be the epitome of Englishness, as a white, middle class, educated family. </w:t>
      </w:r>
      <w:r w:rsidR="00267029">
        <w:t>However,</w:t>
      </w:r>
      <w:r w:rsidR="00D724A3">
        <w:t xml:space="preserve"> we are shown ma</w:t>
      </w:r>
      <w:r w:rsidR="00D74619">
        <w:t xml:space="preserve">ny </w:t>
      </w:r>
      <w:r w:rsidR="005969D2">
        <w:t>multicultural</w:t>
      </w:r>
      <w:r w:rsidR="00D74619">
        <w:t xml:space="preserve"> families that </w:t>
      </w:r>
      <w:r w:rsidR="00267029">
        <w:t>seem</w:t>
      </w:r>
      <w:r w:rsidR="00D74619">
        <w:t xml:space="preserve"> no less English</w:t>
      </w:r>
      <w:r w:rsidR="00267029">
        <w:t xml:space="preserve"> to a modern reader</w:t>
      </w:r>
      <w:r w:rsidR="00D74619">
        <w:t xml:space="preserve">. Furthermore, </w:t>
      </w:r>
      <w:r w:rsidR="00F46247">
        <w:t>behind the veneer of Englishness, the</w:t>
      </w:r>
      <w:r w:rsidR="00D74619">
        <w:t xml:space="preserve"> </w:t>
      </w:r>
      <w:proofErr w:type="spellStart"/>
      <w:r w:rsidR="00D74619">
        <w:t>Chalfens</w:t>
      </w:r>
      <w:proofErr w:type="spellEnd"/>
      <w:r w:rsidR="00D74619">
        <w:t xml:space="preserve"> are </w:t>
      </w:r>
      <w:r w:rsidR="00595AEA">
        <w:t>immigrants</w:t>
      </w:r>
      <w:r w:rsidR="00D74619">
        <w:t xml:space="preserve"> themselves</w:t>
      </w:r>
      <w:r w:rsidR="008305C1">
        <w:t xml:space="preserve">, </w:t>
      </w:r>
      <w:r w:rsidR="00DD05B0">
        <w:t>previously</w:t>
      </w:r>
      <w:r w:rsidR="00595AEA">
        <w:t xml:space="preserve"> named</w:t>
      </w:r>
      <w:r w:rsidR="00DD05B0">
        <w:t xml:space="preserve"> </w:t>
      </w:r>
      <w:proofErr w:type="spellStart"/>
      <w:r w:rsidR="00DD05B0">
        <w:t>Chalfenovsky</w:t>
      </w:r>
      <w:proofErr w:type="spellEnd"/>
      <w:r w:rsidR="00DD05B0">
        <w:t xml:space="preserve">. This reinforces </w:t>
      </w:r>
      <w:r w:rsidR="003F6ACF">
        <w:t xml:space="preserve">the arbitrary nature of making meaning through </w:t>
      </w:r>
      <w:r w:rsidR="00EF19C7">
        <w:t>genetics or geography.</w:t>
      </w:r>
      <w:r w:rsidR="00823C86">
        <w:t xml:space="preserve"> </w:t>
      </w:r>
      <w:r w:rsidR="003E2B12">
        <w:t xml:space="preserve">The </w:t>
      </w:r>
      <w:proofErr w:type="spellStart"/>
      <w:r w:rsidR="003E2B12">
        <w:t>Chalfen</w:t>
      </w:r>
      <w:r w:rsidR="00831B5D">
        <w:t>s</w:t>
      </w:r>
      <w:proofErr w:type="spellEnd"/>
      <w:r w:rsidR="00831B5D">
        <w:t xml:space="preserve"> also indicate that in Smith’s London the lower classes are less racist. </w:t>
      </w:r>
      <w:r w:rsidR="00BD5708">
        <w:t>Pere</w:t>
      </w:r>
      <w:r w:rsidR="00E36CA6">
        <w:t xml:space="preserve">z Fernandez asserts that “the characters in </w:t>
      </w:r>
      <w:r w:rsidR="00E36CA6">
        <w:rPr>
          <w:i/>
          <w:iCs/>
        </w:rPr>
        <w:t>White Teeth</w:t>
      </w:r>
      <w:r w:rsidR="00F449F7">
        <w:t xml:space="preserve"> are the epitome of hybridity and cultural diversity</w:t>
      </w:r>
      <w:r w:rsidR="00087707">
        <w:t>”.</w:t>
      </w:r>
      <w:r w:rsidR="00373A29">
        <w:rPr>
          <w:rStyle w:val="FootnoteReference"/>
        </w:rPr>
        <w:footnoteReference w:id="41"/>
      </w:r>
      <w:r w:rsidR="00087707">
        <w:t xml:space="preserve"> Their only thing in common is London</w:t>
      </w:r>
      <w:r w:rsidR="00032726">
        <w:t>.</w:t>
      </w:r>
      <w:r w:rsidR="00921139">
        <w:t xml:space="preserve"> </w:t>
      </w:r>
      <w:r w:rsidR="00032726">
        <w:t>This gives</w:t>
      </w:r>
      <w:r w:rsidR="00921139">
        <w:t xml:space="preserve"> the </w:t>
      </w:r>
      <w:r w:rsidR="008E0BD2">
        <w:t xml:space="preserve">sense that everybody </w:t>
      </w:r>
      <w:r w:rsidR="00595AEA">
        <w:t>belongs because</w:t>
      </w:r>
      <w:r w:rsidR="008E0BD2">
        <w:t xml:space="preserve"> nobody belongs</w:t>
      </w:r>
      <w:r w:rsidR="00373A29">
        <w:t>.</w:t>
      </w:r>
      <w:r w:rsidR="00CF3705">
        <w:t xml:space="preserve"> Rather than hoping for his set of </w:t>
      </w:r>
      <w:r w:rsidR="00AB3030">
        <w:t>twins to be</w:t>
      </w:r>
      <w:r w:rsidR="00D300C1">
        <w:t xml:space="preserve"> fully</w:t>
      </w:r>
      <w:r w:rsidR="00AB3030">
        <w:t xml:space="preserve"> Anglicised, Samad is desperate for them to retain some of the Bengali </w:t>
      </w:r>
      <w:r w:rsidR="00436199">
        <w:t>culture that he no longer has</w:t>
      </w:r>
      <w:r w:rsidR="001C6FC0">
        <w:t>,</w:t>
      </w:r>
      <w:r w:rsidR="00436199">
        <w:t xml:space="preserve"> </w:t>
      </w:r>
      <w:r w:rsidR="006A7CDD">
        <w:t>and</w:t>
      </w:r>
      <w:r w:rsidR="001C2C2C">
        <w:t xml:space="preserve"> his</w:t>
      </w:r>
      <w:r w:rsidR="006A7CDD">
        <w:t xml:space="preserve"> </w:t>
      </w:r>
      <w:r w:rsidR="00721587">
        <w:t xml:space="preserve">conservative Muslim </w:t>
      </w:r>
      <w:r w:rsidR="00436199">
        <w:t>fai</w:t>
      </w:r>
      <w:r w:rsidR="00811E56">
        <w:t>th</w:t>
      </w:r>
      <w:r w:rsidR="002C05F3">
        <w:t>. This shows Samad’s hypocrisy as he does not observe his own faith</w:t>
      </w:r>
      <w:r w:rsidR="00AB3030">
        <w:t xml:space="preserve">. </w:t>
      </w:r>
      <w:r w:rsidR="005B070A">
        <w:t>Ironically</w:t>
      </w:r>
      <w:r w:rsidR="001C6FC0">
        <w:t>,</w:t>
      </w:r>
      <w:r w:rsidR="005B070A">
        <w:t xml:space="preserve"> </w:t>
      </w:r>
      <w:proofErr w:type="spellStart"/>
      <w:r w:rsidR="005B070A">
        <w:t>Magid</w:t>
      </w:r>
      <w:proofErr w:type="spellEnd"/>
      <w:r w:rsidR="005B070A">
        <w:t xml:space="preserve">, the twin sent away to India to </w:t>
      </w:r>
      <w:r w:rsidR="00C3565A">
        <w:t>be reconditioned, returns more colonially English than his colonised parents.</w:t>
      </w:r>
      <w:r w:rsidR="00BB4BB6">
        <w:t xml:space="preserve"> </w:t>
      </w:r>
      <w:r w:rsidR="002D178A">
        <w:t>He refers to Marcus as “my dear man</w:t>
      </w:r>
      <w:r w:rsidR="008706B3">
        <w:t>” and</w:t>
      </w:r>
      <w:r w:rsidR="00E27584">
        <w:t xml:space="preserve"> </w:t>
      </w:r>
      <w:r w:rsidR="00450A4B">
        <w:t xml:space="preserve">maintains a “stiff </w:t>
      </w:r>
      <w:proofErr w:type="gramStart"/>
      <w:r w:rsidR="00450A4B">
        <w:t>upper-lip</w:t>
      </w:r>
      <w:proofErr w:type="gramEnd"/>
      <w:r w:rsidR="00450A4B">
        <w:t>”</w:t>
      </w:r>
      <w:r w:rsidR="00E27584">
        <w:t xml:space="preserve"> in his </w:t>
      </w:r>
      <w:r w:rsidR="00AF75F8">
        <w:t>ironed underwear</w:t>
      </w:r>
      <w:r w:rsidR="00BB4BB6">
        <w:t>.</w:t>
      </w:r>
      <w:r w:rsidR="00AF75F8">
        <w:rPr>
          <w:rStyle w:val="FootnoteReference"/>
        </w:rPr>
        <w:footnoteReference w:id="42"/>
      </w:r>
      <w:r w:rsidR="00BB4BB6">
        <w:t xml:space="preserve"> </w:t>
      </w:r>
      <w:r w:rsidR="006773B7">
        <w:t>Samad’s</w:t>
      </w:r>
      <w:r w:rsidR="003725F9">
        <w:t xml:space="preserve"> son that remained in the UK becomes </w:t>
      </w:r>
      <w:r w:rsidR="007B2368">
        <w:t>a Muslim</w:t>
      </w:r>
      <w:r w:rsidR="00CB7C37">
        <w:t xml:space="preserve"> extremist</w:t>
      </w:r>
      <w:r w:rsidR="00F06117">
        <w:t>, in direct co</w:t>
      </w:r>
      <w:r w:rsidR="00E404C9">
        <w:t>ntradiction to his penchant for white, fictional gangsters</w:t>
      </w:r>
      <w:r w:rsidR="001D614B">
        <w:t>.</w:t>
      </w:r>
      <w:r w:rsidR="00752D89">
        <w:t xml:space="preserve"> Both twins reinvent their identities in ways that are disappointing to Samad</w:t>
      </w:r>
      <w:r w:rsidR="00C12172">
        <w:t>, who lives in the distant past.</w:t>
      </w:r>
      <w:r w:rsidR="001D614B">
        <w:t xml:space="preserve"> </w:t>
      </w:r>
      <w:r w:rsidR="002959E4">
        <w:t xml:space="preserve">The characters in </w:t>
      </w:r>
      <w:r w:rsidR="002959E4" w:rsidRPr="00E4524C">
        <w:rPr>
          <w:i/>
          <w:iCs/>
        </w:rPr>
        <w:t xml:space="preserve">White Teeth </w:t>
      </w:r>
      <w:r w:rsidR="00B33DB0">
        <w:t>– though displaced – s</w:t>
      </w:r>
      <w:r w:rsidR="002959E4">
        <w:t xml:space="preserve">eem to keep more of their authentic culture than those in </w:t>
      </w:r>
      <w:r w:rsidR="002959E4">
        <w:rPr>
          <w:i/>
          <w:iCs/>
        </w:rPr>
        <w:t>The God of Small Things</w:t>
      </w:r>
      <w:r w:rsidR="002959E4">
        <w:t xml:space="preserve">, perhaps because they </w:t>
      </w:r>
      <w:r w:rsidR="00E4524C">
        <w:t>are content to live hybrid lives</w:t>
      </w:r>
      <w:r w:rsidR="00B33DB0">
        <w:t>, rather than perfo</w:t>
      </w:r>
      <w:r w:rsidR="00B11E4C">
        <w:t>rming to</w:t>
      </w:r>
      <w:r w:rsidR="007C41FE">
        <w:t xml:space="preserve"> stereotypically English</w:t>
      </w:r>
      <w:r w:rsidR="00B11E4C">
        <w:t xml:space="preserve"> social norms and values.</w:t>
      </w:r>
      <w:r w:rsidR="008F730A">
        <w:t xml:space="preserve"> </w:t>
      </w:r>
      <w:r w:rsidR="006A1A13">
        <w:t xml:space="preserve">For </w:t>
      </w:r>
      <w:proofErr w:type="gramStart"/>
      <w:r w:rsidR="006A1A13">
        <w:t>example</w:t>
      </w:r>
      <w:proofErr w:type="gramEnd"/>
      <w:r w:rsidR="006A1A13">
        <w:t xml:space="preserve"> </w:t>
      </w:r>
      <w:r w:rsidR="008F730A">
        <w:t>Mickey</w:t>
      </w:r>
      <w:r w:rsidR="006A1A13">
        <w:t xml:space="preserve"> and </w:t>
      </w:r>
      <w:r w:rsidR="00AA3827">
        <w:t>his family</w:t>
      </w:r>
      <w:r w:rsidR="00132D34">
        <w:t xml:space="preserve"> are Arabs</w:t>
      </w:r>
      <w:r w:rsidR="00AA3827">
        <w:t xml:space="preserve"> all have hybrid names and </w:t>
      </w:r>
      <w:r w:rsidR="004775AB">
        <w:t xml:space="preserve">are happy to serve English breakfasts in their </w:t>
      </w:r>
      <w:r w:rsidR="00132D34">
        <w:t>Irish Pool House</w:t>
      </w:r>
      <w:r w:rsidR="001B74CD">
        <w:t xml:space="preserve">. They </w:t>
      </w:r>
      <w:r w:rsidR="00336BA5">
        <w:t>address people as “</w:t>
      </w:r>
      <w:proofErr w:type="spellStart"/>
      <w:r w:rsidR="00336BA5">
        <w:t>Guv’nor</w:t>
      </w:r>
      <w:proofErr w:type="spellEnd"/>
      <w:r w:rsidR="00336BA5">
        <w:t>”</w:t>
      </w:r>
      <w:r w:rsidR="004775AB">
        <w:t>.</w:t>
      </w:r>
      <w:r w:rsidR="00336BA5">
        <w:rPr>
          <w:rStyle w:val="FootnoteReference"/>
        </w:rPr>
        <w:footnoteReference w:id="43"/>
      </w:r>
      <w:r w:rsidR="00B11E4C">
        <w:t xml:space="preserve"> </w:t>
      </w:r>
    </w:p>
    <w:p w14:paraId="37C892DC" w14:textId="3081464C" w:rsidR="00DC63D8" w:rsidRPr="00B11E4C" w:rsidRDefault="00B11E4C" w:rsidP="00DD1A83">
      <w:pPr>
        <w:spacing w:line="480" w:lineRule="auto"/>
      </w:pPr>
      <w:r>
        <w:lastRenderedPageBreak/>
        <w:t>Samad seems to be the exception to th</w:t>
      </w:r>
      <w:r w:rsidR="00390CCC">
        <w:t>is</w:t>
      </w:r>
      <w:r>
        <w:t xml:space="preserve"> in </w:t>
      </w:r>
      <w:r>
        <w:rPr>
          <w:i/>
          <w:iCs/>
        </w:rPr>
        <w:t xml:space="preserve">White Teeth, </w:t>
      </w:r>
      <w:r>
        <w:t xml:space="preserve">as he tries to cling on to his </w:t>
      </w:r>
      <w:r w:rsidR="007E468E">
        <w:t xml:space="preserve">ancestor’s notoriety, </w:t>
      </w:r>
      <w:proofErr w:type="gramStart"/>
      <w:r w:rsidR="007E468E">
        <w:t xml:space="preserve">in an effort </w:t>
      </w:r>
      <w:r w:rsidR="00480DF2">
        <w:t>to</w:t>
      </w:r>
      <w:proofErr w:type="gramEnd"/>
      <w:r w:rsidR="00480DF2">
        <w:t xml:space="preserve"> claim the </w:t>
      </w:r>
      <w:r w:rsidR="001B74CD">
        <w:t xml:space="preserve">heroism </w:t>
      </w:r>
      <w:r w:rsidR="00480DF2">
        <w:t>he feels was stolen from him</w:t>
      </w:r>
      <w:r w:rsidR="004F7B5E">
        <w:t xml:space="preserve"> during the war.</w:t>
      </w:r>
      <w:r w:rsidR="007C41FE">
        <w:t xml:space="preserve"> </w:t>
      </w:r>
      <w:r w:rsidR="00813F8B">
        <w:t xml:space="preserve">Even when Samad was part of the meta-geography of the military he was treated as a </w:t>
      </w:r>
      <w:r w:rsidR="00174772">
        <w:t>second-class</w:t>
      </w:r>
      <w:r w:rsidR="00813F8B">
        <w:t xml:space="preserve"> citizen because of his race</w:t>
      </w:r>
      <w:r w:rsidR="003347B7">
        <w:t>; “Captain Dickson-Smith had a habit of picking on him”.</w:t>
      </w:r>
      <w:r w:rsidR="003347B7">
        <w:rPr>
          <w:rStyle w:val="FootnoteReference"/>
        </w:rPr>
        <w:footnoteReference w:id="44"/>
      </w:r>
      <w:r w:rsidR="00813F8B">
        <w:t xml:space="preserve"> </w:t>
      </w:r>
      <w:r w:rsidR="007C41FE">
        <w:t>Now he is stuck working as a waiter, with a useless hand – further emasculating him.</w:t>
      </w:r>
      <w:r w:rsidR="00813F8B">
        <w:t xml:space="preserve"> </w:t>
      </w:r>
      <w:r w:rsidR="00F44851">
        <w:t>Smith presents Samad as a victim, but also a perpetrator of colonial ideas, through his pursuit of heroic masculi</w:t>
      </w:r>
      <w:r w:rsidR="001F0A18">
        <w:t>nity.</w:t>
      </w:r>
      <w:r w:rsidR="002111F9">
        <w:t xml:space="preserve"> </w:t>
      </w:r>
      <w:r w:rsidR="00696FFC">
        <w:t>However,</w:t>
      </w:r>
      <w:r w:rsidR="002111F9">
        <w:t xml:space="preserve"> Samad’s repetition of his </w:t>
      </w:r>
      <w:r w:rsidR="00D61BFB">
        <w:t>Bengali history</w:t>
      </w:r>
      <w:r w:rsidR="002111F9">
        <w:t xml:space="preserve"> becomes a mocke</w:t>
      </w:r>
      <w:r w:rsidR="007C5D8E">
        <w:t>ry</w:t>
      </w:r>
      <w:r w:rsidR="006B6598">
        <w:t>.</w:t>
      </w:r>
      <w:r w:rsidR="007C5D8E">
        <w:t xml:space="preserve"> Samad’s wife</w:t>
      </w:r>
      <w:r w:rsidR="00D61BFB">
        <w:t xml:space="preserve"> maintains “it’s still easier to find the correct Hoover bag than to find one pure person, one pure fa</w:t>
      </w:r>
      <w:r w:rsidR="00A8375A">
        <w:t>i</w:t>
      </w:r>
      <w:r w:rsidR="00D61BFB">
        <w:t>th on the globe</w:t>
      </w:r>
      <w:r w:rsidR="00A8375A">
        <w:t>.”</w:t>
      </w:r>
      <w:r w:rsidR="00A8375A">
        <w:rPr>
          <w:rStyle w:val="FootnoteReference"/>
        </w:rPr>
        <w:footnoteReference w:id="45"/>
      </w:r>
      <w:r w:rsidR="00A8375A">
        <w:t xml:space="preserve"> This illustrates </w:t>
      </w:r>
      <w:r w:rsidR="006F1F58">
        <w:t>her acceptance and acknowledgement of hybridity</w:t>
      </w:r>
      <w:r w:rsidR="00781C1B">
        <w:t>.</w:t>
      </w:r>
      <w:r w:rsidR="006B6598">
        <w:t xml:space="preserve"> </w:t>
      </w:r>
      <w:r w:rsidR="004B0E39">
        <w:t>Samad holds some authority but</w:t>
      </w:r>
      <w:r w:rsidR="00741B04">
        <w:t xml:space="preserve"> </w:t>
      </w:r>
      <w:r w:rsidR="004B0E39">
        <w:t>is more often subordinated</w:t>
      </w:r>
      <w:r w:rsidR="004F0B2A">
        <w:t xml:space="preserve">, </w:t>
      </w:r>
      <w:r w:rsidR="00B10826">
        <w:t>emasculated,</w:t>
      </w:r>
      <w:r w:rsidR="004B0E39">
        <w:t xml:space="preserve"> and disenfranchised.</w:t>
      </w:r>
      <w:r w:rsidR="000215E1">
        <w:t xml:space="preserve"> “Well, why don’t you </w:t>
      </w:r>
      <w:r w:rsidR="000215E1">
        <w:rPr>
          <w:i/>
          <w:iCs/>
        </w:rPr>
        <w:t xml:space="preserve">do </w:t>
      </w:r>
      <w:r w:rsidR="000215E1">
        <w:t>something Mr Iqbal</w:t>
      </w:r>
      <w:r w:rsidR="001B4A8B">
        <w:t>? Make her go away? Instead of standing there with your flabby gut and tiny willy on display?”</w:t>
      </w:r>
      <w:r w:rsidR="00701057">
        <w:rPr>
          <w:rStyle w:val="FootnoteReference"/>
        </w:rPr>
        <w:footnoteReference w:id="46"/>
      </w:r>
      <w:r w:rsidR="004B0E39">
        <w:t xml:space="preserve"> </w:t>
      </w:r>
      <w:proofErr w:type="spellStart"/>
      <w:r w:rsidR="00701057">
        <w:t>Alsana’s</w:t>
      </w:r>
      <w:proofErr w:type="spellEnd"/>
      <w:r w:rsidR="00C16142">
        <w:t xml:space="preserve"> rhetorical questions, challenging his inaction and</w:t>
      </w:r>
      <w:r w:rsidR="00701057">
        <w:t xml:space="preserve"> belittling his manhood </w:t>
      </w:r>
      <w:r w:rsidR="00CE2371">
        <w:t>and physique paint Samad as useless and impotent</w:t>
      </w:r>
      <w:r w:rsidR="00C16142">
        <w:t xml:space="preserve">. </w:t>
      </w:r>
      <w:r w:rsidR="00597F03">
        <w:t xml:space="preserve">“Yet </w:t>
      </w:r>
      <w:r w:rsidR="00E27AE5">
        <w:t>he also continue</w:t>
      </w:r>
      <w:r w:rsidR="00781C1B">
        <w:t>s</w:t>
      </w:r>
      <w:r w:rsidR="00E27AE5">
        <w:t xml:space="preserve"> to repeat a claim to a pedigree that only </w:t>
      </w:r>
      <w:r w:rsidR="0024231D">
        <w:t>deflates him as it becomes harder and harder for him to realise.”</w:t>
      </w:r>
      <w:r w:rsidR="0024231D">
        <w:rPr>
          <w:rStyle w:val="FootnoteReference"/>
        </w:rPr>
        <w:footnoteReference w:id="47"/>
      </w:r>
      <w:r w:rsidR="007B48ED">
        <w:t xml:space="preserve"> The reader is </w:t>
      </w:r>
      <w:r w:rsidR="00727821">
        <w:t>provided</w:t>
      </w:r>
      <w:r w:rsidR="007B48ED">
        <w:t xml:space="preserve"> the sense that if Samad would just accept his own reality instead of living in nostalgia and fantasy, he would have a much more successful life, as flashes of brilliance</w:t>
      </w:r>
      <w:r w:rsidR="00727821">
        <w:t xml:space="preserve"> occur</w:t>
      </w:r>
      <w:r w:rsidR="00781C1B">
        <w:t xml:space="preserve">. </w:t>
      </w:r>
      <w:r w:rsidR="0070449A">
        <w:t xml:space="preserve">Moments where characters are seen to try and perform whiteness </w:t>
      </w:r>
      <w:r w:rsidR="00E07F7E">
        <w:t xml:space="preserve">inevitably end badly. For </w:t>
      </w:r>
      <w:r w:rsidR="004B45C9">
        <w:t>example,</w:t>
      </w:r>
      <w:r w:rsidR="00E07F7E">
        <w:t xml:space="preserve"> when </w:t>
      </w:r>
      <w:proofErr w:type="spellStart"/>
      <w:r w:rsidR="00E07F7E">
        <w:t>Irie</w:t>
      </w:r>
      <w:proofErr w:type="spellEnd"/>
      <w:r w:rsidR="00E07F7E">
        <w:t xml:space="preserve"> tries to cover her natural hair</w:t>
      </w:r>
      <w:r w:rsidR="00231561">
        <w:t>, she ends up humiliated and embarrassed.</w:t>
      </w:r>
      <w:r w:rsidR="0066122E">
        <w:rPr>
          <w:rStyle w:val="FootnoteReference"/>
        </w:rPr>
        <w:footnoteReference w:id="48"/>
      </w:r>
      <w:r w:rsidR="00231561">
        <w:t xml:space="preserve"> </w:t>
      </w:r>
      <w:r w:rsidR="00AE46C4">
        <w:t xml:space="preserve">Whilst the teenagers go through normative teenaged identity </w:t>
      </w:r>
      <w:r w:rsidR="00E108DB">
        <w:t>confusion, l</w:t>
      </w:r>
      <w:r w:rsidR="00752D72">
        <w:t>iving in London, the diaspora of characters are free to practise any culture and religion they want</w:t>
      </w:r>
      <w:r w:rsidR="00657B03">
        <w:t xml:space="preserve">, though this is not without obstacles. </w:t>
      </w:r>
      <w:r w:rsidR="007969CB">
        <w:t xml:space="preserve">Racist </w:t>
      </w:r>
      <w:r w:rsidR="002D61B9">
        <w:t>stereotypes</w:t>
      </w:r>
      <w:r w:rsidR="00292A24">
        <w:t xml:space="preserve"> affect their self-worth. “Millat</w:t>
      </w:r>
      <w:r w:rsidR="002D61B9">
        <w:t>, was a Paki no matter where he came from”</w:t>
      </w:r>
      <w:r w:rsidR="003A6E95">
        <w:t>.</w:t>
      </w:r>
      <w:r w:rsidR="003A6E95">
        <w:rPr>
          <w:rStyle w:val="FootnoteReference"/>
        </w:rPr>
        <w:footnoteReference w:id="49"/>
      </w:r>
      <w:r w:rsidR="00657B03">
        <w:t xml:space="preserve"> </w:t>
      </w:r>
      <w:r w:rsidR="00CE414B">
        <w:t>They are also free to have relationships with who they want</w:t>
      </w:r>
      <w:r w:rsidR="00624133">
        <w:t xml:space="preserve"> and authentically explore their individuality.</w:t>
      </w:r>
    </w:p>
    <w:p w14:paraId="7D2645E2" w14:textId="798D7F2B" w:rsidR="0065797E" w:rsidRDefault="00624133" w:rsidP="00DD1A83">
      <w:pPr>
        <w:spacing w:line="480" w:lineRule="auto"/>
      </w:pPr>
      <w:r>
        <w:t xml:space="preserve">In </w:t>
      </w:r>
      <w:r w:rsidR="00A66E9C">
        <w:rPr>
          <w:i/>
          <w:iCs/>
        </w:rPr>
        <w:t xml:space="preserve">The God of Small </w:t>
      </w:r>
      <w:r w:rsidR="00A64488">
        <w:rPr>
          <w:i/>
          <w:iCs/>
        </w:rPr>
        <w:t>Things,</w:t>
      </w:r>
      <w:r w:rsidR="00A66E9C">
        <w:rPr>
          <w:i/>
          <w:iCs/>
        </w:rPr>
        <w:t xml:space="preserve"> </w:t>
      </w:r>
      <w:r w:rsidR="00A66E9C">
        <w:t>the</w:t>
      </w:r>
      <w:r w:rsidR="00AA1384">
        <w:t xml:space="preserve"> inauthenticity of the</w:t>
      </w:r>
      <w:r w:rsidR="00DC308F">
        <w:t xml:space="preserve"> Indian</w:t>
      </w:r>
      <w:r w:rsidR="00AA1384">
        <w:t xml:space="preserve"> twins’ </w:t>
      </w:r>
      <w:r w:rsidR="00951CAC">
        <w:t>experience</w:t>
      </w:r>
      <w:r w:rsidR="008627CC">
        <w:t xml:space="preserve"> is </w:t>
      </w:r>
      <w:r w:rsidR="00365417">
        <w:t xml:space="preserve">mirrored by their dress. The costumes for their </w:t>
      </w:r>
      <w:r w:rsidR="00773262">
        <w:t>performance of Englishness</w:t>
      </w:r>
      <w:r w:rsidR="006669C0">
        <w:t xml:space="preserve"> are a confused and </w:t>
      </w:r>
      <w:r w:rsidR="005B2A32">
        <w:t>exoticized</w:t>
      </w:r>
      <w:r w:rsidR="006669C0">
        <w:t xml:space="preserve"> approximation of </w:t>
      </w:r>
      <w:r w:rsidR="007F2439">
        <w:t xml:space="preserve">culture, via </w:t>
      </w:r>
      <w:proofErr w:type="spellStart"/>
      <w:r w:rsidR="007F2439">
        <w:t>Rahel’s</w:t>
      </w:r>
      <w:proofErr w:type="spellEnd"/>
      <w:r w:rsidR="007F2439">
        <w:t xml:space="preserve"> Love in Tokyo and </w:t>
      </w:r>
      <w:proofErr w:type="spellStart"/>
      <w:r w:rsidR="007F2439">
        <w:t>Estha’s</w:t>
      </w:r>
      <w:proofErr w:type="spellEnd"/>
      <w:r w:rsidR="007F2439">
        <w:t xml:space="preserve"> </w:t>
      </w:r>
      <w:r w:rsidR="005B15A5">
        <w:t xml:space="preserve">drainpipe trousers, </w:t>
      </w:r>
      <w:r w:rsidR="00A66E9C">
        <w:t xml:space="preserve">beige </w:t>
      </w:r>
      <w:r w:rsidR="005B15A5">
        <w:t xml:space="preserve">pointy </w:t>
      </w:r>
      <w:proofErr w:type="gramStart"/>
      <w:r w:rsidR="005B15A5">
        <w:t>shoes</w:t>
      </w:r>
      <w:proofErr w:type="gramEnd"/>
      <w:r w:rsidR="005B15A5">
        <w:t xml:space="preserve"> and </w:t>
      </w:r>
      <w:r w:rsidR="00CA5D5E">
        <w:t>Special Outing P</w:t>
      </w:r>
      <w:r w:rsidR="005B15A5">
        <w:t>uff</w:t>
      </w:r>
      <w:r w:rsidR="006669C0">
        <w:t xml:space="preserve">. </w:t>
      </w:r>
      <w:proofErr w:type="spellStart"/>
      <w:r w:rsidR="006669C0">
        <w:t>Rahel’s</w:t>
      </w:r>
      <w:proofErr w:type="spellEnd"/>
      <w:r w:rsidR="006669C0">
        <w:t xml:space="preserve"> dress </w:t>
      </w:r>
      <w:proofErr w:type="gramStart"/>
      <w:r w:rsidR="006669C0">
        <w:t xml:space="preserve">in particular </w:t>
      </w:r>
      <w:r w:rsidR="00866641">
        <w:lastRenderedPageBreak/>
        <w:t>keeps</w:t>
      </w:r>
      <w:proofErr w:type="gramEnd"/>
      <w:r w:rsidR="00866641">
        <w:t xml:space="preserve"> her outside of reality. </w:t>
      </w:r>
      <w:r w:rsidR="00244CC6">
        <w:t>It makes her look like a fairy. A fantasy character</w:t>
      </w:r>
      <w:r w:rsidR="00787484">
        <w:t>.</w:t>
      </w:r>
      <w:r w:rsidR="00244CC6">
        <w:t xml:space="preserve"> </w:t>
      </w:r>
      <w:r w:rsidR="002B1EE3">
        <w:t>yet Sophie Mol</w:t>
      </w:r>
      <w:r w:rsidR="00E66639">
        <w:t>, c</w:t>
      </w:r>
      <w:r w:rsidR="008B734A">
        <w:t xml:space="preserve">asual and relaxed </w:t>
      </w:r>
      <w:r w:rsidR="002B1EE3">
        <w:t xml:space="preserve">in her bell bottoms is the one compared to Ariel. </w:t>
      </w:r>
      <w:r w:rsidR="00866641">
        <w:t xml:space="preserve">On her arm </w:t>
      </w:r>
      <w:proofErr w:type="spellStart"/>
      <w:r w:rsidR="00BB5C82">
        <w:t>Rahel</w:t>
      </w:r>
      <w:proofErr w:type="spellEnd"/>
      <w:r w:rsidR="00866641">
        <w:t xml:space="preserve"> wears a toy watch with the time painted on</w:t>
      </w:r>
      <w:r w:rsidR="00787484">
        <w:t xml:space="preserve">. The time </w:t>
      </w:r>
      <w:r w:rsidR="00BB5C82">
        <w:t xml:space="preserve">represents </w:t>
      </w:r>
      <w:r w:rsidR="00787484">
        <w:t xml:space="preserve">more knowledge that </w:t>
      </w:r>
      <w:r w:rsidR="00BB5C82">
        <w:t xml:space="preserve">she </w:t>
      </w:r>
      <w:r w:rsidR="00787484">
        <w:t>cannot access.</w:t>
      </w:r>
      <w:r w:rsidR="005B15A5">
        <w:t xml:space="preserve"> The cheap fabric of </w:t>
      </w:r>
      <w:proofErr w:type="spellStart"/>
      <w:r w:rsidR="005B15A5">
        <w:t>Rahel’s</w:t>
      </w:r>
      <w:proofErr w:type="spellEnd"/>
      <w:r w:rsidR="005B15A5">
        <w:t xml:space="preserve"> dress is uncomfortable, mirroring the discomfort she </w:t>
      </w:r>
      <w:r w:rsidR="00937238">
        <w:t>endures</w:t>
      </w:r>
      <w:r w:rsidR="005B15A5">
        <w:t xml:space="preserve"> in </w:t>
      </w:r>
      <w:r w:rsidR="00E66D75">
        <w:t>pursuit of the performance to please Sophie Mol. Her yellow rimmed plastic sunglasses make the world look red and angry.</w:t>
      </w:r>
      <w:r w:rsidR="0099668C">
        <w:t xml:space="preserve"> According to Barthes</w:t>
      </w:r>
      <w:r w:rsidR="00320E6C">
        <w:t xml:space="preserve"> there is no substantial reality behind appearance;</w:t>
      </w:r>
      <w:r w:rsidR="0099668C">
        <w:t xml:space="preserve"> </w:t>
      </w:r>
      <w:r w:rsidR="00C729EF">
        <w:t>clothing is a symbol</w:t>
      </w:r>
      <w:r w:rsidR="00047657">
        <w:t>,</w:t>
      </w:r>
      <w:r w:rsidR="00C729EF">
        <w:t xml:space="preserve"> a text we read.</w:t>
      </w:r>
      <w:r w:rsidR="00512DD2">
        <w:rPr>
          <w:rStyle w:val="FootnoteReference"/>
        </w:rPr>
        <w:footnoteReference w:id="50"/>
      </w:r>
      <w:r w:rsidR="00E66D75">
        <w:t xml:space="preserve"> </w:t>
      </w:r>
      <w:proofErr w:type="spellStart"/>
      <w:r w:rsidR="00A247B8">
        <w:t>Rahel’s</w:t>
      </w:r>
      <w:proofErr w:type="spellEnd"/>
      <w:r w:rsidR="00A247B8">
        <w:t xml:space="preserve"> “airport frock” is a signifier</w:t>
      </w:r>
      <w:r w:rsidR="00702DF9">
        <w:t xml:space="preserve">. This connotes </w:t>
      </w:r>
      <w:r w:rsidR="002B08F8">
        <w:t>occasion</w:t>
      </w:r>
      <w:r w:rsidR="00702DF9">
        <w:t xml:space="preserve"> and celebration</w:t>
      </w:r>
      <w:r w:rsidR="00887EB2">
        <w:t>, creating the myth that Sophie Mol is more important tha</w:t>
      </w:r>
      <w:r w:rsidR="002B08F8">
        <w:t xml:space="preserve">n </w:t>
      </w:r>
      <w:r w:rsidR="00002899">
        <w:t>her</w:t>
      </w:r>
      <w:r w:rsidR="002B08F8">
        <w:t>.</w:t>
      </w:r>
      <w:r w:rsidR="00B91EBE">
        <w:t xml:space="preserve"> </w:t>
      </w:r>
      <w:r w:rsidR="00145036">
        <w:t xml:space="preserve">The white child </w:t>
      </w:r>
      <w:r w:rsidR="009A3252">
        <w:t xml:space="preserve">renders the twins’ experiences invalid, as they </w:t>
      </w:r>
      <w:r w:rsidR="00030B19">
        <w:t>have no perception of wh</w:t>
      </w:r>
      <w:r w:rsidR="0016724E">
        <w:t>om</w:t>
      </w:r>
      <w:r w:rsidR="00030B19">
        <w:t xml:space="preserve"> they are trying to be.</w:t>
      </w:r>
      <w:r w:rsidR="008C580C">
        <w:t xml:space="preserve"> The children’s point of view serves to question the validity of </w:t>
      </w:r>
      <w:r w:rsidR="0016724E">
        <w:t>the social order</w:t>
      </w:r>
      <w:r w:rsidR="00433FBD">
        <w:t xml:space="preserve">, as Sophie Mol </w:t>
      </w:r>
      <w:r w:rsidR="008E4549">
        <w:t>appears unremarkable to them, despite her supposed greatness.</w:t>
      </w:r>
      <w:r w:rsidR="00C20391">
        <w:t xml:space="preserve"> </w:t>
      </w:r>
      <w:r w:rsidR="00813F8B">
        <w:t xml:space="preserve">Another pertinent example of costuming is </w:t>
      </w:r>
      <w:proofErr w:type="spellStart"/>
      <w:r w:rsidR="00813F8B">
        <w:t>Pappachi’s</w:t>
      </w:r>
      <w:proofErr w:type="spellEnd"/>
      <w:r w:rsidR="00813F8B">
        <w:t xml:space="preserve"> mode of dress</w:t>
      </w:r>
      <w:r w:rsidR="009D5444">
        <w:t xml:space="preserve">. “Until the day he died […] </w:t>
      </w:r>
      <w:proofErr w:type="spellStart"/>
      <w:r w:rsidR="009D5444">
        <w:t>Pappachi</w:t>
      </w:r>
      <w:proofErr w:type="spellEnd"/>
      <w:r w:rsidR="009D5444">
        <w:t xml:space="preserve"> wore a well-pressed </w:t>
      </w:r>
      <w:r w:rsidR="000320B2">
        <w:t>three-piece suit and his gold pocket-watch</w:t>
      </w:r>
      <w:r w:rsidR="00813F8B">
        <w:t>.</w:t>
      </w:r>
      <w:r w:rsidR="00051E1E">
        <w:t>”</w:t>
      </w:r>
      <w:r w:rsidR="00051E1E" w:rsidRPr="00051E1E">
        <w:rPr>
          <w:rStyle w:val="FootnoteReference"/>
        </w:rPr>
        <w:t xml:space="preserve"> </w:t>
      </w:r>
      <w:r w:rsidR="00051E1E">
        <w:rPr>
          <w:rStyle w:val="FootnoteReference"/>
        </w:rPr>
        <w:footnoteReference w:id="51"/>
      </w:r>
      <w:r w:rsidR="00813F8B">
        <w:t xml:space="preserve"> Even though his clothes </w:t>
      </w:r>
      <w:r w:rsidR="005127B8">
        <w:t xml:space="preserve">and cufflinks </w:t>
      </w:r>
      <w:r w:rsidR="00813F8B">
        <w:t xml:space="preserve">are entirely inappropriate for the climate, </w:t>
      </w:r>
      <w:proofErr w:type="spellStart"/>
      <w:r w:rsidR="00813F8B">
        <w:t>Pappachi</w:t>
      </w:r>
      <w:proofErr w:type="spellEnd"/>
      <w:r w:rsidR="00813F8B">
        <w:t xml:space="preserve"> seeks to set himself above those that dress in appropriate or local clothing. </w:t>
      </w:r>
      <w:r w:rsidR="009916E3">
        <w:t xml:space="preserve">Just as </w:t>
      </w:r>
      <w:proofErr w:type="spellStart"/>
      <w:r w:rsidR="009916E3">
        <w:t>Pappachi’s</w:t>
      </w:r>
      <w:proofErr w:type="spellEnd"/>
      <w:r w:rsidR="009916E3">
        <w:t xml:space="preserve"> job title places him with the British, an “Imperial Entomologist”</w:t>
      </w:r>
      <w:r w:rsidR="005E2D78">
        <w:t>,</w:t>
      </w:r>
      <w:r w:rsidR="009916E3">
        <w:t xml:space="preserve"> his clothes set him apart – or above in his opinion.</w:t>
      </w:r>
      <w:r w:rsidR="0065797E">
        <w:t xml:space="preserve"> </w:t>
      </w:r>
    </w:p>
    <w:p w14:paraId="04AB2DE2" w14:textId="319C15CE" w:rsidR="001B4EBA" w:rsidRPr="009916E3" w:rsidRDefault="00052387" w:rsidP="00DD1A83">
      <w:pPr>
        <w:spacing w:line="480" w:lineRule="auto"/>
      </w:pPr>
      <w:r>
        <w:t>Similarly, the interpellation of the Ipe</w:t>
      </w:r>
      <w:r w:rsidR="00620A55">
        <w:t xml:space="preserve"> family involves commodity fetishism</w:t>
      </w:r>
      <w:r w:rsidR="00BF3E59">
        <w:t xml:space="preserve">. </w:t>
      </w:r>
      <w:proofErr w:type="spellStart"/>
      <w:r w:rsidR="00BF3E59">
        <w:t>Mammachi</w:t>
      </w:r>
      <w:proofErr w:type="spellEnd"/>
      <w:r w:rsidR="00BF3E59">
        <w:t xml:space="preserve"> collects European furniture and violins. But perhap</w:t>
      </w:r>
      <w:r w:rsidR="007140B7">
        <w:t>s the most notable motif of consumerism</w:t>
      </w:r>
      <w:r w:rsidR="00E153B0">
        <w:t xml:space="preserve"> is the </w:t>
      </w:r>
      <w:r w:rsidR="00C71964">
        <w:t>sky-blue</w:t>
      </w:r>
      <w:r w:rsidR="00E153B0">
        <w:t xml:space="preserve"> Plymouth, procured by </w:t>
      </w:r>
      <w:proofErr w:type="spellStart"/>
      <w:r w:rsidR="00E153B0">
        <w:t>Pappachi</w:t>
      </w:r>
      <w:proofErr w:type="spellEnd"/>
      <w:r w:rsidR="00E153B0">
        <w:t xml:space="preserve"> from an Englishman. </w:t>
      </w:r>
      <w:r w:rsidR="00E7314D">
        <w:t xml:space="preserve">This car is a signifier of more than just freedom of movement. </w:t>
      </w:r>
      <w:r w:rsidR="001143F3">
        <w:t xml:space="preserve">It is a Western (American) </w:t>
      </w:r>
      <w:r w:rsidR="00317844">
        <w:t xml:space="preserve">practical vehicle, </w:t>
      </w:r>
      <w:r w:rsidR="002D0F7B">
        <w:t xml:space="preserve">created for </w:t>
      </w:r>
      <w:r w:rsidR="00317844">
        <w:t>hardworking families.</w:t>
      </w:r>
      <w:r w:rsidR="00183624">
        <w:t xml:space="preserve"> The Plymouth logo </w:t>
      </w:r>
      <w:r w:rsidR="00CA51DB">
        <w:t xml:space="preserve">was a prow view of the Mayflower ship, which landed at Plymouth Rock, Massachusetts where the </w:t>
      </w:r>
      <w:r w:rsidR="002D0F7B">
        <w:t>p</w:t>
      </w:r>
      <w:r w:rsidR="00CA51DB">
        <w:t xml:space="preserve">ilgrims landed. </w:t>
      </w:r>
      <w:r w:rsidR="00510AF8">
        <w:t xml:space="preserve">It is </w:t>
      </w:r>
      <w:r w:rsidR="00D339E4">
        <w:t>challenging</w:t>
      </w:r>
      <w:r w:rsidR="00510AF8">
        <w:t xml:space="preserve"> to imagine a more colonial symbol.</w:t>
      </w:r>
      <w:r w:rsidR="001F0A94">
        <w:t xml:space="preserve"> The </w:t>
      </w:r>
      <w:r w:rsidR="00C71964">
        <w:t>sky-blue</w:t>
      </w:r>
      <w:r w:rsidR="001F0A94">
        <w:t xml:space="preserve"> colour connotes purity</w:t>
      </w:r>
      <w:r w:rsidR="0028024D">
        <w:t xml:space="preserve">, </w:t>
      </w:r>
      <w:proofErr w:type="gramStart"/>
      <w:r w:rsidR="0028024D">
        <w:t>elevation</w:t>
      </w:r>
      <w:proofErr w:type="gramEnd"/>
      <w:r w:rsidR="0028024D">
        <w:t xml:space="preserve"> and hope.</w:t>
      </w:r>
      <w:r w:rsidR="00262606">
        <w:t xml:space="preserve"> </w:t>
      </w:r>
      <w:proofErr w:type="spellStart"/>
      <w:r w:rsidR="009916E3">
        <w:t>Pappachi</w:t>
      </w:r>
      <w:proofErr w:type="spellEnd"/>
      <w:r w:rsidR="009916E3">
        <w:t xml:space="preserve"> can be compared to Samad in </w:t>
      </w:r>
      <w:r w:rsidR="009916E3">
        <w:rPr>
          <w:i/>
          <w:iCs/>
        </w:rPr>
        <w:t>White Teeth</w:t>
      </w:r>
      <w:r w:rsidR="009916E3">
        <w:t xml:space="preserve"> as he was also robbed of notoriety – intellectual in his case. </w:t>
      </w:r>
      <w:r w:rsidR="00D339E4">
        <w:t>Similarly,</w:t>
      </w:r>
      <w:r w:rsidR="00281B76">
        <w:t xml:space="preserve"> </w:t>
      </w:r>
      <w:proofErr w:type="spellStart"/>
      <w:r w:rsidR="00281B76">
        <w:t>Pappachi</w:t>
      </w:r>
      <w:proofErr w:type="spellEnd"/>
      <w:r w:rsidR="00281B76">
        <w:t xml:space="preserve"> and Samad can be </w:t>
      </w:r>
      <w:r w:rsidR="002256EF">
        <w:t>compared is through their misogyny.</w:t>
      </w:r>
      <w:r w:rsidR="00311AEE">
        <w:t xml:space="preserve"> </w:t>
      </w:r>
      <w:proofErr w:type="spellStart"/>
      <w:r w:rsidR="00311AEE">
        <w:t>Pappachi</w:t>
      </w:r>
      <w:proofErr w:type="spellEnd"/>
      <w:r w:rsidR="00311AEE">
        <w:t xml:space="preserve"> didn’t believe his own daughter when she was forced to end her marriage</w:t>
      </w:r>
      <w:r w:rsidR="003C566F">
        <w:t xml:space="preserve">, preferring to </w:t>
      </w:r>
      <w:r w:rsidR="00EB5FEC">
        <w:t>put his faith in the colonisers of his people</w:t>
      </w:r>
      <w:r w:rsidR="00311AEE">
        <w:t>. “</w:t>
      </w:r>
      <w:r w:rsidR="00152582">
        <w:t xml:space="preserve">He didn’t believe that an Englishman, any Englishman, </w:t>
      </w:r>
      <w:r w:rsidR="00152582">
        <w:lastRenderedPageBreak/>
        <w:t>would covet another man’s wife”</w:t>
      </w:r>
      <w:r w:rsidR="007A4B59">
        <w:t>.</w:t>
      </w:r>
      <w:r w:rsidR="003C7440">
        <w:rPr>
          <w:rStyle w:val="FootnoteReference"/>
        </w:rPr>
        <w:footnoteReference w:id="52"/>
      </w:r>
      <w:r w:rsidR="003C7440">
        <w:t xml:space="preserve"> He also subjected </w:t>
      </w:r>
      <w:proofErr w:type="spellStart"/>
      <w:r w:rsidR="003C7440">
        <w:t>Mammachi</w:t>
      </w:r>
      <w:proofErr w:type="spellEnd"/>
      <w:r w:rsidR="003C7440">
        <w:t xml:space="preserve"> to violence regularly. </w:t>
      </w:r>
      <w:r w:rsidR="007A4B59">
        <w:t>Whilst Samad is not a violent character</w:t>
      </w:r>
      <w:r w:rsidR="00A51498">
        <w:t xml:space="preserve"> the little power he does wield is over his wife.</w:t>
      </w:r>
      <w:r w:rsidR="005B1EC7">
        <w:t xml:space="preserve"> He demonstrates this by sending her son away.</w:t>
      </w:r>
    </w:p>
    <w:p w14:paraId="0D50195E" w14:textId="234E5B2B" w:rsidR="00E03346" w:rsidRDefault="00C20391" w:rsidP="00DD1A83">
      <w:pPr>
        <w:spacing w:line="480" w:lineRule="auto"/>
      </w:pPr>
      <w:r>
        <w:t>A</w:t>
      </w:r>
      <w:r w:rsidR="005B6F98">
        <w:t>n additional</w:t>
      </w:r>
      <w:r>
        <w:t xml:space="preserve"> source of irony is that in </w:t>
      </w:r>
      <w:proofErr w:type="spellStart"/>
      <w:r>
        <w:t>Ayemenem</w:t>
      </w:r>
      <w:proofErr w:type="spellEnd"/>
      <w:r>
        <w:t xml:space="preserve">, a place so obsessed with </w:t>
      </w:r>
      <w:r w:rsidR="00A82A1B">
        <w:t xml:space="preserve">whiteness that </w:t>
      </w:r>
      <w:r w:rsidR="00F04497">
        <w:t>Comrade Pillai’s</w:t>
      </w:r>
      <w:r w:rsidR="00A82A1B">
        <w:t xml:space="preserve"> son is farcically trained to quote Shakespeare to guests</w:t>
      </w:r>
      <w:r w:rsidR="003F11B7">
        <w:t xml:space="preserve">, white people do not survive. </w:t>
      </w:r>
      <w:r w:rsidR="001C2C6F">
        <w:t xml:space="preserve">Both Sophie </w:t>
      </w:r>
      <w:r w:rsidR="009916E3">
        <w:t>M</w:t>
      </w:r>
      <w:r w:rsidR="001C2C6F">
        <w:t>ol and K</w:t>
      </w:r>
      <w:r w:rsidR="005C1C6C">
        <w:t xml:space="preserve">ari </w:t>
      </w:r>
      <w:proofErr w:type="spellStart"/>
      <w:r w:rsidR="005C1C6C">
        <w:t>Saipu</w:t>
      </w:r>
      <w:proofErr w:type="spellEnd"/>
      <w:r w:rsidR="00A22781">
        <w:t xml:space="preserve"> </w:t>
      </w:r>
      <w:r w:rsidR="00F67EE7">
        <w:t>(</w:t>
      </w:r>
      <w:r w:rsidR="00A22781">
        <w:t>t</w:t>
      </w:r>
      <w:r w:rsidR="009916E3">
        <w:t xml:space="preserve">he </w:t>
      </w:r>
      <w:r w:rsidR="00F67EE7">
        <w:t>B</w:t>
      </w:r>
      <w:r w:rsidR="00A22781">
        <w:t xml:space="preserve">lack </w:t>
      </w:r>
      <w:r w:rsidR="00F67EE7">
        <w:t>S</w:t>
      </w:r>
      <w:r w:rsidR="009916E3">
        <w:t>ahib</w:t>
      </w:r>
      <w:r w:rsidR="00F67EE7">
        <w:t>)</w:t>
      </w:r>
      <w:r w:rsidR="00324F99">
        <w:rPr>
          <w:rStyle w:val="FootnoteReference"/>
        </w:rPr>
        <w:footnoteReference w:id="53"/>
      </w:r>
      <w:r w:rsidR="009916E3">
        <w:t xml:space="preserve"> were unable to thrive in this locale. This suggests that hybridity exists in Kerala, just not consciously. </w:t>
      </w:r>
      <w:r w:rsidR="00765A04">
        <w:t xml:space="preserve">Kari </w:t>
      </w:r>
      <w:proofErr w:type="spellStart"/>
      <w:r w:rsidR="00765A04">
        <w:t>Saipu</w:t>
      </w:r>
      <w:proofErr w:type="spellEnd"/>
      <w:r w:rsidR="00765A04">
        <w:t xml:space="preserve"> owns “the History House”. Even as Kari </w:t>
      </w:r>
      <w:proofErr w:type="spellStart"/>
      <w:r w:rsidR="00765A04">
        <w:t>Saipu</w:t>
      </w:r>
      <w:proofErr w:type="spellEnd"/>
      <w:r w:rsidR="00765A04">
        <w:t xml:space="preserve"> tries to become a legitimate part of the Keralan people he still “owns” history, demonstrating that he can never escape the connotations of being the coloniser. </w:t>
      </w:r>
      <w:r w:rsidR="009916E3">
        <w:t xml:space="preserve">The demise of Kari </w:t>
      </w:r>
      <w:proofErr w:type="spellStart"/>
      <w:r w:rsidR="009916E3">
        <w:t>Saipu</w:t>
      </w:r>
      <w:proofErr w:type="spellEnd"/>
      <w:r w:rsidR="009916E3">
        <w:t xml:space="preserve"> could indicate that the opposite of the Ipe’s colonisation – the white man performing as native – is also doomed in its inauthenticity. Perhaps hybridity would be the only way to </w:t>
      </w:r>
      <w:r w:rsidR="00BE0B9C">
        <w:t>thrive if</w:t>
      </w:r>
      <w:r w:rsidR="009916E3">
        <w:t xml:space="preserve"> it were allowed.</w:t>
      </w:r>
      <w:r w:rsidR="00402171">
        <w:t xml:space="preserve"> The residents of </w:t>
      </w:r>
      <w:proofErr w:type="spellStart"/>
      <w:r w:rsidR="00402171">
        <w:t>Ayemenem</w:t>
      </w:r>
      <w:proofErr w:type="spellEnd"/>
      <w:r w:rsidR="00402171">
        <w:t xml:space="preserve"> have been conditioned through the caste system and colonialism, which operate in similar ways. The touchable people view the untouchables as a lower standard of people, just as the colonisers. The older generation of untouchables, like the older generation of the colonised accept this as fact. </w:t>
      </w:r>
      <w:proofErr w:type="spellStart"/>
      <w:r w:rsidR="00402171">
        <w:t>Vellya</w:t>
      </w:r>
      <w:proofErr w:type="spellEnd"/>
      <w:r w:rsidR="00402171">
        <w:t xml:space="preserve"> </w:t>
      </w:r>
      <w:proofErr w:type="spellStart"/>
      <w:r w:rsidR="00402171">
        <w:t>Paapen</w:t>
      </w:r>
      <w:proofErr w:type="spellEnd"/>
      <w:r w:rsidR="00EC135A">
        <w:t xml:space="preserve"> </w:t>
      </w:r>
      <w:r w:rsidR="00402171">
        <w:t xml:space="preserve">“was an Old World </w:t>
      </w:r>
      <w:proofErr w:type="spellStart"/>
      <w:r w:rsidR="00402171">
        <w:t>Paraven</w:t>
      </w:r>
      <w:proofErr w:type="spellEnd"/>
      <w:r w:rsidR="00402171">
        <w:t>”.</w:t>
      </w:r>
      <w:r w:rsidR="00402171">
        <w:rPr>
          <w:rStyle w:val="FootnoteReference"/>
        </w:rPr>
        <w:footnoteReference w:id="54"/>
      </w:r>
    </w:p>
    <w:p w14:paraId="7D92CCD1" w14:textId="0ED86D04" w:rsidR="002E1C8F" w:rsidRDefault="009916E3" w:rsidP="00DD1A83">
      <w:pPr>
        <w:spacing w:line="480" w:lineRule="auto"/>
      </w:pPr>
      <w:r>
        <w:t xml:space="preserve">Arguably the most powerful character to the reader is ostensibly </w:t>
      </w:r>
      <w:r w:rsidR="00EC135A">
        <w:t xml:space="preserve">one of </w:t>
      </w:r>
      <w:r w:rsidR="006046E8">
        <w:t xml:space="preserve">the </w:t>
      </w:r>
      <w:r>
        <w:t xml:space="preserve">least powerful in Roy’s </w:t>
      </w:r>
      <w:proofErr w:type="spellStart"/>
      <w:r w:rsidR="006046E8">
        <w:t>Ayemenem</w:t>
      </w:r>
      <w:proofErr w:type="spellEnd"/>
      <w:r>
        <w:t xml:space="preserve">. </w:t>
      </w:r>
      <w:proofErr w:type="spellStart"/>
      <w:r w:rsidR="005C17A7">
        <w:t>Vellya</w:t>
      </w:r>
      <w:proofErr w:type="spellEnd"/>
      <w:r w:rsidR="005C17A7">
        <w:t xml:space="preserve"> </w:t>
      </w:r>
      <w:proofErr w:type="spellStart"/>
      <w:r w:rsidR="005C17A7">
        <w:t>Paapen’s</w:t>
      </w:r>
      <w:proofErr w:type="spellEnd"/>
      <w:r w:rsidR="005C17A7">
        <w:t xml:space="preserve"> son, </w:t>
      </w:r>
      <w:proofErr w:type="spellStart"/>
      <w:r>
        <w:t>Veluthha</w:t>
      </w:r>
      <w:proofErr w:type="spellEnd"/>
      <w:r>
        <w:t xml:space="preserve">. </w:t>
      </w:r>
      <w:proofErr w:type="spellStart"/>
      <w:r w:rsidR="00765A04">
        <w:t>Velutha</w:t>
      </w:r>
      <w:proofErr w:type="spellEnd"/>
      <w:r w:rsidR="00765A04">
        <w:t xml:space="preserve"> means ‘white’</w:t>
      </w:r>
      <w:r w:rsidR="006046E8">
        <w:t xml:space="preserve">, </w:t>
      </w:r>
      <w:r w:rsidR="00765A04">
        <w:t xml:space="preserve">this is symbolic of the irony of this </w:t>
      </w:r>
      <w:r w:rsidR="005C17A7">
        <w:t xml:space="preserve">very </w:t>
      </w:r>
      <w:proofErr w:type="gramStart"/>
      <w:r w:rsidR="005C17A7">
        <w:t>dark skinned</w:t>
      </w:r>
      <w:proofErr w:type="gramEnd"/>
      <w:r w:rsidR="005C17A7">
        <w:t xml:space="preserve"> </w:t>
      </w:r>
      <w:r w:rsidR="00765A04">
        <w:t>character’s demise.</w:t>
      </w:r>
      <w:r w:rsidR="00E84088">
        <w:t xml:space="preserve"> </w:t>
      </w:r>
      <w:proofErr w:type="spellStart"/>
      <w:r w:rsidR="00E84088">
        <w:t>Velutha</w:t>
      </w:r>
      <w:proofErr w:type="spellEnd"/>
      <w:r w:rsidR="00E84088">
        <w:t xml:space="preserve"> is characterised as pure and </w:t>
      </w:r>
      <w:r w:rsidR="00CB1965">
        <w:t>innocent</w:t>
      </w:r>
      <w:r w:rsidR="00E84088">
        <w:t>.</w:t>
      </w:r>
      <w:r w:rsidR="00765A04">
        <w:t xml:space="preserve"> </w:t>
      </w:r>
      <w:proofErr w:type="spellStart"/>
      <w:r w:rsidR="00765A04">
        <w:t>Velutha</w:t>
      </w:r>
      <w:proofErr w:type="spellEnd"/>
      <w:r w:rsidR="00765A04">
        <w:t xml:space="preserve"> has no access to any of the freedoms that whiteness would afford. Yet </w:t>
      </w:r>
      <w:proofErr w:type="spellStart"/>
      <w:r w:rsidR="00765A04">
        <w:t>Velutha</w:t>
      </w:r>
      <w:proofErr w:type="spellEnd"/>
      <w:r w:rsidR="00765A04">
        <w:t xml:space="preserve"> is the richest and most authentic character of the adults. </w:t>
      </w:r>
      <w:r w:rsidR="00A35846">
        <w:t xml:space="preserve">As he is an </w:t>
      </w:r>
      <w:r w:rsidR="00A41480">
        <w:t>untouchable,</w:t>
      </w:r>
      <w:r w:rsidR="00A35846">
        <w:t xml:space="preserve"> he is not bound by the expectation to perform whiteness. In this way he has more freedom tha</w:t>
      </w:r>
      <w:r w:rsidR="00A41480">
        <w:t>n</w:t>
      </w:r>
      <w:r w:rsidR="00A35846">
        <w:t xml:space="preserve"> the </w:t>
      </w:r>
      <w:proofErr w:type="spellStart"/>
      <w:r w:rsidR="00A35846">
        <w:t>touchables</w:t>
      </w:r>
      <w:proofErr w:type="spellEnd"/>
      <w:r w:rsidR="00BF2BAC">
        <w:t xml:space="preserve">, and </w:t>
      </w:r>
      <w:r w:rsidR="00B20214">
        <w:t>no</w:t>
      </w:r>
      <w:r w:rsidR="00BF2BAC">
        <w:t xml:space="preserve"> identity crisis</w:t>
      </w:r>
      <w:r w:rsidR="00A35846">
        <w:t>.</w:t>
      </w:r>
      <w:r w:rsidR="00BF2BAC">
        <w:t xml:space="preserve"> He is released from inauthenticity by </w:t>
      </w:r>
      <w:r w:rsidR="00C97DC4">
        <w:t>his untouchable status.</w:t>
      </w:r>
      <w:r w:rsidR="00A35846">
        <w:t xml:space="preserve"> </w:t>
      </w:r>
      <w:proofErr w:type="spellStart"/>
      <w:r w:rsidR="00A35846">
        <w:t>Velutha</w:t>
      </w:r>
      <w:proofErr w:type="spellEnd"/>
      <w:r w:rsidR="00A35846">
        <w:t xml:space="preserve"> represents nature and local culture. He creates authentic artefacts through his skill. He dresses in the local way. After being seen in the march, </w:t>
      </w:r>
      <w:proofErr w:type="spellStart"/>
      <w:r w:rsidR="00A35846">
        <w:t>Velutha’s</w:t>
      </w:r>
      <w:proofErr w:type="spellEnd"/>
      <w:r w:rsidR="00A35846">
        <w:t xml:space="preserve"> first proper appearance happens in juxtaposition to the “Play” of Sophie Mol’s arrival. </w:t>
      </w:r>
      <w:proofErr w:type="spellStart"/>
      <w:r w:rsidR="00C97DC4">
        <w:t>Velutha’s</w:t>
      </w:r>
      <w:proofErr w:type="spellEnd"/>
      <w:r w:rsidR="00C97DC4">
        <w:t xml:space="preserve"> arrival disrupts the reader’s experience of the Sophie Mol </w:t>
      </w:r>
      <w:r w:rsidR="00B36B97">
        <w:t xml:space="preserve">façade, foreshadowing his intrusion into a touchable family. </w:t>
      </w:r>
      <w:proofErr w:type="spellStart"/>
      <w:r w:rsidR="00A35846">
        <w:t>Velutha</w:t>
      </w:r>
      <w:proofErr w:type="spellEnd"/>
      <w:r w:rsidR="00A35846">
        <w:t xml:space="preserve"> exists outside of the Play.</w:t>
      </w:r>
      <w:r w:rsidR="00CB2778">
        <w:t xml:space="preserve"> </w:t>
      </w:r>
      <w:r w:rsidR="007111DB">
        <w:t xml:space="preserve">Roy’s imagery of </w:t>
      </w:r>
      <w:proofErr w:type="spellStart"/>
      <w:r w:rsidR="007111DB">
        <w:t>Velutha</w:t>
      </w:r>
      <w:proofErr w:type="spellEnd"/>
      <w:r w:rsidR="007111DB">
        <w:t xml:space="preserve"> shining</w:t>
      </w:r>
      <w:r w:rsidR="00A24125">
        <w:t xml:space="preserve"> in the sunlight </w:t>
      </w:r>
      <w:r w:rsidR="007712D5">
        <w:t xml:space="preserve">suggests </w:t>
      </w:r>
      <w:proofErr w:type="spellStart"/>
      <w:r w:rsidR="007712D5">
        <w:t>Ammu</w:t>
      </w:r>
      <w:proofErr w:type="spellEnd"/>
      <w:r w:rsidR="007712D5">
        <w:t xml:space="preserve"> </w:t>
      </w:r>
      <w:r w:rsidR="007712D5">
        <w:lastRenderedPageBreak/>
        <w:t>has become aware</w:t>
      </w:r>
      <w:r w:rsidR="00A24125">
        <w:t xml:space="preserve"> of </w:t>
      </w:r>
      <w:r w:rsidR="00A45A1E">
        <w:t>a more authentic source of warmth.</w:t>
      </w:r>
      <w:r w:rsidR="00456872">
        <w:t xml:space="preserve"> </w:t>
      </w:r>
      <w:proofErr w:type="spellStart"/>
      <w:r w:rsidR="00280B90">
        <w:t>Velutha</w:t>
      </w:r>
      <w:proofErr w:type="spellEnd"/>
      <w:r w:rsidR="00280B90">
        <w:t xml:space="preserve"> is not subject to the inferiority complex of the psychically colonised.</w:t>
      </w:r>
      <w:r w:rsidR="00FF3876">
        <w:t xml:space="preserve"> </w:t>
      </w:r>
      <w:proofErr w:type="spellStart"/>
      <w:r w:rsidR="00A35846">
        <w:t>Velutha</w:t>
      </w:r>
      <w:proofErr w:type="spellEnd"/>
      <w:r w:rsidR="00A35846">
        <w:t xml:space="preserve"> is described as “</w:t>
      </w:r>
      <w:proofErr w:type="spellStart"/>
      <w:r w:rsidR="00A35846">
        <w:t>Barebodied</w:t>
      </w:r>
      <w:proofErr w:type="spellEnd"/>
      <w:r w:rsidR="00A35846">
        <w:t xml:space="preserve">. A coil of insulated electrical wire was looped over one shoulder. He wore his printed dark blue and black </w:t>
      </w:r>
      <w:proofErr w:type="spellStart"/>
      <w:r w:rsidR="00A35846">
        <w:t>mundu</w:t>
      </w:r>
      <w:proofErr w:type="spellEnd"/>
      <w:r w:rsidR="00A35846">
        <w:t xml:space="preserve"> loosely folded up above his knees. On his back, his lucky leaf from the birthmark tree (that made the monsoons come on time).”</w:t>
      </w:r>
      <w:r w:rsidR="00A35846">
        <w:rPr>
          <w:rStyle w:val="FootnoteReference"/>
        </w:rPr>
        <w:footnoteReference w:id="55"/>
      </w:r>
      <w:r w:rsidR="00A35846">
        <w:t xml:space="preserve"> The wire demonstrates his </w:t>
      </w:r>
      <w:r w:rsidR="00050A7A">
        <w:t>utility</w:t>
      </w:r>
      <w:r w:rsidR="00A35846">
        <w:t xml:space="preserve">, the local dress indicates he is comfortable in his skin and with his surroundings. He is not affected by the performance in the house. His birthmark conveys a mystical element, or spirituality. A connection with nature. </w:t>
      </w:r>
      <w:r w:rsidR="00FD6C77">
        <w:t xml:space="preserve">Although </w:t>
      </w:r>
      <w:proofErr w:type="spellStart"/>
      <w:r w:rsidR="00FD6C77">
        <w:t>Velutha</w:t>
      </w:r>
      <w:proofErr w:type="spellEnd"/>
      <w:r w:rsidR="00FD6C77">
        <w:t xml:space="preserve"> is the epitome of Other, he is unlike any Other in that he “has an identity based on a different expanded knowledge”</w:t>
      </w:r>
      <w:r w:rsidR="00FD6C77">
        <w:rPr>
          <w:rStyle w:val="FootnoteReference"/>
        </w:rPr>
        <w:footnoteReference w:id="56"/>
      </w:r>
      <w:r w:rsidR="00505B18">
        <w:t xml:space="preserve"> which he is free to pursue in his status as untouchable.</w:t>
      </w:r>
      <w:r w:rsidR="005E1CE8">
        <w:t xml:space="preserve"> </w:t>
      </w:r>
      <w:r w:rsidR="002A2198">
        <w:t xml:space="preserve">Through </w:t>
      </w:r>
      <w:proofErr w:type="spellStart"/>
      <w:r w:rsidR="002A2198">
        <w:t>Velutha</w:t>
      </w:r>
      <w:proofErr w:type="spellEnd"/>
      <w:r w:rsidR="002A2198">
        <w:t>, “Roy subverts whiteness</w:t>
      </w:r>
      <w:r w:rsidR="00561A2C">
        <w:t xml:space="preserve"> to provide visibility to the local characters”.</w:t>
      </w:r>
      <w:r w:rsidR="00561A2C">
        <w:rPr>
          <w:rStyle w:val="FootnoteReference"/>
        </w:rPr>
        <w:footnoteReference w:id="57"/>
      </w:r>
      <w:r w:rsidR="00FD6C77">
        <w:t xml:space="preserve"> </w:t>
      </w:r>
      <w:r w:rsidR="00A35846">
        <w:t>In contrast to the “</w:t>
      </w:r>
      <w:proofErr w:type="spellStart"/>
      <w:r w:rsidR="00A35846">
        <w:t>mudbrown</w:t>
      </w:r>
      <w:proofErr w:type="spellEnd"/>
      <w:r w:rsidR="00A35846">
        <w:t>” description of the twins</w:t>
      </w:r>
      <w:r w:rsidR="00D8008B">
        <w:t xml:space="preserve">, </w:t>
      </w:r>
      <w:proofErr w:type="spellStart"/>
      <w:r w:rsidR="00D8008B">
        <w:t>Velutha’s</w:t>
      </w:r>
      <w:proofErr w:type="spellEnd"/>
      <w:r w:rsidR="00D8008B">
        <w:t xml:space="preserve"> skin is likened to “a slab of chocolate”. </w:t>
      </w:r>
      <w:proofErr w:type="spellStart"/>
      <w:r w:rsidR="00D8008B">
        <w:t>Velutha’s</w:t>
      </w:r>
      <w:proofErr w:type="spellEnd"/>
      <w:r w:rsidR="00D8008B">
        <w:t xml:space="preserve"> dark skin is presented in a positive and attractive way.</w:t>
      </w:r>
      <w:r w:rsidR="00E122D5">
        <w:t xml:space="preserve"> </w:t>
      </w:r>
      <w:r w:rsidR="00D8008B">
        <w:t xml:space="preserve">In this moment </w:t>
      </w:r>
      <w:proofErr w:type="spellStart"/>
      <w:r w:rsidR="00D8008B">
        <w:t>Velutha</w:t>
      </w:r>
      <w:proofErr w:type="spellEnd"/>
      <w:r w:rsidR="00D8008B">
        <w:t xml:space="preserve"> and </w:t>
      </w:r>
      <w:proofErr w:type="spellStart"/>
      <w:r w:rsidR="00D8008B">
        <w:t>Ammu</w:t>
      </w:r>
      <w:proofErr w:type="spellEnd"/>
      <w:r w:rsidR="00D8008B">
        <w:t xml:space="preserve"> first experience emotional and sexual feelings towards each other. This moment of human authenticity and understanding disregards any hierarchy due to caste or skin colour. </w:t>
      </w:r>
      <w:proofErr w:type="spellStart"/>
      <w:r w:rsidR="00D8008B">
        <w:t>Velutha</w:t>
      </w:r>
      <w:proofErr w:type="spellEnd"/>
      <w:r w:rsidR="00D8008B">
        <w:t xml:space="preserve"> is described as having “coins of sunshine dancing on his body”, a metaphor for the richness</w:t>
      </w:r>
      <w:r w:rsidR="003D62E4">
        <w:t xml:space="preserve"> and heritage</w:t>
      </w:r>
      <w:r w:rsidR="00D8008B">
        <w:t xml:space="preserve"> of his identity. “[</w:t>
      </w:r>
      <w:proofErr w:type="spellStart"/>
      <w:r w:rsidR="00D8008B">
        <w:t>Velutha</w:t>
      </w:r>
      <w:proofErr w:type="spellEnd"/>
      <w:r w:rsidR="00D8008B">
        <w:t xml:space="preserve">] glanced up and caught </w:t>
      </w:r>
      <w:proofErr w:type="spellStart"/>
      <w:r w:rsidR="00D8008B">
        <w:t>Ammu’s</w:t>
      </w:r>
      <w:proofErr w:type="spellEnd"/>
      <w:r w:rsidR="00D8008B">
        <w:t xml:space="preserve"> gaze. Centuries telescoped into one evanescent moment. History was wrong-footed, caught off guard. Sloughed off like an old snakeskin. Its marks, its scars, its wounds from old wars and the walking backwards days all fell away</w:t>
      </w:r>
      <w:r w:rsidR="00A13B9B">
        <w:t>.”</w:t>
      </w:r>
      <w:r w:rsidR="00A13B9B">
        <w:rPr>
          <w:rStyle w:val="FootnoteReference"/>
        </w:rPr>
        <w:footnoteReference w:id="58"/>
      </w:r>
      <w:r w:rsidR="00A13B9B">
        <w:t xml:space="preserve"> This moment seems to stop time. Their realisation of the truth sets them apart from the “walking backwards” older generation. In the case of literal walking backwards by the </w:t>
      </w:r>
      <w:proofErr w:type="spellStart"/>
      <w:r w:rsidR="00A13B9B">
        <w:t>paraven</w:t>
      </w:r>
      <w:proofErr w:type="spellEnd"/>
      <w:r w:rsidR="00A17DB2">
        <w:t>, brushing away the footprints of their culture,</w:t>
      </w:r>
      <w:r w:rsidR="00A13B9B">
        <w:t xml:space="preserve"> but also the figurative walking backwards of those that perpetuate psychic colonialism and the caste system</w:t>
      </w:r>
      <w:r w:rsidR="00672651">
        <w:t>,</w:t>
      </w:r>
      <w:r w:rsidR="00A13B9B">
        <w:t xml:space="preserve"> which makes </w:t>
      </w:r>
      <w:proofErr w:type="spellStart"/>
      <w:r w:rsidR="00A13B9B">
        <w:t>Velutha</w:t>
      </w:r>
      <w:proofErr w:type="spellEnd"/>
      <w:r w:rsidR="00A13B9B">
        <w:t xml:space="preserve"> and </w:t>
      </w:r>
      <w:proofErr w:type="spellStart"/>
      <w:r w:rsidR="00A13B9B">
        <w:t>Ammu’s</w:t>
      </w:r>
      <w:proofErr w:type="spellEnd"/>
      <w:r w:rsidR="00A13B9B">
        <w:t xml:space="preserve"> love forbidden. The personification of history </w:t>
      </w:r>
      <w:r w:rsidR="000B2961">
        <w:t xml:space="preserve">indicates </w:t>
      </w:r>
      <w:r w:rsidR="00EE099A">
        <w:t>that</w:t>
      </w:r>
      <w:r w:rsidR="00A13B9B">
        <w:t xml:space="preserve"> the grip that caste and colonialism had on their lives has no power in this moment and can be overcome. The three nouns representing pain falling away conveys that this should not be a pain they have to endure</w:t>
      </w:r>
      <w:r w:rsidR="0065797E">
        <w:t>.</w:t>
      </w:r>
      <w:r w:rsidR="00FE438F">
        <w:t xml:space="preserve"> </w:t>
      </w:r>
    </w:p>
    <w:p w14:paraId="3E6CE70D" w14:textId="48302376" w:rsidR="00516251" w:rsidRDefault="00FD60C6" w:rsidP="00DD1A83">
      <w:pPr>
        <w:spacing w:line="480" w:lineRule="auto"/>
      </w:pPr>
      <w:r>
        <w:t>Although</w:t>
      </w:r>
      <w:r w:rsidR="00877902">
        <w:t xml:space="preserve"> </w:t>
      </w:r>
      <w:proofErr w:type="spellStart"/>
      <w:r w:rsidR="00877902">
        <w:t>Ammu</w:t>
      </w:r>
      <w:proofErr w:type="spellEnd"/>
      <w:r w:rsidR="00877902">
        <w:t xml:space="preserve"> is </w:t>
      </w:r>
      <w:r w:rsidR="00D21AC0">
        <w:t>t</w:t>
      </w:r>
      <w:r w:rsidR="00877902">
        <w:t xml:space="preserve">ouchable, she experiences discrimination when compared with </w:t>
      </w:r>
      <w:r w:rsidR="009D4E57">
        <w:t>her peers. Margaret is offered preferential treatment</w:t>
      </w:r>
      <w:r w:rsidR="00877902">
        <w:t xml:space="preserve"> simply as </w:t>
      </w:r>
      <w:r w:rsidR="009D4E57">
        <w:t xml:space="preserve">she </w:t>
      </w:r>
      <w:r w:rsidR="00877902">
        <w:t>is English</w:t>
      </w:r>
      <w:r w:rsidR="00973C69">
        <w:t>:</w:t>
      </w:r>
      <w:r w:rsidR="00877902">
        <w:t xml:space="preserve"> </w:t>
      </w:r>
      <w:r w:rsidR="00973C69">
        <w:t xml:space="preserve">“the conversation circled </w:t>
      </w:r>
      <w:r w:rsidR="007F73D1">
        <w:t xml:space="preserve">like a moth around the white child and her </w:t>
      </w:r>
      <w:r w:rsidR="007F73D1">
        <w:lastRenderedPageBreak/>
        <w:t>mother as though they were the only source of light”</w:t>
      </w:r>
      <w:r w:rsidR="00D775DA">
        <w:t>.</w:t>
      </w:r>
      <w:r w:rsidR="00751FAD">
        <w:rPr>
          <w:rStyle w:val="FootnoteReference"/>
        </w:rPr>
        <w:footnoteReference w:id="59"/>
      </w:r>
      <w:r w:rsidR="00D775DA">
        <w:t xml:space="preserve"> The positioning</w:t>
      </w:r>
      <w:r w:rsidR="00B00B52">
        <w:t xml:space="preserve"> of Margaret and Sophie as representations of light </w:t>
      </w:r>
      <w:r w:rsidR="00FB723F">
        <w:t xml:space="preserve">is inauthentic to </w:t>
      </w:r>
      <w:proofErr w:type="spellStart"/>
      <w:r w:rsidR="00FB723F">
        <w:t>Ammu</w:t>
      </w:r>
      <w:proofErr w:type="spellEnd"/>
      <w:r w:rsidR="00FB723F">
        <w:t xml:space="preserve"> as she has become aware of </w:t>
      </w:r>
      <w:proofErr w:type="spellStart"/>
      <w:r w:rsidR="00FB723F">
        <w:t>Velutha</w:t>
      </w:r>
      <w:proofErr w:type="spellEnd"/>
      <w:r w:rsidR="00FB723F">
        <w:t xml:space="preserve"> as a light source</w:t>
      </w:r>
      <w:r w:rsidR="00934340">
        <w:t xml:space="preserve"> and seen the hypocrisy of the English females</w:t>
      </w:r>
      <w:r w:rsidR="008A508B">
        <w:t>’</w:t>
      </w:r>
      <w:r w:rsidR="00934340">
        <w:t xml:space="preserve"> deification. </w:t>
      </w:r>
      <w:proofErr w:type="spellStart"/>
      <w:r w:rsidR="003B3666">
        <w:t>Mammachi</w:t>
      </w:r>
      <w:proofErr w:type="spellEnd"/>
      <w:r w:rsidR="003B3666">
        <w:t xml:space="preserve"> dislikes</w:t>
      </w:r>
      <w:r w:rsidR="00410E63">
        <w:t xml:space="preserve"> Margaret</w:t>
      </w:r>
      <w:r w:rsidR="003B3666">
        <w:t xml:space="preserve"> as </w:t>
      </w:r>
      <w:r w:rsidR="001E02E1">
        <w:t xml:space="preserve">she possesses Chacko’s attention. </w:t>
      </w:r>
      <w:r w:rsidR="00410E63">
        <w:t xml:space="preserve">Yet she is still civil </w:t>
      </w:r>
      <w:r w:rsidR="00516D4D">
        <w:t xml:space="preserve">and speaks kindly to her. </w:t>
      </w:r>
      <w:proofErr w:type="spellStart"/>
      <w:r w:rsidR="00516D4D">
        <w:t>Ammu</w:t>
      </w:r>
      <w:proofErr w:type="spellEnd"/>
      <w:r w:rsidR="00516D4D">
        <w:t xml:space="preserve"> is </w:t>
      </w:r>
      <w:r w:rsidR="00616808">
        <w:t>seen as a failure</w:t>
      </w:r>
      <w:r w:rsidR="00026AC5">
        <w:t xml:space="preserve"> through her divorce, yet Margaret’s </w:t>
      </w:r>
      <w:r w:rsidR="00361BAE">
        <w:t xml:space="preserve">leaving Chacko is not addressed. </w:t>
      </w:r>
      <w:proofErr w:type="spellStart"/>
      <w:r w:rsidR="00361BAE">
        <w:t>Ammu’s</w:t>
      </w:r>
      <w:proofErr w:type="spellEnd"/>
      <w:r w:rsidR="00361BAE">
        <w:t xml:space="preserve"> children are chastised</w:t>
      </w:r>
      <w:r w:rsidR="000C408B">
        <w:t>, whilst Sophie Mol is claimed and championed</w:t>
      </w:r>
      <w:r w:rsidR="00507562">
        <w:t xml:space="preserve"> for simply growing “‘Much taller than </w:t>
      </w:r>
      <w:proofErr w:type="spellStart"/>
      <w:r w:rsidR="00507562">
        <w:t>Estha</w:t>
      </w:r>
      <w:proofErr w:type="spellEnd"/>
      <w:r w:rsidR="004E1B84">
        <w:t>.</w:t>
      </w:r>
      <w:r w:rsidR="00507562">
        <w:t>’</w:t>
      </w:r>
      <w:r w:rsidR="004E1B84">
        <w:t>”</w:t>
      </w:r>
      <w:r w:rsidR="004E1B84">
        <w:rPr>
          <w:rStyle w:val="FootnoteReference"/>
        </w:rPr>
        <w:footnoteReference w:id="60"/>
      </w:r>
      <w:r w:rsidR="002E1C8F">
        <w:t xml:space="preserve"> </w:t>
      </w:r>
      <w:r w:rsidR="00A47984">
        <w:t>Furthermore,</w:t>
      </w:r>
      <w:r w:rsidR="000C1F5D">
        <w:t xml:space="preserve"> </w:t>
      </w:r>
      <w:proofErr w:type="spellStart"/>
      <w:r w:rsidR="000C1F5D">
        <w:t>Ammu</w:t>
      </w:r>
      <w:proofErr w:type="spellEnd"/>
      <w:r w:rsidR="000C1F5D">
        <w:t xml:space="preserve"> is a victim of </w:t>
      </w:r>
      <w:r w:rsidR="00C10071">
        <w:t>misogyny</w:t>
      </w:r>
      <w:r w:rsidR="000C1F5D">
        <w:t>, compounding her poor treatment</w:t>
      </w:r>
      <w:r w:rsidR="00420425">
        <w:t xml:space="preserve">. </w:t>
      </w:r>
      <w:proofErr w:type="spellStart"/>
      <w:r w:rsidR="00420425">
        <w:t>Ammu’s</w:t>
      </w:r>
      <w:proofErr w:type="spellEnd"/>
      <w:r w:rsidR="00420425">
        <w:t xml:space="preserve"> failed marriage was due to her husband’s indiscretion and his English manage</w:t>
      </w:r>
      <w:r w:rsidR="007125B8">
        <w:t xml:space="preserve">r attempting to solicit sex from her. </w:t>
      </w:r>
      <w:proofErr w:type="spellStart"/>
      <w:r w:rsidR="004C2112">
        <w:t>Pappachi</w:t>
      </w:r>
      <w:proofErr w:type="spellEnd"/>
      <w:r w:rsidR="00EB7B10">
        <w:t xml:space="preserve"> didn’t believe an Englishman could be responsible,</w:t>
      </w:r>
      <w:r w:rsidR="002E1C8F">
        <w:t xml:space="preserve"> </w:t>
      </w:r>
      <w:r w:rsidR="002E1C8F">
        <w:rPr>
          <w:rStyle w:val="FootnoteReference"/>
        </w:rPr>
        <w:footnoteReference w:id="61"/>
      </w:r>
      <w:r w:rsidR="00EB7B10">
        <w:t xml:space="preserve"> disenfranchising his own</w:t>
      </w:r>
      <w:r w:rsidR="00376A16">
        <w:t xml:space="preserve"> daughter</w:t>
      </w:r>
      <w:r w:rsidR="009F40E6">
        <w:t xml:space="preserve">. Chacko is also living with </w:t>
      </w:r>
      <w:proofErr w:type="spellStart"/>
      <w:r w:rsidR="009F40E6">
        <w:t>Mammachi</w:t>
      </w:r>
      <w:proofErr w:type="spellEnd"/>
      <w:r w:rsidR="009F40E6">
        <w:t xml:space="preserve"> </w:t>
      </w:r>
      <w:proofErr w:type="gramStart"/>
      <w:r w:rsidR="009F40E6">
        <w:t>as a result of</w:t>
      </w:r>
      <w:proofErr w:type="gramEnd"/>
      <w:r w:rsidR="009F40E6">
        <w:t xml:space="preserve"> a failed marriage, yet </w:t>
      </w:r>
      <w:proofErr w:type="spellStart"/>
      <w:r w:rsidR="009F40E6">
        <w:t>Mammachi</w:t>
      </w:r>
      <w:proofErr w:type="spellEnd"/>
      <w:r w:rsidR="009F40E6">
        <w:t xml:space="preserve"> supports his “</w:t>
      </w:r>
      <w:r w:rsidR="0009217F">
        <w:t>Man’s N</w:t>
      </w:r>
      <w:r w:rsidR="009F40E6">
        <w:t>eeds”</w:t>
      </w:r>
      <w:r w:rsidR="00C3011E">
        <w:rPr>
          <w:rStyle w:val="FootnoteReference"/>
        </w:rPr>
        <w:footnoteReference w:id="62"/>
      </w:r>
      <w:r w:rsidR="009F40E6">
        <w:t xml:space="preserve"> </w:t>
      </w:r>
      <w:r w:rsidR="005C128D">
        <w:t xml:space="preserve">because of his gender </w:t>
      </w:r>
      <w:r w:rsidR="009F40E6">
        <w:t xml:space="preserve">and even has her house redesigned to accommodate his overnight </w:t>
      </w:r>
      <w:r w:rsidR="00516251">
        <w:t xml:space="preserve">guests. </w:t>
      </w:r>
      <w:r w:rsidR="00E94E75">
        <w:t xml:space="preserve">Yet </w:t>
      </w:r>
      <w:proofErr w:type="spellStart"/>
      <w:r w:rsidR="00E94E75">
        <w:t>Ammu</w:t>
      </w:r>
      <w:proofErr w:type="spellEnd"/>
      <w:r w:rsidR="00E94E75">
        <w:t xml:space="preserve"> is not expected to have any physical relationship.</w:t>
      </w:r>
      <w:r w:rsidR="00664356">
        <w:t xml:space="preserve"> </w:t>
      </w:r>
      <w:r w:rsidR="00516251">
        <w:t xml:space="preserve">When </w:t>
      </w:r>
      <w:proofErr w:type="spellStart"/>
      <w:r w:rsidR="00516251">
        <w:t>Ammu</w:t>
      </w:r>
      <w:proofErr w:type="spellEnd"/>
      <w:r w:rsidR="00516251">
        <w:t xml:space="preserve"> and </w:t>
      </w:r>
      <w:proofErr w:type="spellStart"/>
      <w:r w:rsidR="00516251">
        <w:t>Velutha</w:t>
      </w:r>
      <w:proofErr w:type="spellEnd"/>
      <w:r w:rsidR="00516251">
        <w:t xml:space="preserve"> </w:t>
      </w:r>
      <w:r w:rsidR="00D34C1B">
        <w:t xml:space="preserve">have sex the imagery reflects how their </w:t>
      </w:r>
      <w:r w:rsidR="00CD6E73">
        <w:t xml:space="preserve">love cannot exist in the reality of their combined </w:t>
      </w:r>
      <w:r w:rsidR="00081BCC">
        <w:t>subalternity</w:t>
      </w:r>
      <w:r w:rsidR="00760F56">
        <w:t xml:space="preserve">. </w:t>
      </w:r>
      <w:r w:rsidR="001A7F42">
        <w:t xml:space="preserve">They </w:t>
      </w:r>
      <w:r w:rsidR="009217B9">
        <w:t xml:space="preserve">have sex on “a boat shaped patch of bare dry </w:t>
      </w:r>
      <w:r w:rsidR="005D098D">
        <w:t>e</w:t>
      </w:r>
      <w:r w:rsidR="009217B9">
        <w:t>arth</w:t>
      </w:r>
      <w:r w:rsidR="00842A66">
        <w:t>”</w:t>
      </w:r>
      <w:r w:rsidR="00842A66">
        <w:rPr>
          <w:rStyle w:val="FootnoteReference"/>
        </w:rPr>
        <w:footnoteReference w:id="63"/>
      </w:r>
      <w:r w:rsidR="00BA15DB">
        <w:t xml:space="preserve"> The boat could represent their escape but </w:t>
      </w:r>
      <w:r w:rsidR="003564E5">
        <w:t>expresses</w:t>
      </w:r>
      <w:r w:rsidR="00BA15DB">
        <w:t xml:space="preserve"> that this is fantasy as the</w:t>
      </w:r>
      <w:r w:rsidR="005D098D">
        <w:t xml:space="preserve"> boat is not there. The </w:t>
      </w:r>
      <w:r w:rsidR="00480946">
        <w:t>bare dry earth connects them to the environment</w:t>
      </w:r>
      <w:r w:rsidR="00BA2E5F">
        <w:t xml:space="preserve"> </w:t>
      </w:r>
      <w:r w:rsidR="00584ACF">
        <w:t xml:space="preserve">and conveys the </w:t>
      </w:r>
      <w:r w:rsidR="004B70E2">
        <w:t xml:space="preserve">naturality of the act </w:t>
      </w:r>
      <w:r w:rsidR="00BA2E5F">
        <w:t xml:space="preserve">yet </w:t>
      </w:r>
      <w:r w:rsidR="00CD35D0">
        <w:t xml:space="preserve">represents that </w:t>
      </w:r>
      <w:r w:rsidR="00BA2E5F">
        <w:t>there is nothing else there for them</w:t>
      </w:r>
      <w:r w:rsidR="00FA42D9">
        <w:t xml:space="preserve"> apart from this moment.</w:t>
      </w:r>
      <w:r w:rsidR="00D7214D">
        <w:t xml:space="preserve"> </w:t>
      </w:r>
      <w:proofErr w:type="spellStart"/>
      <w:r w:rsidR="00D7214D">
        <w:t>Ve</w:t>
      </w:r>
      <w:r w:rsidR="00CD4F23">
        <w:t>lutha</w:t>
      </w:r>
      <w:proofErr w:type="spellEnd"/>
      <w:r w:rsidR="00CD4F23">
        <w:t xml:space="preserve"> represents Kerala and a</w:t>
      </w:r>
      <w:r w:rsidR="00BD4144">
        <w:t xml:space="preserve"> </w:t>
      </w:r>
      <w:r w:rsidR="00F3578E">
        <w:t>genuine Indian culture and identity,</w:t>
      </w:r>
      <w:r w:rsidR="00FD3A37">
        <w:t xml:space="preserve"> </w:t>
      </w:r>
      <w:r w:rsidR="00760FCF">
        <w:t>“an organic, non-white reality”</w:t>
      </w:r>
      <w:r w:rsidR="00BD4144">
        <w:t>,</w:t>
      </w:r>
      <w:r w:rsidR="00760FCF">
        <w:rPr>
          <w:rStyle w:val="FootnoteReference"/>
        </w:rPr>
        <w:footnoteReference w:id="64"/>
      </w:r>
      <w:r w:rsidR="00F3578E">
        <w:t xml:space="preserve"> but </w:t>
      </w:r>
      <w:proofErr w:type="spellStart"/>
      <w:r w:rsidR="00F3578E">
        <w:t>Ammu</w:t>
      </w:r>
      <w:proofErr w:type="spellEnd"/>
      <w:r w:rsidR="00F3578E">
        <w:t xml:space="preserve"> cannot access this</w:t>
      </w:r>
      <w:r w:rsidR="00A82B68">
        <w:t xml:space="preserve">. Everything </w:t>
      </w:r>
      <w:proofErr w:type="spellStart"/>
      <w:r w:rsidR="00A82B68">
        <w:t>Velutha</w:t>
      </w:r>
      <w:r w:rsidR="001D249F">
        <w:t>’s</w:t>
      </w:r>
      <w:proofErr w:type="spellEnd"/>
      <w:r w:rsidR="001D249F">
        <w:t xml:space="preserve"> identity</w:t>
      </w:r>
      <w:r w:rsidR="00A82B68">
        <w:t xml:space="preserve"> represents is juxtaposed with </w:t>
      </w:r>
      <w:r w:rsidR="001D249F">
        <w:t>the performed whiteness of her family.</w:t>
      </w:r>
    </w:p>
    <w:p w14:paraId="36476170" w14:textId="09362546" w:rsidR="00760F56" w:rsidRPr="004B3033" w:rsidRDefault="005331A6" w:rsidP="00DD1A83">
      <w:pPr>
        <w:spacing w:line="480" w:lineRule="auto"/>
      </w:pPr>
      <w:r>
        <w:t xml:space="preserve">The characters in </w:t>
      </w:r>
      <w:r>
        <w:rPr>
          <w:i/>
          <w:iCs/>
        </w:rPr>
        <w:t>The God of Small Things</w:t>
      </w:r>
      <w:r>
        <w:t xml:space="preserve"> experience a false reality as they do not fit in to their own culture after generations of domination, but cling to an outdated version of Englishness, which damages them. Many of the details in the story are inferred, and not explicitly told. Perhaps th</w:t>
      </w:r>
      <w:r w:rsidR="006647E7">
        <w:t>is</w:t>
      </w:r>
      <w:r>
        <w:t xml:space="preserve"> lack of clarity – reminiscent of </w:t>
      </w:r>
      <w:proofErr w:type="spellStart"/>
      <w:r>
        <w:t>Mammachi’s</w:t>
      </w:r>
      <w:proofErr w:type="spellEnd"/>
      <w:r>
        <w:t xml:space="preserve"> vision – reflects the confused identities of the characters.</w:t>
      </w:r>
      <w:r w:rsidR="00F60DD4">
        <w:t xml:space="preserve"> </w:t>
      </w:r>
      <w:r w:rsidR="006C69EC">
        <w:t>Both Roy and Smith have</w:t>
      </w:r>
      <w:r w:rsidR="0029318B">
        <w:t xml:space="preserve"> created stories of hybrid characters</w:t>
      </w:r>
      <w:r w:rsidR="00A03D3A">
        <w:t xml:space="preserve">, that </w:t>
      </w:r>
      <w:r w:rsidR="008A6B03">
        <w:t>-</w:t>
      </w:r>
      <w:r w:rsidR="00564452">
        <w:t xml:space="preserve"> c</w:t>
      </w:r>
      <w:r w:rsidR="00A03D3A">
        <w:t>onsciously or not</w:t>
      </w:r>
      <w:r w:rsidR="008A6B03">
        <w:t xml:space="preserve"> -</w:t>
      </w:r>
      <w:r w:rsidR="00A03D3A">
        <w:t xml:space="preserve"> perform Englishness in varying ways</w:t>
      </w:r>
      <w:r w:rsidR="0029318B">
        <w:t>.</w:t>
      </w:r>
      <w:r w:rsidR="00A03D3A">
        <w:t xml:space="preserve"> </w:t>
      </w:r>
      <w:r w:rsidR="00774B4D">
        <w:t xml:space="preserve">The subjective and transient nature of </w:t>
      </w:r>
      <w:r w:rsidR="00774B4D">
        <w:lastRenderedPageBreak/>
        <w:t xml:space="preserve">what </w:t>
      </w:r>
      <w:r w:rsidR="008A6B03">
        <w:t>‘Englishness’ means</w:t>
      </w:r>
      <w:r w:rsidR="0029318B">
        <w:t xml:space="preserve"> </w:t>
      </w:r>
      <w:r w:rsidR="00564452">
        <w:t xml:space="preserve">both confuses and underlines this. </w:t>
      </w:r>
      <w:r w:rsidR="006C69EC">
        <w:t xml:space="preserve">It could be argued that the characters in </w:t>
      </w:r>
      <w:r w:rsidR="006C69EC">
        <w:rPr>
          <w:i/>
          <w:iCs/>
        </w:rPr>
        <w:t>White Teeth</w:t>
      </w:r>
      <w:r w:rsidR="00CD7306">
        <w:rPr>
          <w:i/>
          <w:iCs/>
        </w:rPr>
        <w:t xml:space="preserve"> </w:t>
      </w:r>
      <w:r w:rsidR="00161311">
        <w:t>-</w:t>
      </w:r>
      <w:r w:rsidR="00CD7306">
        <w:t>whilst confused</w:t>
      </w:r>
      <w:r w:rsidR="006647E7">
        <w:t xml:space="preserve"> and victims of discrimination</w:t>
      </w:r>
      <w:r w:rsidR="00CD7306">
        <w:t xml:space="preserve"> </w:t>
      </w:r>
      <w:r w:rsidR="00161311">
        <w:t xml:space="preserve">- </w:t>
      </w:r>
      <w:r w:rsidR="00CD7306">
        <w:t xml:space="preserve">have more opportunities and </w:t>
      </w:r>
      <w:r w:rsidR="00C965AC">
        <w:t xml:space="preserve">the agency </w:t>
      </w:r>
      <w:r w:rsidR="00CD7306">
        <w:t>to explore their identities</w:t>
      </w:r>
      <w:r w:rsidR="00C965AC">
        <w:t xml:space="preserve">. </w:t>
      </w:r>
      <w:r w:rsidR="00B757FE">
        <w:t>The writers powerfully demonstrate that cl</w:t>
      </w:r>
      <w:r w:rsidR="0071397E">
        <w:t xml:space="preserve">ass marginality </w:t>
      </w:r>
      <w:r w:rsidR="00312B34">
        <w:t>exist</w:t>
      </w:r>
      <w:r w:rsidR="00CC0BA4">
        <w:t>s</w:t>
      </w:r>
      <w:r w:rsidR="00312B34">
        <w:t xml:space="preserve"> </w:t>
      </w:r>
      <w:r w:rsidR="000B68E6">
        <w:t>cross-culturally</w:t>
      </w:r>
      <w:r w:rsidR="00312B34">
        <w:t>.</w:t>
      </w:r>
      <w:r w:rsidR="009969DE">
        <w:t xml:space="preserve"> Through contrasting narratives of Englishness, diversity, generation</w:t>
      </w:r>
      <w:r w:rsidR="00F53FA7">
        <w:t>al difference</w:t>
      </w:r>
      <w:r w:rsidR="000B68E6">
        <w:t xml:space="preserve">s and </w:t>
      </w:r>
      <w:r w:rsidR="00623A69">
        <w:t xml:space="preserve">class, </w:t>
      </w:r>
      <w:r w:rsidR="00977D45">
        <w:t xml:space="preserve">Roy and Smith highlight the hypocrisy and irony of </w:t>
      </w:r>
      <w:r w:rsidR="00DF3005">
        <w:t>the superiority of Englishness as a cultural hegemony.</w:t>
      </w:r>
      <w:r w:rsidR="00BA3EEB">
        <w:t xml:space="preserve"> </w:t>
      </w:r>
    </w:p>
    <w:sectPr w:rsidR="00760F56" w:rsidRPr="004B3033" w:rsidSect="00DD1A83">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9ED57" w14:textId="77777777" w:rsidR="007D0D7E" w:rsidRDefault="007D0D7E" w:rsidP="00DD1A83">
      <w:pPr>
        <w:spacing w:after="0" w:line="240" w:lineRule="auto"/>
      </w:pPr>
      <w:r>
        <w:separator/>
      </w:r>
    </w:p>
  </w:endnote>
  <w:endnote w:type="continuationSeparator" w:id="0">
    <w:p w14:paraId="3A064F15" w14:textId="77777777" w:rsidR="007D0D7E" w:rsidRDefault="007D0D7E" w:rsidP="00DD1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86FF3" w14:textId="77777777" w:rsidR="00DA7F97" w:rsidRDefault="00DA7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1827707"/>
      <w:docPartObj>
        <w:docPartGallery w:val="Page Numbers (Bottom of Page)"/>
        <w:docPartUnique/>
      </w:docPartObj>
    </w:sdtPr>
    <w:sdtEndPr>
      <w:rPr>
        <w:noProof/>
      </w:rPr>
    </w:sdtEndPr>
    <w:sdtContent>
      <w:p w14:paraId="34E19C3C" w14:textId="27B2C862" w:rsidR="005D2125" w:rsidRDefault="005D21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DB7A2E" w14:textId="77777777" w:rsidR="000B35D0" w:rsidRDefault="000B35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FEF76" w14:textId="77777777" w:rsidR="00DA7F97" w:rsidRDefault="00DA7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9DE4C" w14:textId="77777777" w:rsidR="007D0D7E" w:rsidRDefault="007D0D7E" w:rsidP="00DD1A83">
      <w:pPr>
        <w:spacing w:after="0" w:line="240" w:lineRule="auto"/>
      </w:pPr>
      <w:r>
        <w:separator/>
      </w:r>
    </w:p>
  </w:footnote>
  <w:footnote w:type="continuationSeparator" w:id="0">
    <w:p w14:paraId="2E95293C" w14:textId="77777777" w:rsidR="007D0D7E" w:rsidRDefault="007D0D7E" w:rsidP="00DD1A83">
      <w:pPr>
        <w:spacing w:after="0" w:line="240" w:lineRule="auto"/>
      </w:pPr>
      <w:r>
        <w:continuationSeparator/>
      </w:r>
    </w:p>
  </w:footnote>
  <w:footnote w:id="1">
    <w:p w14:paraId="669B1C0E" w14:textId="58898CCC" w:rsidR="00011152" w:rsidRDefault="00011152">
      <w:pPr>
        <w:pStyle w:val="FootnoteText"/>
      </w:pPr>
      <w:r>
        <w:rPr>
          <w:rStyle w:val="FootnoteReference"/>
        </w:rPr>
        <w:footnoteRef/>
      </w:r>
      <w:r>
        <w:t xml:space="preserve"> </w:t>
      </w:r>
      <w:r w:rsidR="00774E68" w:rsidRPr="00A518D4">
        <w:t xml:space="preserve">Roy, Parama, Indian </w:t>
      </w:r>
      <w:proofErr w:type="gramStart"/>
      <w:r w:rsidR="00774E68" w:rsidRPr="00A518D4">
        <w:t>Traffic :</w:t>
      </w:r>
      <w:proofErr w:type="gramEnd"/>
      <w:r w:rsidR="00774E68" w:rsidRPr="00A518D4">
        <w:t xml:space="preserve"> Identities in Question in Colonial and Postcolonial India, Reprint 2019 (Berkeley, CA: University of California Press, 1998)</w:t>
      </w:r>
      <w:r w:rsidR="00537C50">
        <w:t>,</w:t>
      </w:r>
      <w:r w:rsidR="00F40866">
        <w:t xml:space="preserve"> p</w:t>
      </w:r>
      <w:r w:rsidR="00537C50">
        <w:t>.81.</w:t>
      </w:r>
    </w:p>
  </w:footnote>
  <w:footnote w:id="2">
    <w:p w14:paraId="51ED3F7F" w14:textId="38E7B11D" w:rsidR="004B29B5" w:rsidRDefault="004B29B5">
      <w:pPr>
        <w:pStyle w:val="FootnoteText"/>
      </w:pPr>
      <w:r>
        <w:rPr>
          <w:rStyle w:val="FootnoteReference"/>
        </w:rPr>
        <w:footnoteRef/>
      </w:r>
      <w:r>
        <w:t xml:space="preserve"> </w:t>
      </w:r>
      <w:r w:rsidR="003D6868" w:rsidRPr="00A518D4">
        <w:t>Joshi, Priya, In Another Country Colonialism, Culture, and the English Novel in India (New York: Columbia University Press, 2002)</w:t>
      </w:r>
      <w:r w:rsidR="00132DA1">
        <w:t>,</w:t>
      </w:r>
      <w:r w:rsidR="00E71388">
        <w:t xml:space="preserve"> p</w:t>
      </w:r>
      <w:r w:rsidR="00132DA1">
        <w:t>.</w:t>
      </w:r>
      <w:r w:rsidR="00E71388">
        <w:t>7</w:t>
      </w:r>
      <w:r w:rsidR="00132DA1">
        <w:t>.</w:t>
      </w:r>
    </w:p>
  </w:footnote>
  <w:footnote w:id="3">
    <w:p w14:paraId="7CCF25B3" w14:textId="0F023B82" w:rsidR="00A41D0B" w:rsidRPr="00A41D0B" w:rsidRDefault="00A41D0B">
      <w:pPr>
        <w:pStyle w:val="FootnoteText"/>
      </w:pPr>
      <w:r>
        <w:rPr>
          <w:rStyle w:val="FootnoteReference"/>
        </w:rPr>
        <w:footnoteRef/>
      </w:r>
      <w:r>
        <w:t xml:space="preserve"> Roy,</w:t>
      </w:r>
      <w:r w:rsidR="00935EF0">
        <w:t xml:space="preserve"> Arundhati,</w:t>
      </w:r>
      <w:r>
        <w:t xml:space="preserve"> </w:t>
      </w:r>
      <w:r>
        <w:rPr>
          <w:i/>
          <w:iCs/>
        </w:rPr>
        <w:t xml:space="preserve">The God of Small Things, </w:t>
      </w:r>
      <w:r w:rsidR="000B1049">
        <w:t>(London: Flamingo</w:t>
      </w:r>
      <w:r w:rsidR="00142031">
        <w:t>, 1997)</w:t>
      </w:r>
      <w:r w:rsidR="000E6767">
        <w:t>.</w:t>
      </w:r>
    </w:p>
  </w:footnote>
  <w:footnote w:id="4">
    <w:p w14:paraId="61213943" w14:textId="2D675D34" w:rsidR="002D3649" w:rsidRPr="002D3649" w:rsidRDefault="002D3649">
      <w:pPr>
        <w:pStyle w:val="FootnoteText"/>
      </w:pPr>
      <w:r>
        <w:rPr>
          <w:rStyle w:val="FootnoteReference"/>
        </w:rPr>
        <w:footnoteRef/>
      </w:r>
      <w:r>
        <w:t xml:space="preserve"> Smith,</w:t>
      </w:r>
      <w:r w:rsidR="00935EF0">
        <w:t xml:space="preserve"> Zadie,</w:t>
      </w:r>
      <w:r>
        <w:t xml:space="preserve"> </w:t>
      </w:r>
      <w:r>
        <w:rPr>
          <w:i/>
          <w:iCs/>
        </w:rPr>
        <w:t>White Teeth</w:t>
      </w:r>
      <w:r>
        <w:t>, (</w:t>
      </w:r>
      <w:r w:rsidR="006D71EC">
        <w:t>London: Penguin</w:t>
      </w:r>
      <w:r w:rsidR="00395EF5">
        <w:t>, 2001).</w:t>
      </w:r>
    </w:p>
  </w:footnote>
  <w:footnote w:id="5">
    <w:p w14:paraId="72DCB7BD" w14:textId="576D5143" w:rsidR="00FC4A35" w:rsidRDefault="00FC4A35">
      <w:pPr>
        <w:pStyle w:val="FootnoteText"/>
      </w:pPr>
      <w:r>
        <w:rPr>
          <w:rStyle w:val="FootnoteReference"/>
        </w:rPr>
        <w:footnoteRef/>
      </w:r>
      <w:r>
        <w:t xml:space="preserve"> </w:t>
      </w:r>
      <w:r w:rsidR="0013264F">
        <w:t>Roy, Parama, p</w:t>
      </w:r>
      <w:r w:rsidR="00935EF0">
        <w:t>.</w:t>
      </w:r>
      <w:r w:rsidR="0013264F">
        <w:t>81.</w:t>
      </w:r>
    </w:p>
  </w:footnote>
  <w:footnote w:id="6">
    <w:p w14:paraId="738618A4" w14:textId="56120A96" w:rsidR="00E2203E" w:rsidRDefault="00E2203E" w:rsidP="00D47900">
      <w:pPr>
        <w:pStyle w:val="FootnoteText"/>
      </w:pPr>
      <w:r>
        <w:rPr>
          <w:rStyle w:val="FootnoteReference"/>
        </w:rPr>
        <w:footnoteRef/>
      </w:r>
      <w:r>
        <w:t xml:space="preserve"> </w:t>
      </w:r>
      <w:r w:rsidR="00D47900">
        <w:t>Leak, AN, Barthes: Mythologies (Grant and Cutler, 1994)</w:t>
      </w:r>
      <w:r w:rsidR="007D6BA5">
        <w:t>.</w:t>
      </w:r>
    </w:p>
  </w:footnote>
  <w:footnote w:id="7">
    <w:p w14:paraId="5EB5520B" w14:textId="5D78F06D" w:rsidR="005124DC" w:rsidRDefault="005124DC">
      <w:pPr>
        <w:pStyle w:val="FootnoteText"/>
      </w:pPr>
      <w:r>
        <w:rPr>
          <w:rStyle w:val="FootnoteReference"/>
        </w:rPr>
        <w:footnoteRef/>
      </w:r>
      <w:r>
        <w:t xml:space="preserve"> </w:t>
      </w:r>
      <w:r w:rsidR="000F5F20" w:rsidRPr="00A518D4">
        <w:t xml:space="preserve">Menon, Priya, ‘Asserting the Local: White Subversions in Arundhati Roy’s The God of Small Things’, </w:t>
      </w:r>
      <w:proofErr w:type="spellStart"/>
      <w:r w:rsidR="000F5F20" w:rsidRPr="00A518D4">
        <w:t>Atenea</w:t>
      </w:r>
      <w:proofErr w:type="spellEnd"/>
      <w:r w:rsidR="000F5F20" w:rsidRPr="00A518D4">
        <w:t xml:space="preserve"> (Mayagüez, P.R.), 31.1-2 (2011), </w:t>
      </w:r>
      <w:r w:rsidR="000F5F20">
        <w:t>pp.</w:t>
      </w:r>
      <w:r w:rsidR="000F5F20" w:rsidRPr="00A518D4">
        <w:t>67–80</w:t>
      </w:r>
      <w:r w:rsidR="000F5F20">
        <w:t>.</w:t>
      </w:r>
    </w:p>
  </w:footnote>
  <w:footnote w:id="8">
    <w:p w14:paraId="6D448903" w14:textId="44E1D206" w:rsidR="00584980" w:rsidRDefault="00584980">
      <w:pPr>
        <w:pStyle w:val="FootnoteText"/>
      </w:pPr>
      <w:r>
        <w:rPr>
          <w:rStyle w:val="FootnoteReference"/>
        </w:rPr>
        <w:footnoteRef/>
      </w:r>
      <w:r>
        <w:t xml:space="preserve"> </w:t>
      </w:r>
      <w:proofErr w:type="spellStart"/>
      <w:r w:rsidR="003B31E3">
        <w:t>Mambrol</w:t>
      </w:r>
      <w:proofErr w:type="spellEnd"/>
      <w:r w:rsidR="00AF22B6">
        <w:t>,</w:t>
      </w:r>
      <w:r w:rsidR="00E069E5">
        <w:t xml:space="preserve"> Nasrullah</w:t>
      </w:r>
      <w:r w:rsidR="00AF22B6">
        <w:t xml:space="preserve">, </w:t>
      </w:r>
      <w:r w:rsidR="00AF22B6">
        <w:rPr>
          <w:i/>
          <w:iCs/>
        </w:rPr>
        <w:t>Structuralism</w:t>
      </w:r>
      <w:r w:rsidR="00203824">
        <w:t xml:space="preserve"> (</w:t>
      </w:r>
      <w:r w:rsidR="003B31E3">
        <w:t>2016</w:t>
      </w:r>
      <w:r w:rsidR="00203824">
        <w:t>),</w:t>
      </w:r>
      <w:r w:rsidR="003B31E3">
        <w:t xml:space="preserve"> </w:t>
      </w:r>
      <w:r w:rsidR="00A3473B">
        <w:t>Literariness.org. &lt;</w:t>
      </w:r>
      <w:r w:rsidR="00827DCE">
        <w:t xml:space="preserve">literariness.org/2016/03/20/structuralism&gt; </w:t>
      </w:r>
      <w:r w:rsidR="00865C32">
        <w:t>[Accessed 17.06.23]</w:t>
      </w:r>
      <w:r w:rsidR="007A61CF">
        <w:t>.</w:t>
      </w:r>
    </w:p>
  </w:footnote>
  <w:footnote w:id="9">
    <w:p w14:paraId="15CCA3FF" w14:textId="7F358FFD" w:rsidR="002550D0" w:rsidRDefault="002550D0">
      <w:pPr>
        <w:pStyle w:val="FootnoteText"/>
      </w:pPr>
      <w:r>
        <w:rPr>
          <w:rStyle w:val="FootnoteReference"/>
        </w:rPr>
        <w:footnoteRef/>
      </w:r>
      <w:r>
        <w:t xml:space="preserve"> Ibid</w:t>
      </w:r>
      <w:r w:rsidR="007A61CF">
        <w:t>.</w:t>
      </w:r>
    </w:p>
  </w:footnote>
  <w:footnote w:id="10">
    <w:p w14:paraId="2AAA7F92" w14:textId="3017690C" w:rsidR="00E74296" w:rsidRDefault="00E74296">
      <w:pPr>
        <w:pStyle w:val="FootnoteText"/>
      </w:pPr>
      <w:r>
        <w:rPr>
          <w:rStyle w:val="FootnoteReference"/>
        </w:rPr>
        <w:footnoteRef/>
      </w:r>
      <w:r>
        <w:t xml:space="preserve"> Smith, </w:t>
      </w:r>
      <w:r w:rsidR="00710EBB">
        <w:t>p</w:t>
      </w:r>
      <w:r w:rsidR="00C662ED">
        <w:t>.</w:t>
      </w:r>
      <w:r w:rsidR="00710EBB">
        <w:t>181</w:t>
      </w:r>
      <w:r w:rsidR="00C662ED">
        <w:t>.</w:t>
      </w:r>
    </w:p>
  </w:footnote>
  <w:footnote w:id="11">
    <w:p w14:paraId="5F07BA3E" w14:textId="621949EA" w:rsidR="00864A4A" w:rsidRDefault="00864A4A" w:rsidP="007A61CF">
      <w:pPr>
        <w:pStyle w:val="FootnoteText"/>
      </w:pPr>
      <w:r>
        <w:rPr>
          <w:rStyle w:val="FootnoteReference"/>
        </w:rPr>
        <w:footnoteRef/>
      </w:r>
      <w:r>
        <w:t xml:space="preserve"> </w:t>
      </w:r>
      <w:r w:rsidR="007A61CF">
        <w:t xml:space="preserve">Bentley, Nick, </w:t>
      </w:r>
      <w:proofErr w:type="spellStart"/>
      <w:r w:rsidR="007A61CF">
        <w:t>‘Re</w:t>
      </w:r>
      <w:proofErr w:type="spellEnd"/>
      <w:r w:rsidR="007A61CF">
        <w:t>-Writing Englishness: Imagining the Nation in Julian Barnes’s England, England and Zadie Smith’s White Teeth’, Textual Practice, 21.3 (2007), 483–504.</w:t>
      </w:r>
    </w:p>
  </w:footnote>
  <w:footnote w:id="12">
    <w:p w14:paraId="1CDF4D03" w14:textId="370CD83B" w:rsidR="004B0506" w:rsidRDefault="004B0506">
      <w:pPr>
        <w:pStyle w:val="FootnoteText"/>
      </w:pPr>
      <w:r>
        <w:rPr>
          <w:rStyle w:val="FootnoteReference"/>
        </w:rPr>
        <w:footnoteRef/>
      </w:r>
      <w:r>
        <w:t xml:space="preserve"> Smith, </w:t>
      </w:r>
      <w:r w:rsidR="00011833">
        <w:t>p</w:t>
      </w:r>
      <w:r w:rsidR="00842F8A">
        <w:t>.</w:t>
      </w:r>
      <w:r>
        <w:t>179</w:t>
      </w:r>
      <w:r w:rsidR="00842F8A">
        <w:t>.</w:t>
      </w:r>
    </w:p>
  </w:footnote>
  <w:footnote w:id="13">
    <w:p w14:paraId="18E0C4BF" w14:textId="06F52AF9" w:rsidR="00953705" w:rsidRDefault="00953705">
      <w:pPr>
        <w:pStyle w:val="FootnoteText"/>
      </w:pPr>
      <w:r>
        <w:rPr>
          <w:rStyle w:val="FootnoteReference"/>
        </w:rPr>
        <w:footnoteRef/>
      </w:r>
      <w:r>
        <w:t xml:space="preserve"> </w:t>
      </w:r>
      <w:r w:rsidR="00D4207D">
        <w:t>Bentley.</w:t>
      </w:r>
    </w:p>
  </w:footnote>
  <w:footnote w:id="14">
    <w:p w14:paraId="3B9CD48C" w14:textId="5EEDF6DE" w:rsidR="00F67AAB" w:rsidRDefault="00F67AAB">
      <w:pPr>
        <w:pStyle w:val="FootnoteText"/>
      </w:pPr>
      <w:r>
        <w:rPr>
          <w:rStyle w:val="FootnoteReference"/>
        </w:rPr>
        <w:footnoteRef/>
      </w:r>
      <w:r>
        <w:t xml:space="preserve"> Smith pp</w:t>
      </w:r>
      <w:r w:rsidR="00AC485B">
        <w:t xml:space="preserve">. </w:t>
      </w:r>
      <w:r>
        <w:t>326-327</w:t>
      </w:r>
      <w:r w:rsidR="00AC485B">
        <w:t>.</w:t>
      </w:r>
    </w:p>
  </w:footnote>
  <w:footnote w:id="15">
    <w:p w14:paraId="19F7F855" w14:textId="5CD718B6" w:rsidR="007F2430" w:rsidRDefault="007F2430">
      <w:pPr>
        <w:pStyle w:val="FootnoteText"/>
      </w:pPr>
      <w:r>
        <w:rPr>
          <w:rStyle w:val="FootnoteReference"/>
        </w:rPr>
        <w:footnoteRef/>
      </w:r>
      <w:r>
        <w:t xml:space="preserve"> Bentley</w:t>
      </w:r>
      <w:r w:rsidR="00AC485B">
        <w:t>.</w:t>
      </w:r>
    </w:p>
  </w:footnote>
  <w:footnote w:id="16">
    <w:p w14:paraId="60087446" w14:textId="582F43A8" w:rsidR="000F799A" w:rsidRDefault="000F799A">
      <w:pPr>
        <w:pStyle w:val="FootnoteText"/>
      </w:pPr>
      <w:r>
        <w:rPr>
          <w:rStyle w:val="FootnoteReference"/>
        </w:rPr>
        <w:footnoteRef/>
      </w:r>
      <w:r>
        <w:t xml:space="preserve"> Roy</w:t>
      </w:r>
      <w:r w:rsidR="00AC485B">
        <w:t>, Arundhati,</w:t>
      </w:r>
      <w:r>
        <w:t xml:space="preserve"> p</w:t>
      </w:r>
      <w:r w:rsidR="00C03ABE">
        <w:t>.</w:t>
      </w:r>
      <w:r>
        <w:t>36</w:t>
      </w:r>
      <w:r w:rsidR="00C03ABE">
        <w:t>.</w:t>
      </w:r>
    </w:p>
  </w:footnote>
  <w:footnote w:id="17">
    <w:p w14:paraId="54250E3B" w14:textId="6DE1D214" w:rsidR="00CA02FF" w:rsidRDefault="00CA02FF">
      <w:pPr>
        <w:pStyle w:val="FootnoteText"/>
      </w:pPr>
      <w:r>
        <w:rPr>
          <w:rStyle w:val="FootnoteReference"/>
        </w:rPr>
        <w:footnoteRef/>
      </w:r>
      <w:r>
        <w:t xml:space="preserve"> </w:t>
      </w:r>
      <w:r w:rsidR="00C03ABE">
        <w:t>Ibid.</w:t>
      </w:r>
      <w:r w:rsidR="00D4636E">
        <w:t>,</w:t>
      </w:r>
      <w:r w:rsidR="00044F9D">
        <w:t xml:space="preserve"> p</w:t>
      </w:r>
      <w:r w:rsidR="00C03ABE">
        <w:t>.</w:t>
      </w:r>
      <w:r w:rsidR="00044F9D">
        <w:t>174</w:t>
      </w:r>
      <w:r w:rsidR="00C03ABE">
        <w:t>.</w:t>
      </w:r>
    </w:p>
  </w:footnote>
  <w:footnote w:id="18">
    <w:p w14:paraId="2BBBD77B" w14:textId="32CA148F" w:rsidR="00795120" w:rsidRDefault="00795120">
      <w:pPr>
        <w:pStyle w:val="FootnoteText"/>
      </w:pPr>
      <w:r>
        <w:rPr>
          <w:rStyle w:val="FootnoteReference"/>
        </w:rPr>
        <w:footnoteRef/>
      </w:r>
      <w:r>
        <w:t xml:space="preserve"> </w:t>
      </w:r>
      <w:r w:rsidR="00C03ABE">
        <w:t>Ibid.</w:t>
      </w:r>
    </w:p>
  </w:footnote>
  <w:footnote w:id="19">
    <w:p w14:paraId="68EE30AB" w14:textId="6E1733A1" w:rsidR="0093020B" w:rsidRDefault="0093020B">
      <w:pPr>
        <w:pStyle w:val="FootnoteText"/>
      </w:pPr>
      <w:r>
        <w:rPr>
          <w:rStyle w:val="FootnoteReference"/>
        </w:rPr>
        <w:footnoteRef/>
      </w:r>
      <w:r>
        <w:t xml:space="preserve"> </w:t>
      </w:r>
      <w:r w:rsidR="004A7F5B">
        <w:t>Menon.</w:t>
      </w:r>
    </w:p>
  </w:footnote>
  <w:footnote w:id="20">
    <w:p w14:paraId="48550E5C" w14:textId="553CED90" w:rsidR="00F178F9" w:rsidRDefault="00F178F9">
      <w:pPr>
        <w:pStyle w:val="FootnoteText"/>
      </w:pPr>
      <w:r>
        <w:rPr>
          <w:rStyle w:val="FootnoteReference"/>
        </w:rPr>
        <w:footnoteRef/>
      </w:r>
      <w:r>
        <w:t xml:space="preserve"> Roy, </w:t>
      </w:r>
      <w:r w:rsidR="004A7F5B">
        <w:t xml:space="preserve">Arundhati, </w:t>
      </w:r>
      <w:r>
        <w:t>p</w:t>
      </w:r>
      <w:r w:rsidR="004A7F5B">
        <w:t>.</w:t>
      </w:r>
      <w:r>
        <w:t>172</w:t>
      </w:r>
      <w:r w:rsidR="004A7F5B">
        <w:t>.</w:t>
      </w:r>
    </w:p>
  </w:footnote>
  <w:footnote w:id="21">
    <w:p w14:paraId="5C635E7F" w14:textId="0B452967" w:rsidR="00D1228D" w:rsidRDefault="00D1228D">
      <w:pPr>
        <w:pStyle w:val="FootnoteText"/>
      </w:pPr>
      <w:r>
        <w:rPr>
          <w:rStyle w:val="FootnoteReference"/>
        </w:rPr>
        <w:footnoteRef/>
      </w:r>
      <w:r>
        <w:t xml:space="preserve"> </w:t>
      </w:r>
      <w:r w:rsidR="00D4636E">
        <w:t>Ibid.,</w:t>
      </w:r>
      <w:r w:rsidR="001718D0">
        <w:t xml:space="preserve"> p</w:t>
      </w:r>
      <w:r w:rsidR="00D4636E">
        <w:t>.</w:t>
      </w:r>
      <w:r w:rsidR="001718D0">
        <w:t>36.</w:t>
      </w:r>
    </w:p>
  </w:footnote>
  <w:footnote w:id="22">
    <w:p w14:paraId="31FB213E" w14:textId="7EDD226E" w:rsidR="00624C81" w:rsidRDefault="00624C81" w:rsidP="00EC4AF9">
      <w:pPr>
        <w:pStyle w:val="FootnoteText"/>
      </w:pPr>
      <w:r>
        <w:rPr>
          <w:rStyle w:val="FootnoteReference"/>
        </w:rPr>
        <w:footnoteRef/>
      </w:r>
      <w:r>
        <w:t xml:space="preserve"> </w:t>
      </w:r>
      <w:proofErr w:type="spellStart"/>
      <w:r w:rsidR="00EC4AF9">
        <w:t>Okuroğlu</w:t>
      </w:r>
      <w:proofErr w:type="spellEnd"/>
      <w:r w:rsidR="00EC4AF9">
        <w:t xml:space="preserve"> </w:t>
      </w:r>
      <w:proofErr w:type="spellStart"/>
      <w:r w:rsidR="00EC4AF9">
        <w:t>Özün</w:t>
      </w:r>
      <w:proofErr w:type="spellEnd"/>
      <w:r w:rsidR="00EC4AF9">
        <w:t xml:space="preserve">, </w:t>
      </w:r>
      <w:proofErr w:type="spellStart"/>
      <w:r w:rsidR="00EC4AF9">
        <w:t>Şule</w:t>
      </w:r>
      <w:proofErr w:type="spellEnd"/>
      <w:r w:rsidR="00EC4AF9">
        <w:t xml:space="preserve">, and Ayşe İren, ‘Subalternity in Arundhati Roy’s The God of Small Things’, </w:t>
      </w:r>
      <w:proofErr w:type="spellStart"/>
      <w:r w:rsidR="00EC4AF9">
        <w:t>Dokuz</w:t>
      </w:r>
      <w:proofErr w:type="spellEnd"/>
      <w:r w:rsidR="00EC4AF9">
        <w:t xml:space="preserve"> </w:t>
      </w:r>
      <w:proofErr w:type="spellStart"/>
      <w:r w:rsidR="00EC4AF9">
        <w:t>Eylül</w:t>
      </w:r>
      <w:proofErr w:type="spellEnd"/>
      <w:r w:rsidR="00EC4AF9">
        <w:t xml:space="preserve"> </w:t>
      </w:r>
      <w:proofErr w:type="spellStart"/>
      <w:r w:rsidR="00EC4AF9">
        <w:t>Üniversitesi</w:t>
      </w:r>
      <w:proofErr w:type="spellEnd"/>
      <w:r w:rsidR="00EC4AF9">
        <w:t xml:space="preserve"> </w:t>
      </w:r>
      <w:proofErr w:type="spellStart"/>
      <w:r w:rsidR="00EC4AF9">
        <w:t>Sosyal</w:t>
      </w:r>
      <w:proofErr w:type="spellEnd"/>
      <w:r w:rsidR="00EC4AF9">
        <w:t xml:space="preserve"> </w:t>
      </w:r>
      <w:proofErr w:type="spellStart"/>
      <w:r w:rsidR="00EC4AF9">
        <w:t>Bilimler</w:t>
      </w:r>
      <w:proofErr w:type="spellEnd"/>
      <w:r w:rsidR="00EC4AF9">
        <w:t xml:space="preserve"> </w:t>
      </w:r>
      <w:proofErr w:type="spellStart"/>
      <w:r w:rsidR="00EC4AF9">
        <w:t>Enstitüsü</w:t>
      </w:r>
      <w:proofErr w:type="spellEnd"/>
      <w:r w:rsidR="00EC4AF9">
        <w:t xml:space="preserve"> </w:t>
      </w:r>
      <w:proofErr w:type="spellStart"/>
      <w:r w:rsidR="00EC4AF9">
        <w:t>Dergisi</w:t>
      </w:r>
      <w:proofErr w:type="spellEnd"/>
      <w:r w:rsidR="00EC4AF9">
        <w:t>, 22.2 (2020), 421–34.</w:t>
      </w:r>
    </w:p>
  </w:footnote>
  <w:footnote w:id="23">
    <w:p w14:paraId="1F62FC49" w14:textId="27D0D3E6" w:rsidR="00EB5E1D" w:rsidRDefault="00EB5E1D">
      <w:pPr>
        <w:pStyle w:val="FootnoteText"/>
      </w:pPr>
      <w:r>
        <w:rPr>
          <w:rStyle w:val="FootnoteReference"/>
        </w:rPr>
        <w:footnoteRef/>
      </w:r>
      <w:r>
        <w:t xml:space="preserve"> </w:t>
      </w:r>
      <w:r w:rsidR="00E37AD7" w:rsidRPr="001E3285">
        <w:t xml:space="preserve">Anderson, Benedict., Imagined </w:t>
      </w:r>
      <w:proofErr w:type="gramStart"/>
      <w:r w:rsidR="00E37AD7" w:rsidRPr="001E3285">
        <w:t>Communities :</w:t>
      </w:r>
      <w:proofErr w:type="gramEnd"/>
      <w:r w:rsidR="00E37AD7" w:rsidRPr="001E3285">
        <w:t xml:space="preserve"> Reflections on the Origin and Spread of Nationalism, Revised ed. (London: Verso, 2016)</w:t>
      </w:r>
      <w:r w:rsidR="00357574">
        <w:t>.</w:t>
      </w:r>
    </w:p>
  </w:footnote>
  <w:footnote w:id="24">
    <w:p w14:paraId="3C87DF44" w14:textId="439DD90C" w:rsidR="0090494F" w:rsidRDefault="0090494F">
      <w:pPr>
        <w:pStyle w:val="FootnoteText"/>
      </w:pPr>
      <w:r>
        <w:rPr>
          <w:rStyle w:val="FootnoteReference"/>
        </w:rPr>
        <w:footnoteRef/>
      </w:r>
      <w:r>
        <w:t xml:space="preserve"> </w:t>
      </w:r>
      <w:proofErr w:type="spellStart"/>
      <w:r w:rsidR="00A71537">
        <w:t>Okuroğlu</w:t>
      </w:r>
      <w:proofErr w:type="spellEnd"/>
      <w:r w:rsidR="00A71537">
        <w:t xml:space="preserve"> </w:t>
      </w:r>
      <w:proofErr w:type="spellStart"/>
      <w:r w:rsidR="00A71537">
        <w:t>Özün</w:t>
      </w:r>
      <w:proofErr w:type="spellEnd"/>
      <w:r w:rsidR="0018614B">
        <w:t xml:space="preserve"> and Iren.</w:t>
      </w:r>
    </w:p>
  </w:footnote>
  <w:footnote w:id="25">
    <w:p w14:paraId="7CFCFDEB" w14:textId="05D20934" w:rsidR="003D2E8B" w:rsidRDefault="003D2E8B">
      <w:pPr>
        <w:pStyle w:val="FootnoteText"/>
      </w:pPr>
      <w:r>
        <w:rPr>
          <w:rStyle w:val="FootnoteReference"/>
        </w:rPr>
        <w:footnoteRef/>
      </w:r>
      <w:r>
        <w:t xml:space="preserve"> Joshi, </w:t>
      </w:r>
      <w:r w:rsidR="00AE721F">
        <w:t>p.4.</w:t>
      </w:r>
    </w:p>
  </w:footnote>
  <w:footnote w:id="26">
    <w:p w14:paraId="7F352DAC" w14:textId="115DF45A" w:rsidR="008F7B4F" w:rsidRDefault="008F7B4F" w:rsidP="00181464">
      <w:pPr>
        <w:pStyle w:val="FootnoteText"/>
      </w:pPr>
      <w:r>
        <w:rPr>
          <w:rStyle w:val="FootnoteReference"/>
        </w:rPr>
        <w:footnoteRef/>
      </w:r>
      <w:r>
        <w:t xml:space="preserve"> </w:t>
      </w:r>
      <w:proofErr w:type="spellStart"/>
      <w:r w:rsidR="00181464">
        <w:t>Gustar</w:t>
      </w:r>
      <w:proofErr w:type="spellEnd"/>
      <w:r w:rsidR="00181464">
        <w:t>, Jennifer J., ‘The Tempest in an English Teapot: Colonialism and the Measure of a Man in Zadie Smith’s White Teeth’, Changing English, 17.4 (2010), 333–43</w:t>
      </w:r>
      <w:r w:rsidR="00357574">
        <w:t>.</w:t>
      </w:r>
    </w:p>
  </w:footnote>
  <w:footnote w:id="27">
    <w:p w14:paraId="3FC17FB3" w14:textId="6084219C" w:rsidR="00BB4A8C" w:rsidRDefault="00BB4A8C" w:rsidP="00BB4A8C">
      <w:pPr>
        <w:pStyle w:val="FootnoteText"/>
      </w:pPr>
      <w:r>
        <w:rPr>
          <w:rStyle w:val="FootnoteReference"/>
        </w:rPr>
        <w:footnoteRef/>
      </w:r>
      <w:r>
        <w:t xml:space="preserve"> Roy</w:t>
      </w:r>
      <w:r w:rsidR="00357574">
        <w:t>, Arundhati,</w:t>
      </w:r>
      <w:r>
        <w:t xml:space="preserve"> p</w:t>
      </w:r>
      <w:r w:rsidR="00357574">
        <w:t>.</w:t>
      </w:r>
      <w:r>
        <w:t>38</w:t>
      </w:r>
      <w:r w:rsidR="00357574">
        <w:t>.</w:t>
      </w:r>
    </w:p>
  </w:footnote>
  <w:footnote w:id="28">
    <w:p w14:paraId="5D82423C" w14:textId="41341E00" w:rsidR="00531830" w:rsidRDefault="00531830">
      <w:pPr>
        <w:pStyle w:val="FootnoteText"/>
      </w:pPr>
      <w:r>
        <w:rPr>
          <w:rStyle w:val="FootnoteReference"/>
        </w:rPr>
        <w:footnoteRef/>
      </w:r>
      <w:r>
        <w:t xml:space="preserve"> Ibid. p.55.</w:t>
      </w:r>
    </w:p>
  </w:footnote>
  <w:footnote w:id="29">
    <w:p w14:paraId="33BB7E35" w14:textId="48F58166" w:rsidR="00531830" w:rsidRDefault="00531830">
      <w:pPr>
        <w:pStyle w:val="FootnoteText"/>
      </w:pPr>
      <w:r>
        <w:rPr>
          <w:rStyle w:val="FootnoteReference"/>
        </w:rPr>
        <w:footnoteRef/>
      </w:r>
      <w:r>
        <w:t xml:space="preserve"> Ibid. p.54.</w:t>
      </w:r>
    </w:p>
  </w:footnote>
  <w:footnote w:id="30">
    <w:p w14:paraId="0143E9BB" w14:textId="280752A1" w:rsidR="00A335DF" w:rsidRDefault="00A335DF">
      <w:pPr>
        <w:pStyle w:val="FootnoteText"/>
      </w:pPr>
      <w:r>
        <w:rPr>
          <w:rStyle w:val="FootnoteReference"/>
        </w:rPr>
        <w:footnoteRef/>
      </w:r>
      <w:r>
        <w:t xml:space="preserve"> </w:t>
      </w:r>
      <w:r w:rsidR="007C7B8D" w:rsidRPr="001E3285">
        <w:t>Hopkins, Lucy, ‘“What Will Sophie Mol Think?</w:t>
      </w:r>
      <w:proofErr w:type="gramStart"/>
      <w:r w:rsidR="007C7B8D" w:rsidRPr="001E3285">
        <w:t>” :</w:t>
      </w:r>
      <w:proofErr w:type="gramEnd"/>
      <w:r w:rsidR="007C7B8D" w:rsidRPr="001E3285">
        <w:t xml:space="preserve"> Thinking Critically About the Figure of the White Child in Arundhati Roy’s “The God of Small Things”’, Global Studies of Childhood, 1.4 (2011), 280–90</w:t>
      </w:r>
      <w:r w:rsidR="007C7B8D">
        <w:t>.</w:t>
      </w:r>
    </w:p>
  </w:footnote>
  <w:footnote w:id="31">
    <w:p w14:paraId="6C33EDA5" w14:textId="20282ED6" w:rsidR="006047D9" w:rsidRDefault="006047D9">
      <w:pPr>
        <w:pStyle w:val="FootnoteText"/>
      </w:pPr>
      <w:r>
        <w:rPr>
          <w:rStyle w:val="FootnoteReference"/>
        </w:rPr>
        <w:footnoteRef/>
      </w:r>
      <w:r>
        <w:t xml:space="preserve"> </w:t>
      </w:r>
      <w:proofErr w:type="spellStart"/>
      <w:r w:rsidR="007C7B8D">
        <w:t>Okuroğlu</w:t>
      </w:r>
      <w:proofErr w:type="spellEnd"/>
      <w:r w:rsidR="007C7B8D">
        <w:t xml:space="preserve"> </w:t>
      </w:r>
      <w:proofErr w:type="spellStart"/>
      <w:r w:rsidR="007C7B8D">
        <w:t>Özün</w:t>
      </w:r>
      <w:proofErr w:type="spellEnd"/>
      <w:r w:rsidR="007C7B8D">
        <w:t xml:space="preserve"> and Iren.</w:t>
      </w:r>
    </w:p>
  </w:footnote>
  <w:footnote w:id="32">
    <w:p w14:paraId="691DB6F7" w14:textId="0902A6A6" w:rsidR="006F75B7" w:rsidRDefault="006F75B7">
      <w:pPr>
        <w:pStyle w:val="FootnoteText"/>
      </w:pPr>
      <w:r>
        <w:rPr>
          <w:rStyle w:val="FootnoteReference"/>
        </w:rPr>
        <w:footnoteRef/>
      </w:r>
      <w:r>
        <w:t xml:space="preserve"> Roy</w:t>
      </w:r>
      <w:r w:rsidR="007C7B8D">
        <w:t>, Arundhati,</w:t>
      </w:r>
      <w:r>
        <w:t xml:space="preserve"> p</w:t>
      </w:r>
      <w:r w:rsidR="007C7B8D">
        <w:t>.</w:t>
      </w:r>
      <w:r>
        <w:t>144.</w:t>
      </w:r>
    </w:p>
  </w:footnote>
  <w:footnote w:id="33">
    <w:p w14:paraId="5682E818" w14:textId="36B2EE71" w:rsidR="00203F3D" w:rsidRDefault="00203F3D">
      <w:pPr>
        <w:pStyle w:val="FootnoteText"/>
      </w:pPr>
      <w:r>
        <w:rPr>
          <w:rStyle w:val="FootnoteReference"/>
        </w:rPr>
        <w:footnoteRef/>
      </w:r>
      <w:r>
        <w:t xml:space="preserve"> </w:t>
      </w:r>
      <w:r w:rsidR="00570FC9">
        <w:t>Ibid. p.141.</w:t>
      </w:r>
    </w:p>
  </w:footnote>
  <w:footnote w:id="34">
    <w:p w14:paraId="0CCF251B" w14:textId="1A31CBE0" w:rsidR="00ED1777" w:rsidRDefault="00ED1777">
      <w:pPr>
        <w:pStyle w:val="FootnoteText"/>
      </w:pPr>
      <w:r>
        <w:rPr>
          <w:rStyle w:val="FootnoteReference"/>
        </w:rPr>
        <w:footnoteRef/>
      </w:r>
      <w:r>
        <w:t xml:space="preserve"> </w:t>
      </w:r>
      <w:r w:rsidR="0073669C">
        <w:t>Ibid.</w:t>
      </w:r>
      <w:r>
        <w:t xml:space="preserve"> p</w:t>
      </w:r>
      <w:r w:rsidR="0073669C">
        <w:t>.</w:t>
      </w:r>
      <w:r>
        <w:t>179</w:t>
      </w:r>
      <w:r w:rsidR="0073669C">
        <w:t>.</w:t>
      </w:r>
    </w:p>
  </w:footnote>
  <w:footnote w:id="35">
    <w:p w14:paraId="45F0FB78" w14:textId="0310CDAA" w:rsidR="00E651CF" w:rsidRDefault="00E651CF">
      <w:pPr>
        <w:pStyle w:val="FootnoteText"/>
      </w:pPr>
      <w:r>
        <w:rPr>
          <w:rStyle w:val="FootnoteReference"/>
        </w:rPr>
        <w:footnoteRef/>
      </w:r>
      <w:r>
        <w:t xml:space="preserve"> </w:t>
      </w:r>
      <w:r w:rsidR="009E619D" w:rsidRPr="001E3285">
        <w:t>Tickell, Alex, ‘The God of Small Things: Arundhati Roy’s Postcolonial Cosmopolitanism’, Journal of Commonwealth Literature, 38.1 (2003), 73–89</w:t>
      </w:r>
      <w:r w:rsidR="009E619D">
        <w:t>.</w:t>
      </w:r>
    </w:p>
  </w:footnote>
  <w:footnote w:id="36">
    <w:p w14:paraId="2A0C123D" w14:textId="69A557AD" w:rsidR="00B908CC" w:rsidRDefault="00B908CC">
      <w:pPr>
        <w:pStyle w:val="FootnoteText"/>
      </w:pPr>
      <w:r>
        <w:rPr>
          <w:rStyle w:val="FootnoteReference"/>
        </w:rPr>
        <w:footnoteRef/>
      </w:r>
      <w:r>
        <w:t xml:space="preserve"> </w:t>
      </w:r>
      <w:r w:rsidR="00814C13">
        <w:t>Roy</w:t>
      </w:r>
      <w:r w:rsidR="009E619D">
        <w:t>, Arundhati,</w:t>
      </w:r>
      <w:r w:rsidR="00814C13">
        <w:t xml:space="preserve"> p</w:t>
      </w:r>
      <w:r w:rsidR="009E619D">
        <w:t>.</w:t>
      </w:r>
      <w:r w:rsidR="00814C13">
        <w:t>8</w:t>
      </w:r>
      <w:r w:rsidR="009E619D">
        <w:t>.</w:t>
      </w:r>
    </w:p>
  </w:footnote>
  <w:footnote w:id="37">
    <w:p w14:paraId="7A0EF3BB" w14:textId="07217ACB" w:rsidR="008962FC" w:rsidRDefault="008962FC">
      <w:pPr>
        <w:pStyle w:val="FootnoteText"/>
      </w:pPr>
      <w:r>
        <w:rPr>
          <w:rStyle w:val="FootnoteReference"/>
        </w:rPr>
        <w:footnoteRef/>
      </w:r>
      <w:r>
        <w:t xml:space="preserve"> Ibid</w:t>
      </w:r>
      <w:r w:rsidR="009E619D">
        <w:t>.</w:t>
      </w:r>
    </w:p>
  </w:footnote>
  <w:footnote w:id="38">
    <w:p w14:paraId="6E04FC5E" w14:textId="7E1E5C3A" w:rsidR="00741A30" w:rsidRDefault="00741A30">
      <w:pPr>
        <w:pStyle w:val="FootnoteText"/>
      </w:pPr>
      <w:r>
        <w:rPr>
          <w:rStyle w:val="FootnoteReference"/>
        </w:rPr>
        <w:footnoteRef/>
      </w:r>
      <w:r>
        <w:t xml:space="preserve"> Ibid. pp.102-</w:t>
      </w:r>
      <w:r w:rsidR="00770BA5">
        <w:t>107.</w:t>
      </w:r>
    </w:p>
  </w:footnote>
  <w:footnote w:id="39">
    <w:p w14:paraId="0BABE48F" w14:textId="0B30661F" w:rsidR="00AD4CA2" w:rsidRDefault="00AD4CA2">
      <w:pPr>
        <w:pStyle w:val="FootnoteText"/>
      </w:pPr>
      <w:r>
        <w:rPr>
          <w:rStyle w:val="FootnoteReference"/>
        </w:rPr>
        <w:footnoteRef/>
      </w:r>
      <w:r>
        <w:t xml:space="preserve"> </w:t>
      </w:r>
      <w:r w:rsidR="002B5F38">
        <w:t>Menon.</w:t>
      </w:r>
    </w:p>
  </w:footnote>
  <w:footnote w:id="40">
    <w:p w14:paraId="2B85301C" w14:textId="18D0967B" w:rsidR="00DE3E2C" w:rsidRDefault="00DE3E2C">
      <w:pPr>
        <w:pStyle w:val="FootnoteText"/>
      </w:pPr>
      <w:r>
        <w:rPr>
          <w:rStyle w:val="FootnoteReference"/>
        </w:rPr>
        <w:footnoteRef/>
      </w:r>
      <w:r>
        <w:t xml:space="preserve"> Smith, p319.</w:t>
      </w:r>
    </w:p>
  </w:footnote>
  <w:footnote w:id="41">
    <w:p w14:paraId="2489E9F2" w14:textId="1E107B16" w:rsidR="00373A29" w:rsidRDefault="00373A29">
      <w:pPr>
        <w:pStyle w:val="FootnoteText"/>
      </w:pPr>
      <w:r>
        <w:rPr>
          <w:rStyle w:val="FootnoteReference"/>
        </w:rPr>
        <w:footnoteRef/>
      </w:r>
      <w:r>
        <w:t xml:space="preserve"> </w:t>
      </w:r>
      <w:r w:rsidR="00D56FCA" w:rsidRPr="001E3285">
        <w:t>Pérez Fernández,</w:t>
      </w:r>
      <w:r w:rsidR="00D56FCA">
        <w:t xml:space="preserve"> Irene,</w:t>
      </w:r>
      <w:r w:rsidR="00D56FCA" w:rsidRPr="001E3285">
        <w:t xml:space="preserve"> ‘Exploring Hybridity and Multiculturalism: Intra and Inter Family Relations in Zadie Smith’s White Teeth’, </w:t>
      </w:r>
      <w:proofErr w:type="spellStart"/>
      <w:r w:rsidR="00D56FCA" w:rsidRPr="001E3285">
        <w:t>Odisea</w:t>
      </w:r>
      <w:proofErr w:type="spellEnd"/>
      <w:r w:rsidR="00D56FCA" w:rsidRPr="001E3285">
        <w:t xml:space="preserve"> (Almería, Spain), 10, 2017, 143–54</w:t>
      </w:r>
      <w:r w:rsidR="00D56FCA">
        <w:t>.</w:t>
      </w:r>
    </w:p>
  </w:footnote>
  <w:footnote w:id="42">
    <w:p w14:paraId="2E554FF1" w14:textId="4A055FE9" w:rsidR="00AF75F8" w:rsidRDefault="00AF75F8">
      <w:pPr>
        <w:pStyle w:val="FootnoteText"/>
      </w:pPr>
      <w:r>
        <w:rPr>
          <w:rStyle w:val="FootnoteReference"/>
        </w:rPr>
        <w:footnoteRef/>
      </w:r>
      <w:r>
        <w:t xml:space="preserve"> </w:t>
      </w:r>
      <w:r w:rsidR="008706B3">
        <w:t>Smith</w:t>
      </w:r>
      <w:r w:rsidR="00D56FCA">
        <w:t>,</w:t>
      </w:r>
      <w:r w:rsidR="008706B3">
        <w:t xml:space="preserve"> p</w:t>
      </w:r>
      <w:r w:rsidR="00D56FCA">
        <w:t>.</w:t>
      </w:r>
      <w:r w:rsidR="008706B3">
        <w:t>424</w:t>
      </w:r>
      <w:r w:rsidR="00D56FCA">
        <w:t>.</w:t>
      </w:r>
    </w:p>
  </w:footnote>
  <w:footnote w:id="43">
    <w:p w14:paraId="4001E572" w14:textId="6860727A" w:rsidR="00336BA5" w:rsidRDefault="00336BA5">
      <w:pPr>
        <w:pStyle w:val="FootnoteText"/>
      </w:pPr>
      <w:r>
        <w:rPr>
          <w:rStyle w:val="FootnoteReference"/>
        </w:rPr>
        <w:footnoteRef/>
      </w:r>
      <w:r>
        <w:t xml:space="preserve"> </w:t>
      </w:r>
      <w:r w:rsidR="007F2608">
        <w:t>Ibid. p.186.</w:t>
      </w:r>
    </w:p>
  </w:footnote>
  <w:footnote w:id="44">
    <w:p w14:paraId="687ADABA" w14:textId="444CB20E" w:rsidR="003347B7" w:rsidRDefault="003347B7">
      <w:pPr>
        <w:pStyle w:val="FootnoteText"/>
      </w:pPr>
      <w:r>
        <w:rPr>
          <w:rStyle w:val="FootnoteReference"/>
        </w:rPr>
        <w:footnoteRef/>
      </w:r>
      <w:r>
        <w:t xml:space="preserve"> </w:t>
      </w:r>
      <w:r w:rsidR="00696FFC">
        <w:t>Ibid. p.85.</w:t>
      </w:r>
    </w:p>
  </w:footnote>
  <w:footnote w:id="45">
    <w:p w14:paraId="2EEAF9C0" w14:textId="726E853C" w:rsidR="00A8375A" w:rsidRDefault="00A8375A">
      <w:pPr>
        <w:pStyle w:val="FootnoteText"/>
      </w:pPr>
      <w:r>
        <w:rPr>
          <w:rStyle w:val="FootnoteReference"/>
        </w:rPr>
        <w:footnoteRef/>
      </w:r>
      <w:r>
        <w:t xml:space="preserve"> Ibid. p.236.</w:t>
      </w:r>
    </w:p>
  </w:footnote>
  <w:footnote w:id="46">
    <w:p w14:paraId="1D2D2CCC" w14:textId="4185D0A1" w:rsidR="00701057" w:rsidRDefault="00701057">
      <w:pPr>
        <w:pStyle w:val="FootnoteText"/>
      </w:pPr>
      <w:r>
        <w:rPr>
          <w:rStyle w:val="FootnoteReference"/>
        </w:rPr>
        <w:footnoteRef/>
      </w:r>
      <w:r>
        <w:t xml:space="preserve"> Smith, p.438.</w:t>
      </w:r>
    </w:p>
  </w:footnote>
  <w:footnote w:id="47">
    <w:p w14:paraId="04303A11" w14:textId="6226FB14" w:rsidR="0024231D" w:rsidRDefault="0024231D">
      <w:pPr>
        <w:pStyle w:val="FootnoteText"/>
      </w:pPr>
      <w:r>
        <w:rPr>
          <w:rStyle w:val="FootnoteReference"/>
        </w:rPr>
        <w:footnoteRef/>
      </w:r>
      <w:r>
        <w:t xml:space="preserve"> </w:t>
      </w:r>
      <w:r w:rsidR="00EF11BF" w:rsidRPr="001E3285">
        <w:t>Pérez Fernández</w:t>
      </w:r>
      <w:r w:rsidR="00EF11BF">
        <w:t>.</w:t>
      </w:r>
    </w:p>
  </w:footnote>
  <w:footnote w:id="48">
    <w:p w14:paraId="0631E06D" w14:textId="7CA82F3F" w:rsidR="0066122E" w:rsidRDefault="0066122E">
      <w:pPr>
        <w:pStyle w:val="FootnoteText"/>
      </w:pPr>
      <w:r>
        <w:rPr>
          <w:rStyle w:val="FootnoteReference"/>
        </w:rPr>
        <w:footnoteRef/>
      </w:r>
      <w:r>
        <w:t xml:space="preserve"> </w:t>
      </w:r>
      <w:r w:rsidR="00AE46C4">
        <w:t>Smith, p.283.</w:t>
      </w:r>
    </w:p>
  </w:footnote>
  <w:footnote w:id="49">
    <w:p w14:paraId="289CE305" w14:textId="0CFCBAE2" w:rsidR="003A6E95" w:rsidRDefault="003A6E95">
      <w:pPr>
        <w:pStyle w:val="FootnoteText"/>
      </w:pPr>
      <w:r>
        <w:rPr>
          <w:rStyle w:val="FootnoteReference"/>
        </w:rPr>
        <w:footnoteRef/>
      </w:r>
      <w:r>
        <w:t xml:space="preserve"> Ibid. p.234.</w:t>
      </w:r>
    </w:p>
  </w:footnote>
  <w:footnote w:id="50">
    <w:p w14:paraId="0049B14D" w14:textId="28574C9D" w:rsidR="00512DD2" w:rsidRDefault="00512DD2">
      <w:pPr>
        <w:pStyle w:val="FootnoteText"/>
      </w:pPr>
      <w:r>
        <w:rPr>
          <w:rStyle w:val="FootnoteReference"/>
        </w:rPr>
        <w:footnoteRef/>
      </w:r>
      <w:r>
        <w:t xml:space="preserve"> </w:t>
      </w:r>
      <w:r w:rsidR="001A3C22" w:rsidRPr="001E3285">
        <w:t>Barthes, Roland., Michael. Carter, and Andy. Stafford, The Language of Fashion, Bloomsbury revelations edition. (</w:t>
      </w:r>
      <w:proofErr w:type="gramStart"/>
      <w:r w:rsidR="001A3C22" w:rsidRPr="001E3285">
        <w:t>London ;</w:t>
      </w:r>
      <w:proofErr w:type="gramEnd"/>
      <w:r w:rsidR="001A3C22" w:rsidRPr="001E3285">
        <w:t>: Bloomsbury Academic, 2013)</w:t>
      </w:r>
      <w:r w:rsidR="001A3C22">
        <w:t>.</w:t>
      </w:r>
    </w:p>
  </w:footnote>
  <w:footnote w:id="51">
    <w:p w14:paraId="57E96E5F" w14:textId="10042616" w:rsidR="00051E1E" w:rsidRDefault="00051E1E" w:rsidP="00051E1E">
      <w:pPr>
        <w:pStyle w:val="FootnoteText"/>
      </w:pPr>
      <w:r>
        <w:rPr>
          <w:rStyle w:val="FootnoteReference"/>
        </w:rPr>
        <w:footnoteRef/>
      </w:r>
      <w:r>
        <w:t xml:space="preserve"> Roy</w:t>
      </w:r>
      <w:r w:rsidR="00EF11BF">
        <w:t>, Arundhati,</w:t>
      </w:r>
      <w:r>
        <w:t xml:space="preserve"> p</w:t>
      </w:r>
      <w:r w:rsidR="00EF11BF">
        <w:t>.</w:t>
      </w:r>
      <w:r>
        <w:t>48</w:t>
      </w:r>
      <w:r w:rsidR="00EF11BF">
        <w:t>.</w:t>
      </w:r>
    </w:p>
  </w:footnote>
  <w:footnote w:id="52">
    <w:p w14:paraId="015B9B46" w14:textId="28412EF3" w:rsidR="003C7440" w:rsidRDefault="003C7440">
      <w:pPr>
        <w:pStyle w:val="FootnoteText"/>
      </w:pPr>
      <w:r>
        <w:rPr>
          <w:rStyle w:val="FootnoteReference"/>
        </w:rPr>
        <w:footnoteRef/>
      </w:r>
      <w:r>
        <w:t xml:space="preserve"> </w:t>
      </w:r>
      <w:r w:rsidR="00871F64">
        <w:t>Ibid.</w:t>
      </w:r>
      <w:r>
        <w:t xml:space="preserve"> p</w:t>
      </w:r>
      <w:r w:rsidR="00EF11BF">
        <w:t>.</w:t>
      </w:r>
      <w:r>
        <w:t>42</w:t>
      </w:r>
      <w:r w:rsidR="00EF11BF">
        <w:t>.</w:t>
      </w:r>
    </w:p>
  </w:footnote>
  <w:footnote w:id="53">
    <w:p w14:paraId="44E38E25" w14:textId="3E89421C" w:rsidR="00324F99" w:rsidRDefault="00324F99">
      <w:pPr>
        <w:pStyle w:val="FootnoteText"/>
      </w:pPr>
      <w:r>
        <w:rPr>
          <w:rStyle w:val="FootnoteReference"/>
        </w:rPr>
        <w:footnoteRef/>
      </w:r>
      <w:r>
        <w:t xml:space="preserve"> </w:t>
      </w:r>
      <w:r w:rsidR="00FD2D35">
        <w:t>Ibid p.52.</w:t>
      </w:r>
    </w:p>
  </w:footnote>
  <w:footnote w:id="54">
    <w:p w14:paraId="582436EB" w14:textId="77777777" w:rsidR="00402171" w:rsidRDefault="00402171" w:rsidP="00402171">
      <w:pPr>
        <w:pStyle w:val="FootnoteText"/>
      </w:pPr>
      <w:r>
        <w:rPr>
          <w:rStyle w:val="FootnoteReference"/>
        </w:rPr>
        <w:footnoteRef/>
      </w:r>
      <w:r>
        <w:t xml:space="preserve"> Ibid. p.76.</w:t>
      </w:r>
    </w:p>
  </w:footnote>
  <w:footnote w:id="55">
    <w:p w14:paraId="76A6AB08" w14:textId="166F01B7" w:rsidR="00A35846" w:rsidRDefault="00A35846">
      <w:pPr>
        <w:pStyle w:val="FootnoteText"/>
      </w:pPr>
      <w:r>
        <w:rPr>
          <w:rStyle w:val="FootnoteReference"/>
        </w:rPr>
        <w:footnoteRef/>
      </w:r>
      <w:r>
        <w:t xml:space="preserve"> Roy,</w:t>
      </w:r>
      <w:r w:rsidR="00EF11BF">
        <w:t xml:space="preserve"> Arundhati,</w:t>
      </w:r>
      <w:r>
        <w:t xml:space="preserve"> p</w:t>
      </w:r>
      <w:r w:rsidR="00EF11BF">
        <w:t>.</w:t>
      </w:r>
      <w:r>
        <w:t>174</w:t>
      </w:r>
      <w:r w:rsidR="00EF11BF">
        <w:t>.</w:t>
      </w:r>
    </w:p>
  </w:footnote>
  <w:footnote w:id="56">
    <w:p w14:paraId="13A66F21" w14:textId="48075411" w:rsidR="00FD6C77" w:rsidRDefault="00FD6C77">
      <w:pPr>
        <w:pStyle w:val="FootnoteText"/>
      </w:pPr>
      <w:r>
        <w:rPr>
          <w:rStyle w:val="FootnoteReference"/>
        </w:rPr>
        <w:footnoteRef/>
      </w:r>
      <w:r>
        <w:t xml:space="preserve"> Menon</w:t>
      </w:r>
      <w:r w:rsidR="00EF11BF">
        <w:t>.</w:t>
      </w:r>
    </w:p>
  </w:footnote>
  <w:footnote w:id="57">
    <w:p w14:paraId="5B544144" w14:textId="0942C430" w:rsidR="00561A2C" w:rsidRDefault="00561A2C">
      <w:pPr>
        <w:pStyle w:val="FootnoteText"/>
      </w:pPr>
      <w:r>
        <w:rPr>
          <w:rStyle w:val="FootnoteReference"/>
        </w:rPr>
        <w:footnoteRef/>
      </w:r>
      <w:r>
        <w:t xml:space="preserve"> </w:t>
      </w:r>
      <w:r w:rsidR="0079566C">
        <w:t>Ibid.</w:t>
      </w:r>
    </w:p>
  </w:footnote>
  <w:footnote w:id="58">
    <w:p w14:paraId="1B5054D0" w14:textId="39C0A6D4" w:rsidR="00A13B9B" w:rsidRDefault="00A13B9B">
      <w:pPr>
        <w:pStyle w:val="FootnoteText"/>
      </w:pPr>
      <w:r>
        <w:rPr>
          <w:rStyle w:val="FootnoteReference"/>
        </w:rPr>
        <w:footnoteRef/>
      </w:r>
      <w:r>
        <w:t xml:space="preserve"> Roy,</w:t>
      </w:r>
      <w:r w:rsidR="0079566C">
        <w:t xml:space="preserve"> Arundhati,</w:t>
      </w:r>
      <w:r>
        <w:t xml:space="preserve"> </w:t>
      </w:r>
      <w:r w:rsidR="0079566C">
        <w:t>p.</w:t>
      </w:r>
      <w:r>
        <w:t>176</w:t>
      </w:r>
      <w:r w:rsidR="0079566C">
        <w:t>.</w:t>
      </w:r>
    </w:p>
  </w:footnote>
  <w:footnote w:id="59">
    <w:p w14:paraId="071D0D53" w14:textId="7627F6B6" w:rsidR="00751FAD" w:rsidRDefault="00751FAD">
      <w:pPr>
        <w:pStyle w:val="FootnoteText"/>
      </w:pPr>
      <w:r>
        <w:rPr>
          <w:rStyle w:val="FootnoteReference"/>
        </w:rPr>
        <w:footnoteRef/>
      </w:r>
      <w:r>
        <w:t xml:space="preserve"> </w:t>
      </w:r>
      <w:r w:rsidR="0079566C">
        <w:t>Ibid.</w:t>
      </w:r>
      <w:r>
        <w:t xml:space="preserve"> p</w:t>
      </w:r>
      <w:r w:rsidR="0079566C">
        <w:t>.</w:t>
      </w:r>
      <w:r>
        <w:t>329</w:t>
      </w:r>
      <w:r w:rsidR="0079566C">
        <w:t>.</w:t>
      </w:r>
    </w:p>
  </w:footnote>
  <w:footnote w:id="60">
    <w:p w14:paraId="5C75D966" w14:textId="7034E1C7" w:rsidR="004E1B84" w:rsidRDefault="004E1B84">
      <w:pPr>
        <w:pStyle w:val="FootnoteText"/>
      </w:pPr>
      <w:r>
        <w:rPr>
          <w:rStyle w:val="FootnoteReference"/>
        </w:rPr>
        <w:footnoteRef/>
      </w:r>
      <w:r>
        <w:t xml:space="preserve"> Ibid p.174.</w:t>
      </w:r>
    </w:p>
  </w:footnote>
  <w:footnote w:id="61">
    <w:p w14:paraId="691E90BC" w14:textId="122CAAC1" w:rsidR="002E1C8F" w:rsidRDefault="002E1C8F">
      <w:pPr>
        <w:pStyle w:val="FootnoteText"/>
      </w:pPr>
      <w:r>
        <w:rPr>
          <w:rStyle w:val="FootnoteReference"/>
        </w:rPr>
        <w:footnoteRef/>
      </w:r>
      <w:r>
        <w:t xml:space="preserve"> Ibid p42</w:t>
      </w:r>
    </w:p>
  </w:footnote>
  <w:footnote w:id="62">
    <w:p w14:paraId="73270839" w14:textId="7DF5C8D1" w:rsidR="00C3011E" w:rsidRDefault="00C3011E">
      <w:pPr>
        <w:pStyle w:val="FootnoteText"/>
      </w:pPr>
      <w:r>
        <w:rPr>
          <w:rStyle w:val="FootnoteReference"/>
        </w:rPr>
        <w:footnoteRef/>
      </w:r>
      <w:r>
        <w:t xml:space="preserve"> Ibid p.168.</w:t>
      </w:r>
    </w:p>
  </w:footnote>
  <w:footnote w:id="63">
    <w:p w14:paraId="284336A6" w14:textId="6D56D9B4" w:rsidR="00842A66" w:rsidRDefault="00842A66">
      <w:pPr>
        <w:pStyle w:val="FootnoteText"/>
      </w:pPr>
      <w:r>
        <w:rPr>
          <w:rStyle w:val="FootnoteReference"/>
        </w:rPr>
        <w:footnoteRef/>
      </w:r>
      <w:r>
        <w:t xml:space="preserve"> Roy</w:t>
      </w:r>
      <w:r w:rsidR="0079566C">
        <w:t>, Arundhati,</w:t>
      </w:r>
      <w:r>
        <w:t xml:space="preserve"> </w:t>
      </w:r>
      <w:r w:rsidR="0079566C">
        <w:t>p.</w:t>
      </w:r>
      <w:r>
        <w:t>336</w:t>
      </w:r>
      <w:r w:rsidR="0079566C">
        <w:t>.</w:t>
      </w:r>
    </w:p>
  </w:footnote>
  <w:footnote w:id="64">
    <w:p w14:paraId="7C5CD57E" w14:textId="351CFE13" w:rsidR="00760FCF" w:rsidRDefault="00760FCF">
      <w:pPr>
        <w:pStyle w:val="FootnoteText"/>
      </w:pPr>
      <w:r>
        <w:rPr>
          <w:rStyle w:val="FootnoteReference"/>
        </w:rPr>
        <w:footnoteRef/>
      </w:r>
      <w:r>
        <w:t xml:space="preserve"> </w:t>
      </w:r>
      <w:r w:rsidR="00D36C95">
        <w:t>Menon.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6A9FB" w14:textId="77777777" w:rsidR="00DA7F97" w:rsidRDefault="00DA7F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D274D" w14:textId="6435E133" w:rsidR="00935065" w:rsidRDefault="00705E7A" w:rsidP="00935065">
    <w:pPr>
      <w:pStyle w:val="Header"/>
      <w:rPr>
        <w:i/>
        <w:iCs/>
      </w:rPr>
    </w:pPr>
    <w:r>
      <w:t>Stephanie Tuck</w:t>
    </w:r>
    <w:r w:rsidR="005D2125">
      <w:t xml:space="preserve"> 2238014</w:t>
    </w:r>
    <w:r w:rsidR="00935065" w:rsidRPr="00935065">
      <w:t xml:space="preserve"> </w:t>
    </w:r>
    <w:r w:rsidR="00935065">
      <w:t xml:space="preserve">               The Irony of Performing Englishness in </w:t>
    </w:r>
    <w:r w:rsidR="00935065">
      <w:rPr>
        <w:i/>
        <w:iCs/>
      </w:rPr>
      <w:t xml:space="preserve">The God of Small Things </w:t>
    </w:r>
    <w:r w:rsidR="00935065">
      <w:t xml:space="preserve">and </w:t>
    </w:r>
    <w:r w:rsidR="00935065">
      <w:rPr>
        <w:i/>
        <w:iCs/>
      </w:rPr>
      <w:t>White Teeth</w:t>
    </w:r>
  </w:p>
  <w:p w14:paraId="55C45C1B" w14:textId="5B272107" w:rsidR="00935065" w:rsidRPr="00935065" w:rsidRDefault="00935065" w:rsidP="00935065">
    <w:pPr>
      <w:pStyle w:val="Header"/>
    </w:pPr>
    <w:r>
      <w:t xml:space="preserve">Wordcount </w:t>
    </w:r>
    <w:r w:rsidR="00CE1B06">
      <w:t>4</w:t>
    </w:r>
    <w:r w:rsidR="00DA7F97">
      <w:t>20</w:t>
    </w:r>
    <w:r w:rsidR="004C175F">
      <w:t>3</w:t>
    </w:r>
  </w:p>
  <w:p w14:paraId="5A89CCA9" w14:textId="03199F86" w:rsidR="000B35D0" w:rsidRDefault="000B35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06293" w14:textId="77777777" w:rsidR="00DA7F97" w:rsidRDefault="00DA7F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A83"/>
    <w:rsid w:val="00002899"/>
    <w:rsid w:val="00011152"/>
    <w:rsid w:val="00011833"/>
    <w:rsid w:val="000121E0"/>
    <w:rsid w:val="00013F62"/>
    <w:rsid w:val="000215E1"/>
    <w:rsid w:val="00025A33"/>
    <w:rsid w:val="00026AC5"/>
    <w:rsid w:val="00030B19"/>
    <w:rsid w:val="000320B2"/>
    <w:rsid w:val="00032726"/>
    <w:rsid w:val="0003511A"/>
    <w:rsid w:val="00044F9D"/>
    <w:rsid w:val="00047657"/>
    <w:rsid w:val="00050A7A"/>
    <w:rsid w:val="00051E1E"/>
    <w:rsid w:val="00052387"/>
    <w:rsid w:val="0005296A"/>
    <w:rsid w:val="00057DEC"/>
    <w:rsid w:val="0006415F"/>
    <w:rsid w:val="000646C1"/>
    <w:rsid w:val="000656A1"/>
    <w:rsid w:val="00067057"/>
    <w:rsid w:val="00071AFC"/>
    <w:rsid w:val="00074DF4"/>
    <w:rsid w:val="00081BCC"/>
    <w:rsid w:val="00086A4C"/>
    <w:rsid w:val="00087707"/>
    <w:rsid w:val="0009217F"/>
    <w:rsid w:val="00096501"/>
    <w:rsid w:val="000B1049"/>
    <w:rsid w:val="000B2961"/>
    <w:rsid w:val="000B35D0"/>
    <w:rsid w:val="000B68E6"/>
    <w:rsid w:val="000B6C54"/>
    <w:rsid w:val="000C1F5D"/>
    <w:rsid w:val="000C408B"/>
    <w:rsid w:val="000C7884"/>
    <w:rsid w:val="000C7F2B"/>
    <w:rsid w:val="000E509B"/>
    <w:rsid w:val="000E6767"/>
    <w:rsid w:val="000E7366"/>
    <w:rsid w:val="000F019C"/>
    <w:rsid w:val="000F5F20"/>
    <w:rsid w:val="000F76BB"/>
    <w:rsid w:val="000F799A"/>
    <w:rsid w:val="00104C19"/>
    <w:rsid w:val="00112203"/>
    <w:rsid w:val="00112E8C"/>
    <w:rsid w:val="001143F3"/>
    <w:rsid w:val="00123ED3"/>
    <w:rsid w:val="00124FA3"/>
    <w:rsid w:val="00125DF4"/>
    <w:rsid w:val="00130171"/>
    <w:rsid w:val="0013264F"/>
    <w:rsid w:val="00132D34"/>
    <w:rsid w:val="00132DA1"/>
    <w:rsid w:val="00135B65"/>
    <w:rsid w:val="0013784D"/>
    <w:rsid w:val="001406E6"/>
    <w:rsid w:val="00142031"/>
    <w:rsid w:val="00143E65"/>
    <w:rsid w:val="00145036"/>
    <w:rsid w:val="00152560"/>
    <w:rsid w:val="00152582"/>
    <w:rsid w:val="00161311"/>
    <w:rsid w:val="0016724E"/>
    <w:rsid w:val="001718D0"/>
    <w:rsid w:val="001731EC"/>
    <w:rsid w:val="00174772"/>
    <w:rsid w:val="0017486F"/>
    <w:rsid w:val="001807E4"/>
    <w:rsid w:val="00181464"/>
    <w:rsid w:val="00183624"/>
    <w:rsid w:val="00184E74"/>
    <w:rsid w:val="0018607B"/>
    <w:rsid w:val="0018614B"/>
    <w:rsid w:val="00187E74"/>
    <w:rsid w:val="001A3C22"/>
    <w:rsid w:val="001A462F"/>
    <w:rsid w:val="001A7F42"/>
    <w:rsid w:val="001B4663"/>
    <w:rsid w:val="001B4A8B"/>
    <w:rsid w:val="001B4EBA"/>
    <w:rsid w:val="001B74CD"/>
    <w:rsid w:val="001C2C2C"/>
    <w:rsid w:val="001C2C6F"/>
    <w:rsid w:val="001C6FC0"/>
    <w:rsid w:val="001C701A"/>
    <w:rsid w:val="001D249F"/>
    <w:rsid w:val="001D614B"/>
    <w:rsid w:val="001E02E1"/>
    <w:rsid w:val="001E28BF"/>
    <w:rsid w:val="001E4843"/>
    <w:rsid w:val="001F01F0"/>
    <w:rsid w:val="001F0A18"/>
    <w:rsid w:val="001F0A94"/>
    <w:rsid w:val="001F489B"/>
    <w:rsid w:val="001F5F6B"/>
    <w:rsid w:val="00203824"/>
    <w:rsid w:val="00203BE3"/>
    <w:rsid w:val="00203F3D"/>
    <w:rsid w:val="002050A0"/>
    <w:rsid w:val="0020589A"/>
    <w:rsid w:val="002066DF"/>
    <w:rsid w:val="00210D49"/>
    <w:rsid w:val="002111F9"/>
    <w:rsid w:val="00211D63"/>
    <w:rsid w:val="0022263B"/>
    <w:rsid w:val="002256EF"/>
    <w:rsid w:val="00226DA4"/>
    <w:rsid w:val="0023114A"/>
    <w:rsid w:val="00231561"/>
    <w:rsid w:val="0024231D"/>
    <w:rsid w:val="00244CC6"/>
    <w:rsid w:val="00245A58"/>
    <w:rsid w:val="00253415"/>
    <w:rsid w:val="002550D0"/>
    <w:rsid w:val="00262606"/>
    <w:rsid w:val="00267029"/>
    <w:rsid w:val="00270963"/>
    <w:rsid w:val="00271D59"/>
    <w:rsid w:val="0027363F"/>
    <w:rsid w:val="00280223"/>
    <w:rsid w:val="0028024D"/>
    <w:rsid w:val="00280926"/>
    <w:rsid w:val="00280B90"/>
    <w:rsid w:val="00281B76"/>
    <w:rsid w:val="00292A24"/>
    <w:rsid w:val="0029318B"/>
    <w:rsid w:val="002959E4"/>
    <w:rsid w:val="002959F9"/>
    <w:rsid w:val="00295AC9"/>
    <w:rsid w:val="002A2198"/>
    <w:rsid w:val="002B067A"/>
    <w:rsid w:val="002B07CA"/>
    <w:rsid w:val="002B08F8"/>
    <w:rsid w:val="002B1EE3"/>
    <w:rsid w:val="002B5ABD"/>
    <w:rsid w:val="002B5F38"/>
    <w:rsid w:val="002B764E"/>
    <w:rsid w:val="002C05F3"/>
    <w:rsid w:val="002C6F96"/>
    <w:rsid w:val="002D0F7B"/>
    <w:rsid w:val="002D178A"/>
    <w:rsid w:val="002D3649"/>
    <w:rsid w:val="002D393C"/>
    <w:rsid w:val="002D61B9"/>
    <w:rsid w:val="002D6D2F"/>
    <w:rsid w:val="002E0646"/>
    <w:rsid w:val="002E1C8F"/>
    <w:rsid w:val="002E3298"/>
    <w:rsid w:val="002E6E81"/>
    <w:rsid w:val="002F27DF"/>
    <w:rsid w:val="003061A3"/>
    <w:rsid w:val="00311491"/>
    <w:rsid w:val="00311AEE"/>
    <w:rsid w:val="00312B34"/>
    <w:rsid w:val="00312EFF"/>
    <w:rsid w:val="00317844"/>
    <w:rsid w:val="00320016"/>
    <w:rsid w:val="00320125"/>
    <w:rsid w:val="00320E6C"/>
    <w:rsid w:val="003240A3"/>
    <w:rsid w:val="00324F99"/>
    <w:rsid w:val="003347B7"/>
    <w:rsid w:val="00336BA5"/>
    <w:rsid w:val="00341B6E"/>
    <w:rsid w:val="00351F22"/>
    <w:rsid w:val="003564E5"/>
    <w:rsid w:val="003573F3"/>
    <w:rsid w:val="00357574"/>
    <w:rsid w:val="00361BAE"/>
    <w:rsid w:val="00365417"/>
    <w:rsid w:val="003725F9"/>
    <w:rsid w:val="00373A29"/>
    <w:rsid w:val="00376A16"/>
    <w:rsid w:val="00380248"/>
    <w:rsid w:val="00390CCC"/>
    <w:rsid w:val="00393FBA"/>
    <w:rsid w:val="00395EF5"/>
    <w:rsid w:val="00397BF4"/>
    <w:rsid w:val="003A16B4"/>
    <w:rsid w:val="003A1A8D"/>
    <w:rsid w:val="003A3120"/>
    <w:rsid w:val="003A6E95"/>
    <w:rsid w:val="003B11C9"/>
    <w:rsid w:val="003B31E3"/>
    <w:rsid w:val="003B3666"/>
    <w:rsid w:val="003B5A9E"/>
    <w:rsid w:val="003B676B"/>
    <w:rsid w:val="003B7E2C"/>
    <w:rsid w:val="003C3304"/>
    <w:rsid w:val="003C566F"/>
    <w:rsid w:val="003C72C5"/>
    <w:rsid w:val="003C7440"/>
    <w:rsid w:val="003D2E8B"/>
    <w:rsid w:val="003D3A08"/>
    <w:rsid w:val="003D62E4"/>
    <w:rsid w:val="003D6868"/>
    <w:rsid w:val="003D6DC9"/>
    <w:rsid w:val="003D6FCC"/>
    <w:rsid w:val="003E212E"/>
    <w:rsid w:val="003E2B12"/>
    <w:rsid w:val="003E3665"/>
    <w:rsid w:val="003E378B"/>
    <w:rsid w:val="003E5D17"/>
    <w:rsid w:val="003F11B7"/>
    <w:rsid w:val="003F6ACF"/>
    <w:rsid w:val="00402171"/>
    <w:rsid w:val="00407A58"/>
    <w:rsid w:val="00410E63"/>
    <w:rsid w:val="00413D44"/>
    <w:rsid w:val="00420425"/>
    <w:rsid w:val="00427EFB"/>
    <w:rsid w:val="004302E3"/>
    <w:rsid w:val="00430ED5"/>
    <w:rsid w:val="00433EF8"/>
    <w:rsid w:val="00433FBD"/>
    <w:rsid w:val="00436199"/>
    <w:rsid w:val="004426D2"/>
    <w:rsid w:val="004453CD"/>
    <w:rsid w:val="00450A4B"/>
    <w:rsid w:val="00450D9B"/>
    <w:rsid w:val="00456872"/>
    <w:rsid w:val="004569E6"/>
    <w:rsid w:val="004656D5"/>
    <w:rsid w:val="00470559"/>
    <w:rsid w:val="00471F96"/>
    <w:rsid w:val="00472827"/>
    <w:rsid w:val="00476CE8"/>
    <w:rsid w:val="004775AB"/>
    <w:rsid w:val="00480946"/>
    <w:rsid w:val="00480DF2"/>
    <w:rsid w:val="0048290C"/>
    <w:rsid w:val="00485338"/>
    <w:rsid w:val="00486B05"/>
    <w:rsid w:val="004940EA"/>
    <w:rsid w:val="0049478D"/>
    <w:rsid w:val="0049707F"/>
    <w:rsid w:val="004A70F5"/>
    <w:rsid w:val="004A7F5B"/>
    <w:rsid w:val="004B0506"/>
    <w:rsid w:val="004B0E39"/>
    <w:rsid w:val="004B29B5"/>
    <w:rsid w:val="004B3033"/>
    <w:rsid w:val="004B317A"/>
    <w:rsid w:val="004B453C"/>
    <w:rsid w:val="004B45C9"/>
    <w:rsid w:val="004B70E2"/>
    <w:rsid w:val="004C175F"/>
    <w:rsid w:val="004C2112"/>
    <w:rsid w:val="004D1181"/>
    <w:rsid w:val="004E1B84"/>
    <w:rsid w:val="004F0B2A"/>
    <w:rsid w:val="004F33B9"/>
    <w:rsid w:val="004F4088"/>
    <w:rsid w:val="004F5438"/>
    <w:rsid w:val="004F7B5E"/>
    <w:rsid w:val="00500274"/>
    <w:rsid w:val="00505B18"/>
    <w:rsid w:val="00507562"/>
    <w:rsid w:val="00510AF8"/>
    <w:rsid w:val="00511AC7"/>
    <w:rsid w:val="005124DC"/>
    <w:rsid w:val="005127B8"/>
    <w:rsid w:val="00512DD2"/>
    <w:rsid w:val="00516251"/>
    <w:rsid w:val="00516D4D"/>
    <w:rsid w:val="00522BD4"/>
    <w:rsid w:val="00527CE2"/>
    <w:rsid w:val="00531830"/>
    <w:rsid w:val="00532538"/>
    <w:rsid w:val="005331A6"/>
    <w:rsid w:val="00534A13"/>
    <w:rsid w:val="0053524B"/>
    <w:rsid w:val="00535AA5"/>
    <w:rsid w:val="00537C50"/>
    <w:rsid w:val="00544553"/>
    <w:rsid w:val="0055344C"/>
    <w:rsid w:val="005552E6"/>
    <w:rsid w:val="0055653D"/>
    <w:rsid w:val="00561A2C"/>
    <w:rsid w:val="00564452"/>
    <w:rsid w:val="00565F5F"/>
    <w:rsid w:val="00567916"/>
    <w:rsid w:val="00570FC9"/>
    <w:rsid w:val="00571728"/>
    <w:rsid w:val="00575C16"/>
    <w:rsid w:val="0058484E"/>
    <w:rsid w:val="00584980"/>
    <w:rsid w:val="00584ACF"/>
    <w:rsid w:val="00591779"/>
    <w:rsid w:val="00595AEA"/>
    <w:rsid w:val="00595F59"/>
    <w:rsid w:val="005969D2"/>
    <w:rsid w:val="00597F03"/>
    <w:rsid w:val="005A143A"/>
    <w:rsid w:val="005A3FD5"/>
    <w:rsid w:val="005A6761"/>
    <w:rsid w:val="005B070A"/>
    <w:rsid w:val="005B15A5"/>
    <w:rsid w:val="005B1A27"/>
    <w:rsid w:val="005B1EC7"/>
    <w:rsid w:val="005B2A32"/>
    <w:rsid w:val="005B6E29"/>
    <w:rsid w:val="005B6F98"/>
    <w:rsid w:val="005C128D"/>
    <w:rsid w:val="005C17A7"/>
    <w:rsid w:val="005C1C6C"/>
    <w:rsid w:val="005C203D"/>
    <w:rsid w:val="005C4C5C"/>
    <w:rsid w:val="005D098D"/>
    <w:rsid w:val="005D1CFE"/>
    <w:rsid w:val="005D2125"/>
    <w:rsid w:val="005D2C36"/>
    <w:rsid w:val="005D2F10"/>
    <w:rsid w:val="005D3372"/>
    <w:rsid w:val="005D5BA3"/>
    <w:rsid w:val="005E1CE8"/>
    <w:rsid w:val="005E2D78"/>
    <w:rsid w:val="005E3135"/>
    <w:rsid w:val="005E6D96"/>
    <w:rsid w:val="005F325C"/>
    <w:rsid w:val="006046E8"/>
    <w:rsid w:val="006047D9"/>
    <w:rsid w:val="00604D36"/>
    <w:rsid w:val="00605122"/>
    <w:rsid w:val="00612C41"/>
    <w:rsid w:val="00615343"/>
    <w:rsid w:val="00616808"/>
    <w:rsid w:val="00620A55"/>
    <w:rsid w:val="00622F81"/>
    <w:rsid w:val="00623A69"/>
    <w:rsid w:val="00624133"/>
    <w:rsid w:val="00624C81"/>
    <w:rsid w:val="0064155E"/>
    <w:rsid w:val="00641C91"/>
    <w:rsid w:val="0065797E"/>
    <w:rsid w:val="00657B03"/>
    <w:rsid w:val="0066122E"/>
    <w:rsid w:val="006617B6"/>
    <w:rsid w:val="00664356"/>
    <w:rsid w:val="006647E7"/>
    <w:rsid w:val="006650AF"/>
    <w:rsid w:val="006669C0"/>
    <w:rsid w:val="00672651"/>
    <w:rsid w:val="006771B8"/>
    <w:rsid w:val="006773B7"/>
    <w:rsid w:val="00690F66"/>
    <w:rsid w:val="00696FFC"/>
    <w:rsid w:val="006A06DA"/>
    <w:rsid w:val="006A1A13"/>
    <w:rsid w:val="006A3096"/>
    <w:rsid w:val="006A7CDD"/>
    <w:rsid w:val="006B47B3"/>
    <w:rsid w:val="006B6598"/>
    <w:rsid w:val="006C69EC"/>
    <w:rsid w:val="006C6E97"/>
    <w:rsid w:val="006D00B5"/>
    <w:rsid w:val="006D264A"/>
    <w:rsid w:val="006D71EC"/>
    <w:rsid w:val="006E2973"/>
    <w:rsid w:val="006E3D26"/>
    <w:rsid w:val="006E5794"/>
    <w:rsid w:val="006F19F4"/>
    <w:rsid w:val="006F1F58"/>
    <w:rsid w:val="006F75B7"/>
    <w:rsid w:val="006F7F33"/>
    <w:rsid w:val="00701057"/>
    <w:rsid w:val="00702DF9"/>
    <w:rsid w:val="00702FD1"/>
    <w:rsid w:val="0070449A"/>
    <w:rsid w:val="00705E7A"/>
    <w:rsid w:val="0070695B"/>
    <w:rsid w:val="007074AD"/>
    <w:rsid w:val="00707A41"/>
    <w:rsid w:val="00710EBB"/>
    <w:rsid w:val="007111DB"/>
    <w:rsid w:val="00711F9C"/>
    <w:rsid w:val="007125B8"/>
    <w:rsid w:val="0071341E"/>
    <w:rsid w:val="0071397E"/>
    <w:rsid w:val="007140B7"/>
    <w:rsid w:val="007146A4"/>
    <w:rsid w:val="00721587"/>
    <w:rsid w:val="00722B39"/>
    <w:rsid w:val="00722E28"/>
    <w:rsid w:val="00724F6C"/>
    <w:rsid w:val="007255FB"/>
    <w:rsid w:val="00727821"/>
    <w:rsid w:val="0073598F"/>
    <w:rsid w:val="0073669C"/>
    <w:rsid w:val="00741A30"/>
    <w:rsid w:val="00741B04"/>
    <w:rsid w:val="00741F83"/>
    <w:rsid w:val="0074275F"/>
    <w:rsid w:val="00746390"/>
    <w:rsid w:val="007469A1"/>
    <w:rsid w:val="00751FAD"/>
    <w:rsid w:val="007525BB"/>
    <w:rsid w:val="00752852"/>
    <w:rsid w:val="00752D72"/>
    <w:rsid w:val="00752D89"/>
    <w:rsid w:val="00756D19"/>
    <w:rsid w:val="00760F56"/>
    <w:rsid w:val="00760FCF"/>
    <w:rsid w:val="00761055"/>
    <w:rsid w:val="007651BA"/>
    <w:rsid w:val="00765A04"/>
    <w:rsid w:val="00770BA5"/>
    <w:rsid w:val="007712D5"/>
    <w:rsid w:val="0077156D"/>
    <w:rsid w:val="00773262"/>
    <w:rsid w:val="00774B4D"/>
    <w:rsid w:val="00774C9B"/>
    <w:rsid w:val="00774E68"/>
    <w:rsid w:val="007813AB"/>
    <w:rsid w:val="00781C1B"/>
    <w:rsid w:val="00782891"/>
    <w:rsid w:val="00784A5F"/>
    <w:rsid w:val="007870D5"/>
    <w:rsid w:val="00787484"/>
    <w:rsid w:val="00791893"/>
    <w:rsid w:val="00795120"/>
    <w:rsid w:val="0079566C"/>
    <w:rsid w:val="007969CB"/>
    <w:rsid w:val="007A4B59"/>
    <w:rsid w:val="007A61CF"/>
    <w:rsid w:val="007B2368"/>
    <w:rsid w:val="007B48ED"/>
    <w:rsid w:val="007C096D"/>
    <w:rsid w:val="007C319F"/>
    <w:rsid w:val="007C41FE"/>
    <w:rsid w:val="007C5D8E"/>
    <w:rsid w:val="007C7B8D"/>
    <w:rsid w:val="007D0D7E"/>
    <w:rsid w:val="007D1BA7"/>
    <w:rsid w:val="007D6BA5"/>
    <w:rsid w:val="007E16EE"/>
    <w:rsid w:val="007E4555"/>
    <w:rsid w:val="007E468E"/>
    <w:rsid w:val="007E59D7"/>
    <w:rsid w:val="007E6687"/>
    <w:rsid w:val="007F2430"/>
    <w:rsid w:val="007F2439"/>
    <w:rsid w:val="007F2608"/>
    <w:rsid w:val="007F73D1"/>
    <w:rsid w:val="00804C2E"/>
    <w:rsid w:val="00804DD8"/>
    <w:rsid w:val="00811E56"/>
    <w:rsid w:val="00813F8B"/>
    <w:rsid w:val="00814C13"/>
    <w:rsid w:val="00815530"/>
    <w:rsid w:val="008165B3"/>
    <w:rsid w:val="008177AE"/>
    <w:rsid w:val="00821982"/>
    <w:rsid w:val="00823C86"/>
    <w:rsid w:val="008255D8"/>
    <w:rsid w:val="00827DCE"/>
    <w:rsid w:val="008305C1"/>
    <w:rsid w:val="00830DD1"/>
    <w:rsid w:val="00831B5D"/>
    <w:rsid w:val="00836B11"/>
    <w:rsid w:val="00842A66"/>
    <w:rsid w:val="00842F8A"/>
    <w:rsid w:val="00843F56"/>
    <w:rsid w:val="008627CC"/>
    <w:rsid w:val="00864A4A"/>
    <w:rsid w:val="00865C32"/>
    <w:rsid w:val="00865D4D"/>
    <w:rsid w:val="00866641"/>
    <w:rsid w:val="008706B3"/>
    <w:rsid w:val="008716B5"/>
    <w:rsid w:val="00871F64"/>
    <w:rsid w:val="00877902"/>
    <w:rsid w:val="008811C2"/>
    <w:rsid w:val="00887EB2"/>
    <w:rsid w:val="008926FB"/>
    <w:rsid w:val="00893292"/>
    <w:rsid w:val="00893C1E"/>
    <w:rsid w:val="008962FC"/>
    <w:rsid w:val="008970AE"/>
    <w:rsid w:val="008A23EF"/>
    <w:rsid w:val="008A4F1F"/>
    <w:rsid w:val="008A508B"/>
    <w:rsid w:val="008A6B03"/>
    <w:rsid w:val="008B45B7"/>
    <w:rsid w:val="008B7096"/>
    <w:rsid w:val="008B734A"/>
    <w:rsid w:val="008C326E"/>
    <w:rsid w:val="008C580C"/>
    <w:rsid w:val="008D29E8"/>
    <w:rsid w:val="008D511F"/>
    <w:rsid w:val="008E0673"/>
    <w:rsid w:val="008E0BD2"/>
    <w:rsid w:val="008E4549"/>
    <w:rsid w:val="008F0919"/>
    <w:rsid w:val="008F2EE4"/>
    <w:rsid w:val="008F34CF"/>
    <w:rsid w:val="008F6959"/>
    <w:rsid w:val="008F730A"/>
    <w:rsid w:val="008F7B4F"/>
    <w:rsid w:val="009037FA"/>
    <w:rsid w:val="0090494F"/>
    <w:rsid w:val="0091673D"/>
    <w:rsid w:val="00917763"/>
    <w:rsid w:val="00921139"/>
    <w:rsid w:val="009217B9"/>
    <w:rsid w:val="0093020B"/>
    <w:rsid w:val="00931375"/>
    <w:rsid w:val="00931BEC"/>
    <w:rsid w:val="009321A2"/>
    <w:rsid w:val="00932D9F"/>
    <w:rsid w:val="00934340"/>
    <w:rsid w:val="00935065"/>
    <w:rsid w:val="00935EF0"/>
    <w:rsid w:val="00936C54"/>
    <w:rsid w:val="00937022"/>
    <w:rsid w:val="00937238"/>
    <w:rsid w:val="00951CAC"/>
    <w:rsid w:val="00953705"/>
    <w:rsid w:val="00955210"/>
    <w:rsid w:val="009561BC"/>
    <w:rsid w:val="00957DC7"/>
    <w:rsid w:val="00973C69"/>
    <w:rsid w:val="00977D45"/>
    <w:rsid w:val="00980ACA"/>
    <w:rsid w:val="00985F2F"/>
    <w:rsid w:val="00987444"/>
    <w:rsid w:val="009916E3"/>
    <w:rsid w:val="0099668C"/>
    <w:rsid w:val="009969DE"/>
    <w:rsid w:val="009A3252"/>
    <w:rsid w:val="009A6507"/>
    <w:rsid w:val="009B338D"/>
    <w:rsid w:val="009B6951"/>
    <w:rsid w:val="009C18CB"/>
    <w:rsid w:val="009C1FCB"/>
    <w:rsid w:val="009D216E"/>
    <w:rsid w:val="009D4E57"/>
    <w:rsid w:val="009D5444"/>
    <w:rsid w:val="009D5E79"/>
    <w:rsid w:val="009E20CF"/>
    <w:rsid w:val="009E46D8"/>
    <w:rsid w:val="009E619D"/>
    <w:rsid w:val="009F0165"/>
    <w:rsid w:val="009F14DD"/>
    <w:rsid w:val="009F3BDC"/>
    <w:rsid w:val="009F40E6"/>
    <w:rsid w:val="00A03D3A"/>
    <w:rsid w:val="00A04C9D"/>
    <w:rsid w:val="00A13B9B"/>
    <w:rsid w:val="00A13D2C"/>
    <w:rsid w:val="00A1592D"/>
    <w:rsid w:val="00A17DB2"/>
    <w:rsid w:val="00A22781"/>
    <w:rsid w:val="00A236DF"/>
    <w:rsid w:val="00A24125"/>
    <w:rsid w:val="00A247B8"/>
    <w:rsid w:val="00A335DF"/>
    <w:rsid w:val="00A3473B"/>
    <w:rsid w:val="00A35846"/>
    <w:rsid w:val="00A36B88"/>
    <w:rsid w:val="00A41480"/>
    <w:rsid w:val="00A4175C"/>
    <w:rsid w:val="00A41D0B"/>
    <w:rsid w:val="00A43C30"/>
    <w:rsid w:val="00A44420"/>
    <w:rsid w:val="00A45A1E"/>
    <w:rsid w:val="00A45D16"/>
    <w:rsid w:val="00A46A84"/>
    <w:rsid w:val="00A47984"/>
    <w:rsid w:val="00A51498"/>
    <w:rsid w:val="00A6112A"/>
    <w:rsid w:val="00A64488"/>
    <w:rsid w:val="00A64888"/>
    <w:rsid w:val="00A64894"/>
    <w:rsid w:val="00A66E9C"/>
    <w:rsid w:val="00A70E48"/>
    <w:rsid w:val="00A71537"/>
    <w:rsid w:val="00A72E4C"/>
    <w:rsid w:val="00A73A6F"/>
    <w:rsid w:val="00A74C0A"/>
    <w:rsid w:val="00A82A1B"/>
    <w:rsid w:val="00A82B58"/>
    <w:rsid w:val="00A82B68"/>
    <w:rsid w:val="00A8375A"/>
    <w:rsid w:val="00A8619C"/>
    <w:rsid w:val="00A90A20"/>
    <w:rsid w:val="00A92F22"/>
    <w:rsid w:val="00A950AE"/>
    <w:rsid w:val="00AA1384"/>
    <w:rsid w:val="00AA3827"/>
    <w:rsid w:val="00AB2B81"/>
    <w:rsid w:val="00AB3030"/>
    <w:rsid w:val="00AC485B"/>
    <w:rsid w:val="00AC7C8B"/>
    <w:rsid w:val="00AD4CA2"/>
    <w:rsid w:val="00AE46C4"/>
    <w:rsid w:val="00AE721F"/>
    <w:rsid w:val="00AF0DB0"/>
    <w:rsid w:val="00AF22B6"/>
    <w:rsid w:val="00AF75F8"/>
    <w:rsid w:val="00B00B52"/>
    <w:rsid w:val="00B00BB9"/>
    <w:rsid w:val="00B05E50"/>
    <w:rsid w:val="00B10826"/>
    <w:rsid w:val="00B11E4C"/>
    <w:rsid w:val="00B20214"/>
    <w:rsid w:val="00B21D90"/>
    <w:rsid w:val="00B23409"/>
    <w:rsid w:val="00B23410"/>
    <w:rsid w:val="00B24D05"/>
    <w:rsid w:val="00B33DB0"/>
    <w:rsid w:val="00B36B97"/>
    <w:rsid w:val="00B40535"/>
    <w:rsid w:val="00B47265"/>
    <w:rsid w:val="00B53CC9"/>
    <w:rsid w:val="00B53F17"/>
    <w:rsid w:val="00B60A03"/>
    <w:rsid w:val="00B668BB"/>
    <w:rsid w:val="00B7057A"/>
    <w:rsid w:val="00B71153"/>
    <w:rsid w:val="00B757FE"/>
    <w:rsid w:val="00B80C72"/>
    <w:rsid w:val="00B84207"/>
    <w:rsid w:val="00B84C45"/>
    <w:rsid w:val="00B908CC"/>
    <w:rsid w:val="00B91EBE"/>
    <w:rsid w:val="00B94032"/>
    <w:rsid w:val="00BA15DB"/>
    <w:rsid w:val="00BA2E5F"/>
    <w:rsid w:val="00BA3491"/>
    <w:rsid w:val="00BA3EEB"/>
    <w:rsid w:val="00BA63EF"/>
    <w:rsid w:val="00BB08FE"/>
    <w:rsid w:val="00BB4A8C"/>
    <w:rsid w:val="00BB4BB6"/>
    <w:rsid w:val="00BB5C82"/>
    <w:rsid w:val="00BC1709"/>
    <w:rsid w:val="00BD4144"/>
    <w:rsid w:val="00BD5708"/>
    <w:rsid w:val="00BD61CD"/>
    <w:rsid w:val="00BE0B9C"/>
    <w:rsid w:val="00BE1B7B"/>
    <w:rsid w:val="00BE715B"/>
    <w:rsid w:val="00BF2BAC"/>
    <w:rsid w:val="00BF3E59"/>
    <w:rsid w:val="00C03ABE"/>
    <w:rsid w:val="00C10071"/>
    <w:rsid w:val="00C10CCA"/>
    <w:rsid w:val="00C12172"/>
    <w:rsid w:val="00C12864"/>
    <w:rsid w:val="00C16142"/>
    <w:rsid w:val="00C16574"/>
    <w:rsid w:val="00C20391"/>
    <w:rsid w:val="00C2138D"/>
    <w:rsid w:val="00C235B1"/>
    <w:rsid w:val="00C3011E"/>
    <w:rsid w:val="00C3565A"/>
    <w:rsid w:val="00C45EC9"/>
    <w:rsid w:val="00C54726"/>
    <w:rsid w:val="00C550B9"/>
    <w:rsid w:val="00C6615F"/>
    <w:rsid w:val="00C662ED"/>
    <w:rsid w:val="00C70524"/>
    <w:rsid w:val="00C71964"/>
    <w:rsid w:val="00C729EF"/>
    <w:rsid w:val="00C82FC1"/>
    <w:rsid w:val="00C9218D"/>
    <w:rsid w:val="00C92D1D"/>
    <w:rsid w:val="00C965AC"/>
    <w:rsid w:val="00C97DC4"/>
    <w:rsid w:val="00CA02FF"/>
    <w:rsid w:val="00CA51DB"/>
    <w:rsid w:val="00CA5D5E"/>
    <w:rsid w:val="00CA79EA"/>
    <w:rsid w:val="00CB1965"/>
    <w:rsid w:val="00CB2778"/>
    <w:rsid w:val="00CB29D3"/>
    <w:rsid w:val="00CB7C37"/>
    <w:rsid w:val="00CC0A15"/>
    <w:rsid w:val="00CC0BA4"/>
    <w:rsid w:val="00CC106C"/>
    <w:rsid w:val="00CC40CC"/>
    <w:rsid w:val="00CC677C"/>
    <w:rsid w:val="00CD1635"/>
    <w:rsid w:val="00CD35D0"/>
    <w:rsid w:val="00CD393F"/>
    <w:rsid w:val="00CD4F23"/>
    <w:rsid w:val="00CD6E73"/>
    <w:rsid w:val="00CD7306"/>
    <w:rsid w:val="00CE1B06"/>
    <w:rsid w:val="00CE2371"/>
    <w:rsid w:val="00CE414B"/>
    <w:rsid w:val="00CE59A4"/>
    <w:rsid w:val="00CE7316"/>
    <w:rsid w:val="00CF3579"/>
    <w:rsid w:val="00CF3705"/>
    <w:rsid w:val="00D001A8"/>
    <w:rsid w:val="00D05B9F"/>
    <w:rsid w:val="00D11944"/>
    <w:rsid w:val="00D1228D"/>
    <w:rsid w:val="00D1434A"/>
    <w:rsid w:val="00D21AC0"/>
    <w:rsid w:val="00D25338"/>
    <w:rsid w:val="00D2655F"/>
    <w:rsid w:val="00D300C1"/>
    <w:rsid w:val="00D339E4"/>
    <w:rsid w:val="00D34C1B"/>
    <w:rsid w:val="00D36C95"/>
    <w:rsid w:val="00D4207D"/>
    <w:rsid w:val="00D43E35"/>
    <w:rsid w:val="00D4636E"/>
    <w:rsid w:val="00D46C50"/>
    <w:rsid w:val="00D47900"/>
    <w:rsid w:val="00D56FCA"/>
    <w:rsid w:val="00D57B8E"/>
    <w:rsid w:val="00D61BFB"/>
    <w:rsid w:val="00D63ABB"/>
    <w:rsid w:val="00D715F8"/>
    <w:rsid w:val="00D7214D"/>
    <w:rsid w:val="00D724A3"/>
    <w:rsid w:val="00D74619"/>
    <w:rsid w:val="00D775DA"/>
    <w:rsid w:val="00D8008B"/>
    <w:rsid w:val="00D82F12"/>
    <w:rsid w:val="00D85C1B"/>
    <w:rsid w:val="00D93416"/>
    <w:rsid w:val="00DA0467"/>
    <w:rsid w:val="00DA27FA"/>
    <w:rsid w:val="00DA6683"/>
    <w:rsid w:val="00DA69BB"/>
    <w:rsid w:val="00DA7F97"/>
    <w:rsid w:val="00DB41C3"/>
    <w:rsid w:val="00DB6204"/>
    <w:rsid w:val="00DC1E2B"/>
    <w:rsid w:val="00DC308F"/>
    <w:rsid w:val="00DC3503"/>
    <w:rsid w:val="00DC63D8"/>
    <w:rsid w:val="00DD05B0"/>
    <w:rsid w:val="00DD0EDD"/>
    <w:rsid w:val="00DD1A83"/>
    <w:rsid w:val="00DD4988"/>
    <w:rsid w:val="00DD6F8C"/>
    <w:rsid w:val="00DE15C3"/>
    <w:rsid w:val="00DE36F2"/>
    <w:rsid w:val="00DE3E2C"/>
    <w:rsid w:val="00DF20C2"/>
    <w:rsid w:val="00DF292A"/>
    <w:rsid w:val="00DF3005"/>
    <w:rsid w:val="00DF63D2"/>
    <w:rsid w:val="00E00F3F"/>
    <w:rsid w:val="00E023D9"/>
    <w:rsid w:val="00E03346"/>
    <w:rsid w:val="00E069E5"/>
    <w:rsid w:val="00E07F7E"/>
    <w:rsid w:val="00E108DB"/>
    <w:rsid w:val="00E11407"/>
    <w:rsid w:val="00E122D5"/>
    <w:rsid w:val="00E14161"/>
    <w:rsid w:val="00E153B0"/>
    <w:rsid w:val="00E15FAB"/>
    <w:rsid w:val="00E2203E"/>
    <w:rsid w:val="00E25988"/>
    <w:rsid w:val="00E27584"/>
    <w:rsid w:val="00E27AE5"/>
    <w:rsid w:val="00E27C8A"/>
    <w:rsid w:val="00E36CA6"/>
    <w:rsid w:val="00E37AD7"/>
    <w:rsid w:val="00E404C9"/>
    <w:rsid w:val="00E4524C"/>
    <w:rsid w:val="00E50007"/>
    <w:rsid w:val="00E54CB7"/>
    <w:rsid w:val="00E562A1"/>
    <w:rsid w:val="00E62189"/>
    <w:rsid w:val="00E644DC"/>
    <w:rsid w:val="00E651CF"/>
    <w:rsid w:val="00E66639"/>
    <w:rsid w:val="00E66D75"/>
    <w:rsid w:val="00E71388"/>
    <w:rsid w:val="00E7314D"/>
    <w:rsid w:val="00E74296"/>
    <w:rsid w:val="00E84088"/>
    <w:rsid w:val="00E85C99"/>
    <w:rsid w:val="00E85EC0"/>
    <w:rsid w:val="00E9312F"/>
    <w:rsid w:val="00E94448"/>
    <w:rsid w:val="00E94490"/>
    <w:rsid w:val="00E94E75"/>
    <w:rsid w:val="00EA6E4B"/>
    <w:rsid w:val="00EB035B"/>
    <w:rsid w:val="00EB2F50"/>
    <w:rsid w:val="00EB4C9A"/>
    <w:rsid w:val="00EB4D77"/>
    <w:rsid w:val="00EB5E1D"/>
    <w:rsid w:val="00EB5FEC"/>
    <w:rsid w:val="00EB7B10"/>
    <w:rsid w:val="00EC02CA"/>
    <w:rsid w:val="00EC135A"/>
    <w:rsid w:val="00EC4AF9"/>
    <w:rsid w:val="00ED1777"/>
    <w:rsid w:val="00ED17A1"/>
    <w:rsid w:val="00ED4581"/>
    <w:rsid w:val="00ED5B57"/>
    <w:rsid w:val="00EE099A"/>
    <w:rsid w:val="00EF11BF"/>
    <w:rsid w:val="00EF19C7"/>
    <w:rsid w:val="00EF2073"/>
    <w:rsid w:val="00EF3D0E"/>
    <w:rsid w:val="00F00A5D"/>
    <w:rsid w:val="00F03057"/>
    <w:rsid w:val="00F03AB8"/>
    <w:rsid w:val="00F04497"/>
    <w:rsid w:val="00F05030"/>
    <w:rsid w:val="00F05EFF"/>
    <w:rsid w:val="00F06117"/>
    <w:rsid w:val="00F108D8"/>
    <w:rsid w:val="00F13AE5"/>
    <w:rsid w:val="00F16967"/>
    <w:rsid w:val="00F178F9"/>
    <w:rsid w:val="00F3578E"/>
    <w:rsid w:val="00F401EC"/>
    <w:rsid w:val="00F40866"/>
    <w:rsid w:val="00F43EA7"/>
    <w:rsid w:val="00F44851"/>
    <w:rsid w:val="00F449F7"/>
    <w:rsid w:val="00F46247"/>
    <w:rsid w:val="00F506FA"/>
    <w:rsid w:val="00F509E4"/>
    <w:rsid w:val="00F53FA7"/>
    <w:rsid w:val="00F60DD4"/>
    <w:rsid w:val="00F61866"/>
    <w:rsid w:val="00F660C1"/>
    <w:rsid w:val="00F67AAB"/>
    <w:rsid w:val="00F67EE7"/>
    <w:rsid w:val="00F67F1A"/>
    <w:rsid w:val="00F75C76"/>
    <w:rsid w:val="00F964DB"/>
    <w:rsid w:val="00F97C4C"/>
    <w:rsid w:val="00FA2E9C"/>
    <w:rsid w:val="00FA42D9"/>
    <w:rsid w:val="00FA4CF1"/>
    <w:rsid w:val="00FA789E"/>
    <w:rsid w:val="00FB2D14"/>
    <w:rsid w:val="00FB539E"/>
    <w:rsid w:val="00FB723F"/>
    <w:rsid w:val="00FC36D3"/>
    <w:rsid w:val="00FC4A35"/>
    <w:rsid w:val="00FD2D35"/>
    <w:rsid w:val="00FD3A37"/>
    <w:rsid w:val="00FD60C6"/>
    <w:rsid w:val="00FD6C77"/>
    <w:rsid w:val="00FD6E68"/>
    <w:rsid w:val="00FD71AB"/>
    <w:rsid w:val="00FE438F"/>
    <w:rsid w:val="00FE6637"/>
    <w:rsid w:val="00FF3876"/>
    <w:rsid w:val="00FF5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95049"/>
  <w15:chartTrackingRefBased/>
  <w15:docId w15:val="{09E96E3E-AAD5-4F32-896B-9F356D3C2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5D0"/>
  </w:style>
  <w:style w:type="paragraph" w:styleId="Footer">
    <w:name w:val="footer"/>
    <w:basedOn w:val="Normal"/>
    <w:link w:val="FooterChar"/>
    <w:uiPriority w:val="99"/>
    <w:unhideWhenUsed/>
    <w:rsid w:val="000B3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5D0"/>
  </w:style>
  <w:style w:type="paragraph" w:styleId="FootnoteText">
    <w:name w:val="footnote text"/>
    <w:basedOn w:val="Normal"/>
    <w:link w:val="FootnoteTextChar"/>
    <w:uiPriority w:val="99"/>
    <w:semiHidden/>
    <w:unhideWhenUsed/>
    <w:rsid w:val="000111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1152"/>
    <w:rPr>
      <w:sz w:val="20"/>
      <w:szCs w:val="20"/>
    </w:rPr>
  </w:style>
  <w:style w:type="character" w:styleId="FootnoteReference">
    <w:name w:val="footnote reference"/>
    <w:basedOn w:val="DefaultParagraphFont"/>
    <w:uiPriority w:val="99"/>
    <w:semiHidden/>
    <w:unhideWhenUsed/>
    <w:rsid w:val="000111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B679A7A84824D46B5DFA778E7CC16B5" ma:contentTypeVersion="13" ma:contentTypeDescription="Create a new document." ma:contentTypeScope="" ma:versionID="77695ffadf14a0ee362a22794479bfcc">
  <xsd:schema xmlns:xsd="http://www.w3.org/2001/XMLSchema" xmlns:xs="http://www.w3.org/2001/XMLSchema" xmlns:p="http://schemas.microsoft.com/office/2006/metadata/properties" xmlns:ns3="ce102db1-d7e7-4eff-a01d-ce9653041f23" xmlns:ns4="82b5828f-cd96-4343-ac07-cd16e525178d" targetNamespace="http://schemas.microsoft.com/office/2006/metadata/properties" ma:root="true" ma:fieldsID="6130d985df706f6cbbbbab4aac1d241e" ns3:_="" ns4:_="">
    <xsd:import namespace="ce102db1-d7e7-4eff-a01d-ce9653041f23"/>
    <xsd:import namespace="82b5828f-cd96-4343-ac07-cd16e52517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02db1-d7e7-4eff-a01d-ce9653041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b5828f-cd96-4343-ac07-cd16e525178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33D46-3C23-441A-9035-DB47BB980AFA}">
  <ds:schemaRefs>
    <ds:schemaRef ds:uri="http://schemas.microsoft.com/sharepoint/v3/contenttype/forms"/>
  </ds:schemaRefs>
</ds:datastoreItem>
</file>

<file path=customXml/itemProps2.xml><?xml version="1.0" encoding="utf-8"?>
<ds:datastoreItem xmlns:ds="http://schemas.openxmlformats.org/officeDocument/2006/customXml" ds:itemID="{97D36156-8CF5-477D-B296-52961FFCEDB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68CCCE-DEB7-411B-AF30-138077A77EFC}">
  <ds:schemaRefs>
    <ds:schemaRef ds:uri="http://schemas.openxmlformats.org/officeDocument/2006/bibliography"/>
  </ds:schemaRefs>
</ds:datastoreItem>
</file>

<file path=customXml/itemProps4.xml><?xml version="1.0" encoding="utf-8"?>
<ds:datastoreItem xmlns:ds="http://schemas.openxmlformats.org/officeDocument/2006/customXml" ds:itemID="{279377BB-B4E9-4499-A5EB-299E6ED82C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102db1-d7e7-4eff-a01d-ce9653041f23"/>
    <ds:schemaRef ds:uri="82b5828f-cd96-4343-ac07-cd16e5251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12</Pages>
  <Words>4203</Words>
  <Characters>22437</Characters>
  <Application>Microsoft Office Word</Application>
  <DocSecurity>0</DocSecurity>
  <Lines>249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Tuck</dc:creator>
  <cp:keywords/>
  <dc:description/>
  <cp:lastModifiedBy>S Tuck</cp:lastModifiedBy>
  <cp:revision>229</cp:revision>
  <dcterms:created xsi:type="dcterms:W3CDTF">2023-07-26T16:59:00Z</dcterms:created>
  <dcterms:modified xsi:type="dcterms:W3CDTF">2023-07-27T13:22:00Z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2023-07-24T11:41:19Z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aae198db-b551-4a22-9145-a2c653953929</vt:lpwstr>
  </property>
  <property fmtid="{D5CDD505-2E9C-101B-9397-08002B2CF9AE}" pid="8" name="MSIP_Label_f9d133d5-5401-4903-95cd-de83b334d2cb_ContentBits">
    <vt:lpwstr>0</vt:lpwstr>
  </property>
  <property fmtid="{D5CDD505-2E9C-101B-9397-08002B2CF9AE}" pid="9" name="ContentTypeId">
    <vt:lpwstr>0x010100DB679A7A84824D46B5DFA778E7CC16B5</vt:lpwstr>
  </property>
</Properties>
</file>