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4D0C" w:rsidRDefault="00DA4D0C" w:rsidP="00DA4D0C">
      <w:pPr>
        <w:jc w:val="center"/>
      </w:pPr>
      <w:r>
        <w:rPr>
          <w:noProof/>
        </w:rPr>
        <w:drawing>
          <wp:inline distT="0" distB="0" distL="0" distR="0" wp14:anchorId="4DCCDC91" wp14:editId="4736778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DA4D0C" w:rsidRDefault="00DA4D0C" w:rsidP="00DA4D0C">
      <w:pPr>
        <w:jc w:val="center"/>
      </w:pPr>
    </w:p>
    <w:p w:rsidR="00DA4D0C" w:rsidRDefault="00DA4D0C" w:rsidP="00DA4D0C">
      <w:pPr>
        <w:jc w:val="center"/>
      </w:pPr>
    </w:p>
    <w:p w:rsidR="00DA4D0C" w:rsidRDefault="00DA4D0C" w:rsidP="00DA4D0C">
      <w:pPr>
        <w:jc w:val="center"/>
      </w:pPr>
    </w:p>
    <w:p w:rsidR="00DA4D0C" w:rsidRDefault="00DA4D0C" w:rsidP="00DA4D0C">
      <w:pPr>
        <w:jc w:val="center"/>
      </w:pPr>
    </w:p>
    <w:p w:rsidR="00DA4D0C" w:rsidRDefault="00DA4D0C" w:rsidP="00DA4D0C">
      <w:pPr>
        <w:jc w:val="center"/>
      </w:pPr>
    </w:p>
    <w:p w:rsidR="00DA4D0C" w:rsidRPr="00646406" w:rsidRDefault="00DA4D0C" w:rsidP="00DA4D0C">
      <w:pPr>
        <w:jc w:val="center"/>
        <w:rPr>
          <w:rFonts w:ascii="Arial" w:hAnsi="Arial" w:cs="Arial"/>
          <w:b/>
          <w:bCs/>
        </w:rPr>
      </w:pPr>
      <w:r>
        <w:rPr>
          <w:rFonts w:ascii="Arial" w:hAnsi="Arial" w:cs="Arial"/>
          <w:b/>
          <w:bCs/>
        </w:rPr>
        <w:t>Student Name</w:t>
      </w:r>
      <w:r w:rsidRPr="00646406">
        <w:rPr>
          <w:rFonts w:ascii="Arial" w:hAnsi="Arial" w:cs="Arial"/>
          <w:b/>
          <w:bCs/>
        </w:rPr>
        <w:t>:</w:t>
      </w:r>
      <w:r>
        <w:rPr>
          <w:rFonts w:ascii="Arial" w:hAnsi="Arial" w:cs="Arial"/>
          <w:b/>
          <w:bCs/>
        </w:rPr>
        <w:t xml:space="preserve"> </w:t>
      </w:r>
      <w:proofErr w:type="spellStart"/>
      <w:r>
        <w:rPr>
          <w:rFonts w:ascii="Arial" w:hAnsi="Arial" w:cs="Arial"/>
          <w:b/>
          <w:bCs/>
        </w:rPr>
        <w:t>Chirag</w:t>
      </w:r>
      <w:proofErr w:type="spellEnd"/>
      <w:r>
        <w:rPr>
          <w:rFonts w:ascii="Arial" w:hAnsi="Arial" w:cs="Arial"/>
          <w:b/>
          <w:bCs/>
        </w:rPr>
        <w:t xml:space="preserve"> </w:t>
      </w:r>
      <w:proofErr w:type="spellStart"/>
      <w:r>
        <w:rPr>
          <w:rFonts w:ascii="Arial" w:hAnsi="Arial" w:cs="Arial"/>
          <w:b/>
          <w:bCs/>
        </w:rPr>
        <w:t>Arvind</w:t>
      </w:r>
      <w:proofErr w:type="spellEnd"/>
      <w:r>
        <w:rPr>
          <w:rFonts w:ascii="Arial" w:hAnsi="Arial" w:cs="Arial"/>
          <w:b/>
          <w:bCs/>
        </w:rPr>
        <w:t xml:space="preserve"> </w:t>
      </w:r>
      <w:proofErr w:type="spellStart"/>
      <w:r>
        <w:rPr>
          <w:rFonts w:ascii="Arial" w:hAnsi="Arial" w:cs="Arial"/>
          <w:b/>
          <w:bCs/>
        </w:rPr>
        <w:t>Kapadia</w:t>
      </w:r>
      <w:proofErr w:type="spellEnd"/>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r>
        <w:rPr>
          <w:rFonts w:ascii="Arial" w:hAnsi="Arial" w:cs="Arial"/>
          <w:b/>
          <w:bCs/>
        </w:rPr>
        <w:t>Student ID</w:t>
      </w:r>
      <w:proofErr w:type="gramStart"/>
      <w:r w:rsidRPr="00646406">
        <w:rPr>
          <w:rFonts w:ascii="Arial" w:hAnsi="Arial" w:cs="Arial"/>
          <w:b/>
          <w:bCs/>
        </w:rPr>
        <w:t>:</w:t>
      </w:r>
      <w:r>
        <w:rPr>
          <w:rFonts w:ascii="Arial" w:hAnsi="Arial" w:cs="Arial"/>
          <w:b/>
          <w:bCs/>
        </w:rPr>
        <w:t>2521160</w:t>
      </w:r>
      <w:proofErr w:type="gramEnd"/>
    </w:p>
    <w:p w:rsidR="00DA4D0C" w:rsidRPr="00646406" w:rsidRDefault="00DA4D0C" w:rsidP="00DA4D0C">
      <w:pPr>
        <w:jc w:val="center"/>
        <w:rPr>
          <w:rFonts w:ascii="Arial" w:hAnsi="Arial" w:cs="Arial"/>
        </w:rPr>
      </w:pPr>
    </w:p>
    <w:p w:rsidR="00DA4D0C" w:rsidRPr="00646406" w:rsidRDefault="00DA4D0C" w:rsidP="00DA4D0C">
      <w:pPr>
        <w:jc w:val="center"/>
        <w:rPr>
          <w:rFonts w:ascii="Arial" w:hAnsi="Arial" w:cs="Arial"/>
        </w:rPr>
      </w:pPr>
    </w:p>
    <w:p w:rsidR="00DA4D0C" w:rsidRPr="00646406" w:rsidRDefault="00DA4D0C" w:rsidP="00DA4D0C">
      <w:pPr>
        <w:jc w:val="center"/>
        <w:rPr>
          <w:rFonts w:ascii="Arial" w:hAnsi="Arial" w:cs="Arial"/>
          <w:b/>
          <w:bCs/>
        </w:rPr>
      </w:pPr>
      <w:r>
        <w:rPr>
          <w:rFonts w:ascii="Arial" w:hAnsi="Arial" w:cs="Arial"/>
          <w:b/>
          <w:bCs/>
        </w:rPr>
        <w:t>Module Name: Marketing Management</w:t>
      </w:r>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r>
        <w:rPr>
          <w:rFonts w:ascii="Arial" w:hAnsi="Arial" w:cs="Arial"/>
          <w:b/>
          <w:bCs/>
        </w:rPr>
        <w:t>Module Code</w:t>
      </w:r>
      <w:r w:rsidRPr="00646406">
        <w:rPr>
          <w:rFonts w:ascii="Arial" w:hAnsi="Arial" w:cs="Arial"/>
          <w:b/>
          <w:bCs/>
        </w:rPr>
        <w:t xml:space="preserve">: </w:t>
      </w:r>
      <w:r w:rsidRPr="00DA4D0C">
        <w:rPr>
          <w:b/>
          <w:sz w:val="28"/>
          <w:szCs w:val="28"/>
        </w:rPr>
        <w:t>LCMB7003</w:t>
      </w:r>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r>
        <w:rPr>
          <w:rFonts w:ascii="Arial" w:hAnsi="Arial" w:cs="Arial"/>
          <w:b/>
          <w:bCs/>
        </w:rPr>
        <w:t>Lecturer’s Name</w:t>
      </w:r>
      <w:r w:rsidRPr="00646406">
        <w:rPr>
          <w:rFonts w:ascii="Arial" w:hAnsi="Arial" w:cs="Arial"/>
          <w:b/>
          <w:bCs/>
        </w:rPr>
        <w:t>:</w:t>
      </w:r>
      <w:r w:rsidRPr="009A17C3">
        <w:t xml:space="preserve"> </w:t>
      </w:r>
      <w:proofErr w:type="spellStart"/>
      <w:r w:rsidRPr="00DA4D0C">
        <w:rPr>
          <w:b/>
          <w:sz w:val="28"/>
          <w:szCs w:val="28"/>
        </w:rPr>
        <w:t>Amare</w:t>
      </w:r>
      <w:proofErr w:type="spellEnd"/>
      <w:r w:rsidRPr="00DA4D0C">
        <w:rPr>
          <w:b/>
          <w:sz w:val="28"/>
          <w:szCs w:val="28"/>
        </w:rPr>
        <w:t xml:space="preserve"> </w:t>
      </w:r>
      <w:proofErr w:type="spellStart"/>
      <w:r w:rsidRPr="00DA4D0C">
        <w:rPr>
          <w:b/>
          <w:sz w:val="28"/>
          <w:szCs w:val="28"/>
        </w:rPr>
        <w:t>Desta</w:t>
      </w:r>
      <w:proofErr w:type="spellEnd"/>
      <w:r>
        <w:rPr>
          <w:b/>
          <w:sz w:val="28"/>
          <w:szCs w:val="28"/>
        </w:rPr>
        <w:t>,</w:t>
      </w:r>
      <w:r w:rsidRPr="00DA4D0C">
        <w:rPr>
          <w:b/>
          <w:sz w:val="28"/>
          <w:szCs w:val="28"/>
        </w:rPr>
        <w:t xml:space="preserve"> </w:t>
      </w:r>
      <w:proofErr w:type="spellStart"/>
      <w:r w:rsidRPr="00DA4D0C">
        <w:rPr>
          <w:b/>
          <w:sz w:val="28"/>
          <w:szCs w:val="28"/>
        </w:rPr>
        <w:t>Zulf</w:t>
      </w:r>
      <w:proofErr w:type="spellEnd"/>
      <w:r w:rsidRPr="00DA4D0C">
        <w:rPr>
          <w:b/>
          <w:sz w:val="28"/>
          <w:szCs w:val="28"/>
        </w:rPr>
        <w:t xml:space="preserve"> Khan</w:t>
      </w:r>
    </w:p>
    <w:p w:rsidR="00DA4D0C" w:rsidRPr="00646406"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p>
    <w:p w:rsidR="00DA4D0C" w:rsidRPr="00646406" w:rsidRDefault="00DA4D0C" w:rsidP="00DA4D0C">
      <w:pPr>
        <w:rPr>
          <w:rFonts w:ascii="Arial" w:hAnsi="Arial" w:cs="Arial"/>
          <w:b/>
          <w:bCs/>
        </w:rPr>
      </w:pPr>
    </w:p>
    <w:p w:rsidR="00DA4D0C" w:rsidRPr="00DA4D0C" w:rsidRDefault="00DA4D0C" w:rsidP="00DA4D0C">
      <w:pPr>
        <w:jc w:val="center"/>
        <w:rPr>
          <w:rFonts w:ascii="Arial" w:hAnsi="Arial" w:cs="Arial"/>
          <w:b/>
          <w:bCs/>
          <w:sz w:val="28"/>
          <w:szCs w:val="28"/>
        </w:rPr>
      </w:pPr>
      <w:r w:rsidRPr="00DA4D0C">
        <w:rPr>
          <w:rFonts w:ascii="Arial" w:hAnsi="Arial" w:cs="Arial"/>
          <w:b/>
          <w:bCs/>
          <w:sz w:val="28"/>
          <w:szCs w:val="28"/>
        </w:rPr>
        <w:t xml:space="preserve">Poster – </w:t>
      </w:r>
      <w:r w:rsidRPr="00DA4D0C">
        <w:rPr>
          <w:b/>
          <w:sz w:val="28"/>
          <w:szCs w:val="28"/>
        </w:rPr>
        <w:t>Strategic Management</w:t>
      </w:r>
    </w:p>
    <w:p w:rsidR="00DA4D0C" w:rsidRPr="00646406" w:rsidRDefault="00DA4D0C" w:rsidP="00DA4D0C">
      <w:pPr>
        <w:jc w:val="center"/>
        <w:rPr>
          <w:rFonts w:ascii="Arial" w:hAnsi="Arial" w:cs="Arial"/>
          <w:b/>
          <w:bCs/>
        </w:rPr>
      </w:pPr>
    </w:p>
    <w:p w:rsidR="00DA4D0C" w:rsidRDefault="00DA4D0C" w:rsidP="00DA4D0C">
      <w:pPr>
        <w:jc w:val="center"/>
        <w:rPr>
          <w:rFonts w:ascii="Arial" w:hAnsi="Arial" w:cs="Arial"/>
          <w:b/>
          <w:bCs/>
        </w:rPr>
      </w:pPr>
    </w:p>
    <w:p w:rsidR="00DA4D0C" w:rsidRDefault="00DA4D0C" w:rsidP="00DA4D0C">
      <w:pPr>
        <w:jc w:val="center"/>
        <w:rPr>
          <w:rFonts w:ascii="Arial" w:hAnsi="Arial" w:cs="Arial"/>
          <w:b/>
          <w:bCs/>
        </w:rPr>
      </w:pPr>
    </w:p>
    <w:p w:rsidR="00DA4D0C" w:rsidRDefault="00DA4D0C" w:rsidP="00DA4D0C">
      <w:pPr>
        <w:jc w:val="center"/>
        <w:rPr>
          <w:rFonts w:ascii="Arial" w:hAnsi="Arial" w:cs="Arial"/>
          <w:b/>
          <w:bCs/>
        </w:rPr>
      </w:pPr>
    </w:p>
    <w:p w:rsidR="00DA4D0C" w:rsidRPr="00646406" w:rsidRDefault="00DA4D0C" w:rsidP="00DA4D0C">
      <w:pPr>
        <w:jc w:val="center"/>
        <w:rPr>
          <w:rFonts w:ascii="Arial" w:hAnsi="Arial" w:cs="Arial"/>
          <w:b/>
          <w:bCs/>
        </w:rPr>
      </w:pPr>
      <w:r>
        <w:rPr>
          <w:rFonts w:ascii="Arial" w:hAnsi="Arial" w:cs="Arial"/>
          <w:b/>
          <w:bCs/>
        </w:rPr>
        <w:t>Term 2</w:t>
      </w:r>
    </w:p>
    <w:p w:rsidR="00DA4D0C" w:rsidRDefault="00DA4D0C">
      <w:pPr>
        <w:spacing w:before="1800"/>
        <w:jc w:val="center"/>
        <w:rPr>
          <w:b/>
          <w:bCs/>
          <w:color w:val="595959"/>
          <w:sz w:val="26"/>
          <w:szCs w:val="26"/>
        </w:rPr>
      </w:pPr>
    </w:p>
    <w:p w:rsidR="00DA4D0C" w:rsidRDefault="00DA4D0C">
      <w:pPr>
        <w:spacing w:before="1800"/>
        <w:jc w:val="center"/>
        <w:rPr>
          <w:b/>
          <w:bCs/>
          <w:color w:val="595959"/>
          <w:sz w:val="26"/>
          <w:szCs w:val="26"/>
        </w:rPr>
      </w:pPr>
    </w:p>
    <w:p w:rsidR="00DA4D0C" w:rsidRDefault="00DA4D0C">
      <w:pPr>
        <w:spacing w:before="1800"/>
        <w:jc w:val="center"/>
        <w:rPr>
          <w:b/>
          <w:bCs/>
          <w:color w:val="595959"/>
          <w:sz w:val="26"/>
          <w:szCs w:val="26"/>
        </w:rPr>
      </w:pPr>
    </w:p>
    <w:p w:rsidR="00056D13" w:rsidRDefault="00413F54">
      <w:pPr>
        <w:spacing w:before="1800"/>
        <w:jc w:val="center"/>
      </w:pPr>
      <w:r>
        <w:rPr>
          <w:b/>
          <w:bCs/>
          <w:color w:val="595959"/>
          <w:sz w:val="26"/>
          <w:szCs w:val="26"/>
        </w:rPr>
        <w:t>STRATEGIC MANAGEMENT REPORT</w:t>
      </w:r>
    </w:p>
    <w:p w:rsidR="00056D13" w:rsidRDefault="00413F54">
      <w:pPr>
        <w:spacing w:before="300" w:after="120" w:line="380" w:lineRule="auto"/>
        <w:jc w:val="center"/>
      </w:pPr>
      <w:r>
        <w:rPr>
          <w:b/>
          <w:bCs/>
          <w:color w:val="232F3E"/>
          <w:sz w:val="36"/>
          <w:szCs w:val="36"/>
        </w:rPr>
        <w:t>Amazon.co.uk: Evaluating the Strategic Position and</w:t>
      </w:r>
    </w:p>
    <w:p w:rsidR="00056D13" w:rsidRDefault="00413F54">
      <w:pPr>
        <w:spacing w:line="380" w:lineRule="auto"/>
        <w:jc w:val="center"/>
      </w:pPr>
      <w:r>
        <w:rPr>
          <w:b/>
          <w:bCs/>
          <w:color w:val="232F3E"/>
          <w:sz w:val="36"/>
          <w:szCs w:val="36"/>
        </w:rPr>
        <w:t>Competitive Advantage of A</w:t>
      </w:r>
      <w:bookmarkStart w:id="0" w:name="_GoBack"/>
      <w:bookmarkEnd w:id="0"/>
      <w:r>
        <w:rPr>
          <w:b/>
          <w:bCs/>
          <w:color w:val="232F3E"/>
          <w:sz w:val="36"/>
          <w:szCs w:val="36"/>
        </w:rPr>
        <w:t>mazon's UK Online Retail Business</w:t>
      </w:r>
    </w:p>
    <w:p w:rsidR="00056D13" w:rsidRDefault="00056D13">
      <w:pPr>
        <w:sectPr w:rsidR="00056D13">
          <w:pgSz w:w="11906" w:h="16838"/>
          <w:pgMar w:top="1134" w:right="1134" w:bottom="1134" w:left="1134" w:header="708" w:footer="708" w:gutter="0"/>
          <w:cols w:space="720"/>
          <w:docGrid w:linePitch="360"/>
        </w:sectPr>
      </w:pPr>
    </w:p>
    <w:p w:rsidR="00056D13" w:rsidRDefault="00413F54">
      <w:pPr>
        <w:pStyle w:val="Heading1"/>
        <w:spacing w:before="360" w:after="180"/>
      </w:pPr>
      <w:r>
        <w:rPr>
          <w:b/>
          <w:bCs/>
          <w:color w:val="232F3E"/>
          <w:sz w:val="30"/>
          <w:szCs w:val="30"/>
        </w:rPr>
        <w:lastRenderedPageBreak/>
        <w:t>1. Organisational Context and Overview</w:t>
      </w:r>
    </w:p>
    <w:p w:rsidR="00056D13" w:rsidRDefault="00413F54">
      <w:pPr>
        <w:spacing w:after="160" w:line="276" w:lineRule="auto"/>
        <w:jc w:val="both"/>
      </w:pPr>
      <w:r>
        <w:t>Amazon.com Inc. was founded by Jeff Bezos in 1994 as an online bookseller trading out of a Seattle garage. Three decades on, it has grown into one of the world's largest companies, spanning online and physical retail, third-party marketplace services, cloud computing (AWS), digital advertising, streaming and consumer devices. Because Amazon is now a genuinely diversified, multi-market conglomerate, a meaningful strategic evaluation cannot treat “Amazon” as a single homogenous business. This report therefore narrows its focus to Amazon's United Kingdom online retail operation – Amazon.co.uk – rather than the group as a whole, and it deliberately excludes AWS, Prime Video/Studios and non-UK markets.</w:t>
      </w:r>
    </w:p>
    <w:p w:rsidR="00056D13" w:rsidRDefault="00413F54">
      <w:pPr>
        <w:spacing w:after="160" w:line="276" w:lineRule="auto"/>
        <w:jc w:val="both"/>
      </w:pPr>
      <w:r>
        <w:t xml:space="preserve">This scope is justified on three grounds. First, the UK is Amazon's third-largest national market after the United States and Germany, with a distinct regulatory, competitive and labour-relations environment shaped by </w:t>
      </w:r>
      <w:proofErr w:type="spellStart"/>
      <w:r>
        <w:t>Brexit</w:t>
      </w:r>
      <w:proofErr w:type="spellEnd"/>
      <w:r>
        <w:t xml:space="preserve">, UK-specific consumer law and an active domestic trade union movement – factors that simply do not apply in the same way elsewhere. Second, Amazon has operated continuously in the UK for over 25 years (Amazon.co.uk launched in 1998, building on the acquisition of the UK bookseller </w:t>
      </w:r>
      <w:proofErr w:type="spellStart"/>
      <w:r>
        <w:t>Bookpages</w:t>
      </w:r>
      <w:proofErr w:type="spellEnd"/>
      <w:r>
        <w:t xml:space="preserve">), comfortably satisfying the five-year minimum operating history required for this assignment and allowing access to a rich body of company filings, parliamentary evidence and market data. Third, the UK retail business is where Amazon's core competitive tensions – with eBay, Tesco, </w:t>
      </w:r>
      <w:proofErr w:type="spellStart"/>
      <w:r>
        <w:t>Temu</w:t>
      </w:r>
      <w:proofErr w:type="spellEnd"/>
      <w:r>
        <w:t xml:space="preserve">, </w:t>
      </w:r>
      <w:proofErr w:type="spellStart"/>
      <w:r>
        <w:t>Shein</w:t>
      </w:r>
      <w:proofErr w:type="spellEnd"/>
      <w:r>
        <w:t xml:space="preserve"> and traditional high-street retailers – play out most visibly, making it a rich unit of analysis for business-level strategy.</w:t>
      </w:r>
    </w:p>
    <w:p w:rsidR="00056D13" w:rsidRDefault="00413F54">
      <w:pPr>
        <w:pStyle w:val="Heading2"/>
        <w:spacing w:before="260" w:after="140"/>
      </w:pPr>
      <w:r>
        <w:rPr>
          <w:b/>
          <w:bCs/>
          <w:color w:val="146EB4"/>
          <w:sz w:val="25"/>
          <w:szCs w:val="25"/>
        </w:rPr>
        <w:t>Mission, Vision and Business Model</w:t>
      </w:r>
    </w:p>
    <w:p w:rsidR="00056D13" w:rsidRDefault="00413F54">
      <w:pPr>
        <w:spacing w:after="160" w:line="276" w:lineRule="auto"/>
        <w:jc w:val="both"/>
      </w:pPr>
      <w:r>
        <w:t>Amazon's stated mission is to be “Earth's most customer-centric company”, and the company also positions itself as aiming to be “Earth's best employer” and the “safest place to work.” Its business model in the UK is best understood as a multi-sided platform built around what Amazon itself calls the “flywheel”: low prices and broad selection attract customers, which attracts more third-party sellers, which further widens selection and lowers the cost structure, reinforcing the cycle. Revenue in the UK retail business is generated through three complementary streams – direct (first-party) retail sales, commission and fulfilment fees from third-party sellers (who now generate the majority of physical unit sales on the platform), and a fast-growing advertising business built on Amazon's search and browsing data. The Prime subscription, bundling free/fast delivery with video and music, acts as the mechanism that locks in customer loyalty and increases purchase frequency across all three revenue streams.</w:t>
      </w:r>
    </w:p>
    <w:p w:rsidR="00056D13" w:rsidRDefault="00413F54">
      <w:pPr>
        <w:pStyle w:val="Heading2"/>
        <w:spacing w:before="260" w:after="140"/>
      </w:pPr>
      <w:r>
        <w:rPr>
          <w:b/>
          <w:bCs/>
          <w:color w:val="146EB4"/>
          <w:sz w:val="25"/>
          <w:szCs w:val="25"/>
        </w:rPr>
        <w:t>Industry Context, Competitors and Market Position</w:t>
      </w:r>
    </w:p>
    <w:p w:rsidR="00056D13" w:rsidRDefault="00413F54">
      <w:pPr>
        <w:spacing w:after="160" w:line="276" w:lineRule="auto"/>
        <w:jc w:val="both"/>
      </w:pPr>
      <w:r>
        <w:t xml:space="preserve">The UK e-commerce market was worth in the region of £310–340 billion in 2025/26 and continues to grow at a high single-digit to low double-digit annual rate, with online penetration of total retail spend around 20–25%. Within this market Amazon is the clear leader: it accounts for roughly 28% of UK online retail transactions and generated an estimated $78.7 billion in UK e-commerce net sales in 2025, more than seven times its nearest rival. Key competitors include eBay (a peer-to-peer/business marketplace with around 8% share), the fast-growing Chinese value platforms </w:t>
      </w:r>
      <w:proofErr w:type="spellStart"/>
      <w:r>
        <w:t>Temu</w:t>
      </w:r>
      <w:proofErr w:type="spellEnd"/>
      <w:r>
        <w:t xml:space="preserve"> and </w:t>
      </w:r>
      <w:proofErr w:type="spellStart"/>
      <w:r>
        <w:t>Shein</w:t>
      </w:r>
      <w:proofErr w:type="spellEnd"/>
      <w:r>
        <w:t xml:space="preserve"> (a combined 7% share and rising, and now among the most downloaded shopping apps in Britain), and a long tail of </w:t>
      </w:r>
      <w:proofErr w:type="spellStart"/>
      <w:r>
        <w:t>omnichannel</w:t>
      </w:r>
      <w:proofErr w:type="spellEnd"/>
      <w:r>
        <w:t xml:space="preserve"> incumbents such as Tesco.com, </w:t>
      </w:r>
      <w:proofErr w:type="spellStart"/>
      <w:r>
        <w:t>Ocado</w:t>
      </w:r>
      <w:proofErr w:type="spellEnd"/>
      <w:r>
        <w:t>, Sainsbury's/Argos, John Lewis, Next and ASOS, which compete on category specialism, grocery convenience or brand trust rather than sheer scale.</w:t>
      </w:r>
    </w:p>
    <w:p w:rsidR="00056D13" w:rsidRDefault="00413F54">
      <w:pPr>
        <w:spacing w:after="160" w:line="276" w:lineRule="auto"/>
        <w:jc w:val="both"/>
      </w:pPr>
      <w:r>
        <w:t xml:space="preserve">Amazon's UK market position is therefore that of a dominant generalist platform under simultaneous pressure from two directions: ultra-low-cost, digitally native Chinese entrants eroding its position at the </w:t>
      </w:r>
      <w:r>
        <w:lastRenderedPageBreak/>
        <w:t>value end, and specialist or trusted incumbents (particularly in grocery and premium fashion</w:t>
      </w:r>
      <w:proofErr w:type="gramStart"/>
      <w:r>
        <w:t>) defending</w:t>
      </w:r>
      <w:proofErr w:type="gramEnd"/>
      <w:r>
        <w:t xml:space="preserve"> category-specific niches. This dual competitive pressure, combined with mounting UK regulatory attention on Amazon's marketplace power, forms the backdrop against which the rest of this report evaluates Amazon's strategic position.</w:t>
      </w:r>
    </w:p>
    <w:p w:rsidR="005404EB" w:rsidRDefault="005404EB">
      <w:pPr>
        <w:spacing w:after="160" w:line="276" w:lineRule="auto"/>
        <w:jc w:val="both"/>
      </w:pPr>
    </w:p>
    <w:p w:rsidR="005404EB" w:rsidRDefault="005404EB">
      <w:pPr>
        <w:spacing w:after="160" w:line="276" w:lineRule="auto"/>
        <w:jc w:val="both"/>
      </w:pPr>
    </w:p>
    <w:p w:rsidR="005404EB" w:rsidRDefault="005404EB" w:rsidP="005404EB">
      <w:pPr>
        <w:spacing w:after="160" w:line="276" w:lineRule="auto"/>
        <w:jc w:val="center"/>
      </w:pPr>
      <w:r>
        <w:rPr>
          <w:noProof/>
        </w:rPr>
        <w:drawing>
          <wp:inline distT="0" distB="0" distL="0" distR="0" wp14:anchorId="28A7D362" wp14:editId="49652E7E">
            <wp:extent cx="3810000" cy="2762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810000" cy="2762250"/>
                    </a:xfrm>
                    <a:prstGeom prst="rect">
                      <a:avLst/>
                    </a:prstGeom>
                  </pic:spPr>
                </pic:pic>
              </a:graphicData>
            </a:graphic>
          </wp:inline>
        </w:drawing>
      </w:r>
    </w:p>
    <w:p w:rsidR="00056D13" w:rsidRDefault="00056D13">
      <w:pPr>
        <w:pageBreakBefore/>
        <w:spacing w:before="200"/>
        <w:jc w:val="center"/>
      </w:pPr>
    </w:p>
    <w:p w:rsidR="00056D13" w:rsidRDefault="00413F54">
      <w:pPr>
        <w:pStyle w:val="Heading1"/>
        <w:spacing w:before="360" w:after="180"/>
      </w:pPr>
      <w:r>
        <w:rPr>
          <w:b/>
          <w:bCs/>
          <w:color w:val="232F3E"/>
          <w:sz w:val="30"/>
          <w:szCs w:val="30"/>
        </w:rPr>
        <w:t>2. External and Internal Analysis</w:t>
      </w:r>
    </w:p>
    <w:p w:rsidR="00056D13" w:rsidRDefault="00413F54">
      <w:pPr>
        <w:pStyle w:val="Heading2"/>
        <w:spacing w:before="260" w:after="140"/>
      </w:pPr>
      <w:r>
        <w:rPr>
          <w:b/>
          <w:bCs/>
          <w:color w:val="146EB4"/>
          <w:sz w:val="25"/>
          <w:szCs w:val="25"/>
        </w:rPr>
        <w:t>2.1 External Analysis: PESTEL</w:t>
      </w:r>
    </w:p>
    <w:p w:rsidR="00056D13" w:rsidRDefault="00413F54">
      <w:pPr>
        <w:spacing w:after="160" w:line="276" w:lineRule="auto"/>
        <w:jc w:val="both"/>
      </w:pPr>
      <w:r>
        <w:t>A PESTEL analysis is used to identify macro-environmental forces shaping Amazon's UK retail strategy. The most strategically significant factors are summarised below, followed by a short discussion of those judged most decision-relevant for the Board.</w:t>
      </w:r>
    </w:p>
    <w:p w:rsidR="00056D13" w:rsidRDefault="00413F54">
      <w:pPr>
        <w:pStyle w:val="Heading3"/>
        <w:spacing w:before="200" w:after="100"/>
      </w:pPr>
      <w:r>
        <w:rPr>
          <w:b/>
          <w:bCs/>
          <w:i/>
          <w:iCs/>
          <w:color w:val="232F3E"/>
          <w:sz w:val="22"/>
          <w:szCs w:val="22"/>
        </w:rPr>
        <w:t>Political and Legal Environment</w:t>
      </w:r>
    </w:p>
    <w:p w:rsidR="00056D13" w:rsidRDefault="00413F54">
      <w:pPr>
        <w:spacing w:after="160" w:line="276" w:lineRule="auto"/>
        <w:jc w:val="both"/>
      </w:pPr>
      <w:r>
        <w:t>The political and legal environment currently poses the most direct threat to Amazon's UK operating model. In November 2023 the Competition and Markets Authority (CMA) accepted binding commitments from Amazon following a Competition Act 1998 investigation into how it selects the 'Buy Box' offer and uses third-party seller data – a case that established the principle that Amazon's marketplace ranking and data practices are subject to active UK regulatory oversight. The new Digital Markets, Competition and Consumers Act 2024 gives the CMA a further, more powerful tool: the ability to designate very large digital firms with 'Strategic Market Status' and impose binding conduct requirements without first proving a breach of competition law, a regime the CMA has already begun applying to Amazon Web Services in the cloud market and could in principle extend to the retail marketplace. In parallel, the Groceries Code Adjudicator opened a targeted investigation in June 2025 into whether Amazon breached rules on timely and fair payment to suppliers between 2022 and 2025, adding further reputational and compliance pressure. Beyond these Amazon-specific inquiries, ordinary UK GDPR and Data Protection Act obligations, together with product-safety liability for goods sold by third parties on the marketplace, continue to raise the general cost and legal risk of operating an open platform. Taken together, this is a fast-tightening regulatory environment that the Board cannot treat as background noise.</w:t>
      </w:r>
    </w:p>
    <w:p w:rsidR="00056D13" w:rsidRDefault="00413F54">
      <w:pPr>
        <w:pStyle w:val="Heading3"/>
        <w:spacing w:before="200" w:after="100"/>
      </w:pPr>
      <w:r>
        <w:rPr>
          <w:b/>
          <w:bCs/>
          <w:i/>
          <w:iCs/>
          <w:color w:val="232F3E"/>
          <w:sz w:val="22"/>
          <w:szCs w:val="22"/>
        </w:rPr>
        <w:t>Economic Environment</w:t>
      </w:r>
    </w:p>
    <w:p w:rsidR="00056D13" w:rsidRDefault="00413F54">
      <w:pPr>
        <w:spacing w:after="160" w:line="276" w:lineRule="auto"/>
        <w:jc w:val="both"/>
      </w:pPr>
      <w:r>
        <w:t>The economic picture is more balanced. UK cost-of-living pressures are squeezing discretionary household spending, which is a threat to average order values across most categories, but the same pressure is also pushing shoppers toward price comparison and value-seeking behaviour, which plays to Amazon's cost base and its new low-price Haul storefront. Set against this, Amazon's own capital commitment – £40 billion of UK investment earmarked for 2025–2027 – together with a growing UK tax contribution of more than £1.3 billion in direct taxes in 2025, signals that the company itself reads the medium-term UK economic outlook as positive enough to justify sustained infrastructure spending, even while near-term consumer demand is soft.</w:t>
      </w:r>
    </w:p>
    <w:p w:rsidR="00056D13" w:rsidRDefault="00413F54">
      <w:pPr>
        <w:pStyle w:val="Heading3"/>
        <w:spacing w:before="200" w:after="100"/>
      </w:pPr>
      <w:r>
        <w:rPr>
          <w:b/>
          <w:bCs/>
          <w:i/>
          <w:iCs/>
          <w:color w:val="232F3E"/>
          <w:sz w:val="22"/>
          <w:szCs w:val="22"/>
        </w:rPr>
        <w:t>Social Environment</w:t>
      </w:r>
    </w:p>
    <w:p w:rsidR="00056D13" w:rsidRDefault="00413F54">
      <w:pPr>
        <w:spacing w:after="160" w:line="276" w:lineRule="auto"/>
        <w:jc w:val="both"/>
      </w:pPr>
      <w:r>
        <w:t>Socially, two trends pull in opposite directions. On the positive side, mobile commerce now accounts for 62% of UK online transactions and Amazon has 32 million monthly active app users in Britain, evidence of very deep consumer habituation that few competitors can match. On the negative side, growing public and media scrutiny of warehouse working conditions, and of Amazon's anti-union stance in particular – most visibly the narrowly-lost 2024 GMB recognition ballot at Coventry – is steadily eroding the company's employer brand. This social weakness is not merely a public-relations issue: it feeds directly into the political risk discussed above, since it strengthens the case for tighter labour-rights legislation.</w:t>
      </w:r>
    </w:p>
    <w:p w:rsidR="00056D13" w:rsidRDefault="00413F54">
      <w:pPr>
        <w:pStyle w:val="Heading3"/>
        <w:spacing w:before="200" w:after="100"/>
      </w:pPr>
      <w:r>
        <w:rPr>
          <w:b/>
          <w:bCs/>
          <w:i/>
          <w:iCs/>
          <w:color w:val="232F3E"/>
          <w:sz w:val="22"/>
          <w:szCs w:val="22"/>
        </w:rPr>
        <w:t>Technological Environment</w:t>
      </w:r>
    </w:p>
    <w:p w:rsidR="00056D13" w:rsidRDefault="00413F54">
      <w:pPr>
        <w:spacing w:after="160" w:line="276" w:lineRule="auto"/>
        <w:jc w:val="both"/>
      </w:pPr>
      <w:r>
        <w:lastRenderedPageBreak/>
        <w:t xml:space="preserve">Technologically, Amazon is well placed to benefit from generative-AI shopping tools such as its “Rufus” assistant and from a growing fleet of over 750,000 robots deployed across its fulfilment network, both of which lower cost-to-serve and improve personalisation. However, the same wave of technological change is also lowering barriers to entry for challengers: social and live commerce, particularly </w:t>
      </w:r>
      <w:proofErr w:type="spellStart"/>
      <w:r>
        <w:t>TikTok</w:t>
      </w:r>
      <w:proofErr w:type="spellEnd"/>
      <w:r>
        <w:t xml:space="preserve"> Shop, and direct-to-consumer brand websites are giving UK </w:t>
      </w:r>
      <w:proofErr w:type="gramStart"/>
      <w:r>
        <w:t>shoppers</w:t>
      </w:r>
      <w:proofErr w:type="gramEnd"/>
      <w:r>
        <w:t xml:space="preserve"> new ways to discover products entirely outside Amazon's ecosystem. The net effect is an opportunity that Amazon is well resourced to capture, but not one it can take for granted.</w:t>
      </w:r>
    </w:p>
    <w:p w:rsidR="00056D13" w:rsidRDefault="00413F54">
      <w:pPr>
        <w:pStyle w:val="Heading3"/>
        <w:spacing w:before="200" w:after="100"/>
      </w:pPr>
      <w:r>
        <w:rPr>
          <w:b/>
          <w:bCs/>
          <w:i/>
          <w:iCs/>
          <w:color w:val="232F3E"/>
          <w:sz w:val="22"/>
          <w:szCs w:val="22"/>
        </w:rPr>
        <w:t>Environmental Factors</w:t>
      </w:r>
    </w:p>
    <w:p w:rsidR="00056D13" w:rsidRDefault="00413F54">
      <w:pPr>
        <w:spacing w:after="160" w:line="276" w:lineRule="auto"/>
        <w:jc w:val="both"/>
      </w:pPr>
      <w:r>
        <w:t>Amazon's environmental position is anchored by The Climate Pledge, a commitment to reach net-zero carbon emissions by 2040, supported by 100% renewable-matched electricity across its UK and group operations since 2023 and an expanding electric delivery fleet – a genuine opportunity to cut long-run operating costs while strengthening the brand. Against this, the very characteristics that make Amazon convenient – fast delivery, extensive packaging and a high volume of product returns – continue to attract environmental criticism, meaning the sustainability story is only partly under Amazon's control.</w:t>
      </w:r>
    </w:p>
    <w:p w:rsidR="00056D13" w:rsidRDefault="00413F54">
      <w:pPr>
        <w:spacing w:after="160" w:line="276" w:lineRule="auto"/>
        <w:jc w:val="both"/>
      </w:pPr>
      <w:r>
        <w:t xml:space="preserve">Of these six factors, three stand out as most material to the Board's strategic choices. First, the tightening UK regulatory environment – the CMA's 2023 marketplace commitments, the wider Strategic Market Status regime introduced in 2024, and the GSCOP supplier-payment investigation – represents a structural threat to the discretion Amazon has historically enjoyed over marketplace fees, ranking algorithms and seller relationships. Second, the rise of </w:t>
      </w:r>
      <w:proofErr w:type="spellStart"/>
      <w:r>
        <w:t>Temu</w:t>
      </w:r>
      <w:proofErr w:type="spellEnd"/>
      <w:r>
        <w:t xml:space="preserve">, </w:t>
      </w:r>
      <w:proofErr w:type="spellStart"/>
      <w:r>
        <w:t>Shein</w:t>
      </w:r>
      <w:proofErr w:type="spellEnd"/>
      <w:r>
        <w:t xml:space="preserve"> and social commerce is an economic and technological threat that directly targets Amazon's price-sensitive customer base, particularly given cost-of-living pressures. Third, AI and robotics represent the clearest technological opportunity, offering a route to defend margin and service levels simultaneously, but only if labour-relations risk (see Social, above) is managed proactively rather than </w:t>
      </w:r>
      <w:proofErr w:type="spellStart"/>
      <w:r>
        <w:t>adversarially</w:t>
      </w:r>
      <w:proofErr w:type="spellEnd"/>
      <w:r>
        <w:t>.</w:t>
      </w:r>
    </w:p>
    <w:p w:rsidR="00056D13" w:rsidRDefault="00413F54">
      <w:pPr>
        <w:pStyle w:val="Heading2"/>
        <w:spacing w:before="260" w:after="140"/>
      </w:pPr>
      <w:r>
        <w:rPr>
          <w:b/>
          <w:bCs/>
          <w:color w:val="146EB4"/>
          <w:sz w:val="25"/>
          <w:szCs w:val="25"/>
        </w:rPr>
        <w:t>2.2 Internal Analysis: VRIO</w:t>
      </w:r>
    </w:p>
    <w:p w:rsidR="00056D13" w:rsidRDefault="00413F54">
      <w:pPr>
        <w:spacing w:after="160" w:line="276" w:lineRule="auto"/>
        <w:jc w:val="both"/>
      </w:pPr>
      <w:r>
        <w:t>The VRIO framework (Barney, 1991) is applied below to Amazon UK's principal resources and capabilities, asking of each one whether it is Valuable, Rare, Costly to imitate, and whether the organisation is set up to exploit it – in order to establish which resources are genuine sources of sustained competitive advantage rather than merely necessary for competing at all.</w:t>
      </w:r>
    </w:p>
    <w:p w:rsidR="00056D13" w:rsidRDefault="00413F54">
      <w:pPr>
        <w:spacing w:after="160" w:line="276" w:lineRule="auto"/>
        <w:jc w:val="both"/>
      </w:pPr>
      <w:proofErr w:type="gramStart"/>
      <w:r>
        <w:rPr>
          <w:b/>
          <w:bCs/>
        </w:rPr>
        <w:t>UK fulfilment and last-mile logistics network.</w:t>
      </w:r>
      <w:proofErr w:type="gramEnd"/>
      <w:r>
        <w:rPr>
          <w:b/>
          <w:bCs/>
        </w:rPr>
        <w:t xml:space="preserve"> </w:t>
      </w:r>
      <w:r>
        <w:t xml:space="preserve">Amazon's UK network of more than 100 operations sites, increasingly automated with robotics, is clearly valuable, since it underpins the delivery speed on which the whole customer proposition rests. It is also rare: no UK competitor, including Tesco or </w:t>
      </w:r>
      <w:proofErr w:type="spellStart"/>
      <w:r>
        <w:t>Ocado</w:t>
      </w:r>
      <w:proofErr w:type="spellEnd"/>
      <w:r>
        <w:t xml:space="preserve"> in grocery, operates a comparably dense, general-merchandise fulfilment network. It is costly to imitate, requiring many years and billions of pounds of capital investment to replicate, and Amazon is demonstrably organised to exploit it, having built logistics planning and robotics teams specifically around this asset. This combination makes the fulfilment network a sustained source of competitive advantage.</w:t>
      </w:r>
    </w:p>
    <w:p w:rsidR="00056D13" w:rsidRDefault="00413F54">
      <w:pPr>
        <w:spacing w:after="160" w:line="276" w:lineRule="auto"/>
        <w:jc w:val="both"/>
      </w:pPr>
      <w:proofErr w:type="gramStart"/>
      <w:r>
        <w:rPr>
          <w:b/>
          <w:bCs/>
        </w:rPr>
        <w:t>The Prime ecosystem.</w:t>
      </w:r>
      <w:proofErr w:type="gramEnd"/>
      <w:r>
        <w:rPr>
          <w:b/>
          <w:bCs/>
        </w:rPr>
        <w:t xml:space="preserve"> </w:t>
      </w:r>
      <w:r>
        <w:t>Bundling free or fast delivery with video and music, the Prime subscription is valuable because it raises purchase frequency and locks in switching costs. It is rare, since no UK generalist retailer offers a comparably broad bundle, and it is costly to imitate, because replicating it would require investment not just in logistics but in unrelated content businesses. Amazon is well organised around Prime, treating membership growth as a headline strategic metric. Like the logistics network, this represents a sustained competitive advantage.</w:t>
      </w:r>
    </w:p>
    <w:p w:rsidR="00056D13" w:rsidRDefault="00413F54">
      <w:pPr>
        <w:spacing w:after="160" w:line="276" w:lineRule="auto"/>
        <w:jc w:val="both"/>
      </w:pPr>
      <w:proofErr w:type="gramStart"/>
      <w:r>
        <w:rPr>
          <w:b/>
          <w:bCs/>
        </w:rPr>
        <w:t>Brand trust and customer traffic.</w:t>
      </w:r>
      <w:proofErr w:type="gramEnd"/>
      <w:r>
        <w:rPr>
          <w:b/>
          <w:bCs/>
        </w:rPr>
        <w:t xml:space="preserve"> </w:t>
      </w:r>
      <w:r>
        <w:t xml:space="preserve">With 32 million monthly active app users in the UK, Amazon's brand recognition and traffic are valuable and rare relative to most rivals. However, they are only partially costly </w:t>
      </w:r>
      <w:r>
        <w:lastRenderedPageBreak/>
        <w:t xml:space="preserve">to imitate, since a determined competitor with enough marketing spend and reliability could, in principle, build comparable trust over time (as </w:t>
      </w:r>
      <w:proofErr w:type="spellStart"/>
      <w:r>
        <w:t>Temu</w:t>
      </w:r>
      <w:proofErr w:type="spellEnd"/>
      <w:r>
        <w:t xml:space="preserve"> and </w:t>
      </w:r>
      <w:proofErr w:type="spellStart"/>
      <w:r>
        <w:t>Shein</w:t>
      </w:r>
      <w:proofErr w:type="spellEnd"/>
      <w:r>
        <w:t xml:space="preserve"> are now attempting through aggressive advertising). This makes brand and traffic a sustained-to-temporary advantage rather than an unassailable one.</w:t>
      </w:r>
    </w:p>
    <w:p w:rsidR="00056D13" w:rsidRDefault="00413F54">
      <w:pPr>
        <w:spacing w:after="160" w:line="276" w:lineRule="auto"/>
        <w:jc w:val="both"/>
      </w:pPr>
      <w:proofErr w:type="gramStart"/>
      <w:r>
        <w:rPr>
          <w:b/>
          <w:bCs/>
        </w:rPr>
        <w:t>AI personalisation and advertising data.</w:t>
      </w:r>
      <w:proofErr w:type="gramEnd"/>
      <w:r>
        <w:rPr>
          <w:b/>
          <w:bCs/>
        </w:rPr>
        <w:t xml:space="preserve"> </w:t>
      </w:r>
      <w:r>
        <w:t>Amazon's data-driven personalisation, including the Rufus assistant and its sponsored-listings advertising business, is valuable and only partially rare today. Critically, it is not costly to imitate in the medium term, since competitors are investing heavily in comparable generative-AI shopping tools. Although Amazon is well organised to exploit this capability now, VRIO logic suggests it will only be a temporary competitive advantage unless continuously renewed.</w:t>
      </w:r>
    </w:p>
    <w:p w:rsidR="00056D13" w:rsidRDefault="00413F54">
      <w:pPr>
        <w:spacing w:after="160" w:line="276" w:lineRule="auto"/>
        <w:jc w:val="both"/>
      </w:pPr>
      <w:proofErr w:type="gramStart"/>
      <w:r>
        <w:rPr>
          <w:b/>
          <w:bCs/>
        </w:rPr>
        <w:t>Low-cost operating model and scale economies.</w:t>
      </w:r>
      <w:proofErr w:type="gramEnd"/>
      <w:r>
        <w:rPr>
          <w:b/>
          <w:bCs/>
        </w:rPr>
        <w:t xml:space="preserve"> </w:t>
      </w:r>
      <w:r>
        <w:t xml:space="preserve">Amazon's scale-driven low-cost base is valuable and only partially rare, since </w:t>
      </w:r>
      <w:proofErr w:type="spellStart"/>
      <w:r>
        <w:t>Temu</w:t>
      </w:r>
      <w:proofErr w:type="spellEnd"/>
      <w:r>
        <w:t xml:space="preserve"> and </w:t>
      </w:r>
      <w:proofErr w:type="spellStart"/>
      <w:r>
        <w:t>Shein</w:t>
      </w:r>
      <w:proofErr w:type="spellEnd"/>
      <w:r>
        <w:t xml:space="preserve"> have built an even lower-cost, digitally native direct-shipping model that bypasses much of Amazon's traditional cost structure. It is therefore only partially costly to imitate at the value end of the market. Although Amazon remains well organised around cost efficiency, this resource has moved from a clear advantage toward competitive parity, and is actively eroding at the price-sensitive end of the market – one of the clearest warning signs to emerge from this analysis.</w:t>
      </w:r>
    </w:p>
    <w:p w:rsidR="00056D13" w:rsidRDefault="00413F54">
      <w:pPr>
        <w:spacing w:after="160" w:line="276" w:lineRule="auto"/>
        <w:jc w:val="both"/>
      </w:pPr>
      <w:r>
        <w:rPr>
          <w:b/>
          <w:bCs/>
        </w:rPr>
        <w:t xml:space="preserve">Employee relations and employer brand. </w:t>
      </w:r>
      <w:r>
        <w:t>A motivated, low-turnover UK workforce would be genuinely valuable, since it would reduce recruitment costs, absence and reputational risk. However, it is not currently rare or difficult for competitors to achieve, and – most importantly – Amazon is not well organised to capture this value, given its historically adversarial approach to union recognition, illustrated by the contested 2024 Coventry GMB ballot. On the VRIO framework, employee relations is therefore not a source of advantage at all; it is, if anything, a competitive disadvantage, and one that the Board should treat as a strategic priority rather than an HR footnote.</w:t>
      </w:r>
    </w:p>
    <w:p w:rsidR="00056D13" w:rsidRDefault="00413F54">
      <w:pPr>
        <w:spacing w:after="160" w:line="276" w:lineRule="auto"/>
        <w:jc w:val="both"/>
      </w:pPr>
      <w:r>
        <w:t>Overall, the VRIO analysis indicates that Amazon UK's logistics infrastructure and Prime ecosystem remain genuinely rare and costly to imitate, and are well organised to capture value, making them sustained sources of advantage. Its AI and data capability is valuable but currently only a temporary advantage, since rivals are investing heavily in comparable personalisation technology, while its historic low-cost advantage is being eroded from below by even leaner Chinese entrants. Most notably, the VRIO lens exposes employee relations as a resource that is potentially valuable but is not currently organised in Amazon's favour – the clearest internal weakness identified in this report.</w:t>
      </w:r>
    </w:p>
    <w:p w:rsidR="00056D13" w:rsidRDefault="00413F54">
      <w:pPr>
        <w:pStyle w:val="Heading2"/>
        <w:spacing w:before="260" w:after="140"/>
      </w:pPr>
      <w:r>
        <w:rPr>
          <w:b/>
          <w:bCs/>
          <w:color w:val="146EB4"/>
          <w:sz w:val="25"/>
          <w:szCs w:val="25"/>
        </w:rPr>
        <w:t>2.3 SWOT Analysis</w:t>
      </w:r>
    </w:p>
    <w:p w:rsidR="00056D13" w:rsidRDefault="00413F54">
      <w:pPr>
        <w:spacing w:after="160" w:line="276" w:lineRule="auto"/>
        <w:jc w:val="both"/>
      </w:pPr>
      <w:r>
        <w:t>Synthesising the external and internal analyses above into a single view, four themes recur strongly enough to be classed as core strengths: the fulfilment and logistics network, the breadth of the Prime ecosystem, the scale of Amazon's committed UK capital, and its dominant traffic and brand recognition. Equally, the PESTEL and VRIO sections point to a consistent set of weaknesses, the most important of which is the state of employee relations, compounded by rising labour costs and continuing questions over tax fairness and marketplace product safety. On the external side, the clearest opportunities lie in further UK online-penetration headroom and in AI and automation, while the most pressing threats are the low-cost Chinese entrants and the tightening UK regulatory regime. The SWOT matrix below consolidates these findings into a single reference point for the Board.</w:t>
      </w:r>
    </w:p>
    <w:p w:rsidR="005404EB" w:rsidRDefault="005404EB">
      <w:pPr>
        <w:spacing w:after="160" w:line="276" w:lineRule="auto"/>
        <w:jc w:val="both"/>
      </w:pPr>
    </w:p>
    <w:p w:rsidR="005404EB" w:rsidRDefault="005404EB">
      <w:pPr>
        <w:spacing w:after="160" w:line="276" w:lineRule="auto"/>
        <w:jc w:val="both"/>
      </w:pPr>
    </w:p>
    <w:p w:rsidR="005404EB" w:rsidRDefault="005404EB">
      <w:pPr>
        <w:spacing w:after="160" w:line="276" w:lineRule="auto"/>
        <w:jc w:val="both"/>
      </w:pPr>
    </w:p>
    <w:tbl>
      <w:tblPr>
        <w:tblW w:w="9400" w:type="dxa"/>
        <w:tblInd w:w="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00"/>
        <w:gridCol w:w="4700"/>
      </w:tblGrid>
      <w:tr w:rsidR="00056D13">
        <w:trPr>
          <w:cantSplit/>
          <w:tblHeader/>
        </w:trPr>
        <w:tc>
          <w:tcPr>
            <w:tcW w:w="47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lastRenderedPageBreak/>
              <w:t>Strengths</w:t>
            </w:r>
          </w:p>
        </w:tc>
        <w:tc>
          <w:tcPr>
            <w:tcW w:w="47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Weaknesses</w:t>
            </w:r>
          </w:p>
        </w:tc>
      </w:tr>
      <w:tr w:rsidR="00056D13">
        <w:trPr>
          <w:cantSplit/>
        </w:trPr>
        <w:tc>
          <w:tcPr>
            <w:tcW w:w="4700" w:type="dxa"/>
            <w:tcMar>
              <w:top w:w="80" w:type="dxa"/>
              <w:left w:w="100" w:type="dxa"/>
              <w:bottom w:w="80" w:type="dxa"/>
              <w:right w:w="100" w:type="dxa"/>
            </w:tcMar>
            <w:vAlign w:val="center"/>
          </w:tcPr>
          <w:p w:rsidR="00056D13" w:rsidRDefault="00413F54">
            <w:pPr>
              <w:spacing w:after="60"/>
            </w:pPr>
            <w:r>
              <w:rPr>
                <w:color w:val="000000"/>
                <w:sz w:val="19"/>
                <w:szCs w:val="19"/>
              </w:rPr>
              <w:t>• UK-wide fulfilment and last-mile network with heavy robotics investment</w:t>
            </w:r>
          </w:p>
          <w:p w:rsidR="00056D13" w:rsidRDefault="00413F54">
            <w:pPr>
              <w:spacing w:after="60"/>
            </w:pPr>
            <w:r>
              <w:rPr>
                <w:color w:val="000000"/>
                <w:sz w:val="19"/>
                <w:szCs w:val="19"/>
              </w:rPr>
              <w:t>• Prime ecosystem breadth (delivery, video, music) drives loyalty and purchase frequency</w:t>
            </w:r>
          </w:p>
          <w:p w:rsidR="00056D13" w:rsidRDefault="00413F54">
            <w:pPr>
              <w:spacing w:after="60"/>
            </w:pPr>
            <w:r>
              <w:rPr>
                <w:color w:val="000000"/>
                <w:sz w:val="19"/>
                <w:szCs w:val="19"/>
              </w:rPr>
              <w:t>• Financial firepower: £40bn UK investment plan for 2025–2027</w:t>
            </w:r>
          </w:p>
          <w:p w:rsidR="00056D13" w:rsidRDefault="00413F54">
            <w:pPr>
              <w:spacing w:after="60"/>
            </w:pPr>
            <w:r>
              <w:rPr>
                <w:color w:val="000000"/>
                <w:sz w:val="19"/>
                <w:szCs w:val="19"/>
              </w:rPr>
              <w:t>• Dominant traffic and brand recognition (28% of UK online retail transactions)</w:t>
            </w:r>
          </w:p>
          <w:p w:rsidR="00056D13" w:rsidRDefault="00413F54">
            <w:pPr>
              <w:spacing w:after="60"/>
            </w:pPr>
            <w:r>
              <w:rPr>
                <w:color w:val="000000"/>
                <w:sz w:val="19"/>
                <w:szCs w:val="19"/>
              </w:rPr>
              <w:t>• Diversified, high-margin advertising revenue stream ($56bn+ group-wide)</w:t>
            </w:r>
          </w:p>
        </w:tc>
        <w:tc>
          <w:tcPr>
            <w:tcW w:w="4700" w:type="dxa"/>
            <w:tcMar>
              <w:top w:w="80" w:type="dxa"/>
              <w:left w:w="100" w:type="dxa"/>
              <w:bottom w:w="80" w:type="dxa"/>
              <w:right w:w="100" w:type="dxa"/>
            </w:tcMar>
            <w:vAlign w:val="center"/>
          </w:tcPr>
          <w:p w:rsidR="00056D13" w:rsidRDefault="00413F54">
            <w:pPr>
              <w:spacing w:after="60"/>
            </w:pPr>
            <w:r>
              <w:rPr>
                <w:color w:val="000000"/>
                <w:sz w:val="19"/>
                <w:szCs w:val="19"/>
              </w:rPr>
              <w:t>• Strained employee relations and reputational exposure (Coventry union dispute)</w:t>
            </w:r>
          </w:p>
          <w:p w:rsidR="00056D13" w:rsidRDefault="00413F54">
            <w:pPr>
              <w:spacing w:after="60"/>
            </w:pPr>
            <w:r>
              <w:rPr>
                <w:color w:val="000000"/>
                <w:sz w:val="19"/>
                <w:szCs w:val="19"/>
              </w:rPr>
              <w:t>• Rising labour costs from wage inflation and minimum-wage increases</w:t>
            </w:r>
          </w:p>
          <w:p w:rsidR="00056D13" w:rsidRDefault="00413F54">
            <w:pPr>
              <w:spacing w:after="60"/>
            </w:pPr>
            <w:r>
              <w:rPr>
                <w:color w:val="000000"/>
                <w:sz w:val="19"/>
                <w:szCs w:val="19"/>
              </w:rPr>
              <w:t>• Thin retail margins relative to scale, and recurring UK tax-fairness criticism</w:t>
            </w:r>
          </w:p>
          <w:p w:rsidR="00056D13" w:rsidRDefault="00413F54">
            <w:pPr>
              <w:spacing w:after="60"/>
            </w:pPr>
            <w:r>
              <w:rPr>
                <w:color w:val="000000"/>
                <w:sz w:val="19"/>
                <w:szCs w:val="19"/>
              </w:rPr>
              <w:t>• Product-safety and counterfeit-control challenges on an open third-party marketplace</w:t>
            </w:r>
          </w:p>
          <w:p w:rsidR="00056D13" w:rsidRDefault="00413F54">
            <w:pPr>
              <w:spacing w:after="60"/>
            </w:pPr>
            <w:r>
              <w:rPr>
                <w:color w:val="000000"/>
                <w:sz w:val="19"/>
                <w:szCs w:val="19"/>
              </w:rPr>
              <w:t>• High environmental footprint from packaging, returns and delivery mileage</w:t>
            </w:r>
          </w:p>
        </w:tc>
      </w:tr>
      <w:tr w:rsidR="00056D13">
        <w:trPr>
          <w:cantSplit/>
          <w:tblHeader/>
        </w:trPr>
        <w:tc>
          <w:tcPr>
            <w:tcW w:w="47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Opportunities</w:t>
            </w:r>
          </w:p>
        </w:tc>
        <w:tc>
          <w:tcPr>
            <w:tcW w:w="47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Threats</w:t>
            </w:r>
          </w:p>
        </w:tc>
      </w:tr>
      <w:tr w:rsidR="00056D13">
        <w:trPr>
          <w:cantSplit/>
        </w:trPr>
        <w:tc>
          <w:tcPr>
            <w:tcW w:w="4700" w:type="dxa"/>
            <w:tcMar>
              <w:top w:w="80" w:type="dxa"/>
              <w:left w:w="100" w:type="dxa"/>
              <w:bottom w:w="80" w:type="dxa"/>
              <w:right w:w="100" w:type="dxa"/>
            </w:tcMar>
            <w:vAlign w:val="center"/>
          </w:tcPr>
          <w:p w:rsidR="00056D13" w:rsidRDefault="00413F54">
            <w:pPr>
              <w:spacing w:after="60"/>
            </w:pPr>
            <w:r>
              <w:rPr>
                <w:color w:val="000000"/>
                <w:sz w:val="19"/>
                <w:szCs w:val="19"/>
              </w:rPr>
              <w:t>• Further headroom in UK online penetration (currently 20–25% of retail)</w:t>
            </w:r>
          </w:p>
          <w:p w:rsidR="00056D13" w:rsidRDefault="00413F54">
            <w:pPr>
              <w:spacing w:after="60"/>
            </w:pPr>
            <w:r>
              <w:rPr>
                <w:color w:val="000000"/>
                <w:sz w:val="19"/>
                <w:szCs w:val="19"/>
              </w:rPr>
              <w:t xml:space="preserve">• AI-driven personalisation and </w:t>
            </w:r>
            <w:proofErr w:type="spellStart"/>
            <w:r>
              <w:rPr>
                <w:color w:val="000000"/>
                <w:sz w:val="19"/>
                <w:szCs w:val="19"/>
              </w:rPr>
              <w:t>agentic</w:t>
            </w:r>
            <w:proofErr w:type="spellEnd"/>
            <w:r>
              <w:rPr>
                <w:color w:val="000000"/>
                <w:sz w:val="19"/>
                <w:szCs w:val="19"/>
              </w:rPr>
              <w:t xml:space="preserve"> shopping (Rufus) to raise conversion</w:t>
            </w:r>
          </w:p>
          <w:p w:rsidR="00056D13" w:rsidRDefault="00413F54">
            <w:pPr>
              <w:spacing w:after="60"/>
            </w:pPr>
            <w:r>
              <w:rPr>
                <w:color w:val="000000"/>
                <w:sz w:val="19"/>
                <w:szCs w:val="19"/>
              </w:rPr>
              <w:t>• Robotics/automation to offset wage inflation and protect margin</w:t>
            </w:r>
          </w:p>
          <w:p w:rsidR="00056D13" w:rsidRDefault="00413F54">
            <w:pPr>
              <w:spacing w:after="60"/>
            </w:pPr>
            <w:r>
              <w:rPr>
                <w:color w:val="000000"/>
                <w:sz w:val="19"/>
                <w:szCs w:val="19"/>
              </w:rPr>
              <w:t>• Grocery and same-day delivery expansion</w:t>
            </w:r>
          </w:p>
          <w:p w:rsidR="00056D13" w:rsidRDefault="00413F54">
            <w:pPr>
              <w:spacing w:after="60"/>
            </w:pPr>
            <w:r>
              <w:rPr>
                <w:color w:val="000000"/>
                <w:sz w:val="19"/>
                <w:szCs w:val="19"/>
              </w:rPr>
              <w:t>• Apprenticeship and skills investment to rebuild community and employer goodwill</w:t>
            </w:r>
          </w:p>
        </w:tc>
        <w:tc>
          <w:tcPr>
            <w:tcW w:w="4700" w:type="dxa"/>
            <w:tcMar>
              <w:top w:w="80" w:type="dxa"/>
              <w:left w:w="100" w:type="dxa"/>
              <w:bottom w:w="80" w:type="dxa"/>
              <w:right w:w="100" w:type="dxa"/>
            </w:tcMar>
            <w:vAlign w:val="center"/>
          </w:tcPr>
          <w:p w:rsidR="00056D13" w:rsidRDefault="00413F54">
            <w:pPr>
              <w:spacing w:after="60"/>
            </w:pPr>
            <w:r>
              <w:rPr>
                <w:color w:val="000000"/>
                <w:sz w:val="19"/>
                <w:szCs w:val="19"/>
              </w:rPr>
              <w:t xml:space="preserve">• </w:t>
            </w:r>
            <w:proofErr w:type="spellStart"/>
            <w:r>
              <w:rPr>
                <w:color w:val="000000"/>
                <w:sz w:val="19"/>
                <w:szCs w:val="19"/>
              </w:rPr>
              <w:t>Temu</w:t>
            </w:r>
            <w:proofErr w:type="spellEnd"/>
            <w:r>
              <w:rPr>
                <w:color w:val="000000"/>
                <w:sz w:val="19"/>
                <w:szCs w:val="19"/>
              </w:rPr>
              <w:t xml:space="preserve">, </w:t>
            </w:r>
            <w:proofErr w:type="spellStart"/>
            <w:r>
              <w:rPr>
                <w:color w:val="000000"/>
                <w:sz w:val="19"/>
                <w:szCs w:val="19"/>
              </w:rPr>
              <w:t>Shein</w:t>
            </w:r>
            <w:proofErr w:type="spellEnd"/>
            <w:r>
              <w:rPr>
                <w:color w:val="000000"/>
                <w:sz w:val="19"/>
                <w:szCs w:val="19"/>
              </w:rPr>
              <w:t xml:space="preserve"> and social commerce eroding value-segment share</w:t>
            </w:r>
          </w:p>
          <w:p w:rsidR="00056D13" w:rsidRDefault="00413F54">
            <w:pPr>
              <w:spacing w:after="60"/>
            </w:pPr>
            <w:r>
              <w:rPr>
                <w:color w:val="000000"/>
                <w:sz w:val="19"/>
                <w:szCs w:val="19"/>
              </w:rPr>
              <w:t>• Strategic Market Status regime and further CMA marketplace scrutiny</w:t>
            </w:r>
          </w:p>
          <w:p w:rsidR="00056D13" w:rsidRDefault="00413F54">
            <w:pPr>
              <w:spacing w:after="60"/>
            </w:pPr>
            <w:r>
              <w:rPr>
                <w:color w:val="000000"/>
                <w:sz w:val="19"/>
                <w:szCs w:val="19"/>
              </w:rPr>
              <w:t>• GSCOP investigation into supplier payment conduct</w:t>
            </w:r>
          </w:p>
          <w:p w:rsidR="00056D13" w:rsidRDefault="00413F54">
            <w:pPr>
              <w:spacing w:after="60"/>
            </w:pPr>
            <w:r>
              <w:rPr>
                <w:color w:val="000000"/>
                <w:sz w:val="19"/>
                <w:szCs w:val="19"/>
              </w:rPr>
              <w:t>• Employment Rights Bill making union recognition easier</w:t>
            </w:r>
          </w:p>
          <w:p w:rsidR="00056D13" w:rsidRDefault="00413F54">
            <w:pPr>
              <w:spacing w:after="60"/>
            </w:pPr>
            <w:r>
              <w:rPr>
                <w:color w:val="000000"/>
                <w:sz w:val="19"/>
                <w:szCs w:val="19"/>
              </w:rPr>
              <w:t>• Cost-of-living pressure dampening discretionary spend</w:t>
            </w:r>
          </w:p>
        </w:tc>
      </w:tr>
    </w:tbl>
    <w:p w:rsidR="005404EB" w:rsidRDefault="005404EB">
      <w:pPr>
        <w:spacing w:after="160" w:line="276" w:lineRule="auto"/>
        <w:jc w:val="both"/>
        <w:rPr>
          <w:i/>
          <w:iCs/>
          <w:color w:val="595959"/>
          <w:sz w:val="19"/>
          <w:szCs w:val="19"/>
        </w:rPr>
      </w:pPr>
    </w:p>
    <w:p w:rsidR="00056D13" w:rsidRDefault="00413F54">
      <w:pPr>
        <w:spacing w:after="160" w:line="276" w:lineRule="auto"/>
        <w:jc w:val="both"/>
      </w:pPr>
      <w:r>
        <w:t>Taken together, the SWOT shows an organisation whose core commercial strengths – logistics scale and the Prime ecosystem – remain highly defensible, but whose social and regulatory weaknesses are increasingly converging with external threats (union rights legislation, CMA scrutiny) in a way that could constrain the very operating flexibility that has underpinned Amazon's cost advantage. The opportunities identified, particularly AI and automation, offer a credible route to strengthen the business, provided they are pursued without deepening the labour-relations weakness identified above.</w:t>
      </w:r>
    </w:p>
    <w:p w:rsidR="00056D13" w:rsidRDefault="00413F54">
      <w:pPr>
        <w:pStyle w:val="Heading1"/>
        <w:spacing w:before="360" w:after="180"/>
      </w:pPr>
      <w:r>
        <w:rPr>
          <w:b/>
          <w:bCs/>
          <w:color w:val="232F3E"/>
          <w:sz w:val="30"/>
          <w:szCs w:val="30"/>
        </w:rPr>
        <w:t>3. A Comprehensive and Holistic View of the Organisation</w:t>
      </w:r>
    </w:p>
    <w:p w:rsidR="00056D13" w:rsidRDefault="00413F54">
      <w:pPr>
        <w:pStyle w:val="Heading2"/>
        <w:spacing w:before="260" w:after="140"/>
      </w:pPr>
      <w:r>
        <w:rPr>
          <w:b/>
          <w:bCs/>
          <w:color w:val="146EB4"/>
          <w:sz w:val="25"/>
          <w:szCs w:val="25"/>
        </w:rPr>
        <w:t>3.1 CSR Strategy and Alignment with Business Objectives</w:t>
      </w:r>
    </w:p>
    <w:p w:rsidR="00056D13" w:rsidRDefault="00413F54">
      <w:pPr>
        <w:spacing w:after="160" w:line="276" w:lineRule="auto"/>
        <w:jc w:val="both"/>
      </w:pPr>
      <w:r>
        <w:t>Amazon's UK corporate social responsibility strategy rests on three visible pillars: environmental sustainability through The Climate Pledge (a commitment, co-founded with Global Optimism in 2019, to reach net-zero carbon emissions by 2040, a decade ahead of the Paris Agreement, and now backed by 100% renewable-matched electricity and an expanding electric delivery fleet); community investment (over £75 billion of cumulative UK investment since 2014, 1,000 new apprenticeships announced for 2025, and support for around 100,000 UK small and medium-sized enterprises selling on the platform); and workforce welfare claims, including a minimum UK frontline starting salary of £29,744, day-one benefits and ISO 45001 safety certification across its fulfilment network.</w:t>
      </w:r>
    </w:p>
    <w:p w:rsidR="00056D13" w:rsidRDefault="00413F54">
      <w:pPr>
        <w:spacing w:after="160" w:line="276" w:lineRule="auto"/>
        <w:jc w:val="both"/>
      </w:pPr>
      <w:r>
        <w:t xml:space="preserve">Critically assessed, the environmental strand of this CSR strategy is well aligned with commercial objectives and exemplifies what Porter and Kramer (2011) term “shared value”: electric vehicles and renewable energy reduce long-run operating costs as well as emissions, while the “Climate Pledge Friendly” product label is also a merchandising tool that can lift conversion. The social/labour strand of the CSR strategy is less convincingly aligned. Amazon publicly aspires to be “Earth's best employer”, yet independent reporting on the 2024 Coventry GMB recognition ballot – lost by just 28 votes after a well-documented anti-union </w:t>
      </w:r>
      <w:r>
        <w:lastRenderedPageBreak/>
        <w:t>campaign – and continuing scrutiny of warehouse injury rates suggest a structural tension between the cost-minimisation logic of the retail flywheel and a genuinely worker-centred CSR posture. Similarly, while Amazon publicises its growing UK tax contribution (£6.5 billion in total taxes in 2025, including £1.3 billion paid directly), the disclosure itself responds to years of criticism that headline sales and effective tax paid have been out of proportion, illustrating a CSR narrative that is at least partly reactive and defensive rather than proactive. The Board should treat employee relations as the area where CSR and commercial strategy are least aligned, and therefore the area with the greatest scope for improvement in both reputational and operational terms.</w:t>
      </w:r>
    </w:p>
    <w:p w:rsidR="00056D13" w:rsidRDefault="00413F54">
      <w:pPr>
        <w:pStyle w:val="Heading2"/>
        <w:spacing w:before="260" w:after="140"/>
      </w:pPr>
      <w:r>
        <w:rPr>
          <w:b/>
          <w:bCs/>
          <w:color w:val="146EB4"/>
          <w:sz w:val="25"/>
          <w:szCs w:val="25"/>
        </w:rPr>
        <w:t>3.2 Balanced Scorecard</w:t>
      </w:r>
    </w:p>
    <w:p w:rsidR="00056D13" w:rsidRDefault="00413F54">
      <w:pPr>
        <w:spacing w:after="160" w:line="276" w:lineRule="auto"/>
        <w:jc w:val="both"/>
      </w:pPr>
      <w:r>
        <w:t>The Balanced Scorecard (Kaplan and Norton, 1992) translates Amazon's mission into measurable objectives across four perspectives, balancing financial outcomes against the customer, process and people drivers that produce them.</w:t>
      </w:r>
    </w:p>
    <w:tbl>
      <w:tblPr>
        <w:tblW w:w="9200" w:type="dxa"/>
        <w:tblInd w:w="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90"/>
        <w:gridCol w:w="1979"/>
        <w:gridCol w:w="1985"/>
        <w:gridCol w:w="1888"/>
        <w:gridCol w:w="1858"/>
      </w:tblGrid>
      <w:tr w:rsidR="00056D13">
        <w:trPr>
          <w:cantSplit/>
          <w:tblHeader/>
        </w:trPr>
        <w:tc>
          <w:tcPr>
            <w:tcW w:w="15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Perspective</w:t>
            </w:r>
          </w:p>
        </w:tc>
        <w:tc>
          <w:tcPr>
            <w:tcW w:w="20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Strategic Objective</w:t>
            </w:r>
          </w:p>
        </w:tc>
        <w:tc>
          <w:tcPr>
            <w:tcW w:w="20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Key Performance Indicator</w:t>
            </w:r>
          </w:p>
        </w:tc>
        <w:tc>
          <w:tcPr>
            <w:tcW w:w="19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Target</w:t>
            </w:r>
          </w:p>
        </w:tc>
        <w:tc>
          <w:tcPr>
            <w:tcW w:w="1800" w:type="dxa"/>
            <w:shd w:val="clear" w:color="auto" w:fill="232F3E"/>
            <w:tcMar>
              <w:top w:w="80" w:type="dxa"/>
              <w:left w:w="100" w:type="dxa"/>
              <w:bottom w:w="80" w:type="dxa"/>
              <w:right w:w="100" w:type="dxa"/>
            </w:tcMar>
            <w:vAlign w:val="center"/>
          </w:tcPr>
          <w:p w:rsidR="00056D13" w:rsidRDefault="00413F54">
            <w:pPr>
              <w:spacing w:after="60"/>
            </w:pPr>
            <w:r>
              <w:rPr>
                <w:b/>
                <w:bCs/>
                <w:color w:val="FFFFFF"/>
                <w:sz w:val="19"/>
                <w:szCs w:val="19"/>
              </w:rPr>
              <w:t>Initiative</w:t>
            </w:r>
          </w:p>
        </w:tc>
      </w:tr>
      <w:tr w:rsidR="00056D13">
        <w:trPr>
          <w:cantSplit/>
        </w:trPr>
        <w:tc>
          <w:tcPr>
            <w:tcW w:w="1500" w:type="dxa"/>
            <w:tcMar>
              <w:top w:w="80" w:type="dxa"/>
              <w:left w:w="100" w:type="dxa"/>
              <w:bottom w:w="80" w:type="dxa"/>
              <w:right w:w="100" w:type="dxa"/>
            </w:tcMar>
            <w:vAlign w:val="center"/>
          </w:tcPr>
          <w:p w:rsidR="00056D13" w:rsidRDefault="00413F54">
            <w:pPr>
              <w:spacing w:after="60"/>
            </w:pPr>
            <w:r>
              <w:rPr>
                <w:color w:val="000000"/>
                <w:sz w:val="19"/>
                <w:szCs w:val="19"/>
              </w:rPr>
              <w:t>Financial</w:t>
            </w:r>
          </w:p>
        </w:tc>
        <w:tc>
          <w:tcPr>
            <w:tcW w:w="2000" w:type="dxa"/>
            <w:tcMar>
              <w:top w:w="80" w:type="dxa"/>
              <w:left w:w="100" w:type="dxa"/>
              <w:bottom w:w="80" w:type="dxa"/>
              <w:right w:w="100" w:type="dxa"/>
            </w:tcMar>
            <w:vAlign w:val="center"/>
          </w:tcPr>
          <w:p w:rsidR="00056D13" w:rsidRDefault="00413F54">
            <w:pPr>
              <w:spacing w:after="60"/>
            </w:pPr>
            <w:r>
              <w:rPr>
                <w:color w:val="000000"/>
                <w:sz w:val="19"/>
                <w:szCs w:val="19"/>
              </w:rPr>
              <w:t>Grow UK retail revenue sustainably while improving profitability</w:t>
            </w:r>
          </w:p>
        </w:tc>
        <w:tc>
          <w:tcPr>
            <w:tcW w:w="2000" w:type="dxa"/>
            <w:tcMar>
              <w:top w:w="80" w:type="dxa"/>
              <w:left w:w="100" w:type="dxa"/>
              <w:bottom w:w="80" w:type="dxa"/>
              <w:right w:w="100" w:type="dxa"/>
            </w:tcMar>
            <w:vAlign w:val="center"/>
          </w:tcPr>
          <w:p w:rsidR="00056D13" w:rsidRDefault="00413F54">
            <w:pPr>
              <w:spacing w:after="60"/>
            </w:pPr>
            <w:r>
              <w:rPr>
                <w:color w:val="000000"/>
                <w:sz w:val="19"/>
                <w:szCs w:val="19"/>
              </w:rPr>
              <w:t>UK segment revenue growth; retail operating margin; cost-to-serve per order</w:t>
            </w:r>
          </w:p>
        </w:tc>
        <w:tc>
          <w:tcPr>
            <w:tcW w:w="1900" w:type="dxa"/>
            <w:tcMar>
              <w:top w:w="80" w:type="dxa"/>
              <w:left w:w="100" w:type="dxa"/>
              <w:bottom w:w="80" w:type="dxa"/>
              <w:right w:w="100" w:type="dxa"/>
            </w:tcMar>
            <w:vAlign w:val="center"/>
          </w:tcPr>
          <w:p w:rsidR="00056D13" w:rsidRDefault="00413F54">
            <w:pPr>
              <w:spacing w:after="60"/>
            </w:pPr>
            <w:r>
              <w:rPr>
                <w:color w:val="000000"/>
                <w:sz w:val="19"/>
                <w:szCs w:val="19"/>
              </w:rPr>
              <w:t>Maintain UK e-commerce revenue growth above 8% p.a.; reduce cost-to-serve year-on-year</w:t>
            </w:r>
          </w:p>
        </w:tc>
        <w:tc>
          <w:tcPr>
            <w:tcW w:w="1800" w:type="dxa"/>
            <w:tcMar>
              <w:top w:w="80" w:type="dxa"/>
              <w:left w:w="100" w:type="dxa"/>
              <w:bottom w:w="80" w:type="dxa"/>
              <w:right w:w="100" w:type="dxa"/>
            </w:tcMar>
            <w:vAlign w:val="center"/>
          </w:tcPr>
          <w:p w:rsidR="00056D13" w:rsidRDefault="00413F54">
            <w:pPr>
              <w:spacing w:after="60"/>
            </w:pPr>
            <w:r>
              <w:rPr>
                <w:color w:val="000000"/>
                <w:sz w:val="19"/>
                <w:szCs w:val="19"/>
              </w:rPr>
              <w:t>Expand automation/robotics; grow high-margin advertising and Prime subscription revenue</w:t>
            </w:r>
          </w:p>
        </w:tc>
      </w:tr>
      <w:tr w:rsidR="00056D13">
        <w:trPr>
          <w:cantSplit/>
        </w:trPr>
        <w:tc>
          <w:tcPr>
            <w:tcW w:w="15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Customer</w:t>
            </w:r>
          </w:p>
        </w:tc>
        <w:tc>
          <w:tcPr>
            <w:tcW w:w="20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Deepen customer loyalty, trust and satisfaction</w:t>
            </w:r>
          </w:p>
        </w:tc>
        <w:tc>
          <w:tcPr>
            <w:tcW w:w="20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Prime membership penetration and renewal rate; on-time delivery rate; Net Promoter Score</w:t>
            </w:r>
          </w:p>
        </w:tc>
        <w:tc>
          <w:tcPr>
            <w:tcW w:w="19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90%+ next-day/same-day delivery reliability; year-on-year growth in Prime UK membership</w:t>
            </w:r>
          </w:p>
        </w:tc>
        <w:tc>
          <w:tcPr>
            <w:tcW w:w="18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Expand same-day delivery coverage; roll out the Rufus AI shopping assistant; broaden third-party seller selection</w:t>
            </w:r>
          </w:p>
        </w:tc>
      </w:tr>
      <w:tr w:rsidR="00056D13">
        <w:trPr>
          <w:cantSplit/>
        </w:trPr>
        <w:tc>
          <w:tcPr>
            <w:tcW w:w="1500" w:type="dxa"/>
            <w:tcMar>
              <w:top w:w="80" w:type="dxa"/>
              <w:left w:w="100" w:type="dxa"/>
              <w:bottom w:w="80" w:type="dxa"/>
              <w:right w:w="100" w:type="dxa"/>
            </w:tcMar>
            <w:vAlign w:val="center"/>
          </w:tcPr>
          <w:p w:rsidR="00056D13" w:rsidRDefault="00413F54">
            <w:pPr>
              <w:spacing w:after="60"/>
            </w:pPr>
            <w:r>
              <w:rPr>
                <w:color w:val="000000"/>
                <w:sz w:val="19"/>
                <w:szCs w:val="19"/>
              </w:rPr>
              <w:t>Internal Business Process</w:t>
            </w:r>
          </w:p>
        </w:tc>
        <w:tc>
          <w:tcPr>
            <w:tcW w:w="2000" w:type="dxa"/>
            <w:tcMar>
              <w:top w:w="80" w:type="dxa"/>
              <w:left w:w="100" w:type="dxa"/>
              <w:bottom w:w="80" w:type="dxa"/>
              <w:right w:w="100" w:type="dxa"/>
            </w:tcMar>
            <w:vAlign w:val="center"/>
          </w:tcPr>
          <w:p w:rsidR="00056D13" w:rsidRDefault="00413F54">
            <w:pPr>
              <w:spacing w:after="60"/>
            </w:pPr>
            <w:r>
              <w:rPr>
                <w:color w:val="000000"/>
                <w:sz w:val="19"/>
                <w:szCs w:val="19"/>
              </w:rPr>
              <w:t>Achieve operational excellence and marketplace integrity</w:t>
            </w:r>
          </w:p>
        </w:tc>
        <w:tc>
          <w:tcPr>
            <w:tcW w:w="2000" w:type="dxa"/>
            <w:tcMar>
              <w:top w:w="80" w:type="dxa"/>
              <w:left w:w="100" w:type="dxa"/>
              <w:bottom w:w="80" w:type="dxa"/>
              <w:right w:w="100" w:type="dxa"/>
            </w:tcMar>
            <w:vAlign w:val="center"/>
          </w:tcPr>
          <w:p w:rsidR="00056D13" w:rsidRDefault="00413F54">
            <w:pPr>
              <w:spacing w:after="60"/>
            </w:pPr>
            <w:r>
              <w:rPr>
                <w:color w:val="000000"/>
                <w:sz w:val="19"/>
                <w:szCs w:val="19"/>
              </w:rPr>
              <w:t>Units processed per labour hour; fulfilment-centre safety incident rate; GSCOP compliance score</w:t>
            </w:r>
          </w:p>
        </w:tc>
        <w:tc>
          <w:tcPr>
            <w:tcW w:w="1900" w:type="dxa"/>
            <w:tcMar>
              <w:top w:w="80" w:type="dxa"/>
              <w:left w:w="100" w:type="dxa"/>
              <w:bottom w:w="80" w:type="dxa"/>
              <w:right w:w="100" w:type="dxa"/>
            </w:tcMar>
            <w:vAlign w:val="center"/>
          </w:tcPr>
          <w:p w:rsidR="00056D13" w:rsidRDefault="00413F54">
            <w:pPr>
              <w:spacing w:after="60"/>
            </w:pPr>
            <w:r>
              <w:rPr>
                <w:color w:val="000000"/>
                <w:sz w:val="19"/>
                <w:szCs w:val="19"/>
              </w:rPr>
              <w:t>Reduce recordable safety incidents year-on-year; achieve full compliance with GSCOP findings</w:t>
            </w:r>
          </w:p>
        </w:tc>
        <w:tc>
          <w:tcPr>
            <w:tcW w:w="1800" w:type="dxa"/>
            <w:tcMar>
              <w:top w:w="80" w:type="dxa"/>
              <w:left w:w="100" w:type="dxa"/>
              <w:bottom w:w="80" w:type="dxa"/>
              <w:right w:w="100" w:type="dxa"/>
            </w:tcMar>
            <w:vAlign w:val="center"/>
          </w:tcPr>
          <w:p w:rsidR="00056D13" w:rsidRDefault="00413F54">
            <w:pPr>
              <w:spacing w:after="60"/>
            </w:pPr>
            <w:r>
              <w:rPr>
                <w:color w:val="000000"/>
                <w:sz w:val="19"/>
                <w:szCs w:val="19"/>
              </w:rPr>
              <w:t>Continue robotics investment (£1.6bn+ p.a. in infrastructure); strengthen supplier payment-term processes</w:t>
            </w:r>
          </w:p>
        </w:tc>
      </w:tr>
      <w:tr w:rsidR="00056D13">
        <w:trPr>
          <w:cantSplit/>
        </w:trPr>
        <w:tc>
          <w:tcPr>
            <w:tcW w:w="15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Learning and Growth</w:t>
            </w:r>
          </w:p>
        </w:tc>
        <w:tc>
          <w:tcPr>
            <w:tcW w:w="20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Build a skilled, engaged and fairly-treated UK workforce</w:t>
            </w:r>
          </w:p>
        </w:tc>
        <w:tc>
          <w:tcPr>
            <w:tcW w:w="20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Employee engagement score; managerial attrition rate (currently ~11%); apprenticeships delivered</w:t>
            </w:r>
          </w:p>
        </w:tc>
        <w:tc>
          <w:tcPr>
            <w:tcW w:w="19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Reduce voluntary attrition; deliver 1,000+ apprenticeships annually; improve employee-relations engagement scores</w:t>
            </w:r>
          </w:p>
        </w:tc>
        <w:tc>
          <w:tcPr>
            <w:tcW w:w="1800" w:type="dxa"/>
            <w:shd w:val="clear" w:color="auto" w:fill="F2F2F2"/>
            <w:tcMar>
              <w:top w:w="80" w:type="dxa"/>
              <w:left w:w="100" w:type="dxa"/>
              <w:bottom w:w="80" w:type="dxa"/>
              <w:right w:w="100" w:type="dxa"/>
            </w:tcMar>
            <w:vAlign w:val="center"/>
          </w:tcPr>
          <w:p w:rsidR="00056D13" w:rsidRDefault="00413F54">
            <w:pPr>
              <w:spacing w:after="60"/>
            </w:pPr>
            <w:r>
              <w:rPr>
                <w:color w:val="000000"/>
                <w:sz w:val="19"/>
                <w:szCs w:val="19"/>
              </w:rPr>
              <w:t xml:space="preserve">Expand apprenticeship and </w:t>
            </w:r>
            <w:proofErr w:type="spellStart"/>
            <w:r>
              <w:rPr>
                <w:color w:val="000000"/>
                <w:sz w:val="19"/>
                <w:szCs w:val="19"/>
              </w:rPr>
              <w:t>upskilling</w:t>
            </w:r>
            <w:proofErr w:type="spellEnd"/>
            <w:r>
              <w:rPr>
                <w:color w:val="000000"/>
                <w:sz w:val="19"/>
                <w:szCs w:val="19"/>
              </w:rPr>
              <w:t xml:space="preserve"> programmes; move toward more constructive engagement with employee representative bodies</w:t>
            </w:r>
          </w:p>
        </w:tc>
      </w:tr>
    </w:tbl>
    <w:p w:rsidR="005404EB" w:rsidRDefault="005404EB">
      <w:pPr>
        <w:spacing w:after="160" w:line="276" w:lineRule="auto"/>
        <w:jc w:val="both"/>
        <w:rPr>
          <w:i/>
          <w:iCs/>
          <w:color w:val="595959"/>
          <w:sz w:val="19"/>
          <w:szCs w:val="19"/>
        </w:rPr>
      </w:pPr>
    </w:p>
    <w:p w:rsidR="00056D13" w:rsidRDefault="00413F54">
      <w:pPr>
        <w:spacing w:after="160" w:line="276" w:lineRule="auto"/>
        <w:jc w:val="both"/>
      </w:pPr>
      <w:r>
        <w:t xml:space="preserve">Read together, the four perspectives tell a connected story rather than four separate ones. The Financial perspective is ultimately an outcome, not a starting point: revenue growth and margin improvement depend on Amazon successfully executing the other three. The Customer perspective is where that financial performance is earned, through delivery reliability, selection and the AI-driven personalisation that keeps Prime members engaged; if on-time delivery or Net Promoter Score slip, revenue growth will </w:t>
      </w:r>
      <w:r>
        <w:lastRenderedPageBreak/>
        <w:t>follow them down with a lag. The Internal Business Process perspective is the operational engine behind the customer promise, and its inclusion of a GSCOP compliance score alongside conventional productivity metrics reflects a deliberate choice to treat regulatory good conduct as a core operational objective rather than an afterthought, given the findings of Section 2.1. Finally, the Learning and Growth perspective is, on the evidence gathered in this report, the weakest link: employee engagement and attrition sit upstream of safety performance, productivity and, ultimately, cost-to-serve, yet it is the perspective Amazon has historically invested in least. The Board should therefore prioritise Learning and Growth initiatives not as a discretionary CSR add-on but as the foundation on which the other three perspectives depend.</w:t>
      </w:r>
    </w:p>
    <w:p w:rsidR="00056D13" w:rsidRDefault="00413F54">
      <w:pPr>
        <w:pStyle w:val="Heading1"/>
        <w:spacing w:before="360" w:after="180"/>
      </w:pPr>
      <w:r>
        <w:rPr>
          <w:b/>
          <w:bCs/>
          <w:color w:val="232F3E"/>
          <w:sz w:val="30"/>
          <w:szCs w:val="30"/>
        </w:rPr>
        <w:t>4. Strategic Choices and Implementation</w:t>
      </w:r>
    </w:p>
    <w:p w:rsidR="00056D13" w:rsidRDefault="00413F54">
      <w:pPr>
        <w:pStyle w:val="Heading2"/>
        <w:spacing w:before="260" w:after="140"/>
      </w:pPr>
      <w:r>
        <w:rPr>
          <w:b/>
          <w:bCs/>
          <w:color w:val="146EB4"/>
          <w:sz w:val="25"/>
          <w:szCs w:val="25"/>
        </w:rPr>
        <w:t>4.1 Business-Level Strategic Options</w:t>
      </w:r>
    </w:p>
    <w:p w:rsidR="00056D13" w:rsidRDefault="00413F54">
      <w:pPr>
        <w:spacing w:after="160" w:line="276" w:lineRule="auto"/>
        <w:jc w:val="both"/>
      </w:pPr>
      <w:r>
        <w:t xml:space="preserve">At the business level, Porter's (1985) generic strategies frame three broad choices for Amazon's UK retail arm: cost leadership (compete primarily on price, as </w:t>
      </w:r>
      <w:proofErr w:type="spellStart"/>
      <w:r>
        <w:t>Temu</w:t>
      </w:r>
      <w:proofErr w:type="spellEnd"/>
      <w:r>
        <w:t xml:space="preserve"> and </w:t>
      </w:r>
      <w:proofErr w:type="spellStart"/>
      <w:r>
        <w:t>Shein</w:t>
      </w:r>
      <w:proofErr w:type="spellEnd"/>
      <w:r>
        <w:t xml:space="preserve"> do), differentiation (compete on selection, service and ecosystem breadth, as John Lewis or ASOS do within their niches), or focus (concentrate on a narrower customer segment or category). Using Bowman's Strategy Clock (Bowman and Faulkner, 1996) to position Amazon more precisely, the business currently sits closest to a “hybrid” position – combining relatively low prices with perceived added value through speed, selection and the Prime ecosystem. Porter would traditionally caution that firms pursuing both cost leadership and differentiation risk becoming “stuck in the middle”, but Amazon's scale economies, logistics infrastructure and technology investment allow it to sustain this hybrid position more credibly than most rivals, in a manner comparable to how operationally excellent airlines have combined low fares with reliable service.</w:t>
      </w:r>
    </w:p>
    <w:p w:rsidR="00056D13" w:rsidRDefault="00413F54">
      <w:pPr>
        <w:pStyle w:val="Heading2"/>
        <w:spacing w:before="260" w:after="140"/>
      </w:pPr>
      <w:r>
        <w:rPr>
          <w:b/>
          <w:bCs/>
          <w:color w:val="146EB4"/>
          <w:sz w:val="25"/>
          <w:szCs w:val="25"/>
        </w:rPr>
        <w:t>4.2 Recommended Strategy and Validation</w:t>
      </w:r>
    </w:p>
    <w:p w:rsidR="00056D13" w:rsidRDefault="00413F54">
      <w:pPr>
        <w:spacing w:after="160" w:line="276" w:lineRule="auto"/>
        <w:jc w:val="both"/>
      </w:pPr>
      <w:r>
        <w:t xml:space="preserve">Porter's Five Forces (1979) helps validate which direction the hybrid strategy should now take. Rivalry within UK online retail is intense and intensifying, particularly at the value end. The threat of new entry is real and has already materialised in the form of </w:t>
      </w:r>
      <w:proofErr w:type="spellStart"/>
      <w:r>
        <w:t>Temu</w:t>
      </w:r>
      <w:proofErr w:type="spellEnd"/>
      <w:r>
        <w:t xml:space="preserve"> and </w:t>
      </w:r>
      <w:proofErr w:type="spellStart"/>
      <w:r>
        <w:t>Shein</w:t>
      </w:r>
      <w:proofErr w:type="spellEnd"/>
      <w:r>
        <w:t>, whose digitally native, low-overhead sourcing models bypass much of Amazon's traditional cost base. Buyer power is high, given low switching costs and widespread price transparency. Supplier (third-party seller) power is moderate: Amazon can set fees and algorithmic visibility, but seller numbers have fallen from roughly 2.4 million to 1.65 million globally between 2021 and 2025, of which the UK accounts for around 9.5%, suggesting limits to how far seller economics can be squeezed before attrition accelerates. The threat of substitutes is rising through social commerce (</w:t>
      </w:r>
      <w:proofErr w:type="spellStart"/>
      <w:r>
        <w:t>TikTok</w:t>
      </w:r>
      <w:proofErr w:type="spellEnd"/>
      <w:r>
        <w:t xml:space="preserve"> Shop) and direct-to-consumer brand websites.</w:t>
      </w:r>
    </w:p>
    <w:p w:rsidR="00056D13" w:rsidRDefault="00413F54">
      <w:pPr>
        <w:spacing w:after="160" w:line="276" w:lineRule="auto"/>
        <w:jc w:val="both"/>
      </w:pPr>
      <w:r>
        <w:t xml:space="preserve">This structure confirms that a pure cost-leadership pivot would be high-risk (eroding brand and quality perceptions built over two decades) while a pure differentiation/premium repositioning would sacrifice the volume that the flywheel depends on. The recommended strategy is therefore to reinforce, rather than abandon, the current hybrid position: use continued investment in automation and AI to lower cost-to-serve, and reinvest the resulting margin into the aspects of differentiation (speed, selection, Prime ecosystem) that lower-cost rivals cannot easily replicate. Amazon's UK launch of Amazon Haul in May 2025 – a mobile-only, sub-£20 storefront built specifically to compete with </w:t>
      </w:r>
      <w:proofErr w:type="spellStart"/>
      <w:r>
        <w:t>Temu</w:t>
      </w:r>
      <w:proofErr w:type="spellEnd"/>
      <w:r>
        <w:t xml:space="preserve"> and </w:t>
      </w:r>
      <w:proofErr w:type="spellStart"/>
      <w:r>
        <w:t>Shein</w:t>
      </w:r>
      <w:proofErr w:type="spellEnd"/>
      <w:r>
        <w:t xml:space="preserve"> – is evidence that this hybrid logic is already being </w:t>
      </w:r>
      <w:proofErr w:type="spellStart"/>
      <w:r>
        <w:t>operationalised</w:t>
      </w:r>
      <w:proofErr w:type="spellEnd"/>
      <w:r>
        <w:t>: rather than repositioning the core Amazon.co.uk proposition down-market, Amazon has created a distinct low-cost channel alongside it, protecting the core brand's differentiated positioning.</w:t>
      </w:r>
    </w:p>
    <w:p w:rsidR="00056D13" w:rsidRDefault="00413F54">
      <w:pPr>
        <w:spacing w:after="160" w:line="276" w:lineRule="auto"/>
        <w:jc w:val="both"/>
      </w:pPr>
      <w:r>
        <w:t xml:space="preserve">Applying </w:t>
      </w:r>
      <w:proofErr w:type="spellStart"/>
      <w:r>
        <w:t>Ansoff's</w:t>
      </w:r>
      <w:proofErr w:type="spellEnd"/>
      <w:r>
        <w:t xml:space="preserve"> (1957) Growth Matrix to prioritise where this strategy should be directed within the UK market, market penetration – growing Prime membership, purchase frequency and average order value </w:t>
      </w:r>
      <w:r>
        <w:lastRenderedPageBreak/>
        <w:t xml:space="preserve">among existing UK customers through personalisation and faster delivery – represents the lowest-risk, highest-priority </w:t>
      </w:r>
      <w:proofErr w:type="gramStart"/>
      <w:r>
        <w:t>growth avenue</w:t>
      </w:r>
      <w:proofErr w:type="gramEnd"/>
      <w:r>
        <w:t xml:space="preserve">. Product development, particularly expansion of private-label and Climate Pledge Friendly ranges and continued build-out of Amazon Haul, is a moderate-risk complement. Market development into currently under-penetrated demographics or into UK business-to-business procurement (Amazon Business) offers further moderate-risk growth. Diversification into new physical retail formats is recommended only cautiously, given Amazon's mixed record with physical grocery formats in the UK to date; the Board should prioritise the first two </w:t>
      </w:r>
      <w:proofErr w:type="spellStart"/>
      <w:r>
        <w:t>Ansoff</w:t>
      </w:r>
      <w:proofErr w:type="spellEnd"/>
      <w:r>
        <w:t xml:space="preserve"> quadrants before committing further capital to diversification.</w:t>
      </w:r>
    </w:p>
    <w:p w:rsidR="00056D13" w:rsidRDefault="00413F54">
      <w:pPr>
        <w:pStyle w:val="Heading2"/>
        <w:spacing w:before="260" w:after="140"/>
      </w:pPr>
      <w:r>
        <w:rPr>
          <w:b/>
          <w:bCs/>
          <w:color w:val="146EB4"/>
          <w:sz w:val="25"/>
          <w:szCs w:val="25"/>
        </w:rPr>
        <w:t>4.3 Delivering Competitive Advantage</w:t>
      </w:r>
    </w:p>
    <w:p w:rsidR="00056D13" w:rsidRDefault="00413F54">
      <w:pPr>
        <w:spacing w:before="200"/>
        <w:jc w:val="center"/>
      </w:pPr>
      <w:r>
        <w:rPr>
          <w:noProof/>
        </w:rPr>
        <w:drawing>
          <wp:inline distT="0" distB="0" distL="0" distR="0">
            <wp:extent cx="4000500" cy="2714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000500" cy="2714625"/>
                    </a:xfrm>
                    <a:prstGeom prst="rect">
                      <a:avLst/>
                    </a:prstGeom>
                  </pic:spPr>
                </pic:pic>
              </a:graphicData>
            </a:graphic>
          </wp:inline>
        </w:drawing>
      </w:r>
    </w:p>
    <w:p w:rsidR="005404EB" w:rsidRDefault="005404EB">
      <w:pPr>
        <w:spacing w:after="160" w:line="276" w:lineRule="auto"/>
        <w:jc w:val="both"/>
        <w:rPr>
          <w:i/>
          <w:iCs/>
          <w:color w:val="595959"/>
          <w:sz w:val="19"/>
          <w:szCs w:val="19"/>
        </w:rPr>
      </w:pPr>
    </w:p>
    <w:p w:rsidR="00056D13" w:rsidRDefault="00413F54">
      <w:pPr>
        <w:spacing w:after="160" w:line="276" w:lineRule="auto"/>
        <w:jc w:val="both"/>
      </w:pPr>
      <w:r>
        <w:t>This recommendation aligns directly with the VRIO findings in Section 2.2: it protects and extends the two resources already identified as sources of sustained advantage (logistics infrastructure and the Prime ecosystem) while using AI and automation to convert a currently temporary advantage into a more durable one, before rivals close the gap. In resource-based view terms (Barney, 1991), the strategy is one of resource renewal rather than resource replacement – it deepens Amazon's existing, hard-to-imitate capability base rather than attempting to compete on the low-cost, low-infrastructure model at which Chinese platforms currently have a structural advantage.</w:t>
      </w:r>
    </w:p>
    <w:p w:rsidR="00056D13" w:rsidRDefault="00413F54">
      <w:pPr>
        <w:pStyle w:val="Heading2"/>
        <w:spacing w:before="260" w:after="140"/>
      </w:pPr>
      <w:r>
        <w:rPr>
          <w:b/>
          <w:bCs/>
          <w:color w:val="146EB4"/>
          <w:sz w:val="25"/>
          <w:szCs w:val="25"/>
        </w:rPr>
        <w:t>4.4 Implementation Challenges and Mitigations</w:t>
      </w:r>
    </w:p>
    <w:p w:rsidR="00056D13" w:rsidRDefault="00413F54">
      <w:pPr>
        <w:spacing w:after="160" w:line="276" w:lineRule="auto"/>
        <w:jc w:val="both"/>
      </w:pPr>
      <w:r>
        <w:t xml:space="preserve">Four implementation risks warrant Board attention. First, regulatory intervention: a future CMA Strategic Market Status designation, an adverse outcome from the GSCOP investigation, or renewed marketplace enforcement could restrict fee-setting or algorithmic practices central to the flywheel; mitigation should involve proactive, transparent engagement with regulators and early remediation of the supplier payment-term concerns already raised. Second, labour-relations risk: further unionisation drives, especially under a more union-friendly Employment Rights Bill, could raise costs and disrupt operations; mitigation should involve a shift from an adversarial to a more constructive employee-engagement posture, using the Learning and Growth initiatives set out in Section 3.2 to reduce the underlying grievances that drive unionisation rather than simply resisting recognition ballots. Third, automation-driven job displacement could generate political and public-relations backlash even as it improves productivity; mitigation should pair robotics investment with visible reskilling and apprenticeship commitments. Fourth, execution risk on capital allocation: Amazon's group free cash flow fell sharply in 2025 as capital expenditure on AI </w:t>
      </w:r>
      <w:r>
        <w:lastRenderedPageBreak/>
        <w:t>infrastructure increased, so the Board should ensure UK automation investment is phased and benchmarked against realised cost-to-serve savings rather than pursued as an unconditional priority.</w:t>
      </w:r>
    </w:p>
    <w:p w:rsidR="005404EB" w:rsidRDefault="005404EB" w:rsidP="005404EB"/>
    <w:p w:rsidR="00056D13" w:rsidRDefault="00413F54" w:rsidP="005404EB">
      <w:proofErr w:type="gramStart"/>
      <w:r>
        <w:rPr>
          <w:b/>
          <w:bCs/>
          <w:color w:val="232F3E"/>
          <w:sz w:val="30"/>
          <w:szCs w:val="30"/>
        </w:rPr>
        <w:t>Section 2.</w:t>
      </w:r>
      <w:proofErr w:type="gramEnd"/>
      <w:r>
        <w:rPr>
          <w:b/>
          <w:bCs/>
          <w:color w:val="232F3E"/>
          <w:sz w:val="30"/>
          <w:szCs w:val="30"/>
        </w:rPr>
        <w:t xml:space="preserve"> Reflective Account</w:t>
      </w:r>
    </w:p>
    <w:p w:rsidR="00056D13" w:rsidRDefault="00413F54">
      <w:pPr>
        <w:spacing w:after="160" w:line="276" w:lineRule="auto"/>
        <w:jc w:val="both"/>
      </w:pPr>
      <w:r>
        <w:t>This section reflects on the process of researching, analysing and preparing Section 1, using Gibbs' (1988) Reflective Cycle – description, feelings, evaluation, analysis, conclusion and action plan – as a structuring framework.</w:t>
      </w:r>
    </w:p>
    <w:p w:rsidR="00056D13" w:rsidRDefault="00413F54">
      <w:pPr>
        <w:pStyle w:val="Heading3"/>
        <w:spacing w:before="200" w:after="100"/>
      </w:pPr>
      <w:r>
        <w:rPr>
          <w:b/>
          <w:bCs/>
          <w:i/>
          <w:iCs/>
          <w:color w:val="232F3E"/>
          <w:sz w:val="22"/>
          <w:szCs w:val="22"/>
        </w:rPr>
        <w:t>Description</w:t>
      </w:r>
    </w:p>
    <w:p w:rsidR="00056D13" w:rsidRDefault="00413F54">
      <w:pPr>
        <w:spacing w:after="160" w:line="276" w:lineRule="auto"/>
        <w:jc w:val="both"/>
      </w:pPr>
      <w:r>
        <w:t xml:space="preserve">The assignment required selecting a single organisation and market, applying a series of strategic frameworks (PESTEL, VRIO, SWOT, the Balanced Scorecard, Porter's Five Forces and </w:t>
      </w:r>
      <w:proofErr w:type="spellStart"/>
      <w:r>
        <w:t>Ansoff's</w:t>
      </w:r>
      <w:proofErr w:type="spellEnd"/>
      <w:r>
        <w:t xml:space="preserve"> Matrix), and producing a Board-facing report with a defined word count and structure. I chose Amazon and, in order to satisfy the requirement to focus on a single market, narrowed the analysis to its UK online retail business rather than the group as a whole. The process involved defining the scope, gathering current market and company data, applying each framework in turn, and then synthesising the findings into coherent, evidence-based recommendations.</w:t>
      </w:r>
    </w:p>
    <w:p w:rsidR="00056D13" w:rsidRDefault="00413F54">
      <w:pPr>
        <w:pStyle w:val="Heading3"/>
        <w:spacing w:before="200" w:after="100"/>
      </w:pPr>
      <w:r>
        <w:rPr>
          <w:b/>
          <w:bCs/>
          <w:i/>
          <w:iCs/>
          <w:color w:val="232F3E"/>
          <w:sz w:val="22"/>
          <w:szCs w:val="22"/>
        </w:rPr>
        <w:t>Feelings</w:t>
      </w:r>
    </w:p>
    <w:p w:rsidR="00056D13" w:rsidRDefault="00413F54">
      <w:pPr>
        <w:spacing w:after="160" w:line="276" w:lineRule="auto"/>
        <w:jc w:val="both"/>
      </w:pPr>
      <w:r>
        <w:t xml:space="preserve">My initial feeling was that Amazon would be a relatively straightforward organisation to analyse, given how widely it is discussed in the business press. In practice, the scale and diversity of the Amazon group made the scoping decision harder than expected, and I felt some uncertainty about whether narrowing the focus to the UK retail business, and excluding AWS and other divisions, was the right interpretation of the brief. Once that boundary was set, I felt more confident, because it made the frameworks easier to apply consistently: a VRIO analysis of “Amazon” as a whole would have been unmanageable, whereas a VRIO analysis of specific UK retail resources (logistics network, Prime ecosystem, employee relations) felt tractable and honest. Working through the PESTEL and SWOT stages, I also felt a degree of tension between Amazon's own promotional material (which emphasises investment, sustainability and job creation) and independent reporting on labour relations, which was noticeably more critical; reconciling these </w:t>
      </w:r>
      <w:proofErr w:type="gramStart"/>
      <w:r>
        <w:t>sources</w:t>
      </w:r>
      <w:proofErr w:type="gramEnd"/>
      <w:r>
        <w:t xml:space="preserve"> required a deliberately even-handed, evidence-led tone rather than simply repeating either narrative.</w:t>
      </w:r>
    </w:p>
    <w:p w:rsidR="00056D13" w:rsidRDefault="00413F54">
      <w:pPr>
        <w:pStyle w:val="Heading3"/>
        <w:spacing w:before="200" w:after="100"/>
      </w:pPr>
      <w:r>
        <w:rPr>
          <w:b/>
          <w:bCs/>
          <w:i/>
          <w:iCs/>
          <w:color w:val="232F3E"/>
          <w:sz w:val="22"/>
          <w:szCs w:val="22"/>
        </w:rPr>
        <w:t>Evaluation</w:t>
      </w:r>
    </w:p>
    <w:p w:rsidR="00056D13" w:rsidRDefault="00413F54">
      <w:pPr>
        <w:spacing w:after="160" w:line="276" w:lineRule="auto"/>
        <w:jc w:val="both"/>
      </w:pPr>
      <w:r>
        <w:t>What worked well was using each framework for a distinct purpose rather than treating them as a checklist: PESTEL to scan the environment, VRIO to test which internal resources are genuine sources of advantage rather than merely necessary for competing, SWOT to consolidate the two, and the Balanced Scorecard to translate the analysis into measurable management action. This sequencing helped avoid a common weakness in strategy assignments, where frameworks are applied in isolation and never connected back to a single, coherent recommendation. What was more difficult was avoiding duplication between sections – labour relations, for example, is relevant to PESTEL (Social/Legal), VRIO (a weak resource), SWOT (a weakness/threat), CSR and the Balanced Scorecard (Learning and Growth) all at once, and I had to be careful to add a distinct insight at each stage rather than repeating the same point five times.</w:t>
      </w:r>
    </w:p>
    <w:p w:rsidR="00056D13" w:rsidRDefault="00413F54">
      <w:pPr>
        <w:pStyle w:val="Heading3"/>
        <w:spacing w:before="200" w:after="100"/>
      </w:pPr>
      <w:r>
        <w:rPr>
          <w:b/>
          <w:bCs/>
          <w:i/>
          <w:iCs/>
          <w:color w:val="232F3E"/>
          <w:sz w:val="22"/>
          <w:szCs w:val="22"/>
        </w:rPr>
        <w:t>Analysis</w:t>
      </w:r>
    </w:p>
    <w:p w:rsidR="00056D13" w:rsidRDefault="00413F54">
      <w:pPr>
        <w:spacing w:after="160" w:line="276" w:lineRule="auto"/>
        <w:jc w:val="both"/>
      </w:pPr>
      <w:r>
        <w:t xml:space="preserve">On reflection, the exercise demonstrated why strategic analysis is more useful as an integrated system of frameworks than as a series of stand-alone academic exercises. The PESTEL findings on regulation and labour law fed directly into the VRIO judgement that employee relations is currently a competitive </w:t>
      </w:r>
      <w:r>
        <w:lastRenderedPageBreak/>
        <w:t>weakness rather than a neutral HR issue; that judgement, in turn, shaped both the CSR critique and the Balanced Scorecard's emphasis on Learning and Growth; and it ultimately informed the implementation risks identified in the strategic-choices section. This experience reinforced my understanding that a Board-level strategy report needs to trace a single thread of argument through multiple frameworks, rather than presenting each framework's output independently. It also highlighted the importance of using current, well-sourced data (company annual reports, parliamentary evidence, and recent trade press) rather than relying solely on textbook descriptions of Amazon that may be several years out of date, particularly given how quickly the competitive landscape (</w:t>
      </w:r>
      <w:proofErr w:type="spellStart"/>
      <w:r>
        <w:t>Temu</w:t>
      </w:r>
      <w:proofErr w:type="spellEnd"/>
      <w:r>
        <w:t xml:space="preserve">, </w:t>
      </w:r>
      <w:proofErr w:type="spellStart"/>
      <w:r>
        <w:t>Shein</w:t>
      </w:r>
      <w:proofErr w:type="spellEnd"/>
      <w:r>
        <w:t>, Amazon Haul, UK regulatory reform) has moved even within the last two years.</w:t>
      </w:r>
    </w:p>
    <w:p w:rsidR="00056D13" w:rsidRDefault="00413F54">
      <w:pPr>
        <w:pStyle w:val="Heading3"/>
        <w:spacing w:before="200" w:after="100"/>
      </w:pPr>
      <w:r>
        <w:rPr>
          <w:b/>
          <w:bCs/>
          <w:i/>
          <w:iCs/>
          <w:color w:val="232F3E"/>
          <w:sz w:val="22"/>
          <w:szCs w:val="22"/>
        </w:rPr>
        <w:t>Conclusion</w:t>
      </w:r>
    </w:p>
    <w:p w:rsidR="00056D13" w:rsidRDefault="00413F54">
      <w:pPr>
        <w:spacing w:after="160" w:line="276" w:lineRule="auto"/>
        <w:jc w:val="both"/>
      </w:pPr>
      <w:r>
        <w:t>Overall, I conclude that the process was strengthened by an early, well-justified scoping decision, by using each framework for a specific diagnostic purpose, and by triangulating company disclosures against independent and journalistic sources to avoid an uncritical, promotional tone. The main limitation of my approach was time-constrained access to primary data (I relied on published annual reports, parliamentary committee evidence and reputable secondary sources rather than proprietary market research), which means some quantitative estimates, such as market share figures, should be treated as indicative rather than precise.</w:t>
      </w:r>
    </w:p>
    <w:p w:rsidR="00056D13" w:rsidRDefault="00413F54">
      <w:pPr>
        <w:pStyle w:val="Heading3"/>
        <w:spacing w:before="200" w:after="100"/>
      </w:pPr>
      <w:r>
        <w:rPr>
          <w:b/>
          <w:bCs/>
          <w:i/>
          <w:iCs/>
          <w:color w:val="232F3E"/>
          <w:sz w:val="22"/>
          <w:szCs w:val="22"/>
        </w:rPr>
        <w:t>Action Plan</w:t>
      </w:r>
    </w:p>
    <w:p w:rsidR="00056D13" w:rsidRDefault="00413F54">
      <w:pPr>
        <w:spacing w:after="160" w:line="276" w:lineRule="auto"/>
        <w:jc w:val="both"/>
      </w:pPr>
      <w:r>
        <w:t>For future strategic analyses, I would set the scoping boundary even earlier in the process, before beginning detailed research, to avoid the need to re-filter material already gathered. I would also build a simple cross-reference table at the outset, mapping each recurring theme (such as labour relations in this case) to the specific, non-repetitive insight it will contribute to at each stage of the report, which would make the synthesis stage faster and reduce the risk of redundancy. Finally, I would allocate more time to sourcing primary or investor-grade data early on, since the quality of a strategic recommendation is only as strong as the evidence underpinning it.</w:t>
      </w:r>
    </w:p>
    <w:p w:rsidR="00056D13" w:rsidRDefault="00413F54">
      <w:r>
        <w:br w:type="page"/>
      </w:r>
    </w:p>
    <w:p w:rsidR="00056D13" w:rsidRDefault="00413F54">
      <w:pPr>
        <w:pStyle w:val="Heading1"/>
        <w:spacing w:before="360" w:after="180"/>
      </w:pPr>
      <w:r>
        <w:rPr>
          <w:b/>
          <w:bCs/>
          <w:color w:val="232F3E"/>
          <w:sz w:val="30"/>
          <w:szCs w:val="30"/>
        </w:rPr>
        <w:lastRenderedPageBreak/>
        <w:t>References</w:t>
      </w:r>
    </w:p>
    <w:p w:rsidR="00056D13" w:rsidRDefault="00413F54">
      <w:pPr>
        <w:spacing w:after="160" w:line="276" w:lineRule="auto"/>
        <w:jc w:val="both"/>
      </w:pPr>
      <w:r>
        <w:t>Amazon.com Inc. (2026) Amazon.com 2025 Annual Report (Form 10-K). Seattle</w:t>
      </w:r>
      <w:r w:rsidR="0037017D">
        <w:t>: Amazon.com Inc. Available at:</w:t>
      </w:r>
      <w:r>
        <w:t>https://s2.q4cdn.com/299287126/files/doc_financials/2026/ar/Amazon-2025-Annual-Report.pdf (Accessed: 11 August 2026).</w:t>
      </w:r>
    </w:p>
    <w:p w:rsidR="00056D13" w:rsidRDefault="0037017D">
      <w:pPr>
        <w:spacing w:after="160" w:line="276" w:lineRule="auto"/>
        <w:jc w:val="both"/>
      </w:pPr>
      <w:r>
        <w:t xml:space="preserve">Amazon </w:t>
      </w:r>
      <w:r w:rsidR="00413F54">
        <w:t xml:space="preserve">Sustainability (2025) The Climate Pledge. Available at: https://sustainability.aboutamazon.com/environment/the-climate-pledge </w:t>
      </w:r>
    </w:p>
    <w:p w:rsidR="00056D13" w:rsidRDefault="00413F54">
      <w:pPr>
        <w:spacing w:after="160" w:line="276" w:lineRule="auto"/>
        <w:jc w:val="both"/>
      </w:pPr>
      <w:proofErr w:type="spellStart"/>
      <w:proofErr w:type="gramStart"/>
      <w:r>
        <w:t>Ansoff</w:t>
      </w:r>
      <w:proofErr w:type="spellEnd"/>
      <w:r>
        <w:t>, H.I. (1957) 'Strategies for diversification', Harvard Business Review, 35(5), pp. 113–124.</w:t>
      </w:r>
      <w:proofErr w:type="gramEnd"/>
    </w:p>
    <w:p w:rsidR="00056D13" w:rsidRDefault="00413F54">
      <w:pPr>
        <w:spacing w:after="160" w:line="276" w:lineRule="auto"/>
        <w:jc w:val="both"/>
      </w:pPr>
      <w:r>
        <w:t>Barney, J. (1991) 'Firm resources and sustained competitive advantage', Journal of Management, 17(1), pp. 99–120.</w:t>
      </w:r>
    </w:p>
    <w:p w:rsidR="00056D13" w:rsidRDefault="00413F54">
      <w:pPr>
        <w:spacing w:after="160" w:line="276" w:lineRule="auto"/>
        <w:jc w:val="both"/>
      </w:pPr>
      <w:r>
        <w:t xml:space="preserve">BBC News (2024) 'Amazon workers narrowly reject union in historic vote', BBC News, 17 July. Available at: https://www.bbc.co.uk/news/articles/c8vd72zrpr1o </w:t>
      </w:r>
    </w:p>
    <w:p w:rsidR="00056D13" w:rsidRDefault="00413F54">
      <w:pPr>
        <w:spacing w:after="160" w:line="276" w:lineRule="auto"/>
        <w:jc w:val="both"/>
      </w:pPr>
      <w:proofErr w:type="gramStart"/>
      <w:r>
        <w:t>Bowman, C. and Faulkner, D. (1996) Competitive and Corporate Strategy.</w:t>
      </w:r>
      <w:proofErr w:type="gramEnd"/>
      <w:r>
        <w:t xml:space="preserve"> London: Irwin.</w:t>
      </w:r>
    </w:p>
    <w:p w:rsidR="00056D13" w:rsidRDefault="00413F54">
      <w:pPr>
        <w:spacing w:after="160" w:line="276" w:lineRule="auto"/>
        <w:jc w:val="both"/>
      </w:pPr>
      <w:r>
        <w:t>Bravery Technology (2026) E-Commerce Statistics 2026: Market Size &amp; Trends. Available at: https://braverytechnology.com/ecommerce-statist</w:t>
      </w:r>
      <w:r w:rsidR="0037017D">
        <w:t xml:space="preserve">ics/ </w:t>
      </w:r>
    </w:p>
    <w:p w:rsidR="00056D13" w:rsidRDefault="00413F54">
      <w:pPr>
        <w:spacing w:after="160" w:line="276" w:lineRule="auto"/>
        <w:jc w:val="both"/>
      </w:pPr>
      <w:r>
        <w:t>Competition and Markets Authority (2023) Amazon Offers to Change Marketplace Rules to Address CMA Concerns. GOV.UK, 26 July. Available at: https://www.gov.uk/government/news/amazon-offers-to-change-marketplace-rules-to-address-cma-conc</w:t>
      </w:r>
      <w:r w:rsidR="0037017D">
        <w:t xml:space="preserve">erns </w:t>
      </w:r>
    </w:p>
    <w:p w:rsidR="00056D13" w:rsidRDefault="00413F54">
      <w:pPr>
        <w:spacing w:after="160" w:line="276" w:lineRule="auto"/>
        <w:jc w:val="both"/>
      </w:pPr>
      <w:proofErr w:type="gramStart"/>
      <w:r>
        <w:t>Gibbs, G. (1988) Learning by Doing: A Guide to Teaching and Learning Methods.</w:t>
      </w:r>
      <w:proofErr w:type="gramEnd"/>
      <w:r>
        <w:t xml:space="preserve"> Oxford: Further Education Unit, Oxford Polytechnic.</w:t>
      </w:r>
    </w:p>
    <w:p w:rsidR="00056D13" w:rsidRDefault="00413F54">
      <w:pPr>
        <w:spacing w:after="160" w:line="276" w:lineRule="auto"/>
        <w:jc w:val="both"/>
      </w:pPr>
      <w:r>
        <w:t>GMB Union (2024) Amazon Faces Legal Challenge as Recognition Drive Fails. Available at: https://www.gmb.org.uk/news/amazon-faces-legal-challenge-as-recognition-drive-agonisingly-c</w:t>
      </w:r>
      <w:r w:rsidR="0037017D">
        <w:t xml:space="preserve">lose </w:t>
      </w:r>
    </w:p>
    <w:p w:rsidR="00056D13" w:rsidRDefault="00413F54">
      <w:pPr>
        <w:spacing w:after="160" w:line="276" w:lineRule="auto"/>
        <w:jc w:val="both"/>
      </w:pPr>
      <w:proofErr w:type="gramStart"/>
      <w:r>
        <w:t>Groceries Code Adjudicator (2025) Groceries Code Adjudicator Launches Investigation into Amazon.</w:t>
      </w:r>
      <w:proofErr w:type="gramEnd"/>
      <w:r>
        <w:t xml:space="preserve"> GOV.UK, 20 June. Available at: https://www.gov.uk/government/news/groceries-code-adjudicator-launches-investigation-into-am</w:t>
      </w:r>
      <w:r w:rsidR="0037017D">
        <w:t>azon</w:t>
      </w:r>
    </w:p>
    <w:p w:rsidR="00056D13" w:rsidRDefault="00413F54">
      <w:pPr>
        <w:spacing w:after="160" w:line="276" w:lineRule="auto"/>
        <w:jc w:val="both"/>
      </w:pPr>
      <w:proofErr w:type="gramStart"/>
      <w:r>
        <w:t>Kaplan, R.S. and Norton, D.P. (1992) 'The balanced scorecard – measures that drive performance', Harvard Business Review, 70(1), pp. 71–79.</w:t>
      </w:r>
      <w:proofErr w:type="gramEnd"/>
    </w:p>
    <w:p w:rsidR="00056D13" w:rsidRDefault="00413F54">
      <w:pPr>
        <w:spacing w:after="160" w:line="276" w:lineRule="auto"/>
        <w:jc w:val="both"/>
      </w:pPr>
      <w:proofErr w:type="spellStart"/>
      <w:r>
        <w:t>Mordor</w:t>
      </w:r>
      <w:proofErr w:type="spellEnd"/>
      <w:r>
        <w:t xml:space="preserve"> Intelligence (2026) United Kingdom E-Commerce Market Size, Share and 2031 Growth Trends Report. Available at: https://www.mordorintelligence.com/industry-reports/united-kingdom-ecommerce-ma</w:t>
      </w:r>
      <w:r w:rsidR="0037017D">
        <w:t xml:space="preserve">rket </w:t>
      </w:r>
    </w:p>
    <w:p w:rsidR="00056D13" w:rsidRDefault="00413F54">
      <w:pPr>
        <w:spacing w:after="160" w:line="276" w:lineRule="auto"/>
        <w:jc w:val="both"/>
      </w:pPr>
      <w:proofErr w:type="gramStart"/>
      <w:r>
        <w:t>Porter, M.E. (1979) 'How competitive forces shape strategy', Harvard Business Review, 57(2), pp. 137–145.</w:t>
      </w:r>
      <w:proofErr w:type="gramEnd"/>
    </w:p>
    <w:p w:rsidR="00056D13" w:rsidRDefault="00413F54">
      <w:pPr>
        <w:spacing w:after="160" w:line="276" w:lineRule="auto"/>
        <w:jc w:val="both"/>
      </w:pPr>
      <w:r>
        <w:t>Porter, M.E. (1985) Competitive Advantage: Creating and Sustaining Superior Performance. New York: Free Press.</w:t>
      </w:r>
    </w:p>
    <w:p w:rsidR="00056D13" w:rsidRDefault="00413F54">
      <w:pPr>
        <w:spacing w:after="160" w:line="276" w:lineRule="auto"/>
        <w:jc w:val="both"/>
      </w:pPr>
      <w:r>
        <w:t>Porter, M.E. and Kramer, M.R. (2011) 'Creating shared value', Harvard Business Review, 89(1/2), pp. 62–77.</w:t>
      </w:r>
    </w:p>
    <w:p w:rsidR="00056D13" w:rsidRDefault="00413F54">
      <w:pPr>
        <w:spacing w:after="160" w:line="276" w:lineRule="auto"/>
        <w:jc w:val="both"/>
      </w:pPr>
      <w:proofErr w:type="gramStart"/>
      <w:r>
        <w:t>Reuters (2025) 'Amazon to invest $54 billion in Britain over next three years', CNBC, 24 June.</w:t>
      </w:r>
      <w:proofErr w:type="gramEnd"/>
      <w:r>
        <w:t xml:space="preserve"> Available at: https://www.cnbc.com/2025/06/24/amazon-to-invest-40-billion-in-the-uk-over-next-three-years.</w:t>
      </w:r>
      <w:r w:rsidR="0037017D">
        <w:t xml:space="preserve">html </w:t>
      </w:r>
    </w:p>
    <w:p w:rsidR="00056D13" w:rsidRDefault="00413F54">
      <w:pPr>
        <w:spacing w:after="160" w:line="276" w:lineRule="auto"/>
        <w:jc w:val="both"/>
      </w:pPr>
      <w:r>
        <w:t xml:space="preserve">Retail Gazette (2025) 'Amazon launches cut-price Haul offer to lure UK shoppers from </w:t>
      </w:r>
      <w:proofErr w:type="spellStart"/>
      <w:r>
        <w:t>Temu</w:t>
      </w:r>
      <w:proofErr w:type="spellEnd"/>
      <w:r>
        <w:t>', Retail Gazette, 7 May. Available at: https://www.retailgazette.co.uk/blog/2025/05/amazon-</w:t>
      </w:r>
      <w:r w:rsidR="0037017D">
        <w:t xml:space="preserve">haul-uk/ </w:t>
      </w:r>
    </w:p>
    <w:p w:rsidR="00056D13" w:rsidRDefault="00413F54">
      <w:pPr>
        <w:spacing w:after="160" w:line="276" w:lineRule="auto"/>
        <w:jc w:val="both"/>
      </w:pPr>
      <w:proofErr w:type="spellStart"/>
      <w:proofErr w:type="gramStart"/>
      <w:r>
        <w:lastRenderedPageBreak/>
        <w:t>Statista</w:t>
      </w:r>
      <w:proofErr w:type="spellEnd"/>
      <w:r>
        <w:t xml:space="preserve"> (2026) UK: Top Online Stores 2025, by E-Commerce Net Sales.</w:t>
      </w:r>
      <w:proofErr w:type="gramEnd"/>
      <w:r>
        <w:t xml:space="preserve"> Available at: https://www.statista.com/statistics/870307/united-kingdom-top-online-stores-united-kingdom-ecommerc</w:t>
      </w:r>
      <w:r w:rsidR="0037017D">
        <w:t xml:space="preserve">edb/ </w:t>
      </w:r>
    </w:p>
    <w:p w:rsidR="00056D13" w:rsidRDefault="00413F54">
      <w:pPr>
        <w:spacing w:after="160" w:line="276" w:lineRule="auto"/>
        <w:jc w:val="both"/>
      </w:pPr>
      <w:r>
        <w:t>UK Parliament, Business and Trade Committee (2024) Make Work Pay: Employment Rights Bill – Oral Evidence Session with Amazon, BAE Systems, Jaguar Land Rover, GMB and TUC, 17 December. Available at: https://committees.parliament.uk/event/22713/formal-meeting-or</w:t>
      </w:r>
      <w:r w:rsidR="0037017D">
        <w:t xml:space="preserve">al-evidence-session/ </w:t>
      </w:r>
    </w:p>
    <w:p w:rsidR="00056D13" w:rsidRDefault="00413F54">
      <w:pPr>
        <w:spacing w:after="160" w:line="276" w:lineRule="auto"/>
        <w:jc w:val="both"/>
      </w:pPr>
      <w:r>
        <w:t xml:space="preserve">UK Government (2025) Amazon Announces Planned £40 Billion Investment in the UK. </w:t>
      </w:r>
      <w:proofErr w:type="gramStart"/>
      <w:r>
        <w:t>About Amazon UK, 24 June.</w:t>
      </w:r>
      <w:proofErr w:type="gramEnd"/>
      <w:r>
        <w:t xml:space="preserve"> Available at: https://www.aboutamazon.co.uk/news/job-creation-and-investment/amazon-40-billion-uk-inv</w:t>
      </w:r>
      <w:r w:rsidR="0037017D">
        <w:t xml:space="preserve">estment </w:t>
      </w:r>
    </w:p>
    <w:sectPr w:rsidR="00056D13">
      <w:headerReference w:type="default" r:id="rId12"/>
      <w:footerReference w:type="default" r:id="rId13"/>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54DD" w:rsidRDefault="00B254DD">
      <w:r>
        <w:separator/>
      </w:r>
    </w:p>
  </w:endnote>
  <w:endnote w:type="continuationSeparator" w:id="0">
    <w:p w:rsidR="00B254DD" w:rsidRDefault="00B25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56D13" w:rsidRDefault="00413F54">
    <w:pPr>
      <w:jc w:val="center"/>
    </w:pPr>
    <w:r>
      <w:rPr>
        <w:color w:val="595959"/>
        <w:sz w:val="16"/>
        <w:szCs w:val="16"/>
      </w:rPr>
      <w:t xml:space="preserve">Page </w:t>
    </w:r>
    <w:r>
      <w:rPr>
        <w:color w:val="595959"/>
        <w:sz w:val="16"/>
        <w:szCs w:val="16"/>
      </w:rPr>
      <w:fldChar w:fldCharType="begin"/>
    </w:r>
    <w:r>
      <w:rPr>
        <w:color w:val="595959"/>
        <w:sz w:val="16"/>
        <w:szCs w:val="16"/>
      </w:rPr>
      <w:instrText>PAGE</w:instrText>
    </w:r>
    <w:r>
      <w:rPr>
        <w:color w:val="595959"/>
        <w:sz w:val="16"/>
        <w:szCs w:val="16"/>
      </w:rPr>
      <w:fldChar w:fldCharType="separate"/>
    </w:r>
    <w:r w:rsidR="00A74FD1">
      <w:rPr>
        <w:noProof/>
        <w:color w:val="595959"/>
        <w:sz w:val="16"/>
        <w:szCs w:val="16"/>
      </w:rPr>
      <w:t>15</w:t>
    </w:r>
    <w:r>
      <w:rPr>
        <w:color w:val="595959"/>
        <w:sz w:val="16"/>
        <w:szCs w:val="16"/>
      </w:rPr>
      <w:fldChar w:fldCharType="end"/>
    </w:r>
    <w:r>
      <w:rPr>
        <w:color w:val="595959"/>
        <w:sz w:val="16"/>
        <w:szCs w:val="16"/>
      </w:rPr>
      <w:t xml:space="preserve"> of </w:t>
    </w:r>
    <w:r>
      <w:rPr>
        <w:color w:val="595959"/>
        <w:sz w:val="16"/>
        <w:szCs w:val="16"/>
      </w:rPr>
      <w:fldChar w:fldCharType="begin"/>
    </w:r>
    <w:r>
      <w:rPr>
        <w:color w:val="595959"/>
        <w:sz w:val="16"/>
        <w:szCs w:val="16"/>
      </w:rPr>
      <w:instrText>NUMPAGES</w:instrText>
    </w:r>
    <w:r>
      <w:rPr>
        <w:color w:val="595959"/>
        <w:sz w:val="16"/>
        <w:szCs w:val="16"/>
      </w:rPr>
      <w:fldChar w:fldCharType="separate"/>
    </w:r>
    <w:r w:rsidR="00A74FD1">
      <w:rPr>
        <w:noProof/>
        <w:color w:val="595959"/>
        <w:sz w:val="16"/>
        <w:szCs w:val="16"/>
      </w:rPr>
      <w:t>15</w:t>
    </w:r>
    <w:r>
      <w:rPr>
        <w:color w:val="595959"/>
        <w:sz w:val="16"/>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54DD" w:rsidRDefault="00B254DD">
      <w:r>
        <w:separator/>
      </w:r>
    </w:p>
  </w:footnote>
  <w:footnote w:type="continuationSeparator" w:id="0">
    <w:p w:rsidR="00B254DD" w:rsidRDefault="00B254D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56D13" w:rsidRDefault="00056D13">
    <w:pP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6A2D50"/>
    <w:multiLevelType w:val="hybridMultilevel"/>
    <w:tmpl w:val="FDDC6742"/>
    <w:lvl w:ilvl="0" w:tplc="E2160950">
      <w:start w:val="1"/>
      <w:numFmt w:val="bullet"/>
      <w:lvlText w:val="•"/>
      <w:lvlJc w:val="left"/>
      <w:pPr>
        <w:ind w:left="420" w:hanging="260"/>
      </w:pPr>
    </w:lvl>
    <w:lvl w:ilvl="1" w:tplc="8618F0B2">
      <w:numFmt w:val="decimal"/>
      <w:lvlText w:val=""/>
      <w:lvlJc w:val="left"/>
    </w:lvl>
    <w:lvl w:ilvl="2" w:tplc="63D0A1B4">
      <w:numFmt w:val="decimal"/>
      <w:lvlText w:val=""/>
      <w:lvlJc w:val="left"/>
    </w:lvl>
    <w:lvl w:ilvl="3" w:tplc="E59C4DD8">
      <w:numFmt w:val="decimal"/>
      <w:lvlText w:val=""/>
      <w:lvlJc w:val="left"/>
    </w:lvl>
    <w:lvl w:ilvl="4" w:tplc="EB2A3C92">
      <w:numFmt w:val="decimal"/>
      <w:lvlText w:val=""/>
      <w:lvlJc w:val="left"/>
    </w:lvl>
    <w:lvl w:ilvl="5" w:tplc="38A68C7C">
      <w:numFmt w:val="decimal"/>
      <w:lvlText w:val=""/>
      <w:lvlJc w:val="left"/>
    </w:lvl>
    <w:lvl w:ilvl="6" w:tplc="13E45804">
      <w:numFmt w:val="decimal"/>
      <w:lvlText w:val=""/>
      <w:lvlJc w:val="left"/>
    </w:lvl>
    <w:lvl w:ilvl="7" w:tplc="E41A3DE4">
      <w:numFmt w:val="decimal"/>
      <w:lvlText w:val=""/>
      <w:lvlJc w:val="left"/>
    </w:lvl>
    <w:lvl w:ilvl="8" w:tplc="DB84E320">
      <w:numFmt w:val="decimal"/>
      <w:lvlText w:val=""/>
      <w:lvlJc w:val="left"/>
    </w:lvl>
  </w:abstractNum>
  <w:abstractNum w:abstractNumId="1">
    <w:nsid w:val="7E7B1691"/>
    <w:multiLevelType w:val="hybridMultilevel"/>
    <w:tmpl w:val="CE48542A"/>
    <w:lvl w:ilvl="0" w:tplc="5880945E">
      <w:start w:val="1"/>
      <w:numFmt w:val="bullet"/>
      <w:lvlText w:val="●"/>
      <w:lvlJc w:val="left"/>
      <w:pPr>
        <w:ind w:left="720" w:hanging="360"/>
      </w:pPr>
    </w:lvl>
    <w:lvl w:ilvl="1" w:tplc="88661786">
      <w:start w:val="1"/>
      <w:numFmt w:val="bullet"/>
      <w:lvlText w:val="○"/>
      <w:lvlJc w:val="left"/>
      <w:pPr>
        <w:ind w:left="1440" w:hanging="360"/>
      </w:pPr>
    </w:lvl>
    <w:lvl w:ilvl="2" w:tplc="C7C08708">
      <w:start w:val="1"/>
      <w:numFmt w:val="bullet"/>
      <w:lvlText w:val="■"/>
      <w:lvlJc w:val="left"/>
      <w:pPr>
        <w:ind w:left="2160" w:hanging="360"/>
      </w:pPr>
    </w:lvl>
    <w:lvl w:ilvl="3" w:tplc="D71286A8">
      <w:start w:val="1"/>
      <w:numFmt w:val="bullet"/>
      <w:lvlText w:val="●"/>
      <w:lvlJc w:val="left"/>
      <w:pPr>
        <w:ind w:left="2880" w:hanging="360"/>
      </w:pPr>
    </w:lvl>
    <w:lvl w:ilvl="4" w:tplc="3AF080FE">
      <w:start w:val="1"/>
      <w:numFmt w:val="bullet"/>
      <w:lvlText w:val="○"/>
      <w:lvlJc w:val="left"/>
      <w:pPr>
        <w:ind w:left="3600" w:hanging="360"/>
      </w:pPr>
    </w:lvl>
    <w:lvl w:ilvl="5" w:tplc="2CB443AE">
      <w:start w:val="1"/>
      <w:numFmt w:val="bullet"/>
      <w:lvlText w:val="■"/>
      <w:lvlJc w:val="left"/>
      <w:pPr>
        <w:ind w:left="4320" w:hanging="360"/>
      </w:pPr>
    </w:lvl>
    <w:lvl w:ilvl="6" w:tplc="D878F9B4">
      <w:start w:val="1"/>
      <w:numFmt w:val="bullet"/>
      <w:lvlText w:val="●"/>
      <w:lvlJc w:val="left"/>
      <w:pPr>
        <w:ind w:left="5040" w:hanging="360"/>
      </w:pPr>
    </w:lvl>
    <w:lvl w:ilvl="7" w:tplc="3314EB60">
      <w:start w:val="1"/>
      <w:numFmt w:val="bullet"/>
      <w:lvlText w:val="●"/>
      <w:lvlJc w:val="left"/>
      <w:pPr>
        <w:ind w:left="5760" w:hanging="360"/>
      </w:pPr>
    </w:lvl>
    <w:lvl w:ilvl="8" w:tplc="6488539C">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056D13"/>
    <w:rsid w:val="00056D13"/>
    <w:rsid w:val="0037017D"/>
    <w:rsid w:val="00413F54"/>
    <w:rsid w:val="005404EB"/>
    <w:rsid w:val="009B37B7"/>
    <w:rsid w:val="00A74FD1"/>
    <w:rsid w:val="00B254DD"/>
    <w:rsid w:val="00DA4D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37017D"/>
    <w:rPr>
      <w:rFonts w:ascii="Tahoma" w:hAnsi="Tahoma" w:cs="Tahoma"/>
      <w:sz w:val="16"/>
      <w:szCs w:val="16"/>
    </w:rPr>
  </w:style>
  <w:style w:type="character" w:customStyle="1" w:styleId="BalloonTextChar">
    <w:name w:val="Balloon Text Char"/>
    <w:basedOn w:val="DefaultParagraphFont"/>
    <w:link w:val="BalloonText"/>
    <w:uiPriority w:val="99"/>
    <w:semiHidden/>
    <w:rsid w:val="0037017D"/>
    <w:rPr>
      <w:rFonts w:ascii="Tahoma" w:hAnsi="Tahoma" w:cs="Tahoma"/>
      <w:sz w:val="16"/>
      <w:szCs w:val="16"/>
    </w:rPr>
  </w:style>
  <w:style w:type="paragraph" w:styleId="Header">
    <w:name w:val="header"/>
    <w:basedOn w:val="Normal"/>
    <w:link w:val="HeaderChar"/>
    <w:uiPriority w:val="99"/>
    <w:unhideWhenUsed/>
    <w:rsid w:val="005404EB"/>
    <w:pPr>
      <w:tabs>
        <w:tab w:val="center" w:pos="4513"/>
        <w:tab w:val="right" w:pos="9026"/>
      </w:tabs>
    </w:pPr>
  </w:style>
  <w:style w:type="character" w:customStyle="1" w:styleId="HeaderChar">
    <w:name w:val="Header Char"/>
    <w:basedOn w:val="DefaultParagraphFont"/>
    <w:link w:val="Header"/>
    <w:uiPriority w:val="99"/>
    <w:rsid w:val="005404EB"/>
  </w:style>
  <w:style w:type="paragraph" w:styleId="Footer">
    <w:name w:val="footer"/>
    <w:basedOn w:val="Normal"/>
    <w:link w:val="FooterChar"/>
    <w:uiPriority w:val="99"/>
    <w:unhideWhenUsed/>
    <w:rsid w:val="005404EB"/>
    <w:pPr>
      <w:tabs>
        <w:tab w:val="center" w:pos="4513"/>
        <w:tab w:val="right" w:pos="9026"/>
      </w:tabs>
    </w:pPr>
  </w:style>
  <w:style w:type="character" w:customStyle="1" w:styleId="FooterChar">
    <w:name w:val="Footer Char"/>
    <w:basedOn w:val="DefaultParagraphFont"/>
    <w:link w:val="Footer"/>
    <w:uiPriority w:val="99"/>
    <w:rsid w:val="005404E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37017D"/>
    <w:rPr>
      <w:rFonts w:ascii="Tahoma" w:hAnsi="Tahoma" w:cs="Tahoma"/>
      <w:sz w:val="16"/>
      <w:szCs w:val="16"/>
    </w:rPr>
  </w:style>
  <w:style w:type="character" w:customStyle="1" w:styleId="BalloonTextChar">
    <w:name w:val="Balloon Text Char"/>
    <w:basedOn w:val="DefaultParagraphFont"/>
    <w:link w:val="BalloonText"/>
    <w:uiPriority w:val="99"/>
    <w:semiHidden/>
    <w:rsid w:val="0037017D"/>
    <w:rPr>
      <w:rFonts w:ascii="Tahoma" w:hAnsi="Tahoma" w:cs="Tahoma"/>
      <w:sz w:val="16"/>
      <w:szCs w:val="16"/>
    </w:rPr>
  </w:style>
  <w:style w:type="paragraph" w:styleId="Header">
    <w:name w:val="header"/>
    <w:basedOn w:val="Normal"/>
    <w:link w:val="HeaderChar"/>
    <w:uiPriority w:val="99"/>
    <w:unhideWhenUsed/>
    <w:rsid w:val="005404EB"/>
    <w:pPr>
      <w:tabs>
        <w:tab w:val="center" w:pos="4513"/>
        <w:tab w:val="right" w:pos="9026"/>
      </w:tabs>
    </w:pPr>
  </w:style>
  <w:style w:type="character" w:customStyle="1" w:styleId="HeaderChar">
    <w:name w:val="Header Char"/>
    <w:basedOn w:val="DefaultParagraphFont"/>
    <w:link w:val="Header"/>
    <w:uiPriority w:val="99"/>
    <w:rsid w:val="005404EB"/>
  </w:style>
  <w:style w:type="paragraph" w:styleId="Footer">
    <w:name w:val="footer"/>
    <w:basedOn w:val="Normal"/>
    <w:link w:val="FooterChar"/>
    <w:uiPriority w:val="99"/>
    <w:unhideWhenUsed/>
    <w:rsid w:val="005404EB"/>
    <w:pPr>
      <w:tabs>
        <w:tab w:val="center" w:pos="4513"/>
        <w:tab w:val="right" w:pos="9026"/>
      </w:tabs>
    </w:pPr>
  </w:style>
  <w:style w:type="character" w:customStyle="1" w:styleId="FooterChar">
    <w:name w:val="Footer Char"/>
    <w:basedOn w:val="DefaultParagraphFont"/>
    <w:link w:val="Footer"/>
    <w:uiPriority w:val="99"/>
    <w:rsid w:val="00540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12A098-CE03-43CF-AD48-0C6C786EA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5757</Words>
  <Characters>32816</Characters>
  <Application>Microsoft Office Word</Application>
  <DocSecurity>0</DocSecurity>
  <Lines>273</Lines>
  <Paragraphs>76</Paragraphs>
  <ScaleCrop>false</ScaleCrop>
  <Company/>
  <LinksUpToDate>false</LinksUpToDate>
  <CharactersWithSpaces>38497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rahul parmar</cp:lastModifiedBy>
  <cp:revision>8</cp:revision>
  <dcterms:created xsi:type="dcterms:W3CDTF">2026-08-11T08:28:00Z</dcterms:created>
  <dcterms:modified xsi:type="dcterms:W3CDTF">2026-08-12T01:08:00Z</dcterms:modified>
</cp:coreProperties>
</file>