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C860B4" w14:textId="77777777" w:rsidR="008136EF" w:rsidRDefault="00622F6E">
      <w:pPr>
        <w:rPr>
          <w:rFonts w:cs="Times New Roman"/>
          <w:szCs w:val="24"/>
        </w:rPr>
      </w:pPr>
      <w:r>
        <w:rPr>
          <w:noProof/>
          <w:lang w:val="en-GB" w:eastAsia="en-GB"/>
        </w:rPr>
        <w:drawing>
          <wp:inline distT="0" distB="0" distL="0" distR="0" wp14:anchorId="279AF7E8" wp14:editId="0BFB1541">
            <wp:extent cx="3154680" cy="1234440"/>
            <wp:effectExtent l="0" t="0" r="7620" b="0"/>
            <wp:docPr id="842155684"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155684" name="Picture 1" descr="Discove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3178247" cy="1243662"/>
                    </a:xfrm>
                    <a:prstGeom prst="rect">
                      <a:avLst/>
                    </a:prstGeom>
                    <a:noFill/>
                    <a:ln>
                      <a:noFill/>
                    </a:ln>
                  </pic:spPr>
                </pic:pic>
              </a:graphicData>
            </a:graphic>
          </wp:inline>
        </w:drawing>
      </w:r>
    </w:p>
    <w:p w14:paraId="3B26A3B1" w14:textId="77777777" w:rsidR="008136EF" w:rsidRDefault="008136EF">
      <w:pPr>
        <w:rPr>
          <w:rFonts w:cs="Times New Roman"/>
          <w:szCs w:val="24"/>
        </w:rPr>
      </w:pPr>
    </w:p>
    <w:p w14:paraId="636FE737" w14:textId="77777777" w:rsidR="008136EF" w:rsidRDefault="008136EF">
      <w:pPr>
        <w:rPr>
          <w:rFonts w:cs="Times New Roman"/>
          <w:szCs w:val="24"/>
        </w:rPr>
      </w:pPr>
    </w:p>
    <w:p w14:paraId="215E4DA5" w14:textId="77777777" w:rsidR="008136EF" w:rsidRDefault="008136EF">
      <w:pPr>
        <w:rPr>
          <w:rFonts w:cs="Times New Roman"/>
          <w:szCs w:val="24"/>
        </w:rPr>
      </w:pPr>
    </w:p>
    <w:p w14:paraId="4FC8EEDD" w14:textId="77777777" w:rsidR="008136EF" w:rsidRPr="008136EF" w:rsidRDefault="008136EF">
      <w:pPr>
        <w:rPr>
          <w:rFonts w:cs="Times New Roman"/>
          <w:sz w:val="40"/>
          <w:szCs w:val="40"/>
        </w:rPr>
      </w:pPr>
    </w:p>
    <w:p w14:paraId="5D4D1FED" w14:textId="77777777" w:rsidR="008136EF" w:rsidRDefault="008136EF">
      <w:pPr>
        <w:rPr>
          <w:rFonts w:ascii="Arial" w:hAnsi="Arial" w:cs="Arial"/>
          <w:szCs w:val="24"/>
          <w:u w:val="single"/>
        </w:rPr>
      </w:pPr>
      <w:r>
        <w:rPr>
          <w:rFonts w:ascii="Arial" w:hAnsi="Arial" w:cs="Arial"/>
          <w:sz w:val="40"/>
          <w:szCs w:val="40"/>
        </w:rPr>
        <w:t xml:space="preserve">                 </w:t>
      </w:r>
      <w:r w:rsidRPr="008136EF">
        <w:rPr>
          <w:rFonts w:ascii="Arial" w:hAnsi="Arial" w:cs="Arial"/>
          <w:sz w:val="40"/>
          <w:szCs w:val="40"/>
          <w:u w:val="single"/>
        </w:rPr>
        <w:t>Global Business Environment</w:t>
      </w:r>
    </w:p>
    <w:p w14:paraId="410FBC89" w14:textId="77777777" w:rsidR="008136EF" w:rsidRPr="008136EF" w:rsidRDefault="008136EF">
      <w:pPr>
        <w:rPr>
          <w:rFonts w:ascii="Arial" w:hAnsi="Arial" w:cs="Arial"/>
          <w:sz w:val="22"/>
        </w:rPr>
      </w:pPr>
      <w:r>
        <w:rPr>
          <w:rFonts w:ascii="Arial" w:hAnsi="Arial" w:cs="Arial"/>
          <w:szCs w:val="24"/>
        </w:rPr>
        <w:t xml:space="preserve">                                                   </w:t>
      </w:r>
      <w:r w:rsidRPr="008136EF">
        <w:rPr>
          <w:rFonts w:ascii="Arial" w:hAnsi="Arial" w:cs="Arial"/>
          <w:sz w:val="22"/>
        </w:rPr>
        <w:t>Component 1: Individual Essay</w:t>
      </w:r>
    </w:p>
    <w:p w14:paraId="6ECBF24A" w14:textId="77777777" w:rsidR="008136EF" w:rsidRDefault="008136EF">
      <w:pPr>
        <w:rPr>
          <w:rFonts w:ascii="Arial" w:hAnsi="Arial" w:cs="Arial"/>
          <w:sz w:val="22"/>
        </w:rPr>
      </w:pPr>
      <w:r>
        <w:rPr>
          <w:rFonts w:ascii="Arial" w:hAnsi="Arial" w:cs="Arial"/>
          <w:sz w:val="22"/>
        </w:rPr>
        <w:t xml:space="preserve">           </w:t>
      </w:r>
      <w:r w:rsidRPr="008136EF">
        <w:rPr>
          <w:rFonts w:ascii="Arial" w:hAnsi="Arial" w:cs="Arial"/>
          <w:sz w:val="22"/>
        </w:rPr>
        <w:t>Module code and name: LCBB4010_BIRM: Global Business Environment</w:t>
      </w:r>
    </w:p>
    <w:p w14:paraId="2375C135" w14:textId="77777777" w:rsidR="008136EF" w:rsidRDefault="008136EF">
      <w:pPr>
        <w:rPr>
          <w:rFonts w:ascii="Arial" w:hAnsi="Arial" w:cs="Arial"/>
          <w:sz w:val="22"/>
        </w:rPr>
      </w:pPr>
    </w:p>
    <w:p w14:paraId="4B0E30C8" w14:textId="77777777" w:rsidR="008136EF" w:rsidRDefault="008136EF">
      <w:pPr>
        <w:rPr>
          <w:rFonts w:ascii="Arial" w:hAnsi="Arial" w:cs="Arial"/>
          <w:sz w:val="22"/>
        </w:rPr>
      </w:pPr>
    </w:p>
    <w:p w14:paraId="67C0867A" w14:textId="77777777" w:rsidR="008136EF" w:rsidRDefault="008136EF">
      <w:pPr>
        <w:rPr>
          <w:rFonts w:ascii="Arial" w:hAnsi="Arial" w:cs="Arial"/>
          <w:sz w:val="22"/>
        </w:rPr>
      </w:pPr>
    </w:p>
    <w:p w14:paraId="29FDEA1E" w14:textId="77777777" w:rsidR="008136EF" w:rsidRDefault="008136EF">
      <w:pPr>
        <w:rPr>
          <w:rFonts w:ascii="Arial" w:hAnsi="Arial" w:cs="Arial"/>
          <w:sz w:val="22"/>
        </w:rPr>
      </w:pPr>
    </w:p>
    <w:p w14:paraId="03F04103" w14:textId="77777777" w:rsidR="008136EF" w:rsidRDefault="008136EF">
      <w:pPr>
        <w:rPr>
          <w:rFonts w:ascii="Arial" w:hAnsi="Arial" w:cs="Arial"/>
          <w:sz w:val="22"/>
        </w:rPr>
      </w:pPr>
    </w:p>
    <w:p w14:paraId="496D51E2" w14:textId="0D0B4204" w:rsidR="008136EF" w:rsidRDefault="008136EF">
      <w:pPr>
        <w:rPr>
          <w:rFonts w:ascii="Arial" w:hAnsi="Arial" w:cs="Arial"/>
          <w:sz w:val="22"/>
        </w:rPr>
      </w:pPr>
      <w:r>
        <w:rPr>
          <w:rFonts w:ascii="Arial" w:hAnsi="Arial" w:cs="Arial"/>
          <w:sz w:val="22"/>
        </w:rPr>
        <w:t>Student Name: Maria-Magdalena Tanase</w:t>
      </w:r>
    </w:p>
    <w:p w14:paraId="43AEC83B" w14:textId="6D4B7E56" w:rsidR="008136EF" w:rsidRDefault="008136EF">
      <w:pPr>
        <w:rPr>
          <w:rFonts w:ascii="Arial" w:hAnsi="Arial" w:cs="Arial"/>
          <w:sz w:val="22"/>
        </w:rPr>
      </w:pPr>
      <w:r>
        <w:rPr>
          <w:rFonts w:ascii="Arial" w:hAnsi="Arial" w:cs="Arial"/>
          <w:sz w:val="22"/>
        </w:rPr>
        <w:t>Student Number: 2310348</w:t>
      </w:r>
    </w:p>
    <w:p w14:paraId="279AF7C2" w14:textId="4C1B29FC" w:rsidR="00DC7419" w:rsidRPr="008136EF" w:rsidRDefault="008136EF">
      <w:pPr>
        <w:rPr>
          <w:rFonts w:ascii="Arial" w:hAnsi="Arial" w:cs="Arial"/>
          <w:sz w:val="22"/>
          <w:u w:val="single"/>
        </w:rPr>
      </w:pPr>
      <w:r>
        <w:rPr>
          <w:rFonts w:ascii="Arial" w:hAnsi="Arial" w:cs="Arial"/>
          <w:sz w:val="22"/>
        </w:rPr>
        <w:t>Lecturer Name: Abdi Rahman</w:t>
      </w:r>
      <w:r w:rsidR="00622F6E" w:rsidRPr="008136EF">
        <w:rPr>
          <w:rFonts w:ascii="Arial" w:hAnsi="Arial" w:cs="Arial"/>
          <w:sz w:val="22"/>
          <w:u w:val="single"/>
        </w:rPr>
        <w:br w:type="page"/>
      </w:r>
    </w:p>
    <w:p w14:paraId="39AA4221" w14:textId="77777777" w:rsidR="008136EF" w:rsidRDefault="008136EF">
      <w:pPr>
        <w:rPr>
          <w:rFonts w:cs="Times New Roman"/>
          <w:szCs w:val="24"/>
        </w:rPr>
      </w:pPr>
    </w:p>
    <w:sdt>
      <w:sdtPr>
        <w:rPr>
          <w:rFonts w:ascii="Times New Roman" w:eastAsiaTheme="minorHAnsi" w:hAnsi="Times New Roman" w:cstheme="minorBidi"/>
          <w:b w:val="0"/>
          <w:bCs w:val="0"/>
          <w:color w:val="auto"/>
          <w:sz w:val="20"/>
          <w:szCs w:val="22"/>
          <w:lang w:eastAsia="en-US"/>
        </w:rPr>
        <w:id w:val="-419024874"/>
        <w:docPartObj>
          <w:docPartGallery w:val="Table of Contents"/>
          <w:docPartUnique/>
        </w:docPartObj>
      </w:sdtPr>
      <w:sdtEndPr>
        <w:rPr>
          <w:noProof/>
          <w:sz w:val="24"/>
        </w:rPr>
      </w:sdtEndPr>
      <w:sdtContent>
        <w:p w14:paraId="6D4AAB29" w14:textId="02AF4865" w:rsidR="008136EF" w:rsidRDefault="00295C9E" w:rsidP="008136EF">
          <w:pPr>
            <w:pStyle w:val="TOCHeading"/>
            <w:rPr>
              <w:rFonts w:ascii="Arial" w:hAnsi="Arial" w:cs="Arial"/>
            </w:rPr>
          </w:pPr>
          <w:r w:rsidRPr="008136EF">
            <w:rPr>
              <w:rFonts w:ascii="Arial" w:hAnsi="Arial" w:cs="Arial"/>
            </w:rPr>
            <w:t>Table of Contents</w:t>
          </w:r>
        </w:p>
        <w:p w14:paraId="7F798521" w14:textId="77777777" w:rsidR="008136EF" w:rsidRPr="008136EF" w:rsidRDefault="008136EF" w:rsidP="008136EF">
          <w:pPr>
            <w:rPr>
              <w:lang w:eastAsia="ja-JP"/>
            </w:rPr>
          </w:pPr>
        </w:p>
        <w:p w14:paraId="279AF7C4" w14:textId="78C6A6BC" w:rsidR="00295C9E" w:rsidRPr="008136EF" w:rsidRDefault="00295C9E" w:rsidP="00295C9E">
          <w:pPr>
            <w:pStyle w:val="TOC1"/>
            <w:tabs>
              <w:tab w:val="right" w:leader="dot" w:pos="9350"/>
            </w:tabs>
            <w:spacing w:line="360" w:lineRule="auto"/>
            <w:jc w:val="both"/>
            <w:rPr>
              <w:rFonts w:ascii="Arial" w:hAnsi="Arial" w:cs="Arial"/>
              <w:noProof/>
              <w:sz w:val="22"/>
            </w:rPr>
          </w:pPr>
          <w:r w:rsidRPr="008136EF">
            <w:rPr>
              <w:rFonts w:ascii="Arial" w:hAnsi="Arial" w:cs="Arial"/>
              <w:sz w:val="22"/>
            </w:rPr>
            <w:fldChar w:fldCharType="begin"/>
          </w:r>
          <w:r w:rsidRPr="008136EF">
            <w:rPr>
              <w:rFonts w:ascii="Arial" w:hAnsi="Arial" w:cs="Arial"/>
              <w:sz w:val="22"/>
            </w:rPr>
            <w:instrText xml:space="preserve"> TOC \o "1-3" \h \z \u </w:instrText>
          </w:r>
          <w:r w:rsidRPr="008136EF">
            <w:rPr>
              <w:rFonts w:ascii="Arial" w:hAnsi="Arial" w:cs="Arial"/>
              <w:sz w:val="22"/>
            </w:rPr>
            <w:fldChar w:fldCharType="separate"/>
          </w:r>
          <w:r w:rsidR="006E1400">
            <w:rPr>
              <w:rFonts w:ascii="Arial" w:hAnsi="Arial" w:cs="Arial"/>
              <w:sz w:val="22"/>
            </w:rPr>
            <w:t>Introduction……………………………………………………………………………………………….2</w:t>
          </w:r>
        </w:p>
        <w:p w14:paraId="279AF7C5" w14:textId="1250A75A" w:rsidR="00295C9E" w:rsidRPr="008136EF" w:rsidRDefault="006E1400" w:rsidP="00295C9E">
          <w:pPr>
            <w:pStyle w:val="TOC1"/>
            <w:tabs>
              <w:tab w:val="right" w:leader="dot" w:pos="9350"/>
            </w:tabs>
            <w:spacing w:line="360" w:lineRule="auto"/>
            <w:jc w:val="both"/>
            <w:rPr>
              <w:rFonts w:ascii="Arial" w:hAnsi="Arial" w:cs="Arial"/>
              <w:noProof/>
              <w:sz w:val="22"/>
            </w:rPr>
          </w:pPr>
          <w:r>
            <w:rPr>
              <w:rFonts w:ascii="Arial" w:hAnsi="Arial" w:cs="Arial"/>
              <w:sz w:val="22"/>
            </w:rPr>
            <w:t>Main Body…………………………………………………………………………………………………3</w:t>
          </w:r>
        </w:p>
        <w:p w14:paraId="279AF7C6" w14:textId="1C2D14AF" w:rsidR="00295C9E" w:rsidRPr="008136EF" w:rsidRDefault="006E1400" w:rsidP="00295C9E">
          <w:pPr>
            <w:pStyle w:val="TOC1"/>
            <w:tabs>
              <w:tab w:val="right" w:leader="dot" w:pos="9350"/>
            </w:tabs>
            <w:spacing w:line="360" w:lineRule="auto"/>
            <w:jc w:val="both"/>
            <w:rPr>
              <w:rFonts w:ascii="Arial" w:hAnsi="Arial" w:cs="Arial"/>
              <w:noProof/>
              <w:sz w:val="22"/>
            </w:rPr>
          </w:pPr>
          <w:r>
            <w:rPr>
              <w:rFonts w:ascii="Arial" w:hAnsi="Arial" w:cs="Arial"/>
              <w:sz w:val="22"/>
            </w:rPr>
            <w:t>Conclusion………………………………………………………………………………………………</w:t>
          </w:r>
          <w:r w:rsidR="00D8057D">
            <w:rPr>
              <w:rFonts w:ascii="Arial" w:hAnsi="Arial" w:cs="Arial"/>
              <w:sz w:val="22"/>
            </w:rPr>
            <w:t>...</w:t>
          </w:r>
          <w:r>
            <w:rPr>
              <w:rFonts w:ascii="Arial" w:hAnsi="Arial" w:cs="Arial"/>
              <w:sz w:val="22"/>
            </w:rPr>
            <w:t>7</w:t>
          </w:r>
        </w:p>
        <w:p w14:paraId="279AF7C7" w14:textId="72C5D62E" w:rsidR="00295C9E" w:rsidRPr="008136EF" w:rsidRDefault="006E1400" w:rsidP="00295C9E">
          <w:pPr>
            <w:pStyle w:val="TOC1"/>
            <w:tabs>
              <w:tab w:val="right" w:leader="dot" w:pos="9350"/>
            </w:tabs>
            <w:spacing w:line="360" w:lineRule="auto"/>
            <w:jc w:val="both"/>
            <w:rPr>
              <w:rFonts w:ascii="Arial" w:hAnsi="Arial" w:cs="Arial"/>
              <w:noProof/>
              <w:sz w:val="22"/>
            </w:rPr>
          </w:pPr>
          <w:r>
            <w:rPr>
              <w:rFonts w:ascii="Arial" w:hAnsi="Arial" w:cs="Arial"/>
              <w:sz w:val="22"/>
            </w:rPr>
            <w:t>Reference………………………………………………………………………………………………….8</w:t>
          </w:r>
        </w:p>
        <w:p w14:paraId="279AF7C8" w14:textId="77777777" w:rsidR="00295C9E" w:rsidRPr="00295C9E" w:rsidRDefault="00295C9E" w:rsidP="00295C9E">
          <w:pPr>
            <w:spacing w:line="360" w:lineRule="auto"/>
            <w:jc w:val="both"/>
            <w:rPr>
              <w:sz w:val="24"/>
            </w:rPr>
          </w:pPr>
          <w:r w:rsidRPr="008136EF">
            <w:rPr>
              <w:rFonts w:ascii="Arial" w:hAnsi="Arial" w:cs="Arial"/>
              <w:b/>
              <w:bCs/>
              <w:noProof/>
              <w:sz w:val="22"/>
            </w:rPr>
            <w:fldChar w:fldCharType="end"/>
          </w:r>
        </w:p>
      </w:sdtContent>
    </w:sdt>
    <w:p w14:paraId="279AF7C9" w14:textId="77777777" w:rsidR="00295C9E" w:rsidRDefault="00295C9E">
      <w:pPr>
        <w:spacing w:after="0" w:line="240" w:lineRule="auto"/>
        <w:rPr>
          <w:rFonts w:eastAsiaTheme="majorEastAsia" w:cs="Times New Roman"/>
          <w:b/>
          <w:bCs/>
          <w:color w:val="000000" w:themeColor="text1"/>
          <w:sz w:val="24"/>
          <w:szCs w:val="24"/>
        </w:rPr>
      </w:pPr>
      <w:r>
        <w:br w:type="page"/>
      </w:r>
    </w:p>
    <w:p w14:paraId="279AF7CA" w14:textId="77777777" w:rsidR="00DC7419" w:rsidRPr="00A94104" w:rsidRDefault="00622F6E" w:rsidP="00295C9E">
      <w:pPr>
        <w:pStyle w:val="Heading1"/>
        <w:rPr>
          <w:rFonts w:ascii="Arial" w:hAnsi="Arial" w:cs="Arial"/>
          <w:sz w:val="22"/>
          <w:szCs w:val="22"/>
        </w:rPr>
      </w:pPr>
      <w:bookmarkStart w:id="0" w:name="_Toc171521129"/>
      <w:r w:rsidRPr="00A94104">
        <w:rPr>
          <w:rFonts w:ascii="Arial" w:hAnsi="Arial" w:cs="Arial"/>
          <w:sz w:val="22"/>
          <w:szCs w:val="22"/>
        </w:rPr>
        <w:lastRenderedPageBreak/>
        <w:t>Introduction</w:t>
      </w:r>
      <w:bookmarkEnd w:id="0"/>
    </w:p>
    <w:p w14:paraId="279AF7CB" w14:textId="7FAF03C4" w:rsidR="00DC7419" w:rsidRPr="00A94104" w:rsidRDefault="00622F6E">
      <w:pPr>
        <w:spacing w:line="360" w:lineRule="auto"/>
        <w:jc w:val="both"/>
        <w:rPr>
          <w:rFonts w:ascii="Arial" w:hAnsi="Arial" w:cs="Arial"/>
          <w:sz w:val="22"/>
          <w:u w:val="single"/>
        </w:rPr>
      </w:pPr>
      <w:r w:rsidRPr="00A94104">
        <w:rPr>
          <w:rFonts w:ascii="Arial" w:hAnsi="Arial" w:cs="Arial"/>
          <w:sz w:val="22"/>
        </w:rPr>
        <w:t>The global business environment refers to a varied and integrated international mar</w:t>
      </w:r>
      <w:r w:rsidR="00295C9E" w:rsidRPr="00A94104">
        <w:rPr>
          <w:rFonts w:ascii="Arial" w:hAnsi="Arial" w:cs="Arial"/>
          <w:sz w:val="22"/>
        </w:rPr>
        <w:t xml:space="preserve">ket. Large transnational </w:t>
      </w:r>
      <w:r w:rsidR="00A94104" w:rsidRPr="00A94104">
        <w:rPr>
          <w:rFonts w:ascii="Arial" w:hAnsi="Arial" w:cs="Arial"/>
          <w:sz w:val="22"/>
        </w:rPr>
        <w:t>organizations</w:t>
      </w:r>
      <w:r w:rsidRPr="00A94104">
        <w:rPr>
          <w:rFonts w:ascii="Arial" w:hAnsi="Arial" w:cs="Arial"/>
          <w:sz w:val="22"/>
        </w:rPr>
        <w:t xml:space="preserve"> are evolving and operating the goods manufacture, supply of raw materials, and advertising activities (Neilson </w:t>
      </w:r>
      <w:r w:rsidRPr="00A94104">
        <w:rPr>
          <w:rFonts w:ascii="Arial" w:hAnsi="Arial" w:cs="Arial"/>
          <w:i/>
          <w:iCs/>
          <w:sz w:val="22"/>
        </w:rPr>
        <w:t xml:space="preserve">et al., </w:t>
      </w:r>
      <w:r w:rsidRPr="00A94104">
        <w:rPr>
          <w:rFonts w:ascii="Arial" w:hAnsi="Arial" w:cs="Arial"/>
          <w:sz w:val="22"/>
        </w:rPr>
        <w:t>2020. p.105045).</w:t>
      </w:r>
    </w:p>
    <w:p w14:paraId="279AF7CC" w14:textId="77777777" w:rsidR="00DC7419" w:rsidRPr="00A94104" w:rsidRDefault="00622F6E">
      <w:pPr>
        <w:spacing w:line="360" w:lineRule="auto"/>
        <w:jc w:val="both"/>
        <w:rPr>
          <w:rFonts w:ascii="Arial" w:hAnsi="Arial" w:cs="Arial"/>
          <w:sz w:val="22"/>
        </w:rPr>
      </w:pPr>
      <w:r w:rsidRPr="00A94104">
        <w:rPr>
          <w:rFonts w:ascii="Arial" w:hAnsi="Arial" w:cs="Arial"/>
          <w:sz w:val="22"/>
        </w:rPr>
        <w:t>PESTLE analysis makes a key premeditated structure castoff to recognize and appraise the peripheral macro-environmental features that can influence the administration's operations. The PESTLE analysis mnemonic stands for Political, Economic, Sociological, Technological, Legal, and Environmental aspects. Accepting these features is important for the trades as it benefits in being familiar with potential opportunities and threats, accustomed to variations, and creating knowledgeable tactical decisions. Considerate these features are vital for classifying opportunities, alleviating or reducing risks, and building up-to-date choices.</w:t>
      </w:r>
    </w:p>
    <w:p w14:paraId="279AF7CD" w14:textId="3C29C3D8" w:rsidR="00DC7419" w:rsidRDefault="00727174">
      <w:pPr>
        <w:spacing w:line="360" w:lineRule="auto"/>
        <w:jc w:val="both"/>
        <w:rPr>
          <w:rFonts w:ascii="Arial" w:hAnsi="Arial" w:cs="Arial"/>
          <w:sz w:val="22"/>
        </w:rPr>
      </w:pPr>
      <w:r w:rsidRPr="00A94104">
        <w:rPr>
          <w:rFonts w:ascii="Arial" w:hAnsi="Arial" w:cs="Arial"/>
          <w:sz w:val="22"/>
        </w:rPr>
        <w:t xml:space="preserve">The essay </w:t>
      </w:r>
      <w:r w:rsidR="00622F6E" w:rsidRPr="00A94104">
        <w:rPr>
          <w:rFonts w:ascii="Arial" w:hAnsi="Arial" w:cs="Arial"/>
          <w:sz w:val="22"/>
        </w:rPr>
        <w:t xml:space="preserve">will delve into every single PESTLE factor, by providing thorough descriptions and examples to exemplify their importance in persuading commercial surroundings and strategies. This examination will highlight the reputation of bearing in mind these exterior impacts in the strategic scheduling and decision-making procedures (Green </w:t>
      </w:r>
      <w:r w:rsidR="00622F6E" w:rsidRPr="00A94104">
        <w:rPr>
          <w:rFonts w:ascii="Arial" w:hAnsi="Arial" w:cs="Arial"/>
          <w:i/>
          <w:iCs/>
          <w:sz w:val="22"/>
        </w:rPr>
        <w:t>et al.,</w:t>
      </w:r>
      <w:r w:rsidR="00622F6E" w:rsidRPr="00A94104">
        <w:rPr>
          <w:rFonts w:ascii="Arial" w:hAnsi="Arial" w:cs="Arial"/>
          <w:sz w:val="22"/>
        </w:rPr>
        <w:t xml:space="preserve"> 2022. p.10575).</w:t>
      </w:r>
    </w:p>
    <w:p w14:paraId="307D77C4" w14:textId="77777777" w:rsidR="00A94104" w:rsidRDefault="00A94104">
      <w:pPr>
        <w:spacing w:line="360" w:lineRule="auto"/>
        <w:jc w:val="both"/>
        <w:rPr>
          <w:rFonts w:ascii="Arial" w:hAnsi="Arial" w:cs="Arial"/>
          <w:sz w:val="22"/>
        </w:rPr>
      </w:pPr>
    </w:p>
    <w:p w14:paraId="38053504" w14:textId="77777777" w:rsidR="00A94104" w:rsidRDefault="00A94104">
      <w:pPr>
        <w:spacing w:line="360" w:lineRule="auto"/>
        <w:jc w:val="both"/>
        <w:rPr>
          <w:rFonts w:ascii="Arial" w:hAnsi="Arial" w:cs="Arial"/>
          <w:sz w:val="22"/>
        </w:rPr>
      </w:pPr>
    </w:p>
    <w:p w14:paraId="7E232F0B" w14:textId="77777777" w:rsidR="00A94104" w:rsidRDefault="00A94104">
      <w:pPr>
        <w:spacing w:line="360" w:lineRule="auto"/>
        <w:jc w:val="both"/>
        <w:rPr>
          <w:rFonts w:ascii="Arial" w:hAnsi="Arial" w:cs="Arial"/>
          <w:sz w:val="22"/>
        </w:rPr>
      </w:pPr>
    </w:p>
    <w:p w14:paraId="77F277C1" w14:textId="77777777" w:rsidR="00A94104" w:rsidRDefault="00A94104">
      <w:pPr>
        <w:spacing w:line="360" w:lineRule="auto"/>
        <w:jc w:val="both"/>
        <w:rPr>
          <w:rFonts w:ascii="Arial" w:hAnsi="Arial" w:cs="Arial"/>
          <w:sz w:val="22"/>
        </w:rPr>
      </w:pPr>
    </w:p>
    <w:p w14:paraId="0A9AAB86" w14:textId="77777777" w:rsidR="00A94104" w:rsidRDefault="00A94104">
      <w:pPr>
        <w:spacing w:line="360" w:lineRule="auto"/>
        <w:jc w:val="both"/>
        <w:rPr>
          <w:rFonts w:ascii="Arial" w:hAnsi="Arial" w:cs="Arial"/>
          <w:sz w:val="22"/>
        </w:rPr>
      </w:pPr>
    </w:p>
    <w:p w14:paraId="1FFB4EFF" w14:textId="77777777" w:rsidR="00A94104" w:rsidRDefault="00A94104">
      <w:pPr>
        <w:spacing w:line="360" w:lineRule="auto"/>
        <w:jc w:val="both"/>
        <w:rPr>
          <w:rFonts w:ascii="Arial" w:hAnsi="Arial" w:cs="Arial"/>
          <w:sz w:val="22"/>
        </w:rPr>
      </w:pPr>
    </w:p>
    <w:p w14:paraId="429F7682" w14:textId="77777777" w:rsidR="00A94104" w:rsidRDefault="00A94104">
      <w:pPr>
        <w:spacing w:line="360" w:lineRule="auto"/>
        <w:jc w:val="both"/>
        <w:rPr>
          <w:rFonts w:ascii="Arial" w:hAnsi="Arial" w:cs="Arial"/>
          <w:sz w:val="22"/>
        </w:rPr>
      </w:pPr>
    </w:p>
    <w:p w14:paraId="5E01492F" w14:textId="77777777" w:rsidR="00A94104" w:rsidRDefault="00A94104">
      <w:pPr>
        <w:spacing w:line="360" w:lineRule="auto"/>
        <w:jc w:val="both"/>
        <w:rPr>
          <w:rFonts w:ascii="Arial" w:hAnsi="Arial" w:cs="Arial"/>
          <w:sz w:val="22"/>
        </w:rPr>
      </w:pPr>
    </w:p>
    <w:p w14:paraId="7D4A0E93" w14:textId="77777777" w:rsidR="00A94104" w:rsidRDefault="00A94104">
      <w:pPr>
        <w:spacing w:line="360" w:lineRule="auto"/>
        <w:jc w:val="both"/>
        <w:rPr>
          <w:rFonts w:ascii="Arial" w:hAnsi="Arial" w:cs="Arial"/>
          <w:sz w:val="22"/>
        </w:rPr>
      </w:pPr>
    </w:p>
    <w:p w14:paraId="5B5421E7" w14:textId="77777777" w:rsidR="00A94104" w:rsidRDefault="00A94104">
      <w:pPr>
        <w:spacing w:line="360" w:lineRule="auto"/>
        <w:jc w:val="both"/>
        <w:rPr>
          <w:rFonts w:ascii="Arial" w:hAnsi="Arial" w:cs="Arial"/>
          <w:sz w:val="22"/>
        </w:rPr>
      </w:pPr>
    </w:p>
    <w:p w14:paraId="0AE5936E" w14:textId="77777777" w:rsidR="00A94104" w:rsidRPr="00A94104" w:rsidRDefault="00A94104">
      <w:pPr>
        <w:spacing w:line="360" w:lineRule="auto"/>
        <w:jc w:val="both"/>
        <w:rPr>
          <w:rFonts w:ascii="Arial" w:hAnsi="Arial" w:cs="Arial"/>
          <w:sz w:val="22"/>
          <w:u w:val="single"/>
        </w:rPr>
      </w:pPr>
    </w:p>
    <w:p w14:paraId="279AF7CF" w14:textId="3C29C3D8" w:rsidR="00DC7419" w:rsidRPr="00A94104" w:rsidRDefault="00622F6E">
      <w:pPr>
        <w:pStyle w:val="Heading1"/>
        <w:rPr>
          <w:rFonts w:ascii="Arial" w:hAnsi="Arial" w:cs="Arial"/>
          <w:sz w:val="22"/>
          <w:szCs w:val="22"/>
        </w:rPr>
      </w:pPr>
      <w:bookmarkStart w:id="1" w:name="_Toc171521130"/>
      <w:r w:rsidRPr="00A94104">
        <w:rPr>
          <w:rFonts w:ascii="Arial" w:hAnsi="Arial" w:cs="Arial"/>
          <w:sz w:val="22"/>
          <w:szCs w:val="22"/>
        </w:rPr>
        <w:lastRenderedPageBreak/>
        <w:t>Main Body</w:t>
      </w:r>
      <w:bookmarkEnd w:id="1"/>
      <w:r w:rsidRPr="00A94104">
        <w:rPr>
          <w:rFonts w:ascii="Arial" w:hAnsi="Arial" w:cs="Arial"/>
          <w:sz w:val="22"/>
          <w:szCs w:val="22"/>
        </w:rPr>
        <w:t xml:space="preserve"> </w:t>
      </w:r>
    </w:p>
    <w:p w14:paraId="279AF7D0" w14:textId="7AB00000" w:rsidR="00DC7419" w:rsidRPr="00A94104" w:rsidRDefault="00622F6E">
      <w:pPr>
        <w:spacing w:line="360" w:lineRule="auto"/>
        <w:jc w:val="both"/>
        <w:rPr>
          <w:rFonts w:ascii="Arial" w:hAnsi="Arial" w:cs="Arial"/>
          <w:sz w:val="22"/>
        </w:rPr>
      </w:pPr>
      <w:r w:rsidRPr="00A94104">
        <w:rPr>
          <w:rFonts w:ascii="Arial" w:hAnsi="Arial" w:cs="Arial"/>
          <w:spacing w:val="2"/>
          <w:sz w:val="22"/>
          <w:shd w:val="clear" w:color="auto" w:fill="FFFFFF"/>
        </w:rPr>
        <w:t xml:space="preserve">Understanding the </w:t>
      </w:r>
      <w:r w:rsidR="00A94104">
        <w:rPr>
          <w:rFonts w:ascii="Arial" w:hAnsi="Arial" w:cs="Arial"/>
          <w:spacing w:val="2"/>
          <w:sz w:val="22"/>
          <w:shd w:val="clear" w:color="auto" w:fill="FFFFFF"/>
        </w:rPr>
        <w:t>g</w:t>
      </w:r>
      <w:r w:rsidRPr="00A94104">
        <w:rPr>
          <w:rFonts w:ascii="Arial" w:hAnsi="Arial" w:cs="Arial"/>
          <w:spacing w:val="2"/>
          <w:sz w:val="22"/>
          <w:shd w:val="clear" w:color="auto" w:fill="FFFFFF"/>
        </w:rPr>
        <w:t>lobal market environment is decisive for all businesses to flourish</w:t>
      </w:r>
      <w:r w:rsidR="00A94104">
        <w:rPr>
          <w:rFonts w:ascii="Arial" w:hAnsi="Arial" w:cs="Arial"/>
          <w:spacing w:val="2"/>
          <w:sz w:val="22"/>
          <w:shd w:val="clear" w:color="auto" w:fill="FFFFFF"/>
        </w:rPr>
        <w:t>, i</w:t>
      </w:r>
      <w:r w:rsidRPr="00A94104">
        <w:rPr>
          <w:rFonts w:ascii="Arial" w:hAnsi="Arial" w:cs="Arial"/>
          <w:spacing w:val="2"/>
          <w:sz w:val="22"/>
          <w:shd w:val="clear" w:color="auto" w:fill="FFFFFF"/>
        </w:rPr>
        <w:t xml:space="preserve">n addition, PESTLE analysis suggests an inclusive instrument designed for this purpose. This premeditated structure supports firms in India and globally by assessing numerous exterior factors that may perhaps affect their operations. </w:t>
      </w:r>
      <w:r w:rsidRPr="00A94104">
        <w:rPr>
          <w:rFonts w:ascii="Arial" w:hAnsi="Arial" w:cs="Arial"/>
          <w:sz w:val="22"/>
        </w:rPr>
        <w:t xml:space="preserve">PESTLE analysis has 6 components and each one of them plays a central role in determining the business environment. Every component of this framework allows the </w:t>
      </w:r>
      <w:r w:rsidR="00A94104" w:rsidRPr="00A94104">
        <w:rPr>
          <w:rFonts w:ascii="Arial" w:hAnsi="Arial" w:cs="Arial"/>
          <w:sz w:val="22"/>
        </w:rPr>
        <w:t>organizations</w:t>
      </w:r>
      <w:r w:rsidRPr="00A94104">
        <w:rPr>
          <w:rFonts w:ascii="Arial" w:hAnsi="Arial" w:cs="Arial"/>
          <w:sz w:val="22"/>
        </w:rPr>
        <w:t xml:space="preserve"> to evaluate the dissimilar macro-environmental factors which can affect their planning and operational decision.</w:t>
      </w:r>
    </w:p>
    <w:p w14:paraId="279AF7D1" w14:textId="2AA06DA2" w:rsidR="00DC7419" w:rsidRPr="00A94104" w:rsidRDefault="00622F6E">
      <w:pPr>
        <w:spacing w:line="360" w:lineRule="auto"/>
        <w:jc w:val="both"/>
        <w:rPr>
          <w:rFonts w:ascii="Arial" w:hAnsi="Arial" w:cs="Arial"/>
          <w:sz w:val="22"/>
        </w:rPr>
      </w:pPr>
      <w:r w:rsidRPr="00A94104">
        <w:rPr>
          <w:rFonts w:ascii="Arial" w:hAnsi="Arial" w:cs="Arial"/>
          <w:sz w:val="22"/>
        </w:rPr>
        <w:t xml:space="preserve">Political factors incorporate various government rules, steadiness, employment principles, and political stability, </w:t>
      </w:r>
      <w:r w:rsidRPr="00A94104">
        <w:rPr>
          <w:rFonts w:ascii="Arial" w:hAnsi="Arial" w:cs="Arial"/>
          <w:spacing w:val="2"/>
          <w:sz w:val="22"/>
          <w:shd w:val="clear" w:color="auto" w:fill="FFFFFF"/>
        </w:rPr>
        <w:t xml:space="preserve">which expressively influence commercial procedures </w:t>
      </w:r>
      <w:r w:rsidRPr="00A94104">
        <w:rPr>
          <w:rFonts w:ascii="Arial" w:hAnsi="Arial" w:cs="Arial"/>
          <w:sz w:val="22"/>
        </w:rPr>
        <w:t>(Katz</w:t>
      </w:r>
      <w:r w:rsidRPr="00A94104">
        <w:rPr>
          <w:rFonts w:ascii="Arial" w:hAnsi="Arial" w:cs="Arial"/>
          <w:i/>
          <w:iCs/>
          <w:sz w:val="22"/>
        </w:rPr>
        <w:t xml:space="preserve"> et al.</w:t>
      </w:r>
      <w:r w:rsidRPr="00A94104">
        <w:rPr>
          <w:rFonts w:ascii="Arial" w:hAnsi="Arial" w:cs="Arial"/>
          <w:sz w:val="22"/>
        </w:rPr>
        <w:t>, 2020. p.49)</w:t>
      </w:r>
      <w:r w:rsidRPr="00A94104">
        <w:rPr>
          <w:rFonts w:ascii="Arial" w:hAnsi="Arial" w:cs="Arial"/>
          <w:spacing w:val="2"/>
          <w:sz w:val="22"/>
          <w:shd w:val="clear" w:color="auto" w:fill="FFFFFF"/>
        </w:rPr>
        <w:t>. These aspects comprise of the trade revenue system, financial policies, trade heated discussion, and antitrust acts. The political weather can differ using elections, foremost due to uncertainties in these parts.</w:t>
      </w:r>
      <w:r w:rsidRPr="00A94104">
        <w:rPr>
          <w:rFonts w:ascii="Arial" w:hAnsi="Arial" w:cs="Arial"/>
          <w:sz w:val="22"/>
        </w:rPr>
        <w:t xml:space="preserve"> Fluctuations in taxation policies can meaningfully influence businesses' success and speculation choices. Political uncertainty in a province can interrupt supply chains and procedures, affecting business endurance. Here are some examples of </w:t>
      </w:r>
      <w:r w:rsidR="00A94104">
        <w:rPr>
          <w:rFonts w:ascii="Arial" w:hAnsi="Arial" w:cs="Arial"/>
          <w:sz w:val="22"/>
        </w:rPr>
        <w:t>p</w:t>
      </w:r>
      <w:r w:rsidRPr="00A94104">
        <w:rPr>
          <w:rFonts w:ascii="Arial" w:hAnsi="Arial" w:cs="Arial"/>
          <w:sz w:val="22"/>
        </w:rPr>
        <w:t>olitical Factors:</w:t>
      </w:r>
    </w:p>
    <w:p w14:paraId="3112A3AE" w14:textId="77777777" w:rsidR="00A94104" w:rsidRDefault="00622F6E">
      <w:pPr>
        <w:spacing w:line="360" w:lineRule="auto"/>
        <w:jc w:val="both"/>
        <w:rPr>
          <w:rFonts w:ascii="Arial" w:hAnsi="Arial" w:cs="Arial"/>
          <w:sz w:val="22"/>
        </w:rPr>
      </w:pPr>
      <w:r w:rsidRPr="00A94104">
        <w:rPr>
          <w:rFonts w:ascii="Arial" w:hAnsi="Arial" w:cs="Arial"/>
          <w:b/>
          <w:bCs/>
          <w:sz w:val="22"/>
        </w:rPr>
        <w:t xml:space="preserve">Trade barriers </w:t>
      </w:r>
      <w:r w:rsidRPr="00A94104">
        <w:rPr>
          <w:rFonts w:ascii="Arial" w:hAnsi="Arial" w:cs="Arial"/>
          <w:sz w:val="22"/>
        </w:rPr>
        <w:t>are how the government protects local businesses from international business competition. Government can generate traffic by applying taxes on international customers, reducing the import of the products of international businesses, and can help to develop support and boost sales in domestic businesses (Narada Gamag</w:t>
      </w:r>
      <w:r w:rsidRPr="00A94104">
        <w:rPr>
          <w:rFonts w:ascii="Arial" w:hAnsi="Arial" w:cs="Arial"/>
          <w:i/>
          <w:iCs/>
          <w:sz w:val="22"/>
        </w:rPr>
        <w:t>e et al</w:t>
      </w:r>
      <w:r w:rsidRPr="00A94104">
        <w:rPr>
          <w:rFonts w:ascii="Arial" w:hAnsi="Arial" w:cs="Arial"/>
          <w:sz w:val="22"/>
        </w:rPr>
        <w:t xml:space="preserve">., 2020. p.79). </w:t>
      </w:r>
    </w:p>
    <w:p w14:paraId="6E4D4C71" w14:textId="77777777" w:rsidR="00A94104" w:rsidRDefault="00622F6E">
      <w:pPr>
        <w:spacing w:line="360" w:lineRule="auto"/>
        <w:jc w:val="both"/>
        <w:rPr>
          <w:rFonts w:ascii="Arial" w:hAnsi="Arial" w:cs="Arial"/>
          <w:sz w:val="22"/>
        </w:rPr>
      </w:pPr>
      <w:r w:rsidRPr="00A94104">
        <w:rPr>
          <w:rFonts w:ascii="Arial" w:hAnsi="Arial" w:cs="Arial"/>
          <w:b/>
          <w:bCs/>
          <w:sz w:val="22"/>
        </w:rPr>
        <w:t>Tax policies</w:t>
      </w:r>
      <w:r w:rsidRPr="00A94104">
        <w:rPr>
          <w:rFonts w:ascii="Arial" w:hAnsi="Arial" w:cs="Arial"/>
          <w:sz w:val="22"/>
        </w:rPr>
        <w:t xml:space="preserve"> can be established by the government that can increase and decrease the tax pay. Every business </w:t>
      </w:r>
      <w:r w:rsidR="00A94104" w:rsidRPr="00A94104">
        <w:rPr>
          <w:rFonts w:ascii="Arial" w:hAnsi="Arial" w:cs="Arial"/>
          <w:sz w:val="22"/>
        </w:rPr>
        <w:t>must</w:t>
      </w:r>
      <w:r w:rsidRPr="00A94104">
        <w:rPr>
          <w:rFonts w:ascii="Arial" w:hAnsi="Arial" w:cs="Arial"/>
          <w:sz w:val="22"/>
        </w:rPr>
        <w:t xml:space="preserve"> follow the tax policies implemented by the government. </w:t>
      </w:r>
    </w:p>
    <w:p w14:paraId="2EE26B5F" w14:textId="798A56A3" w:rsidR="00A94104" w:rsidRDefault="00622F6E">
      <w:pPr>
        <w:spacing w:line="360" w:lineRule="auto"/>
        <w:jc w:val="both"/>
        <w:rPr>
          <w:rFonts w:ascii="Arial" w:hAnsi="Arial" w:cs="Arial"/>
          <w:sz w:val="22"/>
        </w:rPr>
      </w:pPr>
      <w:r w:rsidRPr="00A94104">
        <w:rPr>
          <w:rFonts w:ascii="Arial" w:hAnsi="Arial" w:cs="Arial"/>
          <w:b/>
          <w:bCs/>
          <w:sz w:val="22"/>
        </w:rPr>
        <w:t>The political stability</w:t>
      </w:r>
      <w:r w:rsidRPr="00A94104">
        <w:rPr>
          <w:rFonts w:ascii="Arial" w:hAnsi="Arial" w:cs="Arial"/>
          <w:sz w:val="22"/>
        </w:rPr>
        <w:t xml:space="preserve"> of the government can impact the industry in the country. If any business </w:t>
      </w:r>
      <w:r w:rsidR="009F31CF" w:rsidRPr="00A94104">
        <w:rPr>
          <w:rFonts w:ascii="Arial" w:hAnsi="Arial" w:cs="Arial"/>
          <w:sz w:val="22"/>
        </w:rPr>
        <w:t>protests</w:t>
      </w:r>
      <w:r w:rsidRPr="00A94104">
        <w:rPr>
          <w:rFonts w:ascii="Arial" w:hAnsi="Arial" w:cs="Arial"/>
          <w:sz w:val="22"/>
        </w:rPr>
        <w:t xml:space="preserve"> government regulation, business can be quiet for some time. </w:t>
      </w:r>
    </w:p>
    <w:p w14:paraId="1EEA1A57" w14:textId="77777777" w:rsidR="007041CB" w:rsidRDefault="00622F6E">
      <w:pPr>
        <w:spacing w:line="360" w:lineRule="auto"/>
        <w:jc w:val="both"/>
        <w:rPr>
          <w:rFonts w:ascii="Arial" w:hAnsi="Arial" w:cs="Arial"/>
          <w:sz w:val="22"/>
        </w:rPr>
      </w:pPr>
      <w:r w:rsidRPr="00A94104">
        <w:rPr>
          <w:rFonts w:ascii="Arial" w:hAnsi="Arial" w:cs="Arial"/>
          <w:b/>
          <w:bCs/>
          <w:sz w:val="22"/>
        </w:rPr>
        <w:t>The international relationship</w:t>
      </w:r>
      <w:r w:rsidRPr="00A94104">
        <w:rPr>
          <w:rFonts w:ascii="Arial" w:hAnsi="Arial" w:cs="Arial"/>
          <w:sz w:val="22"/>
        </w:rPr>
        <w:t xml:space="preserve"> between the company can also impact the business. It can directly impact the import and export of the products and services.</w:t>
      </w:r>
    </w:p>
    <w:p w14:paraId="495AC910" w14:textId="77777777" w:rsidR="007041CB" w:rsidRDefault="007041CB">
      <w:pPr>
        <w:spacing w:line="360" w:lineRule="auto"/>
        <w:jc w:val="both"/>
        <w:rPr>
          <w:rFonts w:ascii="Arial" w:hAnsi="Arial" w:cs="Arial"/>
          <w:sz w:val="22"/>
        </w:rPr>
      </w:pPr>
    </w:p>
    <w:p w14:paraId="1EF72267" w14:textId="77777777" w:rsidR="007041CB" w:rsidRDefault="007041CB">
      <w:pPr>
        <w:spacing w:line="360" w:lineRule="auto"/>
        <w:jc w:val="both"/>
        <w:rPr>
          <w:rFonts w:ascii="Arial" w:hAnsi="Arial" w:cs="Arial"/>
          <w:sz w:val="22"/>
        </w:rPr>
      </w:pPr>
    </w:p>
    <w:p w14:paraId="279AF7D2" w14:textId="209C162F" w:rsidR="00DC7419" w:rsidRPr="007041CB" w:rsidRDefault="00622F6E" w:rsidP="007041CB">
      <w:pPr>
        <w:spacing w:line="360" w:lineRule="auto"/>
        <w:jc w:val="both"/>
        <w:rPr>
          <w:rFonts w:ascii="Arial" w:hAnsi="Arial" w:cs="Arial"/>
          <w:sz w:val="22"/>
        </w:rPr>
      </w:pPr>
      <w:r w:rsidRPr="007041CB">
        <w:rPr>
          <w:rFonts w:ascii="Arial" w:hAnsi="Arial" w:cs="Arial"/>
          <w:sz w:val="22"/>
        </w:rPr>
        <w:lastRenderedPageBreak/>
        <w:t xml:space="preserve"> Economic factors comprise inflation tariffs, interchange rates, financial growth, and unemployment levels. Numerous forecasters in the economic service area are likely to cumbersome economic factors in their scrutiny meanwhile they're additional simply enumerated and demonstrated than some of the former aspects in this structure (which are to some extent qualitative in nature) (El </w:t>
      </w:r>
      <w:proofErr w:type="spellStart"/>
      <w:r w:rsidRPr="007041CB">
        <w:rPr>
          <w:rFonts w:ascii="Arial" w:hAnsi="Arial" w:cs="Arial"/>
          <w:sz w:val="22"/>
        </w:rPr>
        <w:t>Bourainy</w:t>
      </w:r>
      <w:proofErr w:type="spellEnd"/>
      <w:r w:rsidRPr="007041CB">
        <w:rPr>
          <w:rFonts w:ascii="Arial" w:hAnsi="Arial" w:cs="Arial"/>
          <w:i/>
          <w:iCs/>
          <w:sz w:val="22"/>
        </w:rPr>
        <w:t xml:space="preserve"> et al.,</w:t>
      </w:r>
      <w:r w:rsidRPr="007041CB">
        <w:rPr>
          <w:rFonts w:ascii="Arial" w:hAnsi="Arial" w:cs="Arial"/>
          <w:sz w:val="22"/>
        </w:rPr>
        <w:t xml:space="preserve"> 2021. p.397). For example, a collapse can </w:t>
      </w:r>
      <w:r w:rsidR="007041CB" w:rsidRPr="007041CB">
        <w:rPr>
          <w:rFonts w:ascii="Arial" w:hAnsi="Arial" w:cs="Arial"/>
          <w:sz w:val="22"/>
        </w:rPr>
        <w:t>led</w:t>
      </w:r>
      <w:r w:rsidRPr="007041CB">
        <w:rPr>
          <w:rFonts w:ascii="Arial" w:hAnsi="Arial" w:cs="Arial"/>
          <w:sz w:val="22"/>
        </w:rPr>
        <w:t xml:space="preserve"> to concentrated consumer expenses, impacting industries transversely various sectors. Exchange rate variations can distress import/export charges and cost-effectiveness. </w:t>
      </w:r>
    </w:p>
    <w:p w14:paraId="2591623E" w14:textId="77777777" w:rsidR="007041CB" w:rsidRDefault="00622F6E" w:rsidP="007041CB">
      <w:pPr>
        <w:spacing w:line="360" w:lineRule="auto"/>
        <w:jc w:val="both"/>
        <w:rPr>
          <w:rFonts w:ascii="Arial" w:hAnsi="Arial" w:cs="Arial"/>
          <w:sz w:val="22"/>
        </w:rPr>
      </w:pPr>
      <w:r w:rsidRPr="007041CB">
        <w:rPr>
          <w:rFonts w:ascii="Arial" w:hAnsi="Arial" w:cs="Arial"/>
          <w:sz w:val="22"/>
        </w:rPr>
        <w:t xml:space="preserve">Social factors are harder to succeed than economic ones. It refers to traditional trends, demographics, daily life trends, and consumer deeds. Social factors might look like a minor deliberation, compared to extra concrete stuff like interest rates or commercial taxation. Even now they might be able to have a disgracefully enormous impact on total manufacturing </w:t>
      </w:r>
      <w:r w:rsidR="007041CB" w:rsidRPr="007041CB">
        <w:rPr>
          <w:rFonts w:ascii="Arial" w:hAnsi="Arial" w:cs="Arial"/>
          <w:sz w:val="22"/>
        </w:rPr>
        <w:t>as recognize</w:t>
      </w:r>
      <w:r w:rsidRPr="007041CB">
        <w:rPr>
          <w:rFonts w:ascii="Arial" w:hAnsi="Arial" w:cs="Arial"/>
          <w:sz w:val="22"/>
        </w:rPr>
        <w:t xml:space="preserve"> them. An example is increasing attention on sustainability, foremost businesses to accept recyclable practices to encounter customer fondness and supervisory necessities.</w:t>
      </w:r>
    </w:p>
    <w:p w14:paraId="279AF7D3" w14:textId="1F0BDFB2" w:rsidR="00DC7419" w:rsidRPr="007041CB" w:rsidRDefault="00622F6E" w:rsidP="007041CB">
      <w:pPr>
        <w:spacing w:line="360" w:lineRule="auto"/>
        <w:jc w:val="both"/>
        <w:rPr>
          <w:rFonts w:ascii="Arial" w:hAnsi="Arial" w:cs="Arial"/>
          <w:sz w:val="22"/>
        </w:rPr>
      </w:pPr>
      <w:r w:rsidRPr="007041CB">
        <w:rPr>
          <w:rFonts w:ascii="Arial" w:hAnsi="Arial" w:cs="Arial"/>
          <w:sz w:val="22"/>
        </w:rPr>
        <w:t xml:space="preserve"> Technological factors include developments, innovation, automation, and digitalization (Litvinenko, </w:t>
      </w:r>
      <w:proofErr w:type="spellStart"/>
      <w:r w:rsidRPr="007041CB">
        <w:rPr>
          <w:rFonts w:ascii="Arial" w:hAnsi="Arial" w:cs="Arial"/>
          <w:sz w:val="22"/>
        </w:rPr>
        <w:t>v.s</w:t>
      </w:r>
      <w:proofErr w:type="spellEnd"/>
      <w:r w:rsidRPr="007041CB">
        <w:rPr>
          <w:rFonts w:ascii="Arial" w:hAnsi="Arial" w:cs="Arial"/>
          <w:sz w:val="22"/>
        </w:rPr>
        <w:t>., 2020. p.1521). For instance, the rise of e-commerce has transformed traditional retail models, requiring businesses to adapt their strategies to online platforms to remain competitive.</w:t>
      </w:r>
    </w:p>
    <w:p w14:paraId="0B700A76" w14:textId="77777777" w:rsidR="007041CB" w:rsidRDefault="00622F6E" w:rsidP="007041CB">
      <w:pPr>
        <w:spacing w:line="360" w:lineRule="auto"/>
        <w:jc w:val="both"/>
        <w:rPr>
          <w:rFonts w:ascii="Arial" w:hAnsi="Arial" w:cs="Arial"/>
          <w:sz w:val="22"/>
        </w:rPr>
      </w:pPr>
      <w:r w:rsidRPr="007041CB">
        <w:rPr>
          <w:rFonts w:ascii="Arial" w:hAnsi="Arial" w:cs="Arial"/>
          <w:sz w:val="22"/>
        </w:rPr>
        <w:t xml:space="preserve">Legal factors encompass laws, regulations, and compliance standards that businesses must adhere to. For example, data protection laws such as GDPR impact how companies handle customer data, requiring robust privacy measures to avoid legal </w:t>
      </w:r>
      <w:r w:rsidR="007041CB" w:rsidRPr="007041CB">
        <w:rPr>
          <w:rFonts w:ascii="Arial" w:hAnsi="Arial" w:cs="Arial"/>
          <w:sz w:val="22"/>
        </w:rPr>
        <w:t xml:space="preserve">consequences. </w:t>
      </w:r>
    </w:p>
    <w:p w14:paraId="279AF7D4" w14:textId="1DB95049" w:rsidR="00DC7419" w:rsidRPr="007041CB" w:rsidRDefault="007041CB" w:rsidP="007041CB">
      <w:pPr>
        <w:spacing w:line="360" w:lineRule="auto"/>
        <w:jc w:val="both"/>
        <w:rPr>
          <w:rFonts w:ascii="Arial" w:hAnsi="Arial" w:cs="Arial"/>
          <w:sz w:val="22"/>
        </w:rPr>
      </w:pPr>
      <w:r w:rsidRPr="007041CB">
        <w:rPr>
          <w:rFonts w:ascii="Arial" w:hAnsi="Arial" w:cs="Arial"/>
          <w:sz w:val="22"/>
        </w:rPr>
        <w:t>Environmental</w:t>
      </w:r>
      <w:r w:rsidR="00622F6E" w:rsidRPr="007041CB">
        <w:rPr>
          <w:rFonts w:ascii="Arial" w:hAnsi="Arial" w:cs="Arial"/>
          <w:sz w:val="22"/>
        </w:rPr>
        <w:t xml:space="preserve"> factors include sustainability practices, climate change, and ecological concerns. Businesses are increasingly focusing on reducing carbon footprints and implementing green initiatives to align with environmental regulations and consumer expectations. By </w:t>
      </w:r>
      <w:r w:rsidRPr="007041CB">
        <w:rPr>
          <w:rFonts w:ascii="Arial" w:hAnsi="Arial" w:cs="Arial"/>
          <w:sz w:val="22"/>
        </w:rPr>
        <w:t>analyzing</w:t>
      </w:r>
      <w:r w:rsidR="00622F6E" w:rsidRPr="007041CB">
        <w:rPr>
          <w:rFonts w:ascii="Arial" w:hAnsi="Arial" w:cs="Arial"/>
          <w:sz w:val="22"/>
        </w:rPr>
        <w:t xml:space="preserve"> and understanding these PESTLE factors, businesses can proactively respond to external influences, mitigate risks, and capitalize on opportunities in the dynamic business landscape.</w:t>
      </w:r>
    </w:p>
    <w:p w14:paraId="6AD88861" w14:textId="77777777" w:rsidR="007041CB" w:rsidRDefault="00622F6E" w:rsidP="007041CB">
      <w:pPr>
        <w:spacing w:line="360" w:lineRule="auto"/>
        <w:jc w:val="both"/>
        <w:rPr>
          <w:rFonts w:ascii="Arial" w:hAnsi="Arial" w:cs="Arial"/>
          <w:sz w:val="22"/>
        </w:rPr>
      </w:pPr>
      <w:r w:rsidRPr="007041CB">
        <w:rPr>
          <w:rFonts w:ascii="Arial" w:hAnsi="Arial" w:cs="Arial"/>
          <w:b/>
          <w:bCs/>
          <w:sz w:val="22"/>
        </w:rPr>
        <w:t>Porter Dimond Model</w:t>
      </w:r>
      <w:r w:rsidRPr="007041CB">
        <w:rPr>
          <w:rFonts w:ascii="Arial" w:hAnsi="Arial" w:cs="Arial"/>
          <w:sz w:val="22"/>
        </w:rPr>
        <w:t xml:space="preserve"> describes about the advantage of competition, that the groups possess baes on the available factors (</w:t>
      </w:r>
      <w:proofErr w:type="spellStart"/>
      <w:r w:rsidRPr="007041CB">
        <w:rPr>
          <w:rFonts w:ascii="Arial" w:hAnsi="Arial" w:cs="Arial"/>
          <w:sz w:val="22"/>
        </w:rPr>
        <w:t>Lipuma</w:t>
      </w:r>
      <w:proofErr w:type="spellEnd"/>
      <w:r w:rsidRPr="007041CB">
        <w:rPr>
          <w:rFonts w:ascii="Arial" w:hAnsi="Arial" w:cs="Arial"/>
          <w:i/>
          <w:iCs/>
          <w:sz w:val="22"/>
        </w:rPr>
        <w:t xml:space="preserve"> et al.,</w:t>
      </w:r>
      <w:r w:rsidRPr="007041CB">
        <w:rPr>
          <w:rFonts w:ascii="Arial" w:hAnsi="Arial" w:cs="Arial"/>
          <w:sz w:val="22"/>
        </w:rPr>
        <w:t xml:space="preserve"> 2022. p.351). This model explains the improvement of a country's position in the global competition and environment. These things are decided by the government. The Porter </w:t>
      </w:r>
      <w:r w:rsidR="007041CB" w:rsidRPr="007041CB">
        <w:rPr>
          <w:rFonts w:ascii="Arial" w:hAnsi="Arial" w:cs="Arial"/>
          <w:sz w:val="22"/>
        </w:rPr>
        <w:t>D</w:t>
      </w:r>
      <w:r w:rsidRPr="007041CB">
        <w:rPr>
          <w:rFonts w:ascii="Arial" w:hAnsi="Arial" w:cs="Arial"/>
          <w:sz w:val="22"/>
        </w:rPr>
        <w:t xml:space="preserve">iamond method visualizes the strategy factors, and structure, related to the industry. This model helps to provide the shape and guidance to operate the national markets. </w:t>
      </w:r>
    </w:p>
    <w:p w14:paraId="68460BD1" w14:textId="77777777" w:rsidR="007041CB" w:rsidRDefault="00622F6E" w:rsidP="007041CB">
      <w:pPr>
        <w:spacing w:line="360" w:lineRule="auto"/>
        <w:jc w:val="both"/>
        <w:rPr>
          <w:rFonts w:ascii="Arial" w:hAnsi="Arial" w:cs="Arial"/>
          <w:sz w:val="22"/>
        </w:rPr>
      </w:pPr>
      <w:r w:rsidRPr="007041CB">
        <w:rPr>
          <w:rFonts w:ascii="Arial" w:hAnsi="Arial" w:cs="Arial"/>
          <w:sz w:val="22"/>
        </w:rPr>
        <w:lastRenderedPageBreak/>
        <w:t xml:space="preserve">Porter Dimond's </w:t>
      </w:r>
      <w:r w:rsidR="007041CB" w:rsidRPr="007041CB">
        <w:rPr>
          <w:rFonts w:ascii="Arial" w:hAnsi="Arial" w:cs="Arial"/>
          <w:sz w:val="22"/>
        </w:rPr>
        <w:t>m</w:t>
      </w:r>
      <w:r w:rsidRPr="007041CB">
        <w:rPr>
          <w:rFonts w:ascii="Arial" w:hAnsi="Arial" w:cs="Arial"/>
          <w:sz w:val="22"/>
        </w:rPr>
        <w:t xml:space="preserve">ethod consists of mainly three factors: </w:t>
      </w:r>
      <w:r w:rsidR="007041CB" w:rsidRPr="007041CB">
        <w:rPr>
          <w:rFonts w:ascii="Arial" w:hAnsi="Arial" w:cs="Arial"/>
          <w:sz w:val="22"/>
        </w:rPr>
        <w:t>f</w:t>
      </w:r>
      <w:r w:rsidRPr="007041CB">
        <w:rPr>
          <w:rFonts w:ascii="Arial" w:hAnsi="Arial" w:cs="Arial"/>
          <w:sz w:val="22"/>
        </w:rPr>
        <w:t xml:space="preserve">actors condition, demand, and supporting </w:t>
      </w:r>
      <w:r w:rsidR="007041CB" w:rsidRPr="007041CB">
        <w:rPr>
          <w:rFonts w:ascii="Arial" w:hAnsi="Arial" w:cs="Arial"/>
          <w:sz w:val="22"/>
        </w:rPr>
        <w:t>organization</w:t>
      </w:r>
      <w:r w:rsidRPr="007041CB">
        <w:rPr>
          <w:rFonts w:ascii="Arial" w:hAnsi="Arial" w:cs="Arial"/>
          <w:sz w:val="22"/>
        </w:rPr>
        <w:t xml:space="preserve">. </w:t>
      </w:r>
    </w:p>
    <w:p w14:paraId="57305F46" w14:textId="1EC8A413" w:rsidR="007041CB" w:rsidRDefault="00622F6E" w:rsidP="007041CB">
      <w:pPr>
        <w:spacing w:line="360" w:lineRule="auto"/>
        <w:jc w:val="both"/>
        <w:rPr>
          <w:rFonts w:ascii="Arial" w:hAnsi="Arial" w:cs="Arial"/>
          <w:sz w:val="22"/>
        </w:rPr>
      </w:pPr>
      <w:r w:rsidRPr="007041CB">
        <w:rPr>
          <w:rFonts w:ascii="Arial" w:hAnsi="Arial" w:cs="Arial"/>
          <w:b/>
          <w:bCs/>
          <w:sz w:val="22"/>
        </w:rPr>
        <w:t>Factor condition</w:t>
      </w:r>
      <w:r w:rsidRPr="007041CB">
        <w:rPr>
          <w:rFonts w:ascii="Arial" w:hAnsi="Arial" w:cs="Arial"/>
          <w:sz w:val="22"/>
        </w:rPr>
        <w:t xml:space="preserve"> refers to the availability of natural resources like oil, gas, etc., and human resources. Some of the countries are rich in natural resources and </w:t>
      </w:r>
      <w:r w:rsidR="007041CB">
        <w:rPr>
          <w:rFonts w:ascii="Arial" w:hAnsi="Arial" w:cs="Arial"/>
          <w:sz w:val="22"/>
        </w:rPr>
        <w:t>h</w:t>
      </w:r>
      <w:r w:rsidRPr="007041CB">
        <w:rPr>
          <w:rFonts w:ascii="Arial" w:hAnsi="Arial" w:cs="Arial"/>
          <w:sz w:val="22"/>
        </w:rPr>
        <w:t>uman resources. If these countries are rich in these resources means they have great infrastructure and solid skills. This infrastructure can help in competitive advantage in the long term.</w:t>
      </w:r>
    </w:p>
    <w:p w14:paraId="279AF7D5" w14:textId="6B6769E5" w:rsidR="00DC7419" w:rsidRPr="007041CB" w:rsidRDefault="00622F6E" w:rsidP="007041CB">
      <w:pPr>
        <w:spacing w:line="360" w:lineRule="auto"/>
        <w:jc w:val="both"/>
        <w:rPr>
          <w:rFonts w:ascii="Arial" w:hAnsi="Arial" w:cs="Arial"/>
          <w:sz w:val="22"/>
        </w:rPr>
      </w:pPr>
      <w:r w:rsidRPr="007041CB">
        <w:rPr>
          <w:rFonts w:ascii="Arial" w:hAnsi="Arial" w:cs="Arial"/>
          <w:sz w:val="22"/>
        </w:rPr>
        <w:t xml:space="preserve"> </w:t>
      </w:r>
      <w:r w:rsidRPr="007041CB">
        <w:rPr>
          <w:rFonts w:ascii="Arial" w:hAnsi="Arial" w:cs="Arial"/>
          <w:b/>
          <w:bCs/>
          <w:sz w:val="22"/>
        </w:rPr>
        <w:t xml:space="preserve">Demand conditions </w:t>
      </w:r>
      <w:r w:rsidRPr="007041CB">
        <w:rPr>
          <w:rFonts w:ascii="Arial" w:hAnsi="Arial" w:cs="Arial"/>
          <w:sz w:val="22"/>
        </w:rPr>
        <w:t>can impact that how industries perform within a certain country (Heffron</w:t>
      </w:r>
      <w:r w:rsidRPr="007041CB">
        <w:rPr>
          <w:rFonts w:ascii="Arial" w:hAnsi="Arial" w:cs="Arial"/>
          <w:i/>
          <w:iCs/>
          <w:sz w:val="22"/>
        </w:rPr>
        <w:t xml:space="preserve"> et al</w:t>
      </w:r>
      <w:r w:rsidRPr="007041CB">
        <w:rPr>
          <w:rFonts w:ascii="Arial" w:hAnsi="Arial" w:cs="Arial"/>
          <w:sz w:val="22"/>
        </w:rPr>
        <w:t xml:space="preserve">., 2020. p.1150). A country that has a large market size of any resources can create more challenges </w:t>
      </w:r>
      <w:r w:rsidR="007041CB" w:rsidRPr="007041CB">
        <w:rPr>
          <w:rFonts w:ascii="Arial" w:hAnsi="Arial" w:cs="Arial"/>
          <w:sz w:val="22"/>
        </w:rPr>
        <w:t>and</w:t>
      </w:r>
      <w:r w:rsidRPr="007041CB">
        <w:rPr>
          <w:rFonts w:ascii="Arial" w:hAnsi="Arial" w:cs="Arial"/>
          <w:sz w:val="22"/>
        </w:rPr>
        <w:t xml:space="preserve"> can create business opportunities with </w:t>
      </w:r>
      <w:r w:rsidR="007041CB" w:rsidRPr="007041CB">
        <w:rPr>
          <w:rFonts w:ascii="Arial" w:hAnsi="Arial" w:cs="Arial"/>
          <w:sz w:val="22"/>
        </w:rPr>
        <w:t>organization</w:t>
      </w:r>
      <w:r w:rsidRPr="007041CB">
        <w:rPr>
          <w:rFonts w:ascii="Arial" w:hAnsi="Arial" w:cs="Arial"/>
          <w:sz w:val="22"/>
        </w:rPr>
        <w:t xml:space="preserve"> growth. The continuous demand can help to grow the company and improve the quality of products. This helps to compete in the international market.</w:t>
      </w:r>
    </w:p>
    <w:p w14:paraId="4B061838" w14:textId="77777777" w:rsidR="007041CB" w:rsidRDefault="00622F6E">
      <w:pPr>
        <w:spacing w:line="360" w:lineRule="auto"/>
        <w:jc w:val="both"/>
        <w:rPr>
          <w:rFonts w:ascii="Arial" w:hAnsi="Arial" w:cs="Arial"/>
          <w:sz w:val="22"/>
        </w:rPr>
      </w:pPr>
      <w:r w:rsidRPr="007041CB">
        <w:rPr>
          <w:rFonts w:ascii="Arial" w:hAnsi="Arial" w:cs="Arial"/>
          <w:b/>
          <w:bCs/>
          <w:sz w:val="22"/>
        </w:rPr>
        <w:t xml:space="preserve">Supporting </w:t>
      </w:r>
      <w:r w:rsidR="007041CB" w:rsidRPr="007041CB">
        <w:rPr>
          <w:rFonts w:ascii="Arial" w:hAnsi="Arial" w:cs="Arial"/>
          <w:b/>
          <w:bCs/>
          <w:sz w:val="22"/>
        </w:rPr>
        <w:t>organization</w:t>
      </w:r>
      <w:r w:rsidRPr="007041CB">
        <w:rPr>
          <w:rFonts w:ascii="Arial" w:hAnsi="Arial" w:cs="Arial"/>
          <w:b/>
          <w:bCs/>
          <w:sz w:val="22"/>
        </w:rPr>
        <w:t xml:space="preserve"> </w:t>
      </w:r>
      <w:r w:rsidRPr="007041CB">
        <w:rPr>
          <w:rFonts w:ascii="Arial" w:hAnsi="Arial" w:cs="Arial"/>
          <w:sz w:val="22"/>
        </w:rPr>
        <w:t xml:space="preserve">help to grow the ecosystem and technology of the industry. It is difficult to grow without any support. The presence of good suppliers can help to develop the companies and can access good quality inputs. </w:t>
      </w:r>
    </w:p>
    <w:p w14:paraId="52C758E0" w14:textId="28C09F1C" w:rsidR="007041CB" w:rsidRDefault="00622F6E">
      <w:pPr>
        <w:spacing w:line="360" w:lineRule="auto"/>
        <w:jc w:val="both"/>
        <w:rPr>
          <w:rFonts w:ascii="Arial" w:hAnsi="Arial" w:cs="Arial"/>
          <w:sz w:val="22"/>
        </w:rPr>
      </w:pPr>
      <w:r w:rsidRPr="007041CB">
        <w:rPr>
          <w:rFonts w:ascii="Arial" w:hAnsi="Arial" w:cs="Arial"/>
          <w:b/>
          <w:bCs/>
          <w:sz w:val="22"/>
        </w:rPr>
        <w:t>The Value Network of the business model</w:t>
      </w:r>
      <w:r w:rsidRPr="007041CB">
        <w:rPr>
          <w:rFonts w:ascii="Arial" w:hAnsi="Arial" w:cs="Arial"/>
          <w:sz w:val="22"/>
        </w:rPr>
        <w:t xml:space="preserve"> refers to the connection between the industry and the people who interact with each other and help to beneficial to the whole group. This network allows people to buy and sell the goods and share the information. It helps to apply the resources and connection of the network to the business.</w:t>
      </w:r>
      <w:r w:rsidR="007041CB">
        <w:rPr>
          <w:rFonts w:ascii="Arial" w:hAnsi="Arial" w:cs="Arial"/>
          <w:sz w:val="22"/>
        </w:rPr>
        <w:t xml:space="preserve"> </w:t>
      </w:r>
      <w:r w:rsidRPr="007041CB">
        <w:rPr>
          <w:rFonts w:ascii="Arial" w:hAnsi="Arial" w:cs="Arial"/>
          <w:sz w:val="22"/>
        </w:rPr>
        <w:t xml:space="preserve">There are mainly four main types of </w:t>
      </w:r>
      <w:r w:rsidR="007041CB">
        <w:rPr>
          <w:rFonts w:ascii="Arial" w:hAnsi="Arial" w:cs="Arial"/>
          <w:sz w:val="22"/>
        </w:rPr>
        <w:t>v</w:t>
      </w:r>
      <w:r w:rsidRPr="007041CB">
        <w:rPr>
          <w:rFonts w:ascii="Arial" w:hAnsi="Arial" w:cs="Arial"/>
          <w:sz w:val="22"/>
        </w:rPr>
        <w:t xml:space="preserve">alue networks that are Clayton Christensen's Network, Fjeldstad and </w:t>
      </w:r>
      <w:r w:rsidR="007041CB" w:rsidRPr="007041CB">
        <w:rPr>
          <w:rFonts w:ascii="Arial" w:hAnsi="Arial" w:cs="Arial"/>
          <w:sz w:val="22"/>
        </w:rPr>
        <w:t>Stab</w:t>
      </w:r>
      <w:r w:rsidR="007041CB">
        <w:rPr>
          <w:rFonts w:ascii="Arial" w:hAnsi="Arial" w:cs="Arial"/>
          <w:sz w:val="22"/>
        </w:rPr>
        <w:t>ell’</w:t>
      </w:r>
      <w:r w:rsidR="007041CB" w:rsidRPr="007041CB">
        <w:rPr>
          <w:rFonts w:ascii="Arial" w:hAnsi="Arial" w:cs="Arial"/>
          <w:sz w:val="22"/>
        </w:rPr>
        <w:t>s</w:t>
      </w:r>
      <w:r w:rsidRPr="007041CB">
        <w:rPr>
          <w:rFonts w:ascii="Arial" w:hAnsi="Arial" w:cs="Arial"/>
          <w:sz w:val="22"/>
        </w:rPr>
        <w:t xml:space="preserve">, Normann and Ramirez constellation, and Verna Allee's. </w:t>
      </w:r>
    </w:p>
    <w:p w14:paraId="7B8B5055" w14:textId="77777777" w:rsidR="006E1400" w:rsidRDefault="00622F6E">
      <w:pPr>
        <w:spacing w:line="360" w:lineRule="auto"/>
        <w:jc w:val="both"/>
        <w:rPr>
          <w:rFonts w:ascii="Arial" w:hAnsi="Arial" w:cs="Arial"/>
          <w:sz w:val="22"/>
        </w:rPr>
      </w:pPr>
      <w:r w:rsidRPr="007041CB">
        <w:rPr>
          <w:rFonts w:ascii="Arial" w:hAnsi="Arial" w:cs="Arial"/>
          <w:b/>
          <w:bCs/>
          <w:sz w:val="22"/>
        </w:rPr>
        <w:t xml:space="preserve">Clayton Christensen Networks </w:t>
      </w:r>
      <w:r w:rsidRPr="007041CB">
        <w:rPr>
          <w:rFonts w:ascii="Arial" w:hAnsi="Arial" w:cs="Arial"/>
          <w:sz w:val="22"/>
        </w:rPr>
        <w:t xml:space="preserve">states that if the relationship already exists and any new relationship enters the groups will shape the current groups or network. It is very difficult to find new ideas and changing implementation for new commerce because new commerce is mostly likely to cooperate end with present groups. </w:t>
      </w:r>
    </w:p>
    <w:p w14:paraId="600746B0" w14:textId="77777777" w:rsidR="006E1400" w:rsidRDefault="00622F6E">
      <w:pPr>
        <w:spacing w:line="360" w:lineRule="auto"/>
        <w:jc w:val="both"/>
        <w:rPr>
          <w:rFonts w:ascii="Arial" w:hAnsi="Arial" w:cs="Arial"/>
          <w:sz w:val="22"/>
        </w:rPr>
      </w:pPr>
      <w:r w:rsidRPr="007041CB">
        <w:rPr>
          <w:rFonts w:ascii="Arial" w:hAnsi="Arial" w:cs="Arial"/>
          <w:b/>
          <w:bCs/>
          <w:sz w:val="22"/>
        </w:rPr>
        <w:t>Fjeldstad and Stabell's network</w:t>
      </w:r>
      <w:r w:rsidRPr="007041CB">
        <w:rPr>
          <w:rFonts w:ascii="Arial" w:hAnsi="Arial" w:cs="Arial"/>
          <w:sz w:val="22"/>
        </w:rPr>
        <w:t xml:space="preserve"> states that the most important parts of the network are the </w:t>
      </w:r>
      <w:r w:rsidR="006E1400">
        <w:rPr>
          <w:rFonts w:ascii="Arial" w:hAnsi="Arial" w:cs="Arial"/>
          <w:sz w:val="22"/>
        </w:rPr>
        <w:t>c</w:t>
      </w:r>
      <w:r w:rsidRPr="007041CB">
        <w:rPr>
          <w:rFonts w:ascii="Arial" w:hAnsi="Arial" w:cs="Arial"/>
          <w:sz w:val="22"/>
        </w:rPr>
        <w:t xml:space="preserve">lient, </w:t>
      </w:r>
      <w:r w:rsidR="006E1400">
        <w:rPr>
          <w:rFonts w:ascii="Arial" w:hAnsi="Arial" w:cs="Arial"/>
          <w:sz w:val="22"/>
        </w:rPr>
        <w:t>s</w:t>
      </w:r>
      <w:r w:rsidRPr="007041CB">
        <w:rPr>
          <w:rFonts w:ascii="Arial" w:hAnsi="Arial" w:cs="Arial"/>
          <w:sz w:val="22"/>
        </w:rPr>
        <w:t xml:space="preserve">ervice, service providers, and contracts. The client is an essential part of the network and is involved in providing value add. </w:t>
      </w:r>
    </w:p>
    <w:p w14:paraId="279AF7D7" w14:textId="42C022E3" w:rsidR="00DC7419" w:rsidRPr="007041CB" w:rsidRDefault="00622F6E">
      <w:pPr>
        <w:spacing w:line="360" w:lineRule="auto"/>
        <w:jc w:val="both"/>
        <w:rPr>
          <w:rFonts w:ascii="Arial" w:hAnsi="Arial" w:cs="Arial"/>
          <w:sz w:val="22"/>
        </w:rPr>
      </w:pPr>
      <w:r w:rsidRPr="007041CB">
        <w:rPr>
          <w:rFonts w:ascii="Arial" w:hAnsi="Arial" w:cs="Arial"/>
          <w:b/>
          <w:bCs/>
          <w:sz w:val="22"/>
        </w:rPr>
        <w:t xml:space="preserve">Normann and Ramirez Constellations </w:t>
      </w:r>
      <w:r w:rsidRPr="007041CB">
        <w:rPr>
          <w:rFonts w:ascii="Arial" w:hAnsi="Arial" w:cs="Arial"/>
          <w:sz w:val="22"/>
        </w:rPr>
        <w:t>state that the network should be in a good setup and can allow continuous improvement. It depends on the people in the network analyzing the present network and look the opening and adding the value.</w:t>
      </w:r>
    </w:p>
    <w:p w14:paraId="279AF7D8" w14:textId="01049B26" w:rsidR="00DC7419" w:rsidRPr="006E1400" w:rsidRDefault="00622F6E" w:rsidP="006E1400">
      <w:pPr>
        <w:spacing w:line="360" w:lineRule="auto"/>
        <w:jc w:val="both"/>
        <w:rPr>
          <w:rFonts w:ascii="Arial" w:hAnsi="Arial" w:cs="Arial"/>
          <w:sz w:val="22"/>
        </w:rPr>
      </w:pPr>
      <w:r w:rsidRPr="006E1400">
        <w:rPr>
          <w:rFonts w:ascii="Arial" w:hAnsi="Arial" w:cs="Arial"/>
          <w:b/>
          <w:bCs/>
          <w:sz w:val="22"/>
        </w:rPr>
        <w:lastRenderedPageBreak/>
        <w:t xml:space="preserve">Verna Alee’s Network </w:t>
      </w:r>
      <w:r w:rsidRPr="006E1400">
        <w:rPr>
          <w:rFonts w:ascii="Arial" w:hAnsi="Arial" w:cs="Arial"/>
          <w:sz w:val="22"/>
        </w:rPr>
        <w:t xml:space="preserve">refers that the network can generate both corporate and noncorporate value and an analysis of network value should be incorporated into all surfaces of the </w:t>
      </w:r>
      <w:r w:rsidR="006E1400" w:rsidRPr="006E1400">
        <w:rPr>
          <w:rFonts w:ascii="Arial" w:hAnsi="Arial" w:cs="Arial"/>
          <w:sz w:val="22"/>
        </w:rPr>
        <w:t>organization</w:t>
      </w:r>
      <w:r w:rsidRPr="006E1400">
        <w:rPr>
          <w:rFonts w:ascii="Arial" w:hAnsi="Arial" w:cs="Arial"/>
          <w:sz w:val="22"/>
        </w:rPr>
        <w:t xml:space="preserve">. The </w:t>
      </w:r>
      <w:r w:rsidR="006E1400" w:rsidRPr="006E1400">
        <w:rPr>
          <w:rFonts w:ascii="Arial" w:hAnsi="Arial" w:cs="Arial"/>
          <w:sz w:val="22"/>
        </w:rPr>
        <w:t>Organization</w:t>
      </w:r>
      <w:r w:rsidRPr="006E1400">
        <w:rPr>
          <w:rFonts w:ascii="Arial" w:hAnsi="Arial" w:cs="Arial"/>
          <w:sz w:val="22"/>
        </w:rPr>
        <w:t xml:space="preserve"> </w:t>
      </w:r>
      <w:r w:rsidR="006E1400" w:rsidRPr="006E1400">
        <w:rPr>
          <w:rFonts w:ascii="Arial" w:hAnsi="Arial" w:cs="Arial"/>
          <w:sz w:val="22"/>
        </w:rPr>
        <w:t>e</w:t>
      </w:r>
      <w:r w:rsidRPr="006E1400">
        <w:rPr>
          <w:rFonts w:ascii="Arial" w:hAnsi="Arial" w:cs="Arial"/>
          <w:sz w:val="22"/>
        </w:rPr>
        <w:t>ngage in international trade because of the import and export of goods and services, the latest technology, skills, and capital (</w:t>
      </w:r>
      <w:proofErr w:type="spellStart"/>
      <w:r w:rsidRPr="006E1400">
        <w:rPr>
          <w:rFonts w:ascii="Arial" w:hAnsi="Arial" w:cs="Arial"/>
          <w:sz w:val="22"/>
        </w:rPr>
        <w:t>Tajoli</w:t>
      </w:r>
      <w:proofErr w:type="spellEnd"/>
      <w:r w:rsidRPr="006E1400">
        <w:rPr>
          <w:rFonts w:ascii="Arial" w:hAnsi="Arial" w:cs="Arial"/>
          <w:sz w:val="22"/>
        </w:rPr>
        <w:t xml:space="preserve"> </w:t>
      </w:r>
      <w:r w:rsidRPr="006E1400">
        <w:rPr>
          <w:rFonts w:ascii="Arial" w:hAnsi="Arial" w:cs="Arial"/>
          <w:i/>
          <w:iCs/>
          <w:sz w:val="22"/>
        </w:rPr>
        <w:t>et al.</w:t>
      </w:r>
      <w:r w:rsidRPr="006E1400">
        <w:rPr>
          <w:rFonts w:ascii="Arial" w:hAnsi="Arial" w:cs="Arial"/>
          <w:sz w:val="22"/>
        </w:rPr>
        <w:t xml:space="preserve">, 2021. p.1-25). Global </w:t>
      </w:r>
      <w:r w:rsidR="006E1400">
        <w:rPr>
          <w:rFonts w:ascii="Arial" w:hAnsi="Arial" w:cs="Arial"/>
          <w:sz w:val="22"/>
        </w:rPr>
        <w:t>a</w:t>
      </w:r>
      <w:r w:rsidRPr="006E1400">
        <w:rPr>
          <w:rFonts w:ascii="Arial" w:hAnsi="Arial" w:cs="Arial"/>
          <w:sz w:val="22"/>
        </w:rPr>
        <w:t xml:space="preserve">ctivities can reach all manner of businesses from sales to development, manufacture, and growth. The </w:t>
      </w:r>
      <w:r w:rsidR="006E1400" w:rsidRPr="006E1400">
        <w:rPr>
          <w:rFonts w:ascii="Arial" w:hAnsi="Arial" w:cs="Arial"/>
          <w:sz w:val="22"/>
        </w:rPr>
        <w:t>organization</w:t>
      </w:r>
      <w:r w:rsidRPr="006E1400">
        <w:rPr>
          <w:rFonts w:ascii="Arial" w:hAnsi="Arial" w:cs="Arial"/>
          <w:sz w:val="22"/>
        </w:rPr>
        <w:t xml:space="preserve"> engages in international trade because of the revenue increase, Competition decrease, management of risk and cash flow, etc. Some of the regions of the </w:t>
      </w:r>
      <w:r w:rsidR="006E1400" w:rsidRPr="006E1400">
        <w:rPr>
          <w:rFonts w:ascii="Arial" w:hAnsi="Arial" w:cs="Arial"/>
          <w:sz w:val="22"/>
        </w:rPr>
        <w:t>organization</w:t>
      </w:r>
      <w:r w:rsidRPr="006E1400">
        <w:rPr>
          <w:rFonts w:ascii="Arial" w:hAnsi="Arial" w:cs="Arial"/>
          <w:sz w:val="22"/>
        </w:rPr>
        <w:t xml:space="preserve"> involved in foreign trade are:</w:t>
      </w:r>
    </w:p>
    <w:p w14:paraId="279AF7D9" w14:textId="235B6628" w:rsidR="00DC7419" w:rsidRPr="006E1400" w:rsidRDefault="00622F6E" w:rsidP="006E1400">
      <w:pPr>
        <w:spacing w:line="360" w:lineRule="auto"/>
        <w:jc w:val="both"/>
        <w:rPr>
          <w:rFonts w:ascii="Arial" w:hAnsi="Arial" w:cs="Arial"/>
          <w:sz w:val="22"/>
        </w:rPr>
      </w:pPr>
      <w:r w:rsidRPr="006E1400">
        <w:rPr>
          <w:rFonts w:ascii="Arial" w:hAnsi="Arial" w:cs="Arial"/>
          <w:b/>
          <w:bCs/>
          <w:sz w:val="22"/>
        </w:rPr>
        <w:t>Import and export</w:t>
      </w:r>
      <w:r w:rsidRPr="006E1400">
        <w:rPr>
          <w:rFonts w:ascii="Arial" w:hAnsi="Arial" w:cs="Arial"/>
          <w:sz w:val="22"/>
        </w:rPr>
        <w:t xml:space="preserve"> of goods and services from one country to another easily. Different countries have different natural and human resources like technology, labor, and capital. At that </w:t>
      </w:r>
      <w:r w:rsidR="006E1400" w:rsidRPr="006E1400">
        <w:rPr>
          <w:rFonts w:ascii="Arial" w:hAnsi="Arial" w:cs="Arial"/>
          <w:sz w:val="22"/>
        </w:rPr>
        <w:t>time,</w:t>
      </w:r>
      <w:r w:rsidRPr="006E1400">
        <w:rPr>
          <w:rFonts w:ascii="Arial" w:hAnsi="Arial" w:cs="Arial"/>
          <w:sz w:val="22"/>
        </w:rPr>
        <w:t xml:space="preserve"> it helps to import resources easily and cheaply from the international market. International trade can reduce the dependencies on the local market, it helps to expand the business and access the goods that are not available in the local market (Lorenzen </w:t>
      </w:r>
      <w:r w:rsidRPr="006E1400">
        <w:rPr>
          <w:rFonts w:ascii="Arial" w:hAnsi="Arial" w:cs="Arial"/>
          <w:i/>
          <w:iCs/>
          <w:sz w:val="22"/>
        </w:rPr>
        <w:t>et al.,</w:t>
      </w:r>
      <w:r w:rsidRPr="006E1400">
        <w:rPr>
          <w:rFonts w:ascii="Arial" w:hAnsi="Arial" w:cs="Arial"/>
          <w:sz w:val="22"/>
        </w:rPr>
        <w:t xml:space="preserve"> 2020. p.1199). The market of international trade is more competitive. So that it helps to buy goods and services at competitive prices and cheap. The </w:t>
      </w:r>
      <w:r w:rsidR="006E1400">
        <w:rPr>
          <w:rFonts w:ascii="Arial" w:hAnsi="Arial" w:cs="Arial"/>
          <w:sz w:val="22"/>
        </w:rPr>
        <w:t>i</w:t>
      </w:r>
      <w:r w:rsidRPr="006E1400">
        <w:rPr>
          <w:rFonts w:ascii="Arial" w:hAnsi="Arial" w:cs="Arial"/>
          <w:sz w:val="22"/>
        </w:rPr>
        <w:t xml:space="preserve">nternational </w:t>
      </w:r>
      <w:r w:rsidR="006E1400">
        <w:rPr>
          <w:rFonts w:ascii="Arial" w:hAnsi="Arial" w:cs="Arial"/>
          <w:sz w:val="22"/>
        </w:rPr>
        <w:t>m</w:t>
      </w:r>
      <w:r w:rsidRPr="006E1400">
        <w:rPr>
          <w:rFonts w:ascii="Arial" w:hAnsi="Arial" w:cs="Arial"/>
          <w:sz w:val="22"/>
        </w:rPr>
        <w:t xml:space="preserve">arket helps to increase the revenue of the company. In the international market, the product price is high and targets the customer segment. It helps to increase the productivity and sales of the company.  The international trade market is very effective for risk management. They follow strategies to reduce the risk such as monitoring the economic global and </w:t>
      </w:r>
      <w:r w:rsidR="006E1400" w:rsidRPr="006E1400">
        <w:rPr>
          <w:rFonts w:ascii="Arial" w:hAnsi="Arial" w:cs="Arial"/>
          <w:sz w:val="22"/>
        </w:rPr>
        <w:t>political, diversification</w:t>
      </w:r>
      <w:r w:rsidRPr="006E1400">
        <w:rPr>
          <w:rFonts w:ascii="Arial" w:hAnsi="Arial" w:cs="Arial"/>
          <w:sz w:val="22"/>
        </w:rPr>
        <w:t xml:space="preserve"> of suppliers, and contracts.</w:t>
      </w:r>
    </w:p>
    <w:p w14:paraId="4D12C31F" w14:textId="77777777" w:rsidR="006E1400" w:rsidRDefault="006E1400">
      <w:pPr>
        <w:spacing w:line="360" w:lineRule="auto"/>
        <w:jc w:val="both"/>
        <w:rPr>
          <w:rFonts w:cs="Times New Roman"/>
          <w:sz w:val="24"/>
          <w:szCs w:val="24"/>
        </w:rPr>
      </w:pPr>
    </w:p>
    <w:p w14:paraId="67422F39" w14:textId="77777777" w:rsidR="006E1400" w:rsidRDefault="006E1400">
      <w:pPr>
        <w:spacing w:line="360" w:lineRule="auto"/>
        <w:jc w:val="both"/>
        <w:rPr>
          <w:rFonts w:cs="Times New Roman"/>
          <w:sz w:val="24"/>
          <w:szCs w:val="24"/>
        </w:rPr>
      </w:pPr>
    </w:p>
    <w:p w14:paraId="320CE7EF" w14:textId="77777777" w:rsidR="006E1400" w:rsidRDefault="006E1400">
      <w:pPr>
        <w:spacing w:line="360" w:lineRule="auto"/>
        <w:jc w:val="both"/>
        <w:rPr>
          <w:rFonts w:cs="Times New Roman"/>
          <w:sz w:val="24"/>
          <w:szCs w:val="24"/>
        </w:rPr>
      </w:pPr>
    </w:p>
    <w:p w14:paraId="38E891FE" w14:textId="77777777" w:rsidR="006E1400" w:rsidRDefault="006E1400">
      <w:pPr>
        <w:spacing w:line="360" w:lineRule="auto"/>
        <w:jc w:val="both"/>
        <w:rPr>
          <w:rFonts w:cs="Times New Roman"/>
          <w:sz w:val="24"/>
          <w:szCs w:val="24"/>
        </w:rPr>
      </w:pPr>
    </w:p>
    <w:p w14:paraId="1FD757E2" w14:textId="77777777" w:rsidR="006E1400" w:rsidRDefault="006E1400">
      <w:pPr>
        <w:spacing w:line="360" w:lineRule="auto"/>
        <w:jc w:val="both"/>
        <w:rPr>
          <w:rFonts w:cs="Times New Roman"/>
          <w:sz w:val="24"/>
          <w:szCs w:val="24"/>
        </w:rPr>
      </w:pPr>
    </w:p>
    <w:p w14:paraId="11E68F35" w14:textId="77777777" w:rsidR="006E1400" w:rsidRDefault="006E1400">
      <w:pPr>
        <w:spacing w:line="360" w:lineRule="auto"/>
        <w:jc w:val="both"/>
        <w:rPr>
          <w:rFonts w:cs="Times New Roman"/>
          <w:sz w:val="24"/>
          <w:szCs w:val="24"/>
        </w:rPr>
      </w:pPr>
    </w:p>
    <w:p w14:paraId="5C73894D" w14:textId="77777777" w:rsidR="006E1400" w:rsidRDefault="006E1400">
      <w:pPr>
        <w:spacing w:line="360" w:lineRule="auto"/>
        <w:jc w:val="both"/>
        <w:rPr>
          <w:rFonts w:cs="Times New Roman"/>
          <w:sz w:val="24"/>
          <w:szCs w:val="24"/>
        </w:rPr>
      </w:pPr>
    </w:p>
    <w:p w14:paraId="279AF7DA" w14:textId="77777777" w:rsidR="00DC7419" w:rsidRPr="006E1400" w:rsidRDefault="00622F6E" w:rsidP="006E1400">
      <w:pPr>
        <w:pStyle w:val="Heading1"/>
        <w:rPr>
          <w:rFonts w:ascii="Arial" w:hAnsi="Arial" w:cs="Arial"/>
          <w:sz w:val="22"/>
          <w:szCs w:val="22"/>
        </w:rPr>
      </w:pPr>
      <w:bookmarkStart w:id="2" w:name="_Toc171521131"/>
      <w:r w:rsidRPr="006E1400">
        <w:rPr>
          <w:rFonts w:ascii="Arial" w:hAnsi="Arial" w:cs="Arial"/>
          <w:sz w:val="22"/>
          <w:szCs w:val="22"/>
        </w:rPr>
        <w:lastRenderedPageBreak/>
        <w:t>Conclusion</w:t>
      </w:r>
      <w:bookmarkEnd w:id="2"/>
    </w:p>
    <w:p w14:paraId="279AF7DB" w14:textId="4BFFF411" w:rsidR="00DC7419" w:rsidRPr="006E1400" w:rsidRDefault="00622F6E" w:rsidP="006E1400">
      <w:pPr>
        <w:spacing w:line="360" w:lineRule="auto"/>
        <w:jc w:val="both"/>
        <w:rPr>
          <w:rFonts w:ascii="Arial" w:hAnsi="Arial" w:cs="Arial"/>
          <w:sz w:val="22"/>
        </w:rPr>
      </w:pPr>
      <w:r w:rsidRPr="006E1400">
        <w:rPr>
          <w:rFonts w:ascii="Arial" w:hAnsi="Arial" w:cs="Arial"/>
          <w:sz w:val="22"/>
        </w:rPr>
        <w:t xml:space="preserve">The </w:t>
      </w:r>
      <w:r w:rsidR="006E1400">
        <w:rPr>
          <w:rFonts w:ascii="Arial" w:hAnsi="Arial" w:cs="Arial"/>
          <w:sz w:val="22"/>
        </w:rPr>
        <w:t>c</w:t>
      </w:r>
      <w:r w:rsidRPr="006E1400">
        <w:rPr>
          <w:rFonts w:ascii="Arial" w:hAnsi="Arial" w:cs="Arial"/>
          <w:sz w:val="22"/>
        </w:rPr>
        <w:t>onclusion</w:t>
      </w:r>
      <w:r w:rsidRPr="006E1400">
        <w:rPr>
          <w:rFonts w:ascii="Arial" w:hAnsi="Arial" w:cs="Arial"/>
          <w:b/>
          <w:bCs/>
          <w:sz w:val="22"/>
        </w:rPr>
        <w:t xml:space="preserve"> </w:t>
      </w:r>
      <w:r w:rsidRPr="006E1400">
        <w:rPr>
          <w:rFonts w:ascii="Arial" w:hAnsi="Arial" w:cs="Arial"/>
          <w:sz w:val="22"/>
        </w:rPr>
        <w:t xml:space="preserve">of this essay is to understand the PESTLE factors and their importance in business. This is a powerful tool that can be used by the industry to know about the external environment. In PESTLE factors like </w:t>
      </w:r>
      <w:r w:rsidR="006E1400">
        <w:rPr>
          <w:rFonts w:ascii="Arial" w:hAnsi="Arial" w:cs="Arial"/>
          <w:sz w:val="22"/>
        </w:rPr>
        <w:t>p</w:t>
      </w:r>
      <w:r w:rsidRPr="006E1400">
        <w:rPr>
          <w:rFonts w:ascii="Arial" w:hAnsi="Arial" w:cs="Arial"/>
          <w:sz w:val="22"/>
        </w:rPr>
        <w:t>olitical, economic, social, technological, legal, and environmental help to understand the rules regulations, and opportunities of the environment. This section discussed factors like government rule, taxes, relations with a pandemic, and relations with global warming. This chapter considers and checks the external environment and leads control of the organization with strategies. PESTLE analysis provides useful tools fo</w:t>
      </w:r>
      <w:r w:rsidR="00295C9E" w:rsidRPr="006E1400">
        <w:rPr>
          <w:rFonts w:ascii="Arial" w:hAnsi="Arial" w:cs="Arial"/>
          <w:sz w:val="22"/>
        </w:rPr>
        <w:t>r knowing about the environment</w:t>
      </w:r>
      <w:r w:rsidRPr="006E1400">
        <w:rPr>
          <w:rFonts w:ascii="Arial" w:hAnsi="Arial" w:cs="Arial"/>
          <w:sz w:val="22"/>
        </w:rPr>
        <w:t xml:space="preserve">. This model of business helps to provide market strategies, competition, customer relationships, and networks. This model is too effective to grow and develop for any business. Further discussed the international trade market is effective for the domestic market because of the </w:t>
      </w:r>
      <w:r w:rsidR="006E1400">
        <w:rPr>
          <w:rFonts w:ascii="Arial" w:hAnsi="Arial" w:cs="Arial"/>
          <w:sz w:val="22"/>
        </w:rPr>
        <w:t>i</w:t>
      </w:r>
      <w:r w:rsidRPr="006E1400">
        <w:rPr>
          <w:rFonts w:ascii="Arial" w:hAnsi="Arial" w:cs="Arial"/>
          <w:sz w:val="22"/>
        </w:rPr>
        <w:t xml:space="preserve">mport and export, risk management, sales, and development. </w:t>
      </w:r>
    </w:p>
    <w:p w14:paraId="279AF7DC" w14:textId="77777777" w:rsidR="00DC7419" w:rsidRDefault="00622F6E">
      <w:pPr>
        <w:spacing w:line="360" w:lineRule="auto"/>
        <w:jc w:val="both"/>
        <w:rPr>
          <w:rFonts w:cs="Times New Roman"/>
          <w:sz w:val="24"/>
          <w:szCs w:val="24"/>
        </w:rPr>
      </w:pPr>
      <w:r>
        <w:rPr>
          <w:rFonts w:cs="Times New Roman"/>
          <w:sz w:val="24"/>
          <w:szCs w:val="24"/>
        </w:rPr>
        <w:br w:type="page"/>
      </w:r>
    </w:p>
    <w:p w14:paraId="279AF7DD" w14:textId="77777777" w:rsidR="00DC7419" w:rsidRPr="006E1400" w:rsidRDefault="00622F6E" w:rsidP="006E1400">
      <w:pPr>
        <w:pStyle w:val="Heading1"/>
        <w:rPr>
          <w:rFonts w:ascii="Arial" w:hAnsi="Arial" w:cs="Arial"/>
          <w:sz w:val="22"/>
          <w:szCs w:val="22"/>
        </w:rPr>
      </w:pPr>
      <w:bookmarkStart w:id="3" w:name="_Toc171521132"/>
      <w:r w:rsidRPr="006E1400">
        <w:rPr>
          <w:rFonts w:ascii="Arial" w:hAnsi="Arial" w:cs="Arial"/>
          <w:sz w:val="22"/>
          <w:szCs w:val="22"/>
        </w:rPr>
        <w:lastRenderedPageBreak/>
        <w:t>Reference</w:t>
      </w:r>
      <w:bookmarkEnd w:id="3"/>
    </w:p>
    <w:p w14:paraId="279AF7DE" w14:textId="77777777" w:rsidR="00295C9E" w:rsidRPr="006E1400" w:rsidRDefault="00295C9E" w:rsidP="006E1400">
      <w:pPr>
        <w:spacing w:line="360" w:lineRule="auto"/>
        <w:jc w:val="both"/>
        <w:rPr>
          <w:rFonts w:ascii="Arial" w:hAnsi="Arial" w:cs="Arial"/>
          <w:sz w:val="22"/>
        </w:rPr>
      </w:pPr>
      <w:r w:rsidRPr="006E1400">
        <w:rPr>
          <w:rFonts w:ascii="Arial" w:hAnsi="Arial" w:cs="Arial"/>
          <w:sz w:val="22"/>
        </w:rPr>
        <w:t xml:space="preserve">El </w:t>
      </w:r>
      <w:proofErr w:type="spellStart"/>
      <w:r w:rsidRPr="006E1400">
        <w:rPr>
          <w:rFonts w:ascii="Arial" w:hAnsi="Arial" w:cs="Arial"/>
          <w:sz w:val="22"/>
        </w:rPr>
        <w:t>Bourainy</w:t>
      </w:r>
      <w:proofErr w:type="spellEnd"/>
      <w:r w:rsidRPr="006E1400">
        <w:rPr>
          <w:rFonts w:ascii="Arial" w:hAnsi="Arial" w:cs="Arial"/>
          <w:sz w:val="22"/>
        </w:rPr>
        <w:t xml:space="preserve">, M., Salah, A. and El Sherif, M., 2021. ‘Assessing the impact of financial inclusion on inflation rate in developing countries.’ </w:t>
      </w:r>
      <w:r w:rsidRPr="006E1400">
        <w:rPr>
          <w:rFonts w:ascii="Arial" w:hAnsi="Arial" w:cs="Arial"/>
          <w:i/>
          <w:iCs/>
          <w:sz w:val="22"/>
        </w:rPr>
        <w:t xml:space="preserve">Open Journal of Social Sciences, </w:t>
      </w:r>
      <w:r w:rsidRPr="006E1400">
        <w:rPr>
          <w:rFonts w:ascii="Arial" w:hAnsi="Arial" w:cs="Arial"/>
          <w:sz w:val="22"/>
        </w:rPr>
        <w:t xml:space="preserve">9(01), p.397. Online Available on: </w:t>
      </w:r>
      <w:hyperlink r:id="rId9" w:history="1">
        <w:r w:rsidRPr="006E1400">
          <w:rPr>
            <w:rStyle w:val="Hyperlink"/>
            <w:rFonts w:ascii="Arial" w:hAnsi="Arial" w:cs="Arial"/>
            <w:sz w:val="22"/>
          </w:rPr>
          <w:t>https://www.scirp.org/html/30-1764191_106821.htm</w:t>
        </w:r>
      </w:hyperlink>
      <w:r w:rsidRPr="006E1400">
        <w:rPr>
          <w:rFonts w:ascii="Arial" w:hAnsi="Arial" w:cs="Arial"/>
          <w:sz w:val="22"/>
        </w:rPr>
        <w:t xml:space="preserve"> . Last accessed on 4</w:t>
      </w:r>
      <w:r w:rsidRPr="006E1400">
        <w:rPr>
          <w:rFonts w:ascii="Arial" w:hAnsi="Arial" w:cs="Arial"/>
          <w:sz w:val="22"/>
          <w:vertAlign w:val="superscript"/>
        </w:rPr>
        <w:t>th</w:t>
      </w:r>
      <w:r w:rsidRPr="006E1400">
        <w:rPr>
          <w:rFonts w:ascii="Arial" w:hAnsi="Arial" w:cs="Arial"/>
          <w:sz w:val="22"/>
        </w:rPr>
        <w:t xml:space="preserve"> July 2024. </w:t>
      </w:r>
    </w:p>
    <w:p w14:paraId="279AF7DF" w14:textId="77777777" w:rsidR="00295C9E" w:rsidRPr="006E1400" w:rsidRDefault="00295C9E" w:rsidP="006E1400">
      <w:pPr>
        <w:spacing w:line="360" w:lineRule="auto"/>
        <w:jc w:val="both"/>
        <w:rPr>
          <w:rFonts w:ascii="Arial" w:hAnsi="Arial" w:cs="Arial"/>
          <w:sz w:val="22"/>
        </w:rPr>
      </w:pPr>
      <w:r w:rsidRPr="006E1400">
        <w:rPr>
          <w:rFonts w:ascii="Arial" w:hAnsi="Arial" w:cs="Arial"/>
          <w:sz w:val="22"/>
        </w:rPr>
        <w:t xml:space="preserve">Green, R.N., McNaught, K.R. and </w:t>
      </w:r>
      <w:proofErr w:type="spellStart"/>
      <w:r w:rsidRPr="006E1400">
        <w:rPr>
          <w:rFonts w:ascii="Arial" w:hAnsi="Arial" w:cs="Arial"/>
          <w:sz w:val="22"/>
        </w:rPr>
        <w:t>Saddington</w:t>
      </w:r>
      <w:proofErr w:type="spellEnd"/>
      <w:r w:rsidRPr="006E1400">
        <w:rPr>
          <w:rFonts w:ascii="Arial" w:hAnsi="Arial" w:cs="Arial"/>
          <w:sz w:val="22"/>
        </w:rPr>
        <w:t xml:space="preserve">, A.J., 2022. 'Engineering maintenance decision-making with unsupported judgment under operational constraints.' </w:t>
      </w:r>
      <w:r w:rsidRPr="006E1400">
        <w:rPr>
          <w:rFonts w:ascii="Arial" w:hAnsi="Arial" w:cs="Arial"/>
          <w:i/>
          <w:iCs/>
          <w:sz w:val="22"/>
        </w:rPr>
        <w:t>Safety Science</w:t>
      </w:r>
      <w:r w:rsidRPr="006E1400">
        <w:rPr>
          <w:rFonts w:ascii="Arial" w:hAnsi="Arial" w:cs="Arial"/>
          <w:sz w:val="22"/>
        </w:rPr>
        <w:t xml:space="preserve">, 153, p.10575. Online Available on: </w:t>
      </w:r>
      <w:hyperlink r:id="rId10" w:history="1">
        <w:r w:rsidRPr="006E1400">
          <w:rPr>
            <w:rStyle w:val="Hyperlink"/>
            <w:rFonts w:ascii="Arial" w:hAnsi="Arial" w:cs="Arial"/>
            <w:sz w:val="22"/>
          </w:rPr>
          <w:t>https://doi.org/10.1016/j.ssci.2022.105756</w:t>
        </w:r>
      </w:hyperlink>
      <w:r w:rsidRPr="006E1400">
        <w:rPr>
          <w:rFonts w:ascii="Arial" w:hAnsi="Arial" w:cs="Arial"/>
          <w:sz w:val="22"/>
        </w:rPr>
        <w:t>. Last accessed on 4</w:t>
      </w:r>
      <w:r w:rsidRPr="006E1400">
        <w:rPr>
          <w:rFonts w:ascii="Arial" w:hAnsi="Arial" w:cs="Arial"/>
          <w:sz w:val="22"/>
          <w:vertAlign w:val="superscript"/>
        </w:rPr>
        <w:t>th</w:t>
      </w:r>
      <w:r w:rsidRPr="006E1400">
        <w:rPr>
          <w:rFonts w:ascii="Arial" w:hAnsi="Arial" w:cs="Arial"/>
          <w:sz w:val="22"/>
        </w:rPr>
        <w:t xml:space="preserve"> July 2024. </w:t>
      </w:r>
    </w:p>
    <w:p w14:paraId="279AF7E0" w14:textId="77777777" w:rsidR="00295C9E" w:rsidRPr="006E1400" w:rsidRDefault="00295C9E" w:rsidP="006E1400">
      <w:pPr>
        <w:spacing w:line="360" w:lineRule="auto"/>
        <w:jc w:val="both"/>
        <w:rPr>
          <w:rFonts w:ascii="Arial" w:hAnsi="Arial" w:cs="Arial"/>
          <w:sz w:val="22"/>
        </w:rPr>
      </w:pPr>
      <w:r w:rsidRPr="006E1400">
        <w:rPr>
          <w:rFonts w:ascii="Arial" w:hAnsi="Arial" w:cs="Arial"/>
          <w:sz w:val="22"/>
        </w:rPr>
        <w:t xml:space="preserve">Heffron, R., Körner, M.F., Wagner, J., </w:t>
      </w:r>
      <w:proofErr w:type="spellStart"/>
      <w:r w:rsidRPr="006E1400">
        <w:rPr>
          <w:rFonts w:ascii="Arial" w:hAnsi="Arial" w:cs="Arial"/>
          <w:sz w:val="22"/>
        </w:rPr>
        <w:t>Weibelzahl</w:t>
      </w:r>
      <w:proofErr w:type="spellEnd"/>
      <w:r w:rsidRPr="006E1400">
        <w:rPr>
          <w:rFonts w:ascii="Arial" w:hAnsi="Arial" w:cs="Arial"/>
          <w:sz w:val="22"/>
        </w:rPr>
        <w:t xml:space="preserve">, M. and Fridgen, G., 2020. Industrial demand-side flexibility: A key element of a just energy transition and industrial development. </w:t>
      </w:r>
      <w:r w:rsidRPr="006E1400">
        <w:rPr>
          <w:rFonts w:ascii="Arial" w:hAnsi="Arial" w:cs="Arial"/>
          <w:i/>
          <w:iCs/>
          <w:sz w:val="22"/>
        </w:rPr>
        <w:t>Applied Energy,</w:t>
      </w:r>
      <w:r w:rsidRPr="006E1400">
        <w:rPr>
          <w:rFonts w:ascii="Arial" w:hAnsi="Arial" w:cs="Arial"/>
          <w:sz w:val="22"/>
        </w:rPr>
        <w:t xml:space="preserve"> 269, p.1150. Online Available on </w:t>
      </w:r>
      <w:hyperlink r:id="rId11" w:history="1">
        <w:r w:rsidRPr="006E1400">
          <w:rPr>
            <w:rStyle w:val="Hyperlink"/>
            <w:rFonts w:ascii="Arial" w:hAnsi="Arial" w:cs="Arial"/>
            <w:sz w:val="22"/>
          </w:rPr>
          <w:t>https://doi.org/10.1016/j.apenergy.2020.115026</w:t>
        </w:r>
      </w:hyperlink>
      <w:r w:rsidRPr="006E1400">
        <w:rPr>
          <w:rFonts w:ascii="Arial" w:hAnsi="Arial" w:cs="Arial"/>
          <w:sz w:val="22"/>
        </w:rPr>
        <w:t xml:space="preserve"> . Last access on 4</w:t>
      </w:r>
      <w:r w:rsidRPr="006E1400">
        <w:rPr>
          <w:rFonts w:ascii="Arial" w:hAnsi="Arial" w:cs="Arial"/>
          <w:sz w:val="22"/>
          <w:vertAlign w:val="superscript"/>
        </w:rPr>
        <w:t>th</w:t>
      </w:r>
      <w:r w:rsidRPr="006E1400">
        <w:rPr>
          <w:rFonts w:ascii="Arial" w:hAnsi="Arial" w:cs="Arial"/>
          <w:sz w:val="22"/>
        </w:rPr>
        <w:t xml:space="preserve"> July 2024. </w:t>
      </w:r>
    </w:p>
    <w:p w14:paraId="279AF7E1" w14:textId="77777777" w:rsidR="00295C9E" w:rsidRPr="006E1400" w:rsidRDefault="00295C9E" w:rsidP="006E1400">
      <w:pPr>
        <w:spacing w:line="360" w:lineRule="auto"/>
        <w:jc w:val="both"/>
        <w:rPr>
          <w:rFonts w:ascii="Arial" w:hAnsi="Arial" w:cs="Arial"/>
          <w:sz w:val="22"/>
        </w:rPr>
      </w:pPr>
      <w:r w:rsidRPr="006E1400">
        <w:rPr>
          <w:rFonts w:ascii="Arial" w:hAnsi="Arial" w:cs="Arial"/>
          <w:sz w:val="22"/>
        </w:rPr>
        <w:t xml:space="preserve">Katz, H.C. and Colvin, A.J., 2020. ‘Employment relations in the United States.’ </w:t>
      </w:r>
      <w:r w:rsidRPr="006E1400">
        <w:rPr>
          <w:rFonts w:ascii="Arial" w:hAnsi="Arial" w:cs="Arial"/>
          <w:i/>
          <w:iCs/>
          <w:sz w:val="22"/>
        </w:rPr>
        <w:t>In International and Comparative Employment Relations</w:t>
      </w:r>
      <w:r w:rsidRPr="006E1400">
        <w:rPr>
          <w:rFonts w:ascii="Arial" w:hAnsi="Arial" w:cs="Arial"/>
          <w:sz w:val="22"/>
        </w:rPr>
        <w:t xml:space="preserve"> (pp. 49-74). Online Available on </w:t>
      </w:r>
      <w:hyperlink r:id="rId12" w:history="1">
        <w:r w:rsidRPr="006E1400">
          <w:rPr>
            <w:rStyle w:val="Hyperlink"/>
            <w:rFonts w:ascii="Arial" w:hAnsi="Arial" w:cs="Arial"/>
            <w:sz w:val="22"/>
          </w:rPr>
          <w:t>https://doi.org/10.1787/19934351.</w:t>
        </w:r>
      </w:hyperlink>
      <w:r w:rsidRPr="006E1400">
        <w:rPr>
          <w:rFonts w:ascii="Arial" w:hAnsi="Arial" w:cs="Arial"/>
          <w:sz w:val="22"/>
        </w:rPr>
        <w:t xml:space="preserve"> Last access on 4</w:t>
      </w:r>
      <w:r w:rsidRPr="006E1400">
        <w:rPr>
          <w:rFonts w:ascii="Arial" w:hAnsi="Arial" w:cs="Arial"/>
          <w:sz w:val="22"/>
          <w:vertAlign w:val="superscript"/>
        </w:rPr>
        <w:t>th</w:t>
      </w:r>
      <w:r w:rsidRPr="006E1400">
        <w:rPr>
          <w:rFonts w:ascii="Arial" w:hAnsi="Arial" w:cs="Arial"/>
          <w:sz w:val="22"/>
        </w:rPr>
        <w:t xml:space="preserve"> July 2024. </w:t>
      </w:r>
    </w:p>
    <w:p w14:paraId="279AF7E2" w14:textId="77777777" w:rsidR="00295C9E" w:rsidRPr="006E1400" w:rsidRDefault="00295C9E" w:rsidP="006E1400">
      <w:pPr>
        <w:spacing w:line="360" w:lineRule="auto"/>
        <w:jc w:val="both"/>
        <w:rPr>
          <w:rFonts w:ascii="Arial" w:hAnsi="Arial" w:cs="Arial"/>
          <w:sz w:val="22"/>
        </w:rPr>
      </w:pPr>
      <w:proofErr w:type="spellStart"/>
      <w:r w:rsidRPr="006E1400">
        <w:rPr>
          <w:rFonts w:ascii="Arial" w:hAnsi="Arial" w:cs="Arial"/>
          <w:sz w:val="22"/>
        </w:rPr>
        <w:t>Lipuma</w:t>
      </w:r>
      <w:proofErr w:type="spellEnd"/>
      <w:r w:rsidRPr="006E1400">
        <w:rPr>
          <w:rFonts w:ascii="Arial" w:hAnsi="Arial" w:cs="Arial"/>
          <w:sz w:val="22"/>
        </w:rPr>
        <w:t xml:space="preserve">, J. and Yáñez León, C.E., 2022. ‘Collaborating Toward Convergence Efforts for K-20 STEM Education.’ </w:t>
      </w:r>
      <w:r w:rsidRPr="006E1400">
        <w:rPr>
          <w:rFonts w:ascii="Arial" w:hAnsi="Arial" w:cs="Arial"/>
          <w:i/>
          <w:iCs/>
          <w:sz w:val="22"/>
        </w:rPr>
        <w:t>The Journal on Systemics, Cybernetics and Informatics,</w:t>
      </w:r>
      <w:r w:rsidRPr="006E1400">
        <w:rPr>
          <w:rFonts w:ascii="Arial" w:hAnsi="Arial" w:cs="Arial"/>
          <w:sz w:val="22"/>
        </w:rPr>
        <w:t xml:space="preserve"> 20(1), pp.351-389. Online Available on </w:t>
      </w:r>
      <w:hyperlink r:id="rId13" w:history="1">
        <w:r w:rsidRPr="006E1400">
          <w:rPr>
            <w:rStyle w:val="Hyperlink"/>
            <w:rFonts w:ascii="Arial" w:hAnsi="Arial" w:cs="Arial"/>
            <w:sz w:val="22"/>
          </w:rPr>
          <w:t>https://doi.org/10.54808/JSCI.20.01.351</w:t>
        </w:r>
      </w:hyperlink>
      <w:r w:rsidRPr="006E1400">
        <w:rPr>
          <w:rFonts w:ascii="Arial" w:hAnsi="Arial" w:cs="Arial"/>
          <w:sz w:val="22"/>
        </w:rPr>
        <w:t xml:space="preserve"> . Last access on 4</w:t>
      </w:r>
      <w:r w:rsidRPr="006E1400">
        <w:rPr>
          <w:rFonts w:ascii="Arial" w:hAnsi="Arial" w:cs="Arial"/>
          <w:sz w:val="22"/>
          <w:vertAlign w:val="superscript"/>
        </w:rPr>
        <w:t>th</w:t>
      </w:r>
      <w:r w:rsidRPr="006E1400">
        <w:rPr>
          <w:rFonts w:ascii="Arial" w:hAnsi="Arial" w:cs="Arial"/>
          <w:sz w:val="22"/>
        </w:rPr>
        <w:t xml:space="preserve"> July 2024. </w:t>
      </w:r>
    </w:p>
    <w:p w14:paraId="279AF7E3" w14:textId="77777777" w:rsidR="00295C9E" w:rsidRPr="006E1400" w:rsidRDefault="00295C9E" w:rsidP="006E1400">
      <w:pPr>
        <w:spacing w:line="360" w:lineRule="auto"/>
        <w:jc w:val="both"/>
        <w:rPr>
          <w:rFonts w:ascii="Arial" w:hAnsi="Arial" w:cs="Arial"/>
          <w:sz w:val="22"/>
        </w:rPr>
      </w:pPr>
      <w:r w:rsidRPr="006E1400">
        <w:rPr>
          <w:rFonts w:ascii="Arial" w:hAnsi="Arial" w:cs="Arial"/>
          <w:sz w:val="22"/>
        </w:rPr>
        <w:t xml:space="preserve">Litvinenko, V.S., 2020. ‘Digital economy as a factor in the technological development of the mineral sector’. </w:t>
      </w:r>
      <w:r w:rsidRPr="006E1400">
        <w:rPr>
          <w:rFonts w:ascii="Arial" w:hAnsi="Arial" w:cs="Arial"/>
          <w:i/>
          <w:iCs/>
          <w:sz w:val="22"/>
        </w:rPr>
        <w:t>Natural Resources Research,</w:t>
      </w:r>
      <w:r w:rsidRPr="006E1400">
        <w:rPr>
          <w:rFonts w:ascii="Arial" w:hAnsi="Arial" w:cs="Arial"/>
          <w:sz w:val="22"/>
        </w:rPr>
        <w:t xml:space="preserve"> 29(3), pp.1521-1541. Online available on </w:t>
      </w:r>
      <w:hyperlink r:id="rId14" w:history="1">
        <w:r w:rsidRPr="006E1400">
          <w:rPr>
            <w:rStyle w:val="Hyperlink"/>
            <w:rFonts w:ascii="Arial" w:hAnsi="Arial" w:cs="Arial"/>
            <w:sz w:val="22"/>
          </w:rPr>
          <w:t>https://doi.org/10.1007/s11053-019-09568-4</w:t>
        </w:r>
      </w:hyperlink>
      <w:r w:rsidRPr="006E1400">
        <w:rPr>
          <w:rFonts w:ascii="Arial" w:hAnsi="Arial" w:cs="Arial"/>
          <w:sz w:val="22"/>
        </w:rPr>
        <w:t xml:space="preserve"> . Last accessed on 4</w:t>
      </w:r>
      <w:r w:rsidRPr="006E1400">
        <w:rPr>
          <w:rFonts w:ascii="Arial" w:hAnsi="Arial" w:cs="Arial"/>
          <w:sz w:val="22"/>
          <w:vertAlign w:val="superscript"/>
        </w:rPr>
        <w:t>th</w:t>
      </w:r>
      <w:r w:rsidRPr="006E1400">
        <w:rPr>
          <w:rFonts w:ascii="Arial" w:hAnsi="Arial" w:cs="Arial"/>
          <w:sz w:val="22"/>
        </w:rPr>
        <w:t xml:space="preserve"> July 2024. </w:t>
      </w:r>
    </w:p>
    <w:p w14:paraId="279AF7E4" w14:textId="77777777" w:rsidR="00295C9E" w:rsidRPr="006E1400" w:rsidRDefault="00295C9E" w:rsidP="006E1400">
      <w:pPr>
        <w:spacing w:line="360" w:lineRule="auto"/>
        <w:jc w:val="both"/>
        <w:rPr>
          <w:rFonts w:ascii="Arial" w:hAnsi="Arial" w:cs="Arial"/>
          <w:sz w:val="22"/>
        </w:rPr>
      </w:pPr>
      <w:r w:rsidRPr="006E1400">
        <w:rPr>
          <w:rFonts w:ascii="Arial" w:hAnsi="Arial" w:cs="Arial"/>
          <w:sz w:val="22"/>
        </w:rPr>
        <w:t xml:space="preserve">Lorenzen, M., Mudambi, R. and Schotter, A., 2020. ‘International connectedness and local disconnectedness: MNE strategy, city-regions and disruption.’ </w:t>
      </w:r>
      <w:r w:rsidRPr="006E1400">
        <w:rPr>
          <w:rFonts w:ascii="Arial" w:hAnsi="Arial" w:cs="Arial"/>
          <w:i/>
          <w:iCs/>
          <w:sz w:val="22"/>
        </w:rPr>
        <w:t>Journal of International Business Studies,</w:t>
      </w:r>
      <w:r w:rsidRPr="006E1400">
        <w:rPr>
          <w:rFonts w:ascii="Arial" w:hAnsi="Arial" w:cs="Arial"/>
          <w:sz w:val="22"/>
        </w:rPr>
        <w:t xml:space="preserve"> 51(8), p.1199. Online Available on </w:t>
      </w:r>
      <w:hyperlink r:id="rId15" w:history="1">
        <w:r w:rsidRPr="006E1400">
          <w:rPr>
            <w:rStyle w:val="Hyperlink"/>
            <w:rFonts w:ascii="Arial" w:hAnsi="Arial" w:cs="Arial"/>
            <w:sz w:val="22"/>
          </w:rPr>
          <w:t>https://doi.org/10.1057%2Fs41267-020-00339-5</w:t>
        </w:r>
      </w:hyperlink>
      <w:r w:rsidRPr="006E1400">
        <w:rPr>
          <w:rFonts w:ascii="Arial" w:hAnsi="Arial" w:cs="Arial"/>
          <w:sz w:val="22"/>
        </w:rPr>
        <w:t xml:space="preserve"> . Last access on 4</w:t>
      </w:r>
      <w:r w:rsidRPr="006E1400">
        <w:rPr>
          <w:rFonts w:ascii="Arial" w:hAnsi="Arial" w:cs="Arial"/>
          <w:sz w:val="22"/>
          <w:vertAlign w:val="superscript"/>
        </w:rPr>
        <w:t>th</w:t>
      </w:r>
      <w:r w:rsidRPr="006E1400">
        <w:rPr>
          <w:rFonts w:ascii="Arial" w:hAnsi="Arial" w:cs="Arial"/>
          <w:sz w:val="22"/>
        </w:rPr>
        <w:t xml:space="preserve"> July 2024. </w:t>
      </w:r>
    </w:p>
    <w:p w14:paraId="279AF7E5" w14:textId="77777777" w:rsidR="00295C9E" w:rsidRPr="006E1400" w:rsidRDefault="00295C9E" w:rsidP="006E1400">
      <w:pPr>
        <w:spacing w:line="360" w:lineRule="auto"/>
        <w:jc w:val="both"/>
        <w:rPr>
          <w:rFonts w:ascii="Arial" w:hAnsi="Arial" w:cs="Arial"/>
          <w:sz w:val="22"/>
        </w:rPr>
      </w:pPr>
      <w:proofErr w:type="spellStart"/>
      <w:r w:rsidRPr="006E1400">
        <w:rPr>
          <w:rFonts w:ascii="Arial" w:hAnsi="Arial" w:cs="Arial"/>
          <w:sz w:val="22"/>
        </w:rPr>
        <w:t>Naradda</w:t>
      </w:r>
      <w:proofErr w:type="spellEnd"/>
      <w:r w:rsidRPr="006E1400">
        <w:rPr>
          <w:rFonts w:ascii="Arial" w:hAnsi="Arial" w:cs="Arial"/>
          <w:sz w:val="22"/>
        </w:rPr>
        <w:t xml:space="preserve"> Gamage, S.K., Ekanayake, E.M.S., </w:t>
      </w:r>
      <w:proofErr w:type="spellStart"/>
      <w:r w:rsidRPr="006E1400">
        <w:rPr>
          <w:rFonts w:ascii="Arial" w:hAnsi="Arial" w:cs="Arial"/>
          <w:sz w:val="22"/>
        </w:rPr>
        <w:t>Abeyrathne</w:t>
      </w:r>
      <w:proofErr w:type="spellEnd"/>
      <w:r w:rsidRPr="006E1400">
        <w:rPr>
          <w:rFonts w:ascii="Arial" w:hAnsi="Arial" w:cs="Arial"/>
          <w:sz w:val="22"/>
        </w:rPr>
        <w:t xml:space="preserve">, G.A.K.N.J., Prasanna, R.P.I.R., Jayasundara, J.M.S.B. and Rajapakshe, P.S.K., 2020. ‘A review of global challenges and survival strategies of small and medium enterprises (SMEs).’ </w:t>
      </w:r>
      <w:r w:rsidRPr="006E1400">
        <w:rPr>
          <w:rFonts w:ascii="Arial" w:hAnsi="Arial" w:cs="Arial"/>
          <w:i/>
          <w:iCs/>
          <w:sz w:val="22"/>
        </w:rPr>
        <w:t>Economies,</w:t>
      </w:r>
      <w:r w:rsidRPr="006E1400">
        <w:rPr>
          <w:rFonts w:ascii="Arial" w:hAnsi="Arial" w:cs="Arial"/>
          <w:sz w:val="22"/>
        </w:rPr>
        <w:t xml:space="preserve"> 8(4), p.79. Online Available on: </w:t>
      </w:r>
      <w:hyperlink r:id="rId16" w:history="1">
        <w:r w:rsidRPr="006E1400">
          <w:rPr>
            <w:rStyle w:val="Hyperlink"/>
            <w:rFonts w:ascii="Arial" w:hAnsi="Arial" w:cs="Arial"/>
            <w:sz w:val="22"/>
          </w:rPr>
          <w:t>https://doi.org/10.3390/economies8040079</w:t>
        </w:r>
      </w:hyperlink>
      <w:r w:rsidRPr="006E1400">
        <w:rPr>
          <w:rFonts w:ascii="Arial" w:hAnsi="Arial" w:cs="Arial"/>
          <w:sz w:val="22"/>
        </w:rPr>
        <w:t>. Last access on 4</w:t>
      </w:r>
      <w:r w:rsidRPr="006E1400">
        <w:rPr>
          <w:rFonts w:ascii="Arial" w:hAnsi="Arial" w:cs="Arial"/>
          <w:sz w:val="22"/>
          <w:vertAlign w:val="superscript"/>
        </w:rPr>
        <w:t>th</w:t>
      </w:r>
      <w:r w:rsidRPr="006E1400">
        <w:rPr>
          <w:rFonts w:ascii="Arial" w:hAnsi="Arial" w:cs="Arial"/>
          <w:sz w:val="22"/>
        </w:rPr>
        <w:t xml:space="preserve"> July 2024. </w:t>
      </w:r>
    </w:p>
    <w:p w14:paraId="279AF7E6" w14:textId="77777777" w:rsidR="00295C9E" w:rsidRPr="006E1400" w:rsidRDefault="00295C9E" w:rsidP="006E1400">
      <w:pPr>
        <w:spacing w:line="360" w:lineRule="auto"/>
        <w:jc w:val="both"/>
        <w:rPr>
          <w:rFonts w:ascii="Arial" w:hAnsi="Arial" w:cs="Arial"/>
          <w:sz w:val="22"/>
        </w:rPr>
      </w:pPr>
      <w:r w:rsidRPr="006E1400">
        <w:rPr>
          <w:rFonts w:ascii="Arial" w:hAnsi="Arial" w:cs="Arial"/>
          <w:sz w:val="22"/>
        </w:rPr>
        <w:lastRenderedPageBreak/>
        <w:t xml:space="preserve">Neilson, J., </w:t>
      </w:r>
      <w:proofErr w:type="spellStart"/>
      <w:r w:rsidRPr="006E1400">
        <w:rPr>
          <w:rFonts w:ascii="Arial" w:hAnsi="Arial" w:cs="Arial"/>
          <w:sz w:val="22"/>
        </w:rPr>
        <w:t>Dwiartama</w:t>
      </w:r>
      <w:proofErr w:type="spellEnd"/>
      <w:r w:rsidRPr="006E1400">
        <w:rPr>
          <w:rFonts w:ascii="Arial" w:hAnsi="Arial" w:cs="Arial"/>
          <w:sz w:val="22"/>
        </w:rPr>
        <w:t xml:space="preserve">, A., Fold, N. and </w:t>
      </w:r>
      <w:proofErr w:type="spellStart"/>
      <w:r w:rsidRPr="006E1400">
        <w:rPr>
          <w:rFonts w:ascii="Arial" w:hAnsi="Arial" w:cs="Arial"/>
          <w:sz w:val="22"/>
        </w:rPr>
        <w:t>Permadi</w:t>
      </w:r>
      <w:proofErr w:type="spellEnd"/>
      <w:r w:rsidRPr="006E1400">
        <w:rPr>
          <w:rFonts w:ascii="Arial" w:hAnsi="Arial" w:cs="Arial"/>
          <w:sz w:val="22"/>
        </w:rPr>
        <w:t xml:space="preserve">, D., 2020. ‘Resource-based industrial policy in an era of global production networks: Strategic coupling in the Indonesian cocoa sector.’ </w:t>
      </w:r>
      <w:r w:rsidRPr="006E1400">
        <w:rPr>
          <w:rFonts w:ascii="Arial" w:hAnsi="Arial" w:cs="Arial"/>
          <w:i/>
          <w:iCs/>
          <w:sz w:val="22"/>
        </w:rPr>
        <w:t>World Development,</w:t>
      </w:r>
      <w:r w:rsidRPr="006E1400">
        <w:rPr>
          <w:rFonts w:ascii="Arial" w:hAnsi="Arial" w:cs="Arial"/>
          <w:sz w:val="22"/>
        </w:rPr>
        <w:t xml:space="preserve"> 135, p.105045. </w:t>
      </w:r>
      <w:proofErr w:type="spellStart"/>
      <w:r w:rsidRPr="006E1400">
        <w:rPr>
          <w:rFonts w:ascii="Arial" w:hAnsi="Arial" w:cs="Arial"/>
          <w:sz w:val="22"/>
        </w:rPr>
        <w:t>Onlibe</w:t>
      </w:r>
      <w:proofErr w:type="spellEnd"/>
      <w:r w:rsidRPr="006E1400">
        <w:rPr>
          <w:rFonts w:ascii="Arial" w:hAnsi="Arial" w:cs="Arial"/>
          <w:sz w:val="22"/>
        </w:rPr>
        <w:t xml:space="preserve"> Available on: </w:t>
      </w:r>
      <w:hyperlink r:id="rId17" w:history="1">
        <w:r w:rsidRPr="006E1400">
          <w:rPr>
            <w:rStyle w:val="Hyperlink"/>
            <w:rFonts w:ascii="Arial" w:hAnsi="Arial" w:cs="Arial"/>
            <w:sz w:val="22"/>
          </w:rPr>
          <w:t>https://doi.org/10.1016/j.worlddev.2020.105045</w:t>
        </w:r>
      </w:hyperlink>
      <w:r w:rsidRPr="006E1400">
        <w:rPr>
          <w:rFonts w:ascii="Arial" w:hAnsi="Arial" w:cs="Arial"/>
          <w:sz w:val="22"/>
        </w:rPr>
        <w:t>. Last accessed on 4</w:t>
      </w:r>
      <w:r w:rsidRPr="006E1400">
        <w:rPr>
          <w:rFonts w:ascii="Arial" w:hAnsi="Arial" w:cs="Arial"/>
          <w:sz w:val="22"/>
          <w:vertAlign w:val="superscript"/>
        </w:rPr>
        <w:t>th</w:t>
      </w:r>
      <w:r w:rsidRPr="006E1400">
        <w:rPr>
          <w:rFonts w:ascii="Arial" w:hAnsi="Arial" w:cs="Arial"/>
          <w:sz w:val="22"/>
        </w:rPr>
        <w:t xml:space="preserve"> July 2024. </w:t>
      </w:r>
    </w:p>
    <w:p w14:paraId="279AF7E7" w14:textId="77777777" w:rsidR="00295C9E" w:rsidRPr="006E1400" w:rsidRDefault="00295C9E" w:rsidP="006E1400">
      <w:pPr>
        <w:spacing w:line="360" w:lineRule="auto"/>
        <w:jc w:val="both"/>
        <w:rPr>
          <w:rFonts w:ascii="Arial" w:hAnsi="Arial" w:cs="Arial"/>
          <w:sz w:val="22"/>
        </w:rPr>
      </w:pPr>
      <w:proofErr w:type="spellStart"/>
      <w:r w:rsidRPr="006E1400">
        <w:rPr>
          <w:rFonts w:ascii="Arial" w:hAnsi="Arial" w:cs="Arial"/>
          <w:sz w:val="22"/>
        </w:rPr>
        <w:t>Tajoli</w:t>
      </w:r>
      <w:proofErr w:type="spellEnd"/>
      <w:r w:rsidRPr="006E1400">
        <w:rPr>
          <w:rFonts w:ascii="Arial" w:hAnsi="Arial" w:cs="Arial"/>
          <w:sz w:val="22"/>
        </w:rPr>
        <w:t xml:space="preserve">, L., Airoldi, F. and </w:t>
      </w:r>
      <w:proofErr w:type="spellStart"/>
      <w:r w:rsidRPr="006E1400">
        <w:rPr>
          <w:rFonts w:ascii="Arial" w:hAnsi="Arial" w:cs="Arial"/>
          <w:sz w:val="22"/>
        </w:rPr>
        <w:t>Piccardi</w:t>
      </w:r>
      <w:proofErr w:type="spellEnd"/>
      <w:r w:rsidRPr="006E1400">
        <w:rPr>
          <w:rFonts w:ascii="Arial" w:hAnsi="Arial" w:cs="Arial"/>
          <w:sz w:val="22"/>
        </w:rPr>
        <w:t xml:space="preserve">, C., 2021. ‘The network of international trade in services.’ </w:t>
      </w:r>
      <w:r w:rsidRPr="006E1400">
        <w:rPr>
          <w:rFonts w:ascii="Arial" w:hAnsi="Arial" w:cs="Arial"/>
          <w:i/>
          <w:iCs/>
          <w:sz w:val="22"/>
        </w:rPr>
        <w:t>Applied Network Science,</w:t>
      </w:r>
      <w:r w:rsidRPr="006E1400">
        <w:rPr>
          <w:rFonts w:ascii="Arial" w:hAnsi="Arial" w:cs="Arial"/>
          <w:sz w:val="22"/>
        </w:rPr>
        <w:t xml:space="preserve"> 6, pp.1-25. Online Available on </w:t>
      </w:r>
      <w:hyperlink r:id="rId18" w:history="1">
        <w:r w:rsidRPr="006E1400">
          <w:rPr>
            <w:rStyle w:val="Hyperlink"/>
            <w:rFonts w:ascii="Arial" w:hAnsi="Arial" w:cs="Arial"/>
            <w:sz w:val="22"/>
          </w:rPr>
          <w:t>https://doi.org/10.1007/s41109-021-00407-1</w:t>
        </w:r>
      </w:hyperlink>
      <w:r w:rsidRPr="006E1400">
        <w:rPr>
          <w:rFonts w:ascii="Arial" w:hAnsi="Arial" w:cs="Arial"/>
          <w:sz w:val="22"/>
        </w:rPr>
        <w:t xml:space="preserve"> . Last access on 4</w:t>
      </w:r>
      <w:r w:rsidRPr="006E1400">
        <w:rPr>
          <w:rFonts w:ascii="Arial" w:hAnsi="Arial" w:cs="Arial"/>
          <w:sz w:val="22"/>
          <w:vertAlign w:val="superscript"/>
        </w:rPr>
        <w:t>th</w:t>
      </w:r>
      <w:r w:rsidRPr="006E1400">
        <w:rPr>
          <w:rFonts w:ascii="Arial" w:hAnsi="Arial" w:cs="Arial"/>
          <w:sz w:val="22"/>
        </w:rPr>
        <w:t xml:space="preserve"> July 2024. </w:t>
      </w:r>
    </w:p>
    <w:sectPr w:rsidR="00295C9E" w:rsidRPr="006E1400" w:rsidSect="00A94104">
      <w:footerReference w:type="even" r:id="rId19"/>
      <w:footerReference w:type="default" r:id="rId20"/>
      <w:footerReference w:type="first" r:id="rId21"/>
      <w:pgSz w:w="12240" w:h="15840"/>
      <w:pgMar w:top="1440" w:right="1440" w:bottom="1440" w:left="1440" w:header="720" w:footer="737" w:gutter="0"/>
      <w:pgNumType w:start="0" w:chapSep="period"/>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233D600" w14:textId="77777777" w:rsidR="004A5938" w:rsidRDefault="004A5938">
      <w:pPr>
        <w:spacing w:line="240" w:lineRule="auto"/>
      </w:pPr>
      <w:r>
        <w:separator/>
      </w:r>
    </w:p>
  </w:endnote>
  <w:endnote w:type="continuationSeparator" w:id="0">
    <w:p w14:paraId="2E3821E1" w14:textId="77777777" w:rsidR="004A5938" w:rsidRDefault="004A593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FB4E34" w14:textId="484087BA" w:rsidR="001C5E08" w:rsidRDefault="001C5E08">
    <w:pPr>
      <w:pStyle w:val="Footer"/>
    </w:pPr>
    <w:r>
      <w:t xml:space="preserve">                                                                             2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47061199"/>
      <w:docPartObj>
        <w:docPartGallery w:val="Page Numbers (Bottom of Page)"/>
        <w:docPartUnique/>
      </w:docPartObj>
    </w:sdtPr>
    <w:sdtEndPr>
      <w:rPr>
        <w:noProof/>
      </w:rPr>
    </w:sdtEndPr>
    <w:sdtContent>
      <w:p w14:paraId="44067612" w14:textId="78D364B9" w:rsidR="00A94104" w:rsidRDefault="00A9410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903C93" w14:textId="4C1B07C9" w:rsidR="001C5E08" w:rsidRDefault="001C5E08"/>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2C9813" w14:textId="0C55CC6B" w:rsidR="00720EFA" w:rsidRDefault="00720EFA" w:rsidP="00720EFA">
    <w:pPr>
      <w:pStyle w:val="Footer"/>
    </w:pPr>
  </w:p>
  <w:p w14:paraId="773CA5BF" w14:textId="10CB77E9" w:rsidR="001C5E08" w:rsidRDefault="001C5E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410F75" w14:textId="77777777" w:rsidR="004A5938" w:rsidRDefault="004A5938">
      <w:pPr>
        <w:spacing w:after="0"/>
      </w:pPr>
      <w:r>
        <w:separator/>
      </w:r>
    </w:p>
  </w:footnote>
  <w:footnote w:type="continuationSeparator" w:id="0">
    <w:p w14:paraId="227A61CC" w14:textId="77777777" w:rsidR="004A5938" w:rsidRDefault="004A5938">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CE1"/>
    <w:rsid w:val="00022624"/>
    <w:rsid w:val="00032347"/>
    <w:rsid w:val="00043FFD"/>
    <w:rsid w:val="00045DD6"/>
    <w:rsid w:val="00094C42"/>
    <w:rsid w:val="0009541B"/>
    <w:rsid w:val="000A04E8"/>
    <w:rsid w:val="000E5BEF"/>
    <w:rsid w:val="00117169"/>
    <w:rsid w:val="00164B2D"/>
    <w:rsid w:val="00193F97"/>
    <w:rsid w:val="001960D3"/>
    <w:rsid w:val="001C5E08"/>
    <w:rsid w:val="002816E5"/>
    <w:rsid w:val="00295C9E"/>
    <w:rsid w:val="003239A7"/>
    <w:rsid w:val="0037376B"/>
    <w:rsid w:val="003958AA"/>
    <w:rsid w:val="004109EE"/>
    <w:rsid w:val="004267E8"/>
    <w:rsid w:val="0044295A"/>
    <w:rsid w:val="0045499A"/>
    <w:rsid w:val="00467361"/>
    <w:rsid w:val="00474CE5"/>
    <w:rsid w:val="004A5938"/>
    <w:rsid w:val="004F5CC6"/>
    <w:rsid w:val="00526AF4"/>
    <w:rsid w:val="00554EC5"/>
    <w:rsid w:val="00564371"/>
    <w:rsid w:val="00622F6E"/>
    <w:rsid w:val="006407B7"/>
    <w:rsid w:val="00641A34"/>
    <w:rsid w:val="006A1FDD"/>
    <w:rsid w:val="006B67A1"/>
    <w:rsid w:val="006D0271"/>
    <w:rsid w:val="006E1400"/>
    <w:rsid w:val="007041CB"/>
    <w:rsid w:val="00712E77"/>
    <w:rsid w:val="00720EFA"/>
    <w:rsid w:val="00724AE6"/>
    <w:rsid w:val="00727174"/>
    <w:rsid w:val="00757A49"/>
    <w:rsid w:val="007D51B7"/>
    <w:rsid w:val="008136EF"/>
    <w:rsid w:val="008443BC"/>
    <w:rsid w:val="00972E43"/>
    <w:rsid w:val="00982AEC"/>
    <w:rsid w:val="00990D69"/>
    <w:rsid w:val="009A4745"/>
    <w:rsid w:val="009C1416"/>
    <w:rsid w:val="009D1416"/>
    <w:rsid w:val="009F31CF"/>
    <w:rsid w:val="00A0449D"/>
    <w:rsid w:val="00A12830"/>
    <w:rsid w:val="00A36C59"/>
    <w:rsid w:val="00A55863"/>
    <w:rsid w:val="00A67F0B"/>
    <w:rsid w:val="00A724ED"/>
    <w:rsid w:val="00A754BC"/>
    <w:rsid w:val="00A803BD"/>
    <w:rsid w:val="00A84E4E"/>
    <w:rsid w:val="00A94104"/>
    <w:rsid w:val="00A96630"/>
    <w:rsid w:val="00AB4571"/>
    <w:rsid w:val="00BC38CC"/>
    <w:rsid w:val="00C250A1"/>
    <w:rsid w:val="00C2586D"/>
    <w:rsid w:val="00C73CFB"/>
    <w:rsid w:val="00C80CE1"/>
    <w:rsid w:val="00C95467"/>
    <w:rsid w:val="00C9755A"/>
    <w:rsid w:val="00CE1D86"/>
    <w:rsid w:val="00D8057D"/>
    <w:rsid w:val="00DC7419"/>
    <w:rsid w:val="00E547B5"/>
    <w:rsid w:val="00E81915"/>
    <w:rsid w:val="00EE3522"/>
    <w:rsid w:val="00F107AF"/>
    <w:rsid w:val="00F820A5"/>
    <w:rsid w:val="00F84A09"/>
    <w:rsid w:val="067A698F"/>
    <w:rsid w:val="1C841D57"/>
    <w:rsid w:val="4B12284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79AF798"/>
  <w15:docId w15:val="{63CD5D7B-4DFE-4326-B417-EFC34F77F9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uiPriority="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rFonts w:ascii="Times New Roman" w:hAnsi="Times New Roman"/>
      <w:szCs w:val="22"/>
      <w:lang w:val="en-US" w:eastAsia="en-US"/>
    </w:rPr>
  </w:style>
  <w:style w:type="paragraph" w:styleId="Heading1">
    <w:name w:val="heading 1"/>
    <w:basedOn w:val="Normal"/>
    <w:next w:val="Normal"/>
    <w:link w:val="Heading1Char"/>
    <w:autoRedefine/>
    <w:uiPriority w:val="9"/>
    <w:qFormat/>
    <w:rsid w:val="00295C9E"/>
    <w:pPr>
      <w:keepNext/>
      <w:keepLines/>
      <w:spacing w:before="480" w:after="0" w:line="360" w:lineRule="auto"/>
      <w:jc w:val="both"/>
      <w:outlineLvl w:val="0"/>
    </w:pPr>
    <w:rPr>
      <w:rFonts w:eastAsiaTheme="majorEastAsia" w:cs="Times New Roman"/>
      <w:b/>
      <w:bCs/>
      <w:color w:val="000000" w:themeColor="text1"/>
      <w:sz w:val="24"/>
      <w:szCs w:val="24"/>
    </w:rPr>
  </w:style>
  <w:style w:type="paragraph" w:styleId="Heading2">
    <w:name w:val="heading 2"/>
    <w:basedOn w:val="Normal"/>
    <w:next w:val="Normal"/>
    <w:link w:val="Heading2Char"/>
    <w:autoRedefine/>
    <w:uiPriority w:val="9"/>
    <w:unhideWhenUsed/>
    <w:qFormat/>
    <w:pPr>
      <w:keepNext/>
      <w:keepLines/>
      <w:spacing w:before="200" w:after="0"/>
      <w:outlineLvl w:val="1"/>
    </w:pPr>
    <w:rPr>
      <w:rFonts w:eastAsiaTheme="majorEastAsia"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Footer">
    <w:name w:val="footer"/>
    <w:basedOn w:val="Normal"/>
    <w:link w:val="FooterChar"/>
    <w:uiPriority w:val="99"/>
    <w:unhideWhenUsed/>
    <w:pPr>
      <w:tabs>
        <w:tab w:val="center" w:pos="4153"/>
        <w:tab w:val="right" w:pos="8306"/>
      </w:tabs>
      <w:snapToGrid w:val="0"/>
    </w:pPr>
    <w:rPr>
      <w:sz w:val="18"/>
      <w:szCs w:val="18"/>
    </w:rPr>
  </w:style>
  <w:style w:type="paragraph" w:styleId="Header">
    <w:name w:val="header"/>
    <w:basedOn w:val="Normal"/>
    <w:uiPriority w:val="99"/>
    <w:unhideWhenUsed/>
    <w:pPr>
      <w:tabs>
        <w:tab w:val="center" w:pos="4153"/>
        <w:tab w:val="right" w:pos="8306"/>
      </w:tabs>
      <w:snapToGrid w:val="0"/>
    </w:pPr>
    <w:rPr>
      <w:sz w:val="18"/>
      <w:szCs w:val="18"/>
    </w:rPr>
  </w:style>
  <w:style w:type="character" w:styleId="Hyperlink">
    <w:name w:val="Hyperlink"/>
    <w:basedOn w:val="DefaultParagraphFont"/>
    <w:uiPriority w:val="99"/>
    <w:unhideWhenUsed/>
    <w:qFormat/>
    <w:rPr>
      <w:color w:val="0000FF"/>
      <w:u w:val="single"/>
    </w:rPr>
  </w:style>
  <w:style w:type="character" w:customStyle="1" w:styleId="Heading1Char">
    <w:name w:val="Heading 1 Char"/>
    <w:basedOn w:val="DefaultParagraphFont"/>
    <w:link w:val="Heading1"/>
    <w:uiPriority w:val="9"/>
    <w:qFormat/>
    <w:rsid w:val="00295C9E"/>
    <w:rPr>
      <w:rFonts w:ascii="Times New Roman" w:eastAsiaTheme="majorEastAsia" w:hAnsi="Times New Roman" w:cs="Times New Roman"/>
      <w:b/>
      <w:bCs/>
      <w:color w:val="000000" w:themeColor="text1"/>
      <w:sz w:val="24"/>
      <w:szCs w:val="24"/>
      <w:lang w:val="en-US" w:eastAsia="en-US"/>
    </w:rPr>
  </w:style>
  <w:style w:type="character" w:customStyle="1" w:styleId="Heading2Char">
    <w:name w:val="Heading 2 Char"/>
    <w:basedOn w:val="DefaultParagraphFont"/>
    <w:link w:val="Heading2"/>
    <w:uiPriority w:val="9"/>
    <w:qFormat/>
    <w:rPr>
      <w:rFonts w:ascii="Times New Roman" w:eastAsiaTheme="majorEastAsia" w:hAnsi="Times New Roman" w:cstheme="majorBidi"/>
      <w:b/>
      <w:bCs/>
      <w:color w:val="000000" w:themeColor="text1"/>
      <w:sz w:val="24"/>
      <w:szCs w:val="26"/>
    </w:rPr>
  </w:style>
  <w:style w:type="paragraph" w:customStyle="1" w:styleId="TableParagraph">
    <w:name w:val="Table Paragraph"/>
    <w:basedOn w:val="Normal"/>
    <w:uiPriority w:val="1"/>
    <w:qFormat/>
    <w:pPr>
      <w:ind w:left="107"/>
    </w:pPr>
  </w:style>
  <w:style w:type="paragraph" w:styleId="BalloonText">
    <w:name w:val="Balloon Text"/>
    <w:basedOn w:val="Normal"/>
    <w:link w:val="BalloonTextChar"/>
    <w:uiPriority w:val="99"/>
    <w:semiHidden/>
    <w:unhideWhenUsed/>
    <w:rsid w:val="0072717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7174"/>
    <w:rPr>
      <w:rFonts w:ascii="Tahoma" w:hAnsi="Tahoma" w:cs="Tahoma"/>
      <w:sz w:val="16"/>
      <w:szCs w:val="16"/>
      <w:lang w:val="en-US" w:eastAsia="en-US"/>
    </w:rPr>
  </w:style>
  <w:style w:type="paragraph" w:styleId="TOCHeading">
    <w:name w:val="TOC Heading"/>
    <w:basedOn w:val="Heading1"/>
    <w:next w:val="Normal"/>
    <w:uiPriority w:val="39"/>
    <w:unhideWhenUsed/>
    <w:qFormat/>
    <w:rsid w:val="00295C9E"/>
    <w:pPr>
      <w:spacing w:line="276" w:lineRule="auto"/>
      <w:jc w:val="left"/>
      <w:outlineLvl w:val="9"/>
    </w:pPr>
    <w:rPr>
      <w:rFonts w:asciiTheme="majorHAnsi" w:hAnsiTheme="majorHAnsi" w:cstheme="majorBidi"/>
      <w:color w:val="365F91" w:themeColor="accent1" w:themeShade="BF"/>
      <w:sz w:val="28"/>
      <w:szCs w:val="28"/>
      <w:lang w:eastAsia="ja-JP"/>
    </w:rPr>
  </w:style>
  <w:style w:type="paragraph" w:styleId="TOC1">
    <w:name w:val="toc 1"/>
    <w:basedOn w:val="Normal"/>
    <w:next w:val="Normal"/>
    <w:autoRedefine/>
    <w:uiPriority w:val="39"/>
    <w:unhideWhenUsed/>
    <w:rsid w:val="00295C9E"/>
    <w:pPr>
      <w:spacing w:after="100"/>
    </w:pPr>
  </w:style>
  <w:style w:type="character" w:customStyle="1" w:styleId="FooterChar">
    <w:name w:val="Footer Char"/>
    <w:basedOn w:val="DefaultParagraphFont"/>
    <w:link w:val="Footer"/>
    <w:uiPriority w:val="99"/>
    <w:rsid w:val="001C5E08"/>
    <w:rPr>
      <w:rFonts w:ascii="Times New Roman" w:hAnsi="Times New Roman"/>
      <w:sz w:val="18"/>
      <w:szCs w:val="1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54808/JSCI.20.01.351" TargetMode="External"/><Relationship Id="rId18" Type="http://schemas.openxmlformats.org/officeDocument/2006/relationships/hyperlink" Target="https://doi.org/10.1007/s41109-021-00407-1" TargetMode="Externa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s://doi.org/10.1787/19934351." TargetMode="External"/><Relationship Id="rId17" Type="http://schemas.openxmlformats.org/officeDocument/2006/relationships/hyperlink" Target="https://doi.org/10.1016/j.worlddev.2020.105045" TargetMode="External"/><Relationship Id="rId2" Type="http://schemas.openxmlformats.org/officeDocument/2006/relationships/customXml" Target="../customXml/item2.xml"/><Relationship Id="rId16" Type="http://schemas.openxmlformats.org/officeDocument/2006/relationships/hyperlink" Target="https://doi.org/10.3390/economies8040079"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apenergy.2020.115026" TargetMode="External"/><Relationship Id="rId5" Type="http://schemas.openxmlformats.org/officeDocument/2006/relationships/webSettings" Target="webSettings.xml"/><Relationship Id="rId15" Type="http://schemas.openxmlformats.org/officeDocument/2006/relationships/hyperlink" Target="https://doi.org/10.1057%2Fs41267-020-00339-5" TargetMode="External"/><Relationship Id="rId23" Type="http://schemas.openxmlformats.org/officeDocument/2006/relationships/theme" Target="theme/theme1.xml"/><Relationship Id="rId10" Type="http://schemas.openxmlformats.org/officeDocument/2006/relationships/hyperlink" Target="https://doi.org/10.1016/j.ssci.2022.105756"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scirp.org/html/30-1764191_106821.htm" TargetMode="External"/><Relationship Id="rId14" Type="http://schemas.openxmlformats.org/officeDocument/2006/relationships/hyperlink" Target="https://doi.org/10.1007/s11053-019-09568-4"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B3E7C815-8F15-4F8C-8FEB-D227A109A1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2273</Words>
  <Characters>12960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dc:creator>
  <cp:lastModifiedBy>Maria Tanase</cp:lastModifiedBy>
  <cp:revision>3</cp:revision>
  <dcterms:created xsi:type="dcterms:W3CDTF">2024-07-15T21:10:00Z</dcterms:created>
  <dcterms:modified xsi:type="dcterms:W3CDTF">2024-07-16T20:46:00Z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4D52B233074846DA82BCA41C58179A1E_13</vt:lpwstr>
  </property>
  <property fmtid="{D5CDD505-2E9C-101B-9397-08002B2CF9AE}" pid="3" name="KSOProductBuildVer">
    <vt:lpwstr>1033-12.2.0.17119</vt:lpwstr>
  </property>
  <property fmtid="{D5CDD505-2E9C-101B-9397-08002B2CF9AE}" pid="4" name="GrammarlyDocumentId">
    <vt:lpwstr>630cac17f12e44ba9c1f995e3f6cf0dcb1cb1d26f683a7ff12e5e9325091b05f</vt:lpwstr>
  </property>
</Properties>
</file>