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41F8C" w:rsidRPr="00141F8C" w:rsidRDefault="00EB4EA3" w:rsidP="00EB4EA3">
      <w:pPr>
        <w:rPr>
          <w:sz w:val="32"/>
          <w:szCs w:val="32"/>
        </w:rPr>
      </w:pPr>
      <w:r>
        <w:rPr>
          <w:sz w:val="32"/>
          <w:szCs w:val="32"/>
        </w:rPr>
        <w:t xml:space="preserve">                               </w:t>
      </w:r>
      <w:r w:rsidR="00141F8C" w:rsidRPr="00141F8C">
        <w:rPr>
          <w:sz w:val="32"/>
          <w:szCs w:val="32"/>
        </w:rPr>
        <w:t>ECAD6008 Assignment: Part 1</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141F8C" w:rsidRPr="00141F8C" w:rsidTr="006708F8">
        <w:tc>
          <w:tcPr>
            <w:tcW w:w="2689" w:type="dxa"/>
          </w:tcPr>
          <w:p w:rsidR="00141F8C" w:rsidRPr="00141F8C" w:rsidRDefault="00141F8C" w:rsidP="00141F8C">
            <w:pPr>
              <w:keepNext/>
              <w:keepLines/>
              <w:spacing w:before="40" w:line="360" w:lineRule="auto"/>
              <w:jc w:val="center"/>
              <w:outlineLvl w:val="1"/>
              <w:rPr>
                <w:rFonts w:asciiTheme="majorHAnsi" w:eastAsiaTheme="majorEastAsia" w:hAnsiTheme="majorHAnsi" w:cstheme="majorBidi"/>
                <w:b/>
                <w:color w:val="1F4E79" w:themeColor="accent1" w:themeShade="80"/>
                <w:sz w:val="28"/>
                <w:szCs w:val="26"/>
                <w:lang w:val="en-US"/>
              </w:rPr>
            </w:pPr>
            <w:r w:rsidRPr="00141F8C">
              <w:rPr>
                <w:rFonts w:asciiTheme="majorHAnsi" w:eastAsiaTheme="majorEastAsia" w:hAnsiTheme="majorHAnsi" w:cstheme="majorBidi"/>
                <w:b/>
                <w:color w:val="1F4E79" w:themeColor="accent1" w:themeShade="80"/>
                <w:sz w:val="28"/>
                <w:szCs w:val="26"/>
                <w:lang w:val="en-US"/>
              </w:rPr>
              <w:t>Professional Experience Template 1</w:t>
            </w:r>
          </w:p>
        </w:tc>
        <w:tc>
          <w:tcPr>
            <w:tcW w:w="6327" w:type="dxa"/>
          </w:tcPr>
          <w:p w:rsidR="00141F8C" w:rsidRPr="00141F8C" w:rsidRDefault="00141F8C" w:rsidP="00141F8C"/>
        </w:tc>
      </w:tr>
      <w:tr w:rsidR="00141F8C" w:rsidRPr="00141F8C" w:rsidTr="006708F8">
        <w:tc>
          <w:tcPr>
            <w:tcW w:w="2689" w:type="dxa"/>
          </w:tcPr>
          <w:p w:rsidR="00141F8C" w:rsidRPr="00141F8C" w:rsidRDefault="00141F8C" w:rsidP="00141F8C">
            <w:pPr>
              <w:keepNext/>
              <w:keepLines/>
              <w:spacing w:before="40" w:line="360" w:lineRule="auto"/>
              <w:jc w:val="center"/>
              <w:outlineLvl w:val="1"/>
              <w:rPr>
                <w:rFonts w:asciiTheme="majorHAnsi" w:eastAsiaTheme="majorEastAsia" w:hAnsiTheme="majorHAnsi" w:cstheme="majorBidi"/>
                <w:b/>
                <w:color w:val="1F4E79" w:themeColor="accent1" w:themeShade="80"/>
                <w:sz w:val="28"/>
                <w:szCs w:val="26"/>
                <w:lang w:val="en-US"/>
              </w:rPr>
            </w:pPr>
            <w:r w:rsidRPr="00141F8C">
              <w:rPr>
                <w:rFonts w:asciiTheme="majorHAnsi" w:eastAsiaTheme="majorEastAsia" w:hAnsiTheme="majorHAnsi" w:cstheme="majorBidi"/>
                <w:b/>
                <w:color w:val="1F4E79" w:themeColor="accent1" w:themeShade="80"/>
                <w:sz w:val="28"/>
                <w:szCs w:val="26"/>
                <w:lang w:val="en-US"/>
              </w:rPr>
              <w:t>Pedagogy Standard</w:t>
            </w:r>
          </w:p>
        </w:tc>
        <w:tc>
          <w:tcPr>
            <w:tcW w:w="6327" w:type="dxa"/>
          </w:tcPr>
          <w:p w:rsidR="00141F8C" w:rsidRPr="00141F8C" w:rsidRDefault="00141F8C" w:rsidP="00141F8C">
            <w:pPr>
              <w:rPr>
                <w:sz w:val="28"/>
                <w:szCs w:val="28"/>
              </w:rPr>
            </w:pPr>
            <w:r w:rsidRPr="00141F8C">
              <w:rPr>
                <w:rFonts w:cstheme="minorHAnsi"/>
                <w:color w:val="2E74B5" w:themeColor="accent1" w:themeShade="BF"/>
                <w:sz w:val="28"/>
                <w:szCs w:val="28"/>
              </w:rPr>
              <w:t>Assessment for learning</w:t>
            </w:r>
          </w:p>
        </w:tc>
      </w:tr>
      <w:tr w:rsidR="00141F8C" w:rsidRPr="00141F8C" w:rsidTr="006708F8">
        <w:tc>
          <w:tcPr>
            <w:tcW w:w="2689" w:type="dxa"/>
          </w:tcPr>
          <w:p w:rsidR="00141F8C" w:rsidRPr="00141F8C" w:rsidRDefault="00141F8C" w:rsidP="00141F8C">
            <w:pPr>
              <w:keepNext/>
              <w:keepLines/>
              <w:spacing w:before="120" w:line="360" w:lineRule="auto"/>
              <w:jc w:val="center"/>
              <w:outlineLvl w:val="2"/>
              <w:rPr>
                <w:rFonts w:asciiTheme="majorHAnsi" w:eastAsiaTheme="majorEastAsia" w:hAnsiTheme="majorHAnsi" w:cstheme="majorBidi"/>
                <w:b/>
                <w:bCs/>
                <w:color w:val="1F4D78" w:themeColor="accent1" w:themeShade="7F"/>
                <w:sz w:val="24"/>
                <w:szCs w:val="24"/>
              </w:rPr>
            </w:pPr>
            <w:r w:rsidRPr="00141F8C">
              <w:rPr>
                <w:rFonts w:asciiTheme="majorHAnsi" w:eastAsiaTheme="majorEastAsia" w:hAnsiTheme="majorHAnsi" w:cstheme="majorBidi"/>
                <w:b/>
                <w:bCs/>
                <w:color w:val="1F4D78" w:themeColor="accent1" w:themeShade="7F"/>
                <w:sz w:val="24"/>
                <w:szCs w:val="24"/>
              </w:rPr>
              <w:t>What did you do and why?</w:t>
            </w:r>
          </w:p>
          <w:p w:rsidR="00141F8C" w:rsidRPr="00141F8C" w:rsidRDefault="00141F8C" w:rsidP="00141F8C">
            <w:pPr>
              <w:jc w:val="center"/>
            </w:pPr>
          </w:p>
        </w:tc>
        <w:tc>
          <w:tcPr>
            <w:tcW w:w="6327" w:type="dxa"/>
          </w:tcPr>
          <w:p w:rsidR="00141F8C" w:rsidRPr="00141F8C" w:rsidRDefault="00141F8C" w:rsidP="00141F8C">
            <w:r w:rsidRPr="00141F8C">
              <w:t xml:space="preserve">I was put in charge of planning and delivering the literacy for the week. Due to there being a lot going on in the school this week </w:t>
            </w:r>
            <w:proofErr w:type="gramStart"/>
            <w:r w:rsidRPr="00141F8C">
              <w:t>For</w:t>
            </w:r>
            <w:proofErr w:type="gramEnd"/>
            <w:r w:rsidRPr="00141F8C">
              <w:t xml:space="preserve"> this experience I set out with the target of focussing on Assessment for learning, whilst continuing my classroom management target set at the end of the first week. I was given the tasks of delivering a different literacy input each day to over 50 children, whilst also delivering </w:t>
            </w:r>
            <w:proofErr w:type="spellStart"/>
            <w:proofErr w:type="gramStart"/>
            <w:r w:rsidRPr="00141F8C">
              <w:t>a</w:t>
            </w:r>
            <w:proofErr w:type="spellEnd"/>
            <w:proofErr w:type="gramEnd"/>
            <w:r w:rsidRPr="00141F8C">
              <w:t xml:space="preserve"> introduction to the activity to smaller groups, before taking two or three children out at a time to do the activity. The activity centred around the children using build on the knowledge of rhyming </w:t>
            </w:r>
            <w:proofErr w:type="spellStart"/>
            <w:r w:rsidRPr="00141F8C">
              <w:t>cvc</w:t>
            </w:r>
            <w:proofErr w:type="spellEnd"/>
            <w:r w:rsidRPr="00141F8C">
              <w:t xml:space="preserve"> words in each input to be able to recognise 'at' and '</w:t>
            </w:r>
            <w:proofErr w:type="spellStart"/>
            <w:r w:rsidRPr="00141F8C">
              <w:t>og</w:t>
            </w:r>
            <w:proofErr w:type="spellEnd"/>
            <w:r w:rsidRPr="00141F8C">
              <w:t xml:space="preserve">' words, and put </w:t>
            </w:r>
            <w:proofErr w:type="spellStart"/>
            <w:proofErr w:type="gramStart"/>
            <w:r w:rsidRPr="00141F8C">
              <w:t>a</w:t>
            </w:r>
            <w:proofErr w:type="spellEnd"/>
            <w:proofErr w:type="gramEnd"/>
            <w:r w:rsidRPr="00141F8C">
              <w:t xml:space="preserve"> image and the words into either the 'at' circle or '</w:t>
            </w:r>
            <w:proofErr w:type="spellStart"/>
            <w:r w:rsidRPr="00141F8C">
              <w:t>og</w:t>
            </w:r>
            <w:proofErr w:type="spellEnd"/>
            <w:r w:rsidRPr="00141F8C">
              <w:t>' circle.</w:t>
            </w:r>
          </w:p>
          <w:p w:rsidR="00141F8C" w:rsidRPr="00141F8C" w:rsidRDefault="00141F8C" w:rsidP="00141F8C">
            <w:r w:rsidRPr="00141F8C">
              <w:t xml:space="preserve">For Assessment for learning I used the 'cool blue' and 'next steps' method which is used throughout the school. This allows for instant feedback either through using comments only or comments and then writing it in the pupil’s book. In this case I used comments only. This instant feedback method is intended to allow children to understand what they did well straight away and give them a target to work on for the next literacy task. The higher year groups in the school use this star and next step format as part of a growth sheet where the pupils are able to have a clear the parts of work the teacher is referring to and even respond to the teacher in a comments section of the growth sheet. However, as I am in reception it is not possible to give the children this growth sheet as the majority of the pupils would not be able to understand it. In addition to this I created </w:t>
            </w:r>
            <w:proofErr w:type="gramStart"/>
            <w:r w:rsidRPr="00141F8C">
              <w:t>a success criteria</w:t>
            </w:r>
            <w:proofErr w:type="gramEnd"/>
            <w:r w:rsidRPr="00141F8C">
              <w:t xml:space="preserve"> which I showed to the pupils. However, at first I made the mistake of not having the success criteria visible for the pupils when they were completing their work. I felt that this had a potentially detrimental impact on the effectiveness of the feedback I gave them</w:t>
            </w:r>
          </w:p>
        </w:tc>
      </w:tr>
      <w:tr w:rsidR="00141F8C" w:rsidRPr="00141F8C" w:rsidTr="006708F8">
        <w:tc>
          <w:tcPr>
            <w:tcW w:w="2689" w:type="dxa"/>
          </w:tcPr>
          <w:p w:rsidR="00141F8C" w:rsidRPr="00141F8C" w:rsidRDefault="00141F8C" w:rsidP="00141F8C">
            <w:pPr>
              <w:keepNext/>
              <w:keepLines/>
              <w:spacing w:before="120" w:line="360" w:lineRule="auto"/>
              <w:jc w:val="center"/>
              <w:outlineLvl w:val="2"/>
              <w:rPr>
                <w:rFonts w:asciiTheme="majorHAnsi" w:eastAsiaTheme="majorEastAsia" w:hAnsiTheme="majorHAnsi" w:cstheme="majorBidi"/>
                <w:b/>
                <w:bCs/>
                <w:color w:val="1F4D78" w:themeColor="accent1" w:themeShade="7F"/>
                <w:sz w:val="24"/>
                <w:szCs w:val="24"/>
              </w:rPr>
            </w:pPr>
            <w:r w:rsidRPr="00141F8C">
              <w:rPr>
                <w:rFonts w:asciiTheme="majorHAnsi" w:eastAsiaTheme="majorEastAsia" w:hAnsiTheme="majorHAnsi" w:cstheme="majorBidi"/>
                <w:b/>
                <w:bCs/>
                <w:color w:val="1F4D78" w:themeColor="accent1" w:themeShade="7F"/>
                <w:sz w:val="24"/>
                <w:szCs w:val="24"/>
              </w:rPr>
              <w:t>What have you learned?</w:t>
            </w:r>
          </w:p>
          <w:p w:rsidR="00141F8C" w:rsidRPr="00141F8C" w:rsidRDefault="00141F8C" w:rsidP="00141F8C">
            <w:pPr>
              <w:jc w:val="center"/>
            </w:pPr>
          </w:p>
        </w:tc>
        <w:tc>
          <w:tcPr>
            <w:tcW w:w="6327" w:type="dxa"/>
          </w:tcPr>
          <w:p w:rsidR="00141F8C" w:rsidRPr="00141F8C" w:rsidRDefault="00141F8C" w:rsidP="00141F8C">
            <w:r w:rsidRPr="00141F8C">
              <w:t>I have learned the importance of using Assessment for learning strategies in order to gauge whether the pupils have understood their work and also to gain an instant understanding of where the children are in their learning. I have also learned that Assessment for learning is as much as  a tool for teachers as it is students, and that it is an important tool in the modern day classroom.</w:t>
            </w:r>
          </w:p>
        </w:tc>
      </w:tr>
      <w:tr w:rsidR="00141F8C" w:rsidRPr="00141F8C" w:rsidTr="006708F8">
        <w:tc>
          <w:tcPr>
            <w:tcW w:w="2689" w:type="dxa"/>
          </w:tcPr>
          <w:p w:rsidR="00141F8C" w:rsidRPr="00141F8C" w:rsidRDefault="00141F8C" w:rsidP="00141F8C">
            <w:pPr>
              <w:keepNext/>
              <w:keepLines/>
              <w:spacing w:before="120" w:line="360" w:lineRule="auto"/>
              <w:jc w:val="center"/>
              <w:outlineLvl w:val="2"/>
              <w:rPr>
                <w:rFonts w:asciiTheme="majorHAnsi" w:eastAsiaTheme="majorEastAsia" w:hAnsiTheme="majorHAnsi" w:cstheme="majorBidi"/>
                <w:b/>
                <w:bCs/>
                <w:color w:val="1F4D78" w:themeColor="accent1" w:themeShade="7F"/>
                <w:sz w:val="24"/>
                <w:szCs w:val="24"/>
              </w:rPr>
            </w:pPr>
            <w:r w:rsidRPr="00141F8C">
              <w:rPr>
                <w:rFonts w:asciiTheme="majorHAnsi" w:eastAsiaTheme="majorEastAsia" w:hAnsiTheme="majorHAnsi" w:cstheme="majorBidi"/>
                <w:b/>
                <w:bCs/>
                <w:color w:val="1F4D78" w:themeColor="accent1" w:themeShade="7F"/>
                <w:sz w:val="24"/>
                <w:szCs w:val="24"/>
              </w:rPr>
              <w:t>What next?</w:t>
            </w:r>
          </w:p>
          <w:p w:rsidR="00141F8C" w:rsidRPr="00141F8C" w:rsidRDefault="00141F8C" w:rsidP="00141F8C">
            <w:pPr>
              <w:jc w:val="center"/>
            </w:pPr>
          </w:p>
        </w:tc>
        <w:tc>
          <w:tcPr>
            <w:tcW w:w="6327" w:type="dxa"/>
          </w:tcPr>
          <w:p w:rsidR="00141F8C" w:rsidRPr="00141F8C" w:rsidRDefault="00141F8C" w:rsidP="00141F8C">
            <w:r w:rsidRPr="00141F8C">
              <w:t xml:space="preserve">As there are four pillars of assessment for learning I intended to find time in my professional teaching experience to use strategies from each of the four pillars and find out which work best in certain situations. I also intend to carry AFL forward for part two of this </w:t>
            </w:r>
            <w:r w:rsidRPr="00141F8C">
              <w:lastRenderedPageBreak/>
              <w:t>assignment and critically evaluate the talking points in the literature surrounding AFL.</w:t>
            </w:r>
          </w:p>
        </w:tc>
      </w:tr>
    </w:tbl>
    <w:tbl>
      <w:tblPr>
        <w:tblStyle w:val="TableGrid"/>
        <w:tblpPr w:leftFromText="180" w:rightFromText="180" w:vertAnchor="text" w:horzAnchor="margin" w:tblpY="1136"/>
        <w:tblW w:w="0" w:type="auto"/>
        <w:tblLook w:val="04A0" w:firstRow="1" w:lastRow="0" w:firstColumn="1" w:lastColumn="0" w:noHBand="0" w:noVBand="1"/>
      </w:tblPr>
      <w:tblGrid>
        <w:gridCol w:w="2689"/>
        <w:gridCol w:w="6327"/>
      </w:tblGrid>
      <w:tr w:rsidR="00141F8C" w:rsidRPr="00141F8C" w:rsidTr="00EB4EA3">
        <w:tc>
          <w:tcPr>
            <w:tcW w:w="2689" w:type="dxa"/>
          </w:tcPr>
          <w:p w:rsidR="00141F8C" w:rsidRPr="00141F8C" w:rsidRDefault="00141F8C" w:rsidP="00EB4EA3">
            <w:pPr>
              <w:keepNext/>
              <w:keepLines/>
              <w:spacing w:before="40" w:line="360" w:lineRule="auto"/>
              <w:jc w:val="center"/>
              <w:outlineLvl w:val="1"/>
              <w:rPr>
                <w:rFonts w:asciiTheme="majorHAnsi" w:eastAsiaTheme="majorEastAsia" w:hAnsiTheme="majorHAnsi" w:cstheme="majorBidi"/>
                <w:b/>
                <w:color w:val="1F4E79" w:themeColor="accent1" w:themeShade="80"/>
                <w:sz w:val="28"/>
                <w:szCs w:val="26"/>
                <w:lang w:val="en-US"/>
              </w:rPr>
            </w:pPr>
            <w:r w:rsidRPr="00141F8C">
              <w:rPr>
                <w:rFonts w:asciiTheme="majorHAnsi" w:eastAsiaTheme="majorEastAsia" w:hAnsiTheme="majorHAnsi" w:cstheme="majorBidi"/>
                <w:b/>
                <w:color w:val="1F4E79" w:themeColor="accent1" w:themeShade="80"/>
                <w:sz w:val="28"/>
                <w:szCs w:val="26"/>
                <w:lang w:val="en-US"/>
              </w:rPr>
              <w:lastRenderedPageBreak/>
              <w:t>Professional Experience Template 2</w:t>
            </w:r>
          </w:p>
        </w:tc>
        <w:tc>
          <w:tcPr>
            <w:tcW w:w="6327" w:type="dxa"/>
          </w:tcPr>
          <w:p w:rsidR="00141F8C" w:rsidRPr="00141F8C" w:rsidRDefault="00141F8C" w:rsidP="00EB4EA3"/>
        </w:tc>
      </w:tr>
      <w:tr w:rsidR="00141F8C" w:rsidRPr="00141F8C" w:rsidTr="00EB4EA3">
        <w:tc>
          <w:tcPr>
            <w:tcW w:w="2689" w:type="dxa"/>
          </w:tcPr>
          <w:p w:rsidR="00141F8C" w:rsidRPr="00141F8C" w:rsidRDefault="00141F8C" w:rsidP="00EB4EA3">
            <w:pPr>
              <w:keepNext/>
              <w:keepLines/>
              <w:spacing w:before="40" w:line="360" w:lineRule="auto"/>
              <w:jc w:val="center"/>
              <w:outlineLvl w:val="1"/>
              <w:rPr>
                <w:rFonts w:asciiTheme="majorHAnsi" w:eastAsiaTheme="majorEastAsia" w:hAnsiTheme="majorHAnsi" w:cstheme="majorBidi"/>
                <w:b/>
                <w:color w:val="1F4E79" w:themeColor="accent1" w:themeShade="80"/>
                <w:sz w:val="28"/>
                <w:szCs w:val="26"/>
                <w:lang w:val="en-US"/>
              </w:rPr>
            </w:pPr>
            <w:r w:rsidRPr="00141F8C">
              <w:rPr>
                <w:rFonts w:asciiTheme="majorHAnsi" w:eastAsiaTheme="majorEastAsia" w:hAnsiTheme="majorHAnsi" w:cstheme="majorBidi"/>
                <w:b/>
                <w:color w:val="1F4E79" w:themeColor="accent1" w:themeShade="80"/>
                <w:sz w:val="28"/>
                <w:szCs w:val="26"/>
                <w:lang w:val="en-US"/>
              </w:rPr>
              <w:t>Pedagogy Standard</w:t>
            </w:r>
          </w:p>
        </w:tc>
        <w:tc>
          <w:tcPr>
            <w:tcW w:w="6327" w:type="dxa"/>
          </w:tcPr>
          <w:p w:rsidR="00141F8C" w:rsidRPr="00141F8C" w:rsidRDefault="00141F8C" w:rsidP="00EB4EA3">
            <w:pPr>
              <w:rPr>
                <w:rFonts w:asciiTheme="majorHAnsi" w:hAnsiTheme="majorHAnsi" w:cstheme="majorHAnsi"/>
                <w:b/>
                <w:color w:val="2E74B5" w:themeColor="accent1" w:themeShade="BF"/>
                <w:sz w:val="28"/>
                <w:szCs w:val="28"/>
              </w:rPr>
            </w:pPr>
            <w:r w:rsidRPr="00141F8C">
              <w:rPr>
                <w:rFonts w:asciiTheme="majorHAnsi" w:hAnsiTheme="majorHAnsi" w:cstheme="majorHAnsi"/>
                <w:b/>
                <w:color w:val="2E74B5" w:themeColor="accent1" w:themeShade="BF"/>
                <w:sz w:val="28"/>
                <w:szCs w:val="28"/>
              </w:rPr>
              <w:t>Blended learning experiences</w:t>
            </w:r>
          </w:p>
          <w:p w:rsidR="00141F8C" w:rsidRPr="00141F8C" w:rsidRDefault="00141F8C" w:rsidP="00EB4EA3">
            <w:pPr>
              <w:rPr>
                <w:rFonts w:asciiTheme="majorHAnsi" w:hAnsiTheme="majorHAnsi" w:cstheme="majorHAnsi"/>
                <w:color w:val="2E74B5" w:themeColor="accent1" w:themeShade="BF"/>
                <w:sz w:val="28"/>
                <w:szCs w:val="28"/>
              </w:rPr>
            </w:pPr>
          </w:p>
        </w:tc>
      </w:tr>
      <w:tr w:rsidR="00141F8C" w:rsidRPr="00141F8C" w:rsidTr="00EB4EA3">
        <w:tc>
          <w:tcPr>
            <w:tcW w:w="2689" w:type="dxa"/>
          </w:tcPr>
          <w:p w:rsidR="00141F8C" w:rsidRPr="00141F8C" w:rsidRDefault="00141F8C" w:rsidP="00EB4EA3">
            <w:pPr>
              <w:keepNext/>
              <w:keepLines/>
              <w:spacing w:before="120" w:line="360" w:lineRule="auto"/>
              <w:jc w:val="center"/>
              <w:outlineLvl w:val="2"/>
              <w:rPr>
                <w:rFonts w:asciiTheme="majorHAnsi" w:eastAsiaTheme="majorEastAsia" w:hAnsiTheme="majorHAnsi" w:cstheme="majorBidi"/>
                <w:b/>
                <w:bCs/>
                <w:color w:val="1F4D78" w:themeColor="accent1" w:themeShade="7F"/>
                <w:sz w:val="24"/>
                <w:szCs w:val="24"/>
              </w:rPr>
            </w:pPr>
            <w:r w:rsidRPr="00141F8C">
              <w:rPr>
                <w:rFonts w:asciiTheme="majorHAnsi" w:eastAsiaTheme="majorEastAsia" w:hAnsiTheme="majorHAnsi" w:cstheme="majorBidi"/>
                <w:b/>
                <w:bCs/>
                <w:color w:val="1F4D78" w:themeColor="accent1" w:themeShade="7F"/>
                <w:sz w:val="24"/>
                <w:szCs w:val="24"/>
              </w:rPr>
              <w:t>What did you do and why?</w:t>
            </w:r>
          </w:p>
          <w:p w:rsidR="00141F8C" w:rsidRPr="00141F8C" w:rsidRDefault="00141F8C" w:rsidP="00EB4EA3">
            <w:pPr>
              <w:jc w:val="center"/>
            </w:pPr>
          </w:p>
        </w:tc>
        <w:tc>
          <w:tcPr>
            <w:tcW w:w="6327" w:type="dxa"/>
          </w:tcPr>
          <w:p w:rsidR="00141F8C" w:rsidRPr="00141F8C" w:rsidRDefault="00141F8C" w:rsidP="00EB4EA3">
            <w:r w:rsidRPr="00141F8C">
              <w:t>For the whole class input I used PowerPoints and interactive games which worked well as the pupils were able to be active participants in their own learning. The games especially seemed to keep the pupils engaged, as most pupils were eager to participate when it was time to call pupils up to the whiteboard to interact with the games on the whiteboard. For the PowerPoints I had small sections where the pupils had to sit and listen for short periods of time. Although the ability to sit and listen quietly is important for a child's development, I noticed that the longer the pupils sat there listening, the more they became restless and lost concentration. The other parts of the PowerPoint included parts where the pupils were required to sound words out and blend words. I carried out these activities by using 'my turn, your turn', where I would sound the word out first and then blend it, before the pupils doing it as a class. the main activity gave me a chance to incorporate blended learning experiences into this week’s literacy, this is because the activity involved children stepping away from the white board and use words and images in card format, and put them in the correct circle (hula hoop). As it gave the children a different, more hands on experience for literacy this week, rather than writing with a pencil in their books</w:t>
            </w:r>
          </w:p>
        </w:tc>
      </w:tr>
      <w:tr w:rsidR="00141F8C" w:rsidRPr="00141F8C" w:rsidTr="00EB4EA3">
        <w:tc>
          <w:tcPr>
            <w:tcW w:w="2689" w:type="dxa"/>
          </w:tcPr>
          <w:p w:rsidR="00141F8C" w:rsidRPr="00141F8C" w:rsidRDefault="00141F8C" w:rsidP="00EB4EA3">
            <w:pPr>
              <w:keepNext/>
              <w:keepLines/>
              <w:spacing w:before="120" w:line="360" w:lineRule="auto"/>
              <w:jc w:val="center"/>
              <w:outlineLvl w:val="2"/>
              <w:rPr>
                <w:rFonts w:asciiTheme="majorHAnsi" w:eastAsiaTheme="majorEastAsia" w:hAnsiTheme="majorHAnsi" w:cstheme="majorBidi"/>
                <w:b/>
                <w:bCs/>
                <w:color w:val="1F4D78" w:themeColor="accent1" w:themeShade="7F"/>
                <w:sz w:val="24"/>
                <w:szCs w:val="24"/>
              </w:rPr>
            </w:pPr>
            <w:r w:rsidRPr="00141F8C">
              <w:rPr>
                <w:rFonts w:asciiTheme="majorHAnsi" w:eastAsiaTheme="majorEastAsia" w:hAnsiTheme="majorHAnsi" w:cstheme="majorBidi"/>
                <w:b/>
                <w:bCs/>
                <w:color w:val="1F4D78" w:themeColor="accent1" w:themeShade="7F"/>
                <w:sz w:val="24"/>
                <w:szCs w:val="24"/>
              </w:rPr>
              <w:t>What have you learned?</w:t>
            </w:r>
          </w:p>
          <w:p w:rsidR="00141F8C" w:rsidRPr="00141F8C" w:rsidRDefault="00141F8C" w:rsidP="00EB4EA3">
            <w:pPr>
              <w:jc w:val="center"/>
            </w:pPr>
          </w:p>
        </w:tc>
        <w:tc>
          <w:tcPr>
            <w:tcW w:w="6327" w:type="dxa"/>
          </w:tcPr>
          <w:p w:rsidR="00141F8C" w:rsidRPr="00141F8C" w:rsidRDefault="00141F8C" w:rsidP="00EB4EA3">
            <w:r w:rsidRPr="00141F8C">
              <w:t xml:space="preserve">I have also learnt the importance of giving children a blended learning experience, as a was surprised by the level of work produced by some of the lower ability children in a more hands on literacy activity. A lot of these children struggled in last week’s literacy activity which involved writing in their books, so to give them a blended learning experience potentially allowed them a chance to show them their strengths as not every child is going to shine when using a pencil to write in their books. I have also learned that each pupils </w:t>
            </w:r>
            <w:proofErr w:type="gramStart"/>
            <w:r w:rsidRPr="00141F8C">
              <w:t>is</w:t>
            </w:r>
            <w:proofErr w:type="gramEnd"/>
            <w:r w:rsidRPr="00141F8C">
              <w:t xml:space="preserve"> unique in the way that they learn, and it is important that when teaching I should make sure lessons aren’t all one dimensional, and different ways of teaching that move away from traditional lessons of children working in a book should be incorporated in lessons whenever possible. It is important so say these blended learning experiences should not replace children working in their books as this is still a significant part of children’s learning. However they should be integrated into classroom life </w:t>
            </w:r>
            <w:proofErr w:type="spellStart"/>
            <w:r w:rsidRPr="00141F8C">
              <w:t>along side</w:t>
            </w:r>
            <w:proofErr w:type="spellEnd"/>
            <w:r w:rsidRPr="00141F8C">
              <w:t xml:space="preserve"> them.</w:t>
            </w:r>
          </w:p>
        </w:tc>
      </w:tr>
      <w:tr w:rsidR="00141F8C" w:rsidRPr="00141F8C" w:rsidTr="00EB4EA3">
        <w:tc>
          <w:tcPr>
            <w:tcW w:w="2689" w:type="dxa"/>
          </w:tcPr>
          <w:p w:rsidR="00141F8C" w:rsidRPr="00141F8C" w:rsidRDefault="00141F8C" w:rsidP="00EB4EA3">
            <w:pPr>
              <w:keepNext/>
              <w:keepLines/>
              <w:spacing w:before="120" w:line="360" w:lineRule="auto"/>
              <w:jc w:val="center"/>
              <w:outlineLvl w:val="2"/>
              <w:rPr>
                <w:rFonts w:asciiTheme="majorHAnsi" w:eastAsiaTheme="majorEastAsia" w:hAnsiTheme="majorHAnsi" w:cstheme="majorBidi"/>
                <w:b/>
                <w:bCs/>
                <w:color w:val="1F4D78" w:themeColor="accent1" w:themeShade="7F"/>
                <w:sz w:val="24"/>
                <w:szCs w:val="24"/>
              </w:rPr>
            </w:pPr>
            <w:r w:rsidRPr="00141F8C">
              <w:rPr>
                <w:rFonts w:asciiTheme="majorHAnsi" w:eastAsiaTheme="majorEastAsia" w:hAnsiTheme="majorHAnsi" w:cstheme="majorBidi"/>
                <w:b/>
                <w:bCs/>
                <w:color w:val="1F4D78" w:themeColor="accent1" w:themeShade="7F"/>
                <w:sz w:val="24"/>
                <w:szCs w:val="24"/>
              </w:rPr>
              <w:lastRenderedPageBreak/>
              <w:t>What next?</w:t>
            </w:r>
          </w:p>
          <w:p w:rsidR="00141F8C" w:rsidRPr="00141F8C" w:rsidRDefault="00141F8C" w:rsidP="00EB4EA3">
            <w:pPr>
              <w:jc w:val="center"/>
            </w:pPr>
          </w:p>
        </w:tc>
        <w:tc>
          <w:tcPr>
            <w:tcW w:w="6327" w:type="dxa"/>
          </w:tcPr>
          <w:p w:rsidR="00141F8C" w:rsidRPr="00141F8C" w:rsidRDefault="00141F8C" w:rsidP="00EB4EA3">
            <w:r w:rsidRPr="00141F8C">
              <w:t>I plan to continue researching and increasing my knowledge on blended learning experience and how I can incorporate them into classrooms in the future. I also plan to research the link between blended learning experiences and differentiation as I feel giving children blended learning experiences can be used as a tool for differentiating lessons and tasks, particularly for middle to lower ability pupils.</w:t>
            </w:r>
          </w:p>
        </w:tc>
      </w:tr>
    </w:tbl>
    <w:tbl>
      <w:tblPr>
        <w:tblStyle w:val="TableGrid"/>
        <w:tblpPr w:leftFromText="180" w:rightFromText="180" w:vertAnchor="page" w:horzAnchor="margin" w:tblpY="5717"/>
        <w:tblW w:w="0" w:type="auto"/>
        <w:tblLook w:val="04A0" w:firstRow="1" w:lastRow="0" w:firstColumn="1" w:lastColumn="0" w:noHBand="0" w:noVBand="1"/>
      </w:tblPr>
      <w:tblGrid>
        <w:gridCol w:w="2689"/>
        <w:gridCol w:w="6327"/>
      </w:tblGrid>
      <w:tr w:rsidR="00141F8C" w:rsidRPr="00141F8C" w:rsidTr="00EB4EA3">
        <w:tc>
          <w:tcPr>
            <w:tcW w:w="2689" w:type="dxa"/>
          </w:tcPr>
          <w:p w:rsidR="00141F8C" w:rsidRPr="00141F8C" w:rsidRDefault="00141F8C" w:rsidP="00EB4EA3">
            <w:pPr>
              <w:keepNext/>
              <w:keepLines/>
              <w:spacing w:before="40" w:line="360" w:lineRule="auto"/>
              <w:jc w:val="center"/>
              <w:outlineLvl w:val="1"/>
              <w:rPr>
                <w:rFonts w:asciiTheme="majorHAnsi" w:eastAsiaTheme="majorEastAsia" w:hAnsiTheme="majorHAnsi" w:cstheme="majorBidi"/>
                <w:b/>
                <w:color w:val="1F4E79" w:themeColor="accent1" w:themeShade="80"/>
                <w:sz w:val="28"/>
                <w:szCs w:val="26"/>
                <w:lang w:val="en-US"/>
              </w:rPr>
            </w:pPr>
            <w:r w:rsidRPr="00141F8C">
              <w:rPr>
                <w:rFonts w:asciiTheme="majorHAnsi" w:eastAsiaTheme="majorEastAsia" w:hAnsiTheme="majorHAnsi" w:cstheme="majorBidi"/>
                <w:b/>
                <w:color w:val="1F4E79" w:themeColor="accent1" w:themeShade="80"/>
                <w:sz w:val="28"/>
                <w:szCs w:val="26"/>
                <w:lang w:val="en-US"/>
              </w:rPr>
              <w:t>Professional Experience Template 3</w:t>
            </w:r>
          </w:p>
        </w:tc>
        <w:tc>
          <w:tcPr>
            <w:tcW w:w="6327" w:type="dxa"/>
          </w:tcPr>
          <w:p w:rsidR="00141F8C" w:rsidRPr="00141F8C" w:rsidRDefault="00141F8C" w:rsidP="00EB4EA3"/>
        </w:tc>
      </w:tr>
      <w:tr w:rsidR="00141F8C" w:rsidRPr="00141F8C" w:rsidTr="00EB4EA3">
        <w:tc>
          <w:tcPr>
            <w:tcW w:w="2689" w:type="dxa"/>
          </w:tcPr>
          <w:p w:rsidR="00141F8C" w:rsidRPr="00141F8C" w:rsidRDefault="00141F8C" w:rsidP="00EB4EA3">
            <w:pPr>
              <w:keepNext/>
              <w:keepLines/>
              <w:spacing w:before="40" w:line="360" w:lineRule="auto"/>
              <w:jc w:val="center"/>
              <w:outlineLvl w:val="1"/>
              <w:rPr>
                <w:rFonts w:asciiTheme="majorHAnsi" w:eastAsiaTheme="majorEastAsia" w:hAnsiTheme="majorHAnsi" w:cstheme="majorBidi"/>
                <w:b/>
                <w:color w:val="1F4E79" w:themeColor="accent1" w:themeShade="80"/>
                <w:sz w:val="28"/>
                <w:szCs w:val="26"/>
                <w:lang w:val="en-US"/>
              </w:rPr>
            </w:pPr>
            <w:r w:rsidRPr="00141F8C">
              <w:rPr>
                <w:rFonts w:asciiTheme="majorHAnsi" w:eastAsiaTheme="majorEastAsia" w:hAnsiTheme="majorHAnsi" w:cstheme="majorBidi"/>
                <w:b/>
                <w:color w:val="1F4E79" w:themeColor="accent1" w:themeShade="80"/>
                <w:sz w:val="28"/>
                <w:szCs w:val="26"/>
                <w:lang w:val="en-US"/>
              </w:rPr>
              <w:t>Pedagogy Standard</w:t>
            </w:r>
          </w:p>
        </w:tc>
        <w:tc>
          <w:tcPr>
            <w:tcW w:w="6327" w:type="dxa"/>
          </w:tcPr>
          <w:p w:rsidR="00141F8C" w:rsidRPr="00141F8C" w:rsidRDefault="00141F8C" w:rsidP="00EB4EA3">
            <w:pPr>
              <w:rPr>
                <w:rFonts w:asciiTheme="majorHAnsi" w:hAnsiTheme="majorHAnsi" w:cstheme="majorHAnsi"/>
                <w:b/>
                <w:color w:val="2E74B5" w:themeColor="accent1" w:themeShade="BF"/>
                <w:sz w:val="28"/>
                <w:szCs w:val="28"/>
              </w:rPr>
            </w:pPr>
            <w:r w:rsidRPr="00141F8C">
              <w:rPr>
                <w:rFonts w:asciiTheme="majorHAnsi" w:hAnsiTheme="majorHAnsi" w:cstheme="majorHAnsi"/>
                <w:b/>
                <w:color w:val="2E74B5" w:themeColor="accent1" w:themeShade="BF"/>
                <w:sz w:val="28"/>
                <w:szCs w:val="28"/>
              </w:rPr>
              <w:t>Real life authentic contexts</w:t>
            </w:r>
          </w:p>
          <w:p w:rsidR="00141F8C" w:rsidRPr="00141F8C" w:rsidRDefault="00141F8C" w:rsidP="00EB4EA3"/>
        </w:tc>
      </w:tr>
      <w:tr w:rsidR="00141F8C" w:rsidRPr="00141F8C" w:rsidTr="00EB4EA3">
        <w:tc>
          <w:tcPr>
            <w:tcW w:w="2689" w:type="dxa"/>
          </w:tcPr>
          <w:p w:rsidR="00141F8C" w:rsidRPr="00141F8C" w:rsidRDefault="00141F8C" w:rsidP="00EB4EA3">
            <w:pPr>
              <w:keepNext/>
              <w:keepLines/>
              <w:spacing w:before="120" w:line="360" w:lineRule="auto"/>
              <w:jc w:val="center"/>
              <w:outlineLvl w:val="2"/>
              <w:rPr>
                <w:rFonts w:asciiTheme="majorHAnsi" w:eastAsiaTheme="majorEastAsia" w:hAnsiTheme="majorHAnsi" w:cstheme="majorBidi"/>
                <w:b/>
                <w:bCs/>
                <w:color w:val="1F4D78" w:themeColor="accent1" w:themeShade="7F"/>
                <w:sz w:val="24"/>
                <w:szCs w:val="24"/>
              </w:rPr>
            </w:pPr>
            <w:r w:rsidRPr="00141F8C">
              <w:rPr>
                <w:rFonts w:asciiTheme="majorHAnsi" w:eastAsiaTheme="majorEastAsia" w:hAnsiTheme="majorHAnsi" w:cstheme="majorBidi"/>
                <w:b/>
                <w:bCs/>
                <w:color w:val="1F4D78" w:themeColor="accent1" w:themeShade="7F"/>
                <w:sz w:val="24"/>
                <w:szCs w:val="24"/>
              </w:rPr>
              <w:t>What did you do and why?</w:t>
            </w:r>
          </w:p>
          <w:p w:rsidR="00141F8C" w:rsidRPr="00141F8C" w:rsidRDefault="00141F8C" w:rsidP="00EB4EA3">
            <w:pPr>
              <w:jc w:val="center"/>
            </w:pPr>
          </w:p>
        </w:tc>
        <w:tc>
          <w:tcPr>
            <w:tcW w:w="6327" w:type="dxa"/>
          </w:tcPr>
          <w:p w:rsidR="00141F8C" w:rsidRPr="00141F8C" w:rsidRDefault="00141F8C" w:rsidP="00EB4EA3">
            <w:r w:rsidRPr="00141F8C">
              <w:t xml:space="preserve">This week I co-planned with the class teacher the activities that and was able to incorporate real life authentic contexts into the enhanced provision planning. As the theme of the term is space, and the book of the week was the </w:t>
            </w:r>
            <w:proofErr w:type="spellStart"/>
            <w:r w:rsidRPr="00141F8C">
              <w:t>Smeds</w:t>
            </w:r>
            <w:proofErr w:type="spellEnd"/>
            <w:r w:rsidRPr="00141F8C">
              <w:t xml:space="preserve"> and the </w:t>
            </w:r>
            <w:proofErr w:type="spellStart"/>
            <w:r w:rsidRPr="00141F8C">
              <w:t>Smoos</w:t>
            </w:r>
            <w:proofErr w:type="spellEnd"/>
            <w:r w:rsidRPr="00141F8C">
              <w:t xml:space="preserve">, we used these to incorporate the real life authentic contexts. The main objectives of these activities were to teach the pupils how to form relationships and feel confident to work and play cooperatively. One of the main activities were that the children were asked to create a conversation where they would help the </w:t>
            </w:r>
            <w:proofErr w:type="spellStart"/>
            <w:r w:rsidRPr="00141F8C">
              <w:t>Smeds</w:t>
            </w:r>
            <w:proofErr w:type="spellEnd"/>
            <w:r w:rsidRPr="00141F8C">
              <w:t xml:space="preserve"> and the </w:t>
            </w:r>
            <w:proofErr w:type="spellStart"/>
            <w:r w:rsidRPr="00141F8C">
              <w:t>Smoos</w:t>
            </w:r>
            <w:proofErr w:type="spellEnd"/>
            <w:r w:rsidRPr="00141F8C">
              <w:t xml:space="preserve"> become friends. They were asked to verbally say what they would say to a </w:t>
            </w:r>
            <w:proofErr w:type="spellStart"/>
            <w:r w:rsidRPr="00141F8C">
              <w:t>Smed</w:t>
            </w:r>
            <w:proofErr w:type="spellEnd"/>
            <w:r w:rsidRPr="00141F8C">
              <w:t xml:space="preserve"> if they were a </w:t>
            </w:r>
            <w:proofErr w:type="spellStart"/>
            <w:r w:rsidRPr="00141F8C">
              <w:t>Smoo</w:t>
            </w:r>
            <w:proofErr w:type="spellEnd"/>
            <w:r w:rsidRPr="00141F8C">
              <w:t xml:space="preserve">. Some of the higher ability children found this task straightforward, so as an additional activity I asked the children to pair up and told one of them to pretend they were a </w:t>
            </w:r>
            <w:proofErr w:type="spellStart"/>
            <w:r w:rsidRPr="00141F8C">
              <w:t>Smed</w:t>
            </w:r>
            <w:proofErr w:type="spellEnd"/>
            <w:r w:rsidRPr="00141F8C">
              <w:t xml:space="preserve"> and the other a </w:t>
            </w:r>
            <w:proofErr w:type="spellStart"/>
            <w:r w:rsidRPr="00141F8C">
              <w:t>Smoo</w:t>
            </w:r>
            <w:proofErr w:type="spellEnd"/>
            <w:r w:rsidRPr="00141F8C">
              <w:t xml:space="preserve"> and to have a conversation with </w:t>
            </w:r>
            <w:proofErr w:type="spellStart"/>
            <w:r w:rsidRPr="00141F8C">
              <w:t>eachother</w:t>
            </w:r>
            <w:proofErr w:type="spellEnd"/>
            <w:r w:rsidRPr="00141F8C">
              <w:t xml:space="preserve"> and become friends. Additionally, I read to the children the story of the </w:t>
            </w:r>
            <w:proofErr w:type="spellStart"/>
            <w:r w:rsidRPr="00141F8C">
              <w:t>Smeds</w:t>
            </w:r>
            <w:proofErr w:type="spellEnd"/>
            <w:r w:rsidRPr="00141F8C">
              <w:t xml:space="preserve"> and the </w:t>
            </w:r>
            <w:proofErr w:type="spellStart"/>
            <w:r w:rsidRPr="00141F8C">
              <w:t>Smoos</w:t>
            </w:r>
            <w:proofErr w:type="spellEnd"/>
            <w:r w:rsidRPr="00141F8C">
              <w:t xml:space="preserve"> and put emphasis on the key features in the story. This itself can be seen as a real life authentic context as the in the story the </w:t>
            </w:r>
            <w:proofErr w:type="spellStart"/>
            <w:r w:rsidRPr="00141F8C">
              <w:t>Smeds</w:t>
            </w:r>
            <w:proofErr w:type="spellEnd"/>
            <w:r w:rsidRPr="00141F8C">
              <w:t xml:space="preserve"> and the </w:t>
            </w:r>
            <w:proofErr w:type="spellStart"/>
            <w:r w:rsidRPr="00141F8C">
              <w:t>Smoos</w:t>
            </w:r>
            <w:proofErr w:type="spellEnd"/>
            <w:r w:rsidRPr="00141F8C">
              <w:t xml:space="preserve"> both discriminate against each other simply because they are different colours. When reading the story to the children, I pointed out that just because a person looks different to them, that’s no reason for them to not be friends.</w:t>
            </w:r>
          </w:p>
        </w:tc>
      </w:tr>
      <w:tr w:rsidR="00141F8C" w:rsidRPr="00141F8C" w:rsidTr="00EB4EA3">
        <w:tc>
          <w:tcPr>
            <w:tcW w:w="2689" w:type="dxa"/>
          </w:tcPr>
          <w:p w:rsidR="00141F8C" w:rsidRPr="00141F8C" w:rsidRDefault="00141F8C" w:rsidP="00EB4EA3">
            <w:pPr>
              <w:keepNext/>
              <w:keepLines/>
              <w:spacing w:before="120" w:line="360" w:lineRule="auto"/>
              <w:jc w:val="center"/>
              <w:outlineLvl w:val="2"/>
              <w:rPr>
                <w:rFonts w:asciiTheme="majorHAnsi" w:eastAsiaTheme="majorEastAsia" w:hAnsiTheme="majorHAnsi" w:cstheme="majorBidi"/>
                <w:b/>
                <w:bCs/>
                <w:color w:val="1F4D78" w:themeColor="accent1" w:themeShade="7F"/>
                <w:sz w:val="24"/>
                <w:szCs w:val="24"/>
              </w:rPr>
            </w:pPr>
            <w:r w:rsidRPr="00141F8C">
              <w:rPr>
                <w:rFonts w:asciiTheme="majorHAnsi" w:eastAsiaTheme="majorEastAsia" w:hAnsiTheme="majorHAnsi" w:cstheme="majorBidi"/>
                <w:b/>
                <w:bCs/>
                <w:color w:val="1F4D78" w:themeColor="accent1" w:themeShade="7F"/>
                <w:sz w:val="24"/>
                <w:szCs w:val="24"/>
              </w:rPr>
              <w:t>What have you learned?</w:t>
            </w:r>
          </w:p>
          <w:p w:rsidR="00141F8C" w:rsidRPr="00141F8C" w:rsidRDefault="00141F8C" w:rsidP="00EB4EA3">
            <w:pPr>
              <w:jc w:val="center"/>
            </w:pPr>
          </w:p>
        </w:tc>
        <w:tc>
          <w:tcPr>
            <w:tcW w:w="6327" w:type="dxa"/>
          </w:tcPr>
          <w:p w:rsidR="00141F8C" w:rsidRPr="00141F8C" w:rsidRDefault="00141F8C" w:rsidP="00EB4EA3">
            <w:r w:rsidRPr="00141F8C">
              <w:t>I have learned that real life authentic contexts can be included in many ways in the classroom environment and how vital is it to link children’s learning to the real world. This then helps provide a bridge from the work they do in the classroom to the world outside the classroom. As my first PTE was in reception it was difficult to go into too much detail in these activities. Despite this, I have learned that it is vital to provide these learning experiences for pupils, whatever their age.</w:t>
            </w:r>
          </w:p>
        </w:tc>
      </w:tr>
      <w:tr w:rsidR="00141F8C" w:rsidRPr="00141F8C" w:rsidTr="00EB4EA3">
        <w:tc>
          <w:tcPr>
            <w:tcW w:w="2689" w:type="dxa"/>
          </w:tcPr>
          <w:p w:rsidR="00141F8C" w:rsidRPr="00141F8C" w:rsidRDefault="00141F8C" w:rsidP="00EB4EA3">
            <w:pPr>
              <w:keepNext/>
              <w:keepLines/>
              <w:spacing w:before="120" w:line="360" w:lineRule="auto"/>
              <w:jc w:val="center"/>
              <w:outlineLvl w:val="2"/>
              <w:rPr>
                <w:rFonts w:asciiTheme="majorHAnsi" w:eastAsiaTheme="majorEastAsia" w:hAnsiTheme="majorHAnsi" w:cstheme="majorBidi"/>
                <w:b/>
                <w:bCs/>
                <w:color w:val="1F4D78" w:themeColor="accent1" w:themeShade="7F"/>
                <w:sz w:val="24"/>
                <w:szCs w:val="24"/>
              </w:rPr>
            </w:pPr>
            <w:r w:rsidRPr="00141F8C">
              <w:rPr>
                <w:rFonts w:asciiTheme="majorHAnsi" w:eastAsiaTheme="majorEastAsia" w:hAnsiTheme="majorHAnsi" w:cstheme="majorBidi"/>
                <w:b/>
                <w:bCs/>
                <w:color w:val="1F4D78" w:themeColor="accent1" w:themeShade="7F"/>
                <w:sz w:val="24"/>
                <w:szCs w:val="24"/>
              </w:rPr>
              <w:t>What next?</w:t>
            </w:r>
          </w:p>
          <w:p w:rsidR="00141F8C" w:rsidRPr="00141F8C" w:rsidRDefault="00141F8C" w:rsidP="00EB4EA3">
            <w:pPr>
              <w:jc w:val="center"/>
            </w:pPr>
          </w:p>
        </w:tc>
        <w:tc>
          <w:tcPr>
            <w:tcW w:w="6327" w:type="dxa"/>
          </w:tcPr>
          <w:p w:rsidR="00141F8C" w:rsidRPr="00141F8C" w:rsidRDefault="00141F8C" w:rsidP="00EB4EA3">
            <w:r w:rsidRPr="00141F8C">
              <w:t xml:space="preserve">I intent to use the knowledge I’ve gained in this professional experience to carry forward into my future teaching practice. However, it is important to note that my knowledge at this point is </w:t>
            </w:r>
            <w:r w:rsidRPr="00141F8C">
              <w:lastRenderedPageBreak/>
              <w:t>limited and I realise there is a massive amount to learn on real life authentic contexts and how to incorporate them into classrooms in the future. The only way to gain this knowledge apart from in my next professional experience is to research, and this will be vital to not only grow in my knowledge of real life authentic contexts, but to grow as a teacher.</w:t>
            </w:r>
          </w:p>
        </w:tc>
      </w:tr>
    </w:tbl>
    <w:p w:rsidR="00141F8C" w:rsidRPr="00141F8C" w:rsidRDefault="00141F8C" w:rsidP="00141F8C">
      <w:pPr>
        <w:jc w:val="center"/>
        <w:rPr>
          <w:sz w:val="32"/>
          <w:szCs w:val="32"/>
        </w:rPr>
      </w:pPr>
    </w:p>
    <w:p w:rsidR="00141F8C" w:rsidRPr="00141F8C" w:rsidRDefault="00141F8C" w:rsidP="00141F8C"/>
    <w:p w:rsidR="00141F8C" w:rsidRPr="00141F8C" w:rsidRDefault="00141F8C" w:rsidP="00141F8C"/>
    <w:p w:rsidR="00141F8C" w:rsidRPr="00141F8C" w:rsidRDefault="00141F8C" w:rsidP="00141F8C"/>
    <w:p w:rsidR="00141F8C" w:rsidRPr="00141F8C" w:rsidRDefault="00141F8C" w:rsidP="00141F8C"/>
    <w:tbl>
      <w:tblPr>
        <w:tblStyle w:val="TableGrid"/>
        <w:tblW w:w="0" w:type="auto"/>
        <w:tblLook w:val="04A0" w:firstRow="1" w:lastRow="0" w:firstColumn="1" w:lastColumn="0" w:noHBand="0" w:noVBand="1"/>
      </w:tblPr>
      <w:tblGrid>
        <w:gridCol w:w="2689"/>
        <w:gridCol w:w="6327"/>
      </w:tblGrid>
      <w:tr w:rsidR="00141F8C" w:rsidRPr="00141F8C" w:rsidTr="006708F8">
        <w:tc>
          <w:tcPr>
            <w:tcW w:w="2689" w:type="dxa"/>
          </w:tcPr>
          <w:p w:rsidR="00141F8C" w:rsidRPr="00141F8C" w:rsidRDefault="00141F8C" w:rsidP="00141F8C">
            <w:pPr>
              <w:keepNext/>
              <w:keepLines/>
              <w:spacing w:before="40" w:line="360" w:lineRule="auto"/>
              <w:jc w:val="center"/>
              <w:outlineLvl w:val="1"/>
              <w:rPr>
                <w:rFonts w:asciiTheme="majorHAnsi" w:eastAsiaTheme="majorEastAsia" w:hAnsiTheme="majorHAnsi" w:cstheme="majorBidi"/>
                <w:b/>
                <w:color w:val="1F4E79" w:themeColor="accent1" w:themeShade="80"/>
                <w:sz w:val="28"/>
                <w:szCs w:val="26"/>
                <w:lang w:val="en-US"/>
              </w:rPr>
            </w:pPr>
            <w:r w:rsidRPr="00141F8C">
              <w:rPr>
                <w:rFonts w:asciiTheme="majorHAnsi" w:eastAsiaTheme="majorEastAsia" w:hAnsiTheme="majorHAnsi" w:cstheme="majorBidi"/>
                <w:b/>
                <w:color w:val="1F4E79" w:themeColor="accent1" w:themeShade="80"/>
                <w:sz w:val="28"/>
                <w:szCs w:val="26"/>
                <w:lang w:val="en-US"/>
              </w:rPr>
              <w:lastRenderedPageBreak/>
              <w:t>Professional Experience Template 4</w:t>
            </w:r>
          </w:p>
        </w:tc>
        <w:tc>
          <w:tcPr>
            <w:tcW w:w="6327" w:type="dxa"/>
          </w:tcPr>
          <w:p w:rsidR="00141F8C" w:rsidRPr="00141F8C" w:rsidRDefault="00141F8C" w:rsidP="00141F8C"/>
        </w:tc>
      </w:tr>
      <w:tr w:rsidR="00141F8C" w:rsidRPr="00141F8C" w:rsidTr="006708F8">
        <w:tc>
          <w:tcPr>
            <w:tcW w:w="2689" w:type="dxa"/>
          </w:tcPr>
          <w:p w:rsidR="00141F8C" w:rsidRPr="00141F8C" w:rsidRDefault="00141F8C" w:rsidP="00141F8C">
            <w:pPr>
              <w:keepNext/>
              <w:keepLines/>
              <w:spacing w:before="40" w:line="360" w:lineRule="auto"/>
              <w:jc w:val="center"/>
              <w:outlineLvl w:val="1"/>
              <w:rPr>
                <w:rFonts w:asciiTheme="majorHAnsi" w:eastAsiaTheme="majorEastAsia" w:hAnsiTheme="majorHAnsi" w:cstheme="majorBidi"/>
                <w:b/>
                <w:color w:val="1F4E79" w:themeColor="accent1" w:themeShade="80"/>
                <w:sz w:val="28"/>
                <w:szCs w:val="26"/>
                <w:lang w:val="en-US"/>
              </w:rPr>
            </w:pPr>
            <w:r w:rsidRPr="00141F8C">
              <w:rPr>
                <w:rFonts w:asciiTheme="majorHAnsi" w:eastAsiaTheme="majorEastAsia" w:hAnsiTheme="majorHAnsi" w:cstheme="majorBidi"/>
                <w:b/>
                <w:color w:val="1F4E79" w:themeColor="accent1" w:themeShade="80"/>
                <w:sz w:val="28"/>
                <w:szCs w:val="26"/>
                <w:lang w:val="en-US"/>
              </w:rPr>
              <w:t>Pedagogy Standard</w:t>
            </w:r>
          </w:p>
        </w:tc>
        <w:tc>
          <w:tcPr>
            <w:tcW w:w="6327" w:type="dxa"/>
          </w:tcPr>
          <w:p w:rsidR="00141F8C" w:rsidRPr="00141F8C" w:rsidRDefault="00141F8C" w:rsidP="00141F8C">
            <w:pPr>
              <w:rPr>
                <w:rFonts w:asciiTheme="majorHAnsi" w:hAnsiTheme="majorHAnsi" w:cstheme="majorHAnsi"/>
                <w:b/>
                <w:color w:val="2E74B5" w:themeColor="accent1" w:themeShade="BF"/>
                <w:sz w:val="28"/>
                <w:szCs w:val="28"/>
              </w:rPr>
            </w:pPr>
            <w:r w:rsidRPr="00141F8C">
              <w:rPr>
                <w:rFonts w:asciiTheme="majorHAnsi" w:hAnsiTheme="majorHAnsi" w:cstheme="majorHAnsi"/>
                <w:b/>
                <w:color w:val="2E74B5" w:themeColor="accent1" w:themeShade="BF"/>
                <w:sz w:val="28"/>
                <w:szCs w:val="28"/>
              </w:rPr>
              <w:t>Cross-curricular themes</w:t>
            </w:r>
          </w:p>
          <w:p w:rsidR="00141F8C" w:rsidRPr="00141F8C" w:rsidRDefault="00141F8C" w:rsidP="00141F8C"/>
        </w:tc>
      </w:tr>
      <w:tr w:rsidR="00141F8C" w:rsidRPr="00141F8C" w:rsidTr="006708F8">
        <w:tc>
          <w:tcPr>
            <w:tcW w:w="2689" w:type="dxa"/>
          </w:tcPr>
          <w:p w:rsidR="00141F8C" w:rsidRPr="00141F8C" w:rsidRDefault="00141F8C" w:rsidP="00141F8C">
            <w:pPr>
              <w:keepNext/>
              <w:keepLines/>
              <w:spacing w:before="120" w:line="360" w:lineRule="auto"/>
              <w:jc w:val="center"/>
              <w:outlineLvl w:val="2"/>
              <w:rPr>
                <w:rFonts w:asciiTheme="majorHAnsi" w:eastAsiaTheme="majorEastAsia" w:hAnsiTheme="majorHAnsi" w:cstheme="majorBidi"/>
                <w:b/>
                <w:bCs/>
                <w:color w:val="1F4D78" w:themeColor="accent1" w:themeShade="7F"/>
                <w:sz w:val="24"/>
                <w:szCs w:val="24"/>
              </w:rPr>
            </w:pPr>
            <w:r w:rsidRPr="00141F8C">
              <w:rPr>
                <w:rFonts w:asciiTheme="majorHAnsi" w:eastAsiaTheme="majorEastAsia" w:hAnsiTheme="majorHAnsi" w:cstheme="majorBidi"/>
                <w:b/>
                <w:bCs/>
                <w:color w:val="1F4D78" w:themeColor="accent1" w:themeShade="7F"/>
                <w:sz w:val="24"/>
                <w:szCs w:val="24"/>
              </w:rPr>
              <w:t>What did you do and why?</w:t>
            </w:r>
          </w:p>
          <w:p w:rsidR="00141F8C" w:rsidRPr="00141F8C" w:rsidRDefault="00141F8C" w:rsidP="00141F8C">
            <w:pPr>
              <w:jc w:val="center"/>
            </w:pPr>
          </w:p>
        </w:tc>
        <w:tc>
          <w:tcPr>
            <w:tcW w:w="6327" w:type="dxa"/>
          </w:tcPr>
          <w:p w:rsidR="00141F8C" w:rsidRPr="00141F8C" w:rsidRDefault="00141F8C" w:rsidP="00141F8C">
            <w:r w:rsidRPr="00141F8C">
              <w:t xml:space="preserve">I was given the opportunity to take the registration period every day, this included doing the attendance and dinner register in Welsh. Also this experience included doing small activities with the children such as counting songs and simple numeracy activities. After these activities I do chose the </w:t>
            </w:r>
            <w:proofErr w:type="spellStart"/>
            <w:r w:rsidRPr="00141F8C">
              <w:t>helpu'r</w:t>
            </w:r>
            <w:proofErr w:type="spellEnd"/>
            <w:r w:rsidRPr="00141F8C">
              <w:t xml:space="preserve"> y </w:t>
            </w:r>
            <w:proofErr w:type="spellStart"/>
            <w:r w:rsidRPr="00141F8C">
              <w:t>dydd</w:t>
            </w:r>
            <w:proofErr w:type="spellEnd"/>
            <w:r w:rsidRPr="00141F8C">
              <w:t>, which is the helper of the days. The helper of the day moves the teddy onto whatever day of the week it is. All this is done in Welsh. Additionally, I then move onto the weather, where I ask the class '</w:t>
            </w:r>
            <w:proofErr w:type="spellStart"/>
            <w:r w:rsidRPr="00141F8C">
              <w:t>Sut</w:t>
            </w:r>
            <w:proofErr w:type="spellEnd"/>
            <w:r w:rsidRPr="00141F8C">
              <w:t xml:space="preserve"> </w:t>
            </w:r>
            <w:proofErr w:type="spellStart"/>
            <w:r w:rsidRPr="00141F8C">
              <w:t>mae</w:t>
            </w:r>
            <w:proofErr w:type="spellEnd"/>
            <w:r w:rsidRPr="00141F8C">
              <w:t xml:space="preserve"> </w:t>
            </w:r>
            <w:proofErr w:type="spellStart"/>
            <w:r w:rsidRPr="00141F8C">
              <w:t>Tywdd</w:t>
            </w:r>
            <w:proofErr w:type="spellEnd"/>
            <w:r w:rsidRPr="00141F8C">
              <w:t xml:space="preserve"> </w:t>
            </w:r>
            <w:proofErr w:type="spellStart"/>
            <w:r w:rsidRPr="00141F8C">
              <w:t>heddiw</w:t>
            </w:r>
            <w:proofErr w:type="spellEnd"/>
            <w:r w:rsidRPr="00141F8C">
              <w:t>?' 'What</w:t>
            </w:r>
            <w:r w:rsidR="00EB4EA3">
              <w:t>’</w:t>
            </w:r>
            <w:r w:rsidRPr="00141F8C">
              <w:t xml:space="preserve">s the weather?' The children then put </w:t>
            </w:r>
            <w:r w:rsidR="00EB4EA3" w:rsidRPr="00141F8C">
              <w:t>their</w:t>
            </w:r>
            <w:r w:rsidRPr="00141F8C">
              <w:t xml:space="preserve"> hand up and answer in Welsh. Every day</w:t>
            </w:r>
            <w:r w:rsidR="00EB4EA3">
              <w:t xml:space="preserve"> to end registration I</w:t>
            </w:r>
            <w:r w:rsidRPr="00141F8C">
              <w:t xml:space="preserve"> move onto the '</w:t>
            </w:r>
            <w:proofErr w:type="spellStart"/>
            <w:r w:rsidRPr="00141F8C">
              <w:t>Sut</w:t>
            </w:r>
            <w:proofErr w:type="spellEnd"/>
            <w:r w:rsidRPr="00141F8C">
              <w:t xml:space="preserve"> </w:t>
            </w:r>
            <w:proofErr w:type="spellStart"/>
            <w:r w:rsidRPr="00141F8C">
              <w:t>mae</w:t>
            </w:r>
            <w:proofErr w:type="spellEnd"/>
            <w:r w:rsidRPr="00141F8C">
              <w:t xml:space="preserve"> </w:t>
            </w:r>
            <w:proofErr w:type="spellStart"/>
            <w:r w:rsidRPr="00141F8C">
              <w:t>twydd</w:t>
            </w:r>
            <w:proofErr w:type="spellEnd"/>
            <w:r w:rsidRPr="00141F8C">
              <w:t xml:space="preserve"> </w:t>
            </w:r>
            <w:proofErr w:type="spellStart"/>
            <w:r w:rsidRPr="00141F8C">
              <w:t>heddiw</w:t>
            </w:r>
            <w:proofErr w:type="spellEnd"/>
            <w:r w:rsidRPr="00141F8C">
              <w:t xml:space="preserve"> song' before dismissing the children for their morning walk. I initially engaged in this experience in order to gain experience of controlling a class in my first professional teaching experience, however it has allowed me the chance to enhance my Welsh skills and also to bring cross circular activities into the registration period.</w:t>
            </w:r>
          </w:p>
          <w:p w:rsidR="00141F8C" w:rsidRPr="00141F8C" w:rsidRDefault="00141F8C" w:rsidP="00141F8C">
            <w:r w:rsidRPr="00141F8C">
              <w:t>As the term has gone on, the '</w:t>
            </w:r>
            <w:proofErr w:type="spellStart"/>
            <w:r w:rsidRPr="00141F8C">
              <w:t>helpu'r</w:t>
            </w:r>
            <w:proofErr w:type="spellEnd"/>
            <w:r w:rsidRPr="00141F8C">
              <w:t xml:space="preserve"> y </w:t>
            </w:r>
            <w:proofErr w:type="spellStart"/>
            <w:r w:rsidRPr="00141F8C">
              <w:t>dydd</w:t>
            </w:r>
            <w:proofErr w:type="spellEnd"/>
            <w:r w:rsidRPr="00141F8C">
              <w:t>' and '</w:t>
            </w:r>
            <w:proofErr w:type="spellStart"/>
            <w:r w:rsidRPr="00141F8C">
              <w:t>Sut</w:t>
            </w:r>
            <w:proofErr w:type="spellEnd"/>
            <w:r w:rsidRPr="00141F8C">
              <w:t xml:space="preserve"> </w:t>
            </w:r>
            <w:proofErr w:type="spellStart"/>
            <w:r w:rsidRPr="00141F8C">
              <w:t>mae</w:t>
            </w:r>
            <w:proofErr w:type="spellEnd"/>
            <w:r w:rsidRPr="00141F8C">
              <w:t xml:space="preserve"> </w:t>
            </w:r>
            <w:proofErr w:type="spellStart"/>
            <w:r w:rsidRPr="00141F8C">
              <w:t>twydd</w:t>
            </w:r>
            <w:proofErr w:type="spellEnd"/>
            <w:r w:rsidRPr="00141F8C">
              <w:t xml:space="preserve"> </w:t>
            </w:r>
            <w:proofErr w:type="spellStart"/>
            <w:r w:rsidRPr="00141F8C">
              <w:t>heddiw</w:t>
            </w:r>
            <w:proofErr w:type="spellEnd"/>
            <w:r w:rsidRPr="00141F8C">
              <w:t>' developed into asking the children to put clothes on a boy and a girl in order to prepare them for 'our daily walk'. When doing these sessions,</w:t>
            </w:r>
            <w:r w:rsidR="00EB4EA3">
              <w:t xml:space="preserve"> I would</w:t>
            </w:r>
            <w:bookmarkStart w:id="0" w:name="_GoBack"/>
            <w:bookmarkEnd w:id="0"/>
            <w:r w:rsidRPr="00141F8C">
              <w:t xml:space="preserve"> use the Welsh words from the items of clothing, and if I was stuck on a certain word I would seek help from the class teacher. This allowed me to personally develop my Welsh language skills and my use of Welsh in the classroom.</w:t>
            </w:r>
          </w:p>
        </w:tc>
      </w:tr>
      <w:tr w:rsidR="00141F8C" w:rsidRPr="00141F8C" w:rsidTr="006708F8">
        <w:tc>
          <w:tcPr>
            <w:tcW w:w="2689" w:type="dxa"/>
          </w:tcPr>
          <w:p w:rsidR="00141F8C" w:rsidRPr="00141F8C" w:rsidRDefault="00141F8C" w:rsidP="00141F8C">
            <w:pPr>
              <w:keepNext/>
              <w:keepLines/>
              <w:spacing w:before="120" w:line="360" w:lineRule="auto"/>
              <w:jc w:val="center"/>
              <w:outlineLvl w:val="2"/>
              <w:rPr>
                <w:rFonts w:asciiTheme="majorHAnsi" w:eastAsiaTheme="majorEastAsia" w:hAnsiTheme="majorHAnsi" w:cstheme="majorBidi"/>
                <w:b/>
                <w:bCs/>
                <w:color w:val="1F4D78" w:themeColor="accent1" w:themeShade="7F"/>
                <w:sz w:val="24"/>
                <w:szCs w:val="24"/>
              </w:rPr>
            </w:pPr>
            <w:r w:rsidRPr="00141F8C">
              <w:rPr>
                <w:rFonts w:asciiTheme="majorHAnsi" w:eastAsiaTheme="majorEastAsia" w:hAnsiTheme="majorHAnsi" w:cstheme="majorBidi"/>
                <w:b/>
                <w:bCs/>
                <w:color w:val="1F4D78" w:themeColor="accent1" w:themeShade="7F"/>
                <w:sz w:val="24"/>
                <w:szCs w:val="24"/>
              </w:rPr>
              <w:t>What have you learned?</w:t>
            </w:r>
          </w:p>
          <w:p w:rsidR="00141F8C" w:rsidRPr="00141F8C" w:rsidRDefault="00141F8C" w:rsidP="00141F8C">
            <w:pPr>
              <w:jc w:val="center"/>
            </w:pPr>
          </w:p>
        </w:tc>
        <w:tc>
          <w:tcPr>
            <w:tcW w:w="6327" w:type="dxa"/>
          </w:tcPr>
          <w:p w:rsidR="00141F8C" w:rsidRPr="00141F8C" w:rsidRDefault="00141F8C" w:rsidP="00141F8C">
            <w:r w:rsidRPr="00141F8C">
              <w:t>This experience is important as it has enhanced my use of Welsh in the classroom and to have a good level of Welsh speaking ability is vital to all teachers in Wales. In addition to this, it has allowed me to bring cross circular themes into the registration by integrating the literacy and languages area of learning from the curriculum.  This experience has met and exceeded my intended outcomes as originally, the intended outcome was to get used to being in control of the class, however this experience has now given me the ability to hit one of the teaching standards. I have also learned many lessons in this experience, through making mistakes when speaking Welsh, and also errors of judgement when managing the learning environment. I realise that this experience is the start of an ongoing learning period which lasts for years.</w:t>
            </w:r>
          </w:p>
        </w:tc>
      </w:tr>
      <w:tr w:rsidR="00141F8C" w:rsidRPr="00141F8C" w:rsidTr="006708F8">
        <w:tc>
          <w:tcPr>
            <w:tcW w:w="2689" w:type="dxa"/>
          </w:tcPr>
          <w:p w:rsidR="00141F8C" w:rsidRPr="00141F8C" w:rsidRDefault="00141F8C" w:rsidP="00141F8C">
            <w:pPr>
              <w:keepNext/>
              <w:keepLines/>
              <w:spacing w:before="120" w:line="360" w:lineRule="auto"/>
              <w:jc w:val="center"/>
              <w:outlineLvl w:val="2"/>
              <w:rPr>
                <w:rFonts w:asciiTheme="majorHAnsi" w:eastAsiaTheme="majorEastAsia" w:hAnsiTheme="majorHAnsi" w:cstheme="majorBidi"/>
                <w:b/>
                <w:bCs/>
                <w:color w:val="1F4D78" w:themeColor="accent1" w:themeShade="7F"/>
                <w:sz w:val="24"/>
                <w:szCs w:val="24"/>
              </w:rPr>
            </w:pPr>
            <w:r w:rsidRPr="00141F8C">
              <w:rPr>
                <w:rFonts w:asciiTheme="majorHAnsi" w:eastAsiaTheme="majorEastAsia" w:hAnsiTheme="majorHAnsi" w:cstheme="majorBidi"/>
                <w:b/>
                <w:bCs/>
                <w:color w:val="1F4D78" w:themeColor="accent1" w:themeShade="7F"/>
                <w:sz w:val="24"/>
                <w:szCs w:val="24"/>
              </w:rPr>
              <w:lastRenderedPageBreak/>
              <w:t>What next?</w:t>
            </w:r>
          </w:p>
          <w:p w:rsidR="00141F8C" w:rsidRPr="00141F8C" w:rsidRDefault="00141F8C" w:rsidP="00141F8C">
            <w:pPr>
              <w:jc w:val="center"/>
            </w:pPr>
          </w:p>
        </w:tc>
        <w:tc>
          <w:tcPr>
            <w:tcW w:w="6327" w:type="dxa"/>
          </w:tcPr>
          <w:p w:rsidR="00141F8C" w:rsidRPr="00141F8C" w:rsidRDefault="00141F8C" w:rsidP="00141F8C">
            <w:r w:rsidRPr="00141F8C">
              <w:t>I will continue to use the Welsh words and sentences I have learned throughout the rest of my PTE, I also now realise the importance of incorporating Welsh into everyday life in the classroom. I have also learned many ways to incorporate Welsh into lessons as a cross-circular theme. I have spoken to my class teachers about my use of Welsh in class and although they agree that I have used it well. They have set me a target of using more Welsh in every day sentences. To do this I will research everyday sentences to use to supplement my current knowledge.  </w:t>
            </w:r>
          </w:p>
        </w:tc>
      </w:tr>
    </w:tbl>
    <w:p w:rsidR="00141F8C" w:rsidRPr="00141F8C" w:rsidRDefault="00141F8C" w:rsidP="00141F8C"/>
    <w:p w:rsidR="00141F8C" w:rsidRPr="00141F8C" w:rsidRDefault="00141F8C" w:rsidP="00141F8C"/>
    <w:p w:rsidR="00141F8C" w:rsidRPr="00141F8C" w:rsidRDefault="00141F8C" w:rsidP="00141F8C">
      <w:pPr>
        <w:jc w:val="center"/>
        <w:rPr>
          <w:sz w:val="32"/>
          <w:szCs w:val="32"/>
        </w:rPr>
      </w:pPr>
      <w:r>
        <w:rPr>
          <w:sz w:val="32"/>
          <w:szCs w:val="32"/>
        </w:rPr>
        <w:t>ECAD6008 Assignment: Part 2</w:t>
      </w:r>
    </w:p>
    <w:p w:rsidR="00141F8C" w:rsidRDefault="00141F8C" w:rsidP="00141F8C">
      <w:pPr>
        <w:rPr>
          <w:u w:val="single"/>
        </w:rPr>
      </w:pPr>
    </w:p>
    <w:p w:rsidR="00D3648A" w:rsidRDefault="00E631C1" w:rsidP="00141F8C">
      <w:pPr>
        <w:spacing w:line="360" w:lineRule="auto"/>
      </w:pPr>
      <w:r>
        <w:t xml:space="preserve">This section of the assignment will provide a critical discussion around one of the pedagogical principles reflected on in </w:t>
      </w:r>
      <w:r w:rsidR="007931D0">
        <w:t>part one</w:t>
      </w:r>
      <w:r>
        <w:t xml:space="preserve">, and provide an analysis in to how the principle will be carried forward into my future practice. </w:t>
      </w:r>
      <w:r w:rsidR="000E6345">
        <w:t>I have chosen to develop and critical evaluate Assessment for learning</w:t>
      </w:r>
      <w:r w:rsidR="007931D0">
        <w:t xml:space="preserve"> (AFL)</w:t>
      </w:r>
      <w:r w:rsidR="000E6345">
        <w:t xml:space="preserve"> as a pedagogical principle. </w:t>
      </w:r>
      <w:r w:rsidR="007931D0">
        <w:t>AFL</w:t>
      </w:r>
      <w:r>
        <w:t xml:space="preserve"> has been chosen due to the fact it is an ever present, ever evolving way of assessing pupil’s knowledge and understanding in a vital time of educational reform in Wales. Additionally, </w:t>
      </w:r>
      <w:r w:rsidR="007931D0">
        <w:t>AFL</w:t>
      </w:r>
      <w:r w:rsidR="000E6345">
        <w:t xml:space="preserve"> is seen as an intrinsic method of assessing the learning of pupils in the modern day classroom. </w:t>
      </w:r>
      <w:r w:rsidR="00A75E97">
        <w:t xml:space="preserve"> Jones (2005) states that teachers will consciously or sub-consciously make decisions about the learning of students in every teaching session. </w:t>
      </w:r>
      <w:r w:rsidR="007931D0">
        <w:t xml:space="preserve">AFL </w:t>
      </w:r>
      <w:r w:rsidR="00A75E97">
        <w:t>provides teachers with a tool to use these professional judgements and tran</w:t>
      </w:r>
      <w:r w:rsidR="00D3648A">
        <w:t xml:space="preserve">slate them into feedback. </w:t>
      </w:r>
      <w:r w:rsidR="007931D0">
        <w:t>AFL</w:t>
      </w:r>
      <w:r w:rsidR="000E6345">
        <w:t xml:space="preserve"> draws focus away from traditional methods of testing such as exams </w:t>
      </w:r>
      <w:r w:rsidR="0045189A">
        <w:t xml:space="preserve">and allows us to focus on newer ways of assessing the learning of students. As noted by Berry (2008) the traditional methods of testing and assessment encourage students to abandon their learning goals such as the development and mastery of new skills, and this has a negative effect on both learning and teaching. Berry (2008) continues to state that </w:t>
      </w:r>
      <w:r w:rsidR="007931D0">
        <w:t xml:space="preserve">AFL </w:t>
      </w:r>
      <w:r w:rsidR="0045189A">
        <w:t>provides a more positive outlook on teaching and learning as it provides students with the motivation to learn, and puts emphasis of the notion that the development and mastery of new skills should be at the centre of learning.</w:t>
      </w:r>
      <w:r>
        <w:t xml:space="preserve"> </w:t>
      </w:r>
      <w:r w:rsidR="0065490B">
        <w:t>It is important to draw attention to the fact that AFL has four pillars: Improving quality of questions, formative feedback, peer and self- asses</w:t>
      </w:r>
      <w:r w:rsidR="00C062EB">
        <w:t xml:space="preserve">sment, and sharing learning goals. </w:t>
      </w:r>
      <w:r w:rsidR="0065490B">
        <w:t>However due to the nature of the word count, this assignment will primarily focus on the formative feedback pillar of AFL. This assignment will commence will a general critical discussion around the nature of formative feedback, and how this can affect the motivation and learning of pupils, before moving on</w:t>
      </w:r>
      <w:r w:rsidR="00767E99">
        <w:t xml:space="preserve"> to a critical discussion surrounding the written feedback versus comments only debate. This assignment will then critically discuss the relevance of a success criteria and how important it is in order for the feedback to be fully beneficial for pupils. All this will be discussed in </w:t>
      </w:r>
      <w:r w:rsidR="00767E99">
        <w:lastRenderedPageBreak/>
        <w:t>relation to the e</w:t>
      </w:r>
      <w:r w:rsidR="008E2260">
        <w:t>xperience reflected on in the appendices in part on</w:t>
      </w:r>
      <w:r w:rsidR="00973784">
        <w:t>e</w:t>
      </w:r>
      <w:r w:rsidR="00767E99">
        <w:t>, before coming to a conclusion will provide an analysis and summary into how AFL will be taken forward into future practice.</w:t>
      </w:r>
    </w:p>
    <w:p w:rsidR="00F27329" w:rsidRDefault="0097398D" w:rsidP="00141F8C">
      <w:pPr>
        <w:spacing w:line="360" w:lineRule="auto"/>
      </w:pPr>
      <w:r>
        <w:t>The main focus of this critical discussion will der</w:t>
      </w:r>
      <w:r w:rsidR="007931D0">
        <w:t xml:space="preserve">ive from the arguments and most prevalent </w:t>
      </w:r>
      <w:r>
        <w:t xml:space="preserve">positions in the field of literature surrounding formative feedback as an AFL strategy. Hattie and Timperley (2007) are cited in </w:t>
      </w:r>
      <w:proofErr w:type="spellStart"/>
      <w:r>
        <w:t>Gamlem</w:t>
      </w:r>
      <w:proofErr w:type="spellEnd"/>
      <w:r>
        <w:t xml:space="preserve"> and Smith (2013, p.151) as defining feedback as ‘information provided by an agent (e.g. teacher, peer, book, parent and self/experience) regarding aspects of one’s performance or understanding that reduces the discrepancy between what is understood and what is aimed to be understood’</w:t>
      </w:r>
      <w:r w:rsidR="00584364" w:rsidRPr="00584364">
        <w:t>.</w:t>
      </w:r>
      <w:r w:rsidR="00584364">
        <w:t xml:space="preserve"> </w:t>
      </w:r>
      <w:r>
        <w:t xml:space="preserve">Formative feedback has been </w:t>
      </w:r>
      <w:r w:rsidR="00E43A8A" w:rsidRPr="0097398D">
        <w:t>chosen</w:t>
      </w:r>
      <w:r>
        <w:t xml:space="preserve"> as the main focus for this assignment </w:t>
      </w:r>
      <w:r w:rsidR="00E43A8A">
        <w:t xml:space="preserve">this is </w:t>
      </w:r>
      <w:r w:rsidRPr="0097398D">
        <w:t>because</w:t>
      </w:r>
      <w:r w:rsidR="00E43A8A">
        <w:t xml:space="preserve"> formative feedback is easily accessible as an AFL strategy and is an ever growing part of the modern day classroom environment. A</w:t>
      </w:r>
      <w:r w:rsidRPr="0097398D">
        <w:t xml:space="preserve">s noted by Parr and </w:t>
      </w:r>
      <w:proofErr w:type="spellStart"/>
      <w:r w:rsidRPr="0097398D">
        <w:t>Timperely</w:t>
      </w:r>
      <w:proofErr w:type="spellEnd"/>
      <w:r w:rsidRPr="0097398D">
        <w:t xml:space="preserve"> (2010) AFL is designed to generate information of </w:t>
      </w:r>
      <w:r w:rsidR="005D0A13">
        <w:t>pupil</w:t>
      </w:r>
      <w:r w:rsidR="005D0A13" w:rsidRPr="0097398D">
        <w:t>’s</w:t>
      </w:r>
      <w:r w:rsidRPr="0097398D">
        <w:t xml:space="preserve"> performance which can be used as a tool by teachers to not only support the students, but to modify teaching accordingly, and feedback is a key element of this. The importance of feedback as an AFL strategy</w:t>
      </w:r>
      <w:r w:rsidR="00E43A8A">
        <w:t xml:space="preserve"> is further supported and</w:t>
      </w:r>
      <w:r w:rsidRPr="0097398D">
        <w:t xml:space="preserve"> is outlined by (Hattie and </w:t>
      </w:r>
      <w:proofErr w:type="spellStart"/>
      <w:r w:rsidRPr="0097398D">
        <w:t>Timperely</w:t>
      </w:r>
      <w:proofErr w:type="spellEnd"/>
      <w:r w:rsidRPr="0097398D">
        <w:t>, 2007, p.81) ‘Feedback is one of the most powerful influences on learning and achievement, but this impact can be either positive or negative.’</w:t>
      </w:r>
      <w:r w:rsidR="00F27329">
        <w:t xml:space="preserve"> The overwhelming trend in the literature reflects the positive impact of feedback as an AFL strategy. It is however important to note the challenges that are faced when using formative feedback. It is clear that unless the feedback is focussed and communicated in a way that the pupils can understand and act upon it, then it will have little benefit to either student or teacher.</w:t>
      </w:r>
      <w:r w:rsidR="00A33F38">
        <w:t xml:space="preserve"> </w:t>
      </w:r>
      <w:r w:rsidR="00A33F38" w:rsidRPr="00A33F38">
        <w:t xml:space="preserve">Hattie and </w:t>
      </w:r>
      <w:proofErr w:type="spellStart"/>
      <w:r w:rsidR="00A33F38" w:rsidRPr="00A33F38">
        <w:t>Timperely</w:t>
      </w:r>
      <w:proofErr w:type="spellEnd"/>
      <w:r w:rsidR="00A33F38" w:rsidRPr="00A33F38">
        <w:t xml:space="preserve"> (2007) suggest that effective feedback must answer three questions: Where am I going? (students must</w:t>
      </w:r>
      <w:r w:rsidR="00A33F38">
        <w:t xml:space="preserve"> </w:t>
      </w:r>
      <w:r w:rsidR="00A33F38" w:rsidRPr="00A33F38">
        <w:t>have in mind the goals), How am I going? (understand the progress being made toward the goal) and Where to go next? (know what to do to make better progress).</w:t>
      </w:r>
    </w:p>
    <w:p w:rsidR="00A53AFF" w:rsidRDefault="00EB2EDB" w:rsidP="00141F8C">
      <w:pPr>
        <w:spacing w:line="360" w:lineRule="auto"/>
      </w:pPr>
      <w:r>
        <w:t xml:space="preserve">Hattie and Clarke (2019) present the notion that in order for students to pursue and increase their knowledge, the feedback given to them must </w:t>
      </w:r>
      <w:r w:rsidR="008D1B9C">
        <w:t>incite the correct lines of investigation into how this can be done.</w:t>
      </w:r>
      <w:r w:rsidR="00E43A8A">
        <w:t xml:space="preserve"> </w:t>
      </w:r>
      <w:r w:rsidR="009A7D45">
        <w:t>In the AFL reflection seen in part A, it is important to analyse the star and next step method which was used after completing the activity</w:t>
      </w:r>
      <w:r w:rsidR="00307094">
        <w:t xml:space="preserve"> </w:t>
      </w:r>
      <w:r w:rsidR="009A7D45">
        <w:t xml:space="preserve">with each group of students. </w:t>
      </w:r>
      <w:r w:rsidR="00307094">
        <w:t xml:space="preserve">This form of AFL is centred around the idea that the child should be given a positive comment about their </w:t>
      </w:r>
      <w:r w:rsidR="00674C26">
        <w:t>work, and then given a next ste</w:t>
      </w:r>
      <w:r w:rsidR="00307094">
        <w:t xml:space="preserve">p or something to work on. This puts the child in a growth </w:t>
      </w:r>
      <w:r w:rsidR="00674C26">
        <w:t xml:space="preserve">mind-set. As part of this growth </w:t>
      </w:r>
      <w:r w:rsidR="002762C8">
        <w:t>mind-set</w:t>
      </w:r>
      <w:r w:rsidR="00674C26">
        <w:t xml:space="preserve"> it is significant to put children in a positive frame of mind.</w:t>
      </w:r>
      <w:r w:rsidR="005D0A13">
        <w:t xml:space="preserve"> L</w:t>
      </w:r>
      <w:r w:rsidR="002762C8">
        <w:t xml:space="preserve">eading experts in formative assessment Hattie and Clarke (2019) put emphasis on this notion of a growth mind-set. They highlight Carol </w:t>
      </w:r>
      <w:proofErr w:type="spellStart"/>
      <w:r w:rsidR="002762C8">
        <w:t>Dweck’s</w:t>
      </w:r>
      <w:proofErr w:type="spellEnd"/>
      <w:r w:rsidR="002762C8">
        <w:t xml:space="preserve"> growth and fixed </w:t>
      </w:r>
      <w:r w:rsidR="00A53AFF">
        <w:t>mind set</w:t>
      </w:r>
      <w:r w:rsidR="002762C8">
        <w:t xml:space="preserve"> research as a key theory relating to this notion. They state ‘a fixed </w:t>
      </w:r>
      <w:r w:rsidR="00A53AFF">
        <w:t>mind set</w:t>
      </w:r>
      <w:r w:rsidR="002762C8">
        <w:t xml:space="preserve"> is the belief that one’s abilities cannot be changed, and a growth </w:t>
      </w:r>
      <w:r w:rsidR="00A53AFF">
        <w:t>mind set</w:t>
      </w:r>
      <w:r w:rsidR="002762C8">
        <w:t xml:space="preserve"> is the belief that one’s intelligence, skills and qualities can be developed through effort, input and a range of learning strategies’ (Hattie and Clarke, 2019 p.13). This is significant as it further </w:t>
      </w:r>
      <w:r w:rsidR="002762C8">
        <w:lastRenderedPageBreak/>
        <w:t xml:space="preserve">supports the use </w:t>
      </w:r>
      <w:r w:rsidR="00E43A8A">
        <w:t xml:space="preserve">of the </w:t>
      </w:r>
      <w:r w:rsidR="009A7D45">
        <w:t xml:space="preserve">star and next step as an AFL strategy. </w:t>
      </w:r>
      <w:r w:rsidR="00A53AFF">
        <w:t>Moreover</w:t>
      </w:r>
      <w:r w:rsidR="009A7D45">
        <w:t xml:space="preserve">, Hattie and Clarke (2019) state that a growth mind-set is a way of thinking in different situations rather than one permanent attribution. This allows for a feedback culture where the students are not afraid of failure and understand that they can ‘grow’ in their learning. This will in turn lead to students wanting to challenge themselves </w:t>
      </w:r>
      <w:r w:rsidR="003565DA">
        <w:t>and allow teachers to create an environment where there is a high trust relation</w:t>
      </w:r>
      <w:r w:rsidR="005D0A13">
        <w:t>ship between teacher and pupil, and also</w:t>
      </w:r>
      <w:r w:rsidR="003565DA">
        <w:t xml:space="preserve"> </w:t>
      </w:r>
      <w:r w:rsidR="005D0A13">
        <w:t>an understanding amongst pupil</w:t>
      </w:r>
      <w:r w:rsidR="003565DA">
        <w:t xml:space="preserve">s how to receive and use the feedback they are given. </w:t>
      </w:r>
      <w:proofErr w:type="spellStart"/>
      <w:r w:rsidR="0019749E">
        <w:t>Gamlem</w:t>
      </w:r>
      <w:proofErr w:type="spellEnd"/>
      <w:r w:rsidR="0019749E">
        <w:t xml:space="preserve"> and Smith (2013) present an interesting theory around this notion, stating that praise should be given in relation to the effort that the s</w:t>
      </w:r>
      <w:r w:rsidR="001568FD">
        <w:t xml:space="preserve">tudent has put in. This praise, </w:t>
      </w:r>
      <w:r w:rsidR="0019749E">
        <w:t>that is directly related to tasks and effort</w:t>
      </w:r>
      <w:r w:rsidR="001568FD">
        <w:t>, leads to a r</w:t>
      </w:r>
      <w:r w:rsidR="0019749E">
        <w:t xml:space="preserve">ise in </w:t>
      </w:r>
      <w:r w:rsidR="00FA7332">
        <w:t>student’s</w:t>
      </w:r>
      <w:r w:rsidR="0019749E">
        <w:t xml:space="preserve"> motivation and therefore their effort and performance. </w:t>
      </w:r>
      <w:proofErr w:type="spellStart"/>
      <w:r w:rsidR="0019749E">
        <w:t>Dweck</w:t>
      </w:r>
      <w:proofErr w:type="spellEnd"/>
      <w:r w:rsidR="0019749E">
        <w:t xml:space="preserve"> (2009) is cited by </w:t>
      </w:r>
      <w:proofErr w:type="spellStart"/>
      <w:r w:rsidR="0019749E">
        <w:t>Gamlem</w:t>
      </w:r>
      <w:proofErr w:type="spellEnd"/>
      <w:r w:rsidR="0019749E">
        <w:t xml:space="preserve"> and Smith (2013) as stating that low effort work should not be praised, but instead the teacher’s role of building confidence in students through giving them praise is v</w:t>
      </w:r>
      <w:r w:rsidR="001568FD">
        <w:t>ital for this form of feedback</w:t>
      </w:r>
      <w:r w:rsidR="0019749E">
        <w:t xml:space="preserve"> to be successful as an AFL strategy.</w:t>
      </w:r>
      <w:r w:rsidR="00927D33">
        <w:t xml:space="preserve"> This theory is supported by Burnett and Mandell (2010) who’s viewpoint derive from a small scale qualitative study</w:t>
      </w:r>
      <w:r w:rsidR="001568FD">
        <w:t xml:space="preserve"> which</w:t>
      </w:r>
      <w:r w:rsidR="00927D33">
        <w:t xml:space="preserve"> investigated teachers’ and students’ perceptions of praise and feedback in the classroom using structured interviews and classroom observation. Burnett and Mandell (2010), in agreeance with </w:t>
      </w:r>
      <w:proofErr w:type="spellStart"/>
      <w:r w:rsidR="00927D33">
        <w:t>Gamlem</w:t>
      </w:r>
      <w:proofErr w:type="spellEnd"/>
      <w:r w:rsidR="00927D33">
        <w:t xml:space="preserve"> and Smith (2013) sta</w:t>
      </w:r>
      <w:r w:rsidR="001568FD">
        <w:t>te that the majority of students prefer effort based feedback. They state</w:t>
      </w:r>
      <w:r w:rsidR="00D45C11">
        <w:t xml:space="preserve"> that in their study 57 </w:t>
      </w:r>
      <w:r w:rsidR="00203DE4">
        <w:t>percent</w:t>
      </w:r>
      <w:r w:rsidR="00D45C11">
        <w:t xml:space="preserve"> of observed pupils preferred effort based feedback, and they note that </w:t>
      </w:r>
      <w:r w:rsidR="00927D33">
        <w:t>the preference for this grows as the students get older.</w:t>
      </w:r>
      <w:r w:rsidR="001568FD">
        <w:t xml:space="preserve"> It must be noted however that despite the study yielding that the majority of students preferred effort based feedback. The fact that 43 percent of students </w:t>
      </w:r>
      <w:r w:rsidR="00A8228F">
        <w:t>preferred</w:t>
      </w:r>
      <w:r w:rsidR="001568FD">
        <w:t xml:space="preserve"> feedback not to be purely based on effort is something that should be taken into consideration in future practice, as 43 percent would still amount to a large section of a class. In accordance with this point, i</w:t>
      </w:r>
      <w:r w:rsidR="00927D33">
        <w:t>t is however important to note that Burnett and Mandell (2010)</w:t>
      </w:r>
      <w:r w:rsidR="00D45C11">
        <w:t xml:space="preserve"> unlike </w:t>
      </w:r>
      <w:proofErr w:type="spellStart"/>
      <w:r w:rsidR="00D45C11">
        <w:t>Gamlem</w:t>
      </w:r>
      <w:proofErr w:type="spellEnd"/>
      <w:r w:rsidR="00D45C11">
        <w:t xml:space="preserve"> and Smith (2013)</w:t>
      </w:r>
      <w:r w:rsidR="00927D33">
        <w:t xml:space="preserve"> recognise the importance of both </w:t>
      </w:r>
      <w:proofErr w:type="gramStart"/>
      <w:r w:rsidR="00A8228F">
        <w:t>effort</w:t>
      </w:r>
      <w:proofErr w:type="gramEnd"/>
      <w:r w:rsidR="00927D33">
        <w:t xml:space="preserve"> focussed and ability focussed feedback in the modern day classroom.</w:t>
      </w:r>
    </w:p>
    <w:p w:rsidR="00307094" w:rsidRDefault="00A53AFF" w:rsidP="00141F8C">
      <w:pPr>
        <w:spacing w:line="360" w:lineRule="auto"/>
      </w:pPr>
      <w:r w:rsidRPr="00A53AFF">
        <w:t xml:space="preserve">Parr and Timperley (2010) do however identify the challenges of introducing feedback as an AFL strategy in the classroom, they do this by noting it can be challenge as it requires a culture change in the classroom and extensive learning from the teacher. It is important to note that Parr and </w:t>
      </w:r>
      <w:proofErr w:type="spellStart"/>
      <w:r w:rsidRPr="00A53AFF">
        <w:t>Timperely’s</w:t>
      </w:r>
      <w:proofErr w:type="spellEnd"/>
      <w:r w:rsidRPr="00A53AFF">
        <w:t xml:space="preserve"> (2010) notion can be critiqued due to the</w:t>
      </w:r>
      <w:r w:rsidR="00A8228F">
        <w:t xml:space="preserve"> fact that education in Wales is</w:t>
      </w:r>
      <w:r w:rsidRPr="00A53AFF">
        <w:t xml:space="preserve"> in a time of reform with the implementation of the new curriculum which is due to come into force in 2022. Moreover, it is important to note that the overwhelming literature surrounding using feedback in the classroom supports its use, and suggest that the benefits outweigh the negatives. </w:t>
      </w:r>
    </w:p>
    <w:p w:rsidR="00004C13" w:rsidRDefault="003565DA" w:rsidP="00141F8C">
      <w:pPr>
        <w:spacing w:line="360" w:lineRule="auto"/>
      </w:pPr>
      <w:r>
        <w:t xml:space="preserve">As </w:t>
      </w:r>
      <w:r w:rsidR="00741978">
        <w:t>seen in the AFL template in part one</w:t>
      </w:r>
      <w:r>
        <w:t xml:space="preserve">, feedback using comments only was a prevalent way of giving students feedback on their work and this worked best when the feedback was given in a simple and clear manner. As this </w:t>
      </w:r>
      <w:r w:rsidR="00307094">
        <w:t xml:space="preserve">strategy was used in the foundation phase the pupils seemed to get </w:t>
      </w:r>
      <w:r w:rsidR="00307094">
        <w:lastRenderedPageBreak/>
        <w:t>distracted or lose concentration if the feedback given to them was over complicated or long winded. As</w:t>
      </w:r>
      <w:r w:rsidR="00A8228F">
        <w:t xml:space="preserve"> noted in the part one, giving feedback to the pupils using</w:t>
      </w:r>
      <w:r w:rsidR="00EA4796">
        <w:t xml:space="preserve"> comments</w:t>
      </w:r>
      <w:r w:rsidR="00A8228F">
        <w:t xml:space="preserve"> only</w:t>
      </w:r>
      <w:r w:rsidR="00EA4796">
        <w:t xml:space="preserve"> made a difference in their attitude towards the feed</w:t>
      </w:r>
      <w:r w:rsidR="00A8228F">
        <w:t>back, as it allowed them to absorb what the feedback was.</w:t>
      </w:r>
      <w:r w:rsidR="00A20D9C">
        <w:t xml:space="preserve"> </w:t>
      </w:r>
      <w:proofErr w:type="spellStart"/>
      <w:r w:rsidR="00A20D9C">
        <w:t>Hatziapostolou</w:t>
      </w:r>
      <w:proofErr w:type="spellEnd"/>
      <w:r w:rsidR="00A20D9C">
        <w:t xml:space="preserve"> and </w:t>
      </w:r>
      <w:proofErr w:type="spellStart"/>
      <w:r w:rsidR="00A20D9C">
        <w:t>Paraskakis</w:t>
      </w:r>
      <w:proofErr w:type="spellEnd"/>
      <w:r w:rsidR="00A20D9C">
        <w:t xml:space="preserve"> (2010) </w:t>
      </w:r>
      <w:r w:rsidR="00A8228F">
        <w:t>support this notion</w:t>
      </w:r>
      <w:r w:rsidR="00EA4796">
        <w:t xml:space="preserve">, stating that </w:t>
      </w:r>
      <w:r w:rsidR="00741978">
        <w:t xml:space="preserve">verbal </w:t>
      </w:r>
      <w:r w:rsidR="00EA4796">
        <w:t>communication is vital when giving formative feedback</w:t>
      </w:r>
      <w:r w:rsidR="00741978">
        <w:t>,</w:t>
      </w:r>
      <w:r w:rsidR="00EA4796">
        <w:t xml:space="preserve"> since the way the feedback is communicated to the student may either draw the students attention or discourage their attention. This is significant because in order for formative feedback to be an e</w:t>
      </w:r>
      <w:r w:rsidR="00A8228F">
        <w:t>ffective AFL</w:t>
      </w:r>
      <w:r w:rsidR="00EA4796">
        <w:t xml:space="preserve"> strategy the students need to engage with the feedback provided.</w:t>
      </w:r>
      <w:r w:rsidR="00A20D9C">
        <w:t xml:space="preserve"> </w:t>
      </w:r>
      <w:r w:rsidR="00F638DA">
        <w:t xml:space="preserve">Butler (1987) </w:t>
      </w:r>
      <w:r>
        <w:t xml:space="preserve">supports </w:t>
      </w:r>
      <w:proofErr w:type="spellStart"/>
      <w:r w:rsidR="00F638DA" w:rsidRPr="00F638DA">
        <w:t>Hatziapostolou</w:t>
      </w:r>
      <w:proofErr w:type="spellEnd"/>
      <w:r w:rsidR="00F638DA" w:rsidRPr="00F638DA">
        <w:t xml:space="preserve"> and </w:t>
      </w:r>
      <w:proofErr w:type="spellStart"/>
      <w:r w:rsidR="00F638DA" w:rsidRPr="00F638DA">
        <w:t>Paraskakis</w:t>
      </w:r>
      <w:proofErr w:type="spellEnd"/>
      <w:r>
        <w:t>’</w:t>
      </w:r>
      <w:r w:rsidR="00F638DA" w:rsidRPr="00F638DA">
        <w:t xml:space="preserve"> (2010</w:t>
      </w:r>
      <w:r w:rsidR="00F638DA">
        <w:t xml:space="preserve">) notion that feedback using comment only has a positive impact on learning. </w:t>
      </w:r>
      <w:r w:rsidR="00203DE4">
        <w:t xml:space="preserve">Whilst </w:t>
      </w:r>
      <w:proofErr w:type="spellStart"/>
      <w:r w:rsidR="00203DE4">
        <w:t>Bulter’s</w:t>
      </w:r>
      <w:proofErr w:type="spellEnd"/>
      <w:r w:rsidR="00203DE4">
        <w:t xml:space="preserve"> (1987) arguments can be seen as limited due to the date published. The position and arguments which can be drawn from the source are transferrable and relevant in the modern day classroom. </w:t>
      </w:r>
      <w:r w:rsidR="00F638DA">
        <w:t xml:space="preserve">Butler (1987) states that feedback using comments only </w:t>
      </w:r>
      <w:r w:rsidR="00A578DA">
        <w:t>improved</w:t>
      </w:r>
      <w:r w:rsidR="00F638DA">
        <w:t xml:space="preserve"> the interest of students in</w:t>
      </w:r>
      <w:r w:rsidR="00A8228F">
        <w:t xml:space="preserve"> their learning and performance, more so </w:t>
      </w:r>
      <w:r w:rsidR="00F638DA">
        <w:t>than in a controlled test environment where just marks were given. Additionally</w:t>
      </w:r>
      <w:r w:rsidR="00A578DA">
        <w:t>,</w:t>
      </w:r>
      <w:r w:rsidR="00F638DA">
        <w:t xml:space="preserve"> Butle</w:t>
      </w:r>
      <w:r w:rsidR="0036017C">
        <w:t>r (1987) argues that simply</w:t>
      </w:r>
      <w:r w:rsidR="00F638DA">
        <w:t xml:space="preserve"> grading the work of a student has a detrimental </w:t>
      </w:r>
      <w:r w:rsidR="0036017C">
        <w:t>effect</w:t>
      </w:r>
      <w:r w:rsidR="00F638DA">
        <w:t>. This is due to the fact that just grading a piece of work can lead to self-esteem issues in some pupils. On the other hand</w:t>
      </w:r>
      <w:r w:rsidR="00A578DA">
        <w:t>,</w:t>
      </w:r>
      <w:r w:rsidR="00F638DA">
        <w:t xml:space="preserve"> it can also lead to students comparing themselves to their peers rather than focus on the </w:t>
      </w:r>
      <w:r w:rsidR="00A578DA">
        <w:t>di</w:t>
      </w:r>
      <w:r w:rsidR="00A8228F">
        <w:t>fficulties they had</w:t>
      </w:r>
      <w:r w:rsidR="00A578DA">
        <w:t xml:space="preserve"> and making efforts to improve.</w:t>
      </w:r>
      <w:r w:rsidR="000D1410">
        <w:t xml:space="preserve"> Parr and </w:t>
      </w:r>
      <w:proofErr w:type="spellStart"/>
      <w:r w:rsidR="000D1410">
        <w:t>Timperely</w:t>
      </w:r>
      <w:proofErr w:type="spellEnd"/>
      <w:r w:rsidR="000D1410">
        <w:t xml:space="preserve"> (2010)</w:t>
      </w:r>
      <w:r w:rsidR="00A8228F">
        <w:t xml:space="preserve"> further</w:t>
      </w:r>
      <w:r w:rsidR="000D1410">
        <w:t xml:space="preserve"> support the notion that feedback using comments is beneficial to students learning, however they differ from </w:t>
      </w:r>
      <w:proofErr w:type="spellStart"/>
      <w:r w:rsidR="000D1410" w:rsidRPr="000D1410">
        <w:t>Hatziapostolou</w:t>
      </w:r>
      <w:proofErr w:type="spellEnd"/>
      <w:r w:rsidR="000D1410" w:rsidRPr="000D1410">
        <w:t xml:space="preserve"> and </w:t>
      </w:r>
      <w:proofErr w:type="spellStart"/>
      <w:r w:rsidR="000D1410" w:rsidRPr="000D1410">
        <w:t>Paraskakis</w:t>
      </w:r>
      <w:proofErr w:type="spellEnd"/>
      <w:r w:rsidR="000D1410" w:rsidRPr="000D1410">
        <w:t xml:space="preserve"> (2010)</w:t>
      </w:r>
      <w:r w:rsidR="000D1410">
        <w:t xml:space="preserve"> and </w:t>
      </w:r>
      <w:r w:rsidR="000D1410" w:rsidRPr="000D1410">
        <w:t>Butler (1987)</w:t>
      </w:r>
      <w:r w:rsidR="000D1410">
        <w:t xml:space="preserve"> due to the fact that their study places greater emphasis on criticising written feedback.</w:t>
      </w:r>
      <w:r w:rsidR="00F50101" w:rsidRPr="00F50101">
        <w:t xml:space="preserve"> </w:t>
      </w:r>
      <w:proofErr w:type="spellStart"/>
      <w:r w:rsidR="00F50101" w:rsidRPr="00EA4796">
        <w:t>Hatziapostolou</w:t>
      </w:r>
      <w:proofErr w:type="spellEnd"/>
      <w:r w:rsidR="00F50101" w:rsidRPr="00EA4796">
        <w:t xml:space="preserve"> and </w:t>
      </w:r>
      <w:proofErr w:type="spellStart"/>
      <w:r w:rsidR="00F50101" w:rsidRPr="00EA4796">
        <w:t>Paraskakis</w:t>
      </w:r>
      <w:proofErr w:type="spellEnd"/>
      <w:r w:rsidR="00F50101" w:rsidRPr="00EA4796">
        <w:t xml:space="preserve"> (2010</w:t>
      </w:r>
      <w:r w:rsidR="00F50101">
        <w:t>) cite</w:t>
      </w:r>
      <w:r w:rsidR="00F50101" w:rsidRPr="00EA4796">
        <w:t xml:space="preserve"> (Bailey, 2009; </w:t>
      </w:r>
      <w:proofErr w:type="spellStart"/>
      <w:r w:rsidR="00F50101" w:rsidRPr="00EA4796">
        <w:t>Chanock</w:t>
      </w:r>
      <w:proofErr w:type="spellEnd"/>
      <w:r w:rsidR="00F50101" w:rsidRPr="00EA4796">
        <w:t>, 2000; Winter et al, 2004)</w:t>
      </w:r>
      <w:r w:rsidR="00F50101">
        <w:t xml:space="preserve"> who </w:t>
      </w:r>
      <w:r w:rsidR="00CB3C19">
        <w:t>state that students do not absorb the feedback given to them when it given in written form, and to feedback using comments is a much more effective way and has a greater impact on the understanding of their feedback</w:t>
      </w:r>
      <w:r w:rsidR="003B6CCF">
        <w:t>.</w:t>
      </w:r>
      <w:r w:rsidR="00004C13">
        <w:t xml:space="preserve"> </w:t>
      </w:r>
    </w:p>
    <w:p w:rsidR="00F50101" w:rsidRDefault="002E075A" w:rsidP="00141F8C">
      <w:pPr>
        <w:spacing w:line="360" w:lineRule="auto"/>
      </w:pPr>
      <w:r>
        <w:t>Despite this</w:t>
      </w:r>
      <w:r w:rsidR="00FA5D60">
        <w:t>,</w:t>
      </w:r>
      <w:r>
        <w:t xml:space="preserve"> Goldstein (2004) is critical of feedback using comments only as he states that sometimes students will say they understand what the teacher is saying without fully absorbing what the teacher is saying. Additionally</w:t>
      </w:r>
      <w:r w:rsidR="00FA5D60">
        <w:t>,</w:t>
      </w:r>
      <w:r>
        <w:t xml:space="preserve"> Goldstein (2004) states that </w:t>
      </w:r>
      <w:r w:rsidR="00FA5D60">
        <w:t>written feedback can be seen as more potent due to the fact that that student</w:t>
      </w:r>
      <w:r w:rsidR="00D36AEB">
        <w:t>s</w:t>
      </w:r>
      <w:r w:rsidR="00FA5D60">
        <w:t xml:space="preserve"> are able to refer back to them and annotate what comments they found helpful or didn’t understand. Issue’s </w:t>
      </w:r>
      <w:r w:rsidR="00C21E4D">
        <w:t>arise</w:t>
      </w:r>
      <w:r w:rsidR="00FA5D60">
        <w:t xml:space="preserve"> with the relevance of Goldstein’s (2004) notion in today’s classr</w:t>
      </w:r>
      <w:r w:rsidR="001C0107">
        <w:t xml:space="preserve">oom due to the date of the research used in the article. Goldstein uses sources such as Chapin and </w:t>
      </w:r>
      <w:proofErr w:type="spellStart"/>
      <w:r w:rsidR="001C0107">
        <w:t>Terdal</w:t>
      </w:r>
      <w:proofErr w:type="spellEnd"/>
      <w:r w:rsidR="001C0107">
        <w:t xml:space="preserve"> (1990) and </w:t>
      </w:r>
      <w:proofErr w:type="spellStart"/>
      <w:r w:rsidR="001C0107">
        <w:t>Dessner</w:t>
      </w:r>
      <w:proofErr w:type="spellEnd"/>
      <w:r w:rsidR="001C0107">
        <w:t xml:space="preserve"> (1990) to support his arguments. Moreover, in relation </w:t>
      </w:r>
      <w:r w:rsidR="00C71CC9">
        <w:t>to t</w:t>
      </w:r>
      <w:r w:rsidR="00A8228F">
        <w:t>he reflections seen in part 1</w:t>
      </w:r>
      <w:r w:rsidR="00525B88">
        <w:t>, a</w:t>
      </w:r>
      <w:r w:rsidR="00C71CC9">
        <w:t xml:space="preserve">s feedback using comments only was used in the foundation phase, using </w:t>
      </w:r>
      <w:r w:rsidR="001C0107">
        <w:t xml:space="preserve">written feedback </w:t>
      </w:r>
      <w:r w:rsidR="00C71CC9">
        <w:t>that wasn’</w:t>
      </w:r>
      <w:r w:rsidR="001C0107">
        <w:t>t supplemented b</w:t>
      </w:r>
      <w:r w:rsidR="003565DA">
        <w:t>y conversation would have been n</w:t>
      </w:r>
      <w:r w:rsidR="001C0107">
        <w:t>ot only ineffectiv</w:t>
      </w:r>
      <w:r w:rsidR="00A8228F">
        <w:t>e</w:t>
      </w:r>
      <w:r w:rsidR="00D36AEB">
        <w:t>,</w:t>
      </w:r>
      <w:r w:rsidR="00A8228F">
        <w:t xml:space="preserve"> but completely impractical as</w:t>
      </w:r>
      <w:r w:rsidR="001C0107">
        <w:t xml:space="preserve"> the pupils would not have understood them. Bruno and Santos (2010) support this</w:t>
      </w:r>
      <w:r w:rsidR="003B6CCF">
        <w:t xml:space="preserve">, stating that feedback should be a form of communication, and </w:t>
      </w:r>
      <w:r w:rsidR="003B6CCF">
        <w:lastRenderedPageBreak/>
        <w:t>that teachers pro</w:t>
      </w:r>
      <w:r w:rsidR="00D36AEB">
        <w:t>viding feedback in a written for</w:t>
      </w:r>
      <w:r w:rsidR="003B6CCF">
        <w:t>m is generally not as helpful as some teachers think. This is due to the fact that students must not only be gi</w:t>
      </w:r>
      <w:r w:rsidR="00741978">
        <w:t xml:space="preserve">ven guidance on how to </w:t>
      </w:r>
      <w:r w:rsidR="00D36AEB">
        <w:t>interoperate</w:t>
      </w:r>
      <w:r w:rsidR="003B6CCF">
        <w:t xml:space="preserve"> and engage with this feedback, but they should be given the opportunity to discuss the feedback in order to gauge a better understanding. Therefore, it would be better to supplement this written feedback with comments or dialogue.</w:t>
      </w:r>
    </w:p>
    <w:p w:rsidR="00EA4796" w:rsidRDefault="00C66196" w:rsidP="00141F8C">
      <w:pPr>
        <w:spacing w:line="360" w:lineRule="auto"/>
      </w:pPr>
      <w:r>
        <w:t xml:space="preserve">Another important </w:t>
      </w:r>
      <w:r w:rsidR="00B60DD5">
        <w:t>theme in the field of literature surrounding the use of formative feedback as an AFL strategy is the issue of generalised feedback</w:t>
      </w:r>
      <w:r w:rsidR="00D36AEB">
        <w:t>,</w:t>
      </w:r>
      <w:r w:rsidR="00B60DD5">
        <w:t xml:space="preserve"> and the importance of feedback being focussed and specific. </w:t>
      </w:r>
      <w:r w:rsidR="006E6817">
        <w:t>Black and Jones (2006)</w:t>
      </w:r>
      <w:r w:rsidR="00B60DD5">
        <w:t xml:space="preserve"> agree with this notion stating</w:t>
      </w:r>
      <w:r w:rsidR="006E6817">
        <w:t xml:space="preserve"> </w:t>
      </w:r>
      <w:r w:rsidR="00B60DD5">
        <w:t>‘</w:t>
      </w:r>
      <w:r w:rsidR="006E6817">
        <w:t>that the targets given to students in the feedback should be as focussed as possible and generalised targets should be avoided where possible</w:t>
      </w:r>
      <w:r w:rsidR="00B60DD5">
        <w:t>’</w:t>
      </w:r>
      <w:r w:rsidR="006E6817">
        <w:t xml:space="preserve">. </w:t>
      </w:r>
      <w:r w:rsidR="00B60DD5">
        <w:t xml:space="preserve">(Black and Jones, 2006, p.5) </w:t>
      </w:r>
      <w:r w:rsidR="006E6817">
        <w:t xml:space="preserve">Additionally, Black and Jones (2006) argue that although points to be considered next time can be useful, it would be better to give comments that prompt immediate action from the pupil. </w:t>
      </w:r>
      <w:r w:rsidR="00D36AEB">
        <w:t xml:space="preserve">This significant as referring to the AFL reflection in part one, </w:t>
      </w:r>
      <w:r w:rsidR="00F638DA">
        <w:t>each literacy activ</w:t>
      </w:r>
      <w:r w:rsidR="00D36AEB">
        <w:t>ity</w:t>
      </w:r>
      <w:r w:rsidR="00F638DA">
        <w:t xml:space="preserve"> carried out ran over the period of a week</w:t>
      </w:r>
      <w:r w:rsidR="00D36AEB">
        <w:t>,</w:t>
      </w:r>
      <w:r w:rsidR="00F638DA">
        <w:t xml:space="preserve"> and this would be a long time for pupils to consider and potentially forget their targets. </w:t>
      </w:r>
      <w:r w:rsidR="006E6817">
        <w:t>Moreover, according to Black and Jones (2006) feedback using comments only are most effective when they relate directly back to the success criteria, so that as the pupil progresses through their work they have the success criteria in order to relate back to.</w:t>
      </w:r>
      <w:r w:rsidR="00277725">
        <w:t xml:space="preserve"> Hattie and Clarke (2019) support Black and Jones’ (2006) </w:t>
      </w:r>
      <w:r w:rsidR="00AD207B">
        <w:t xml:space="preserve">notion that the full benefits of feedback can only be utilized when students have </w:t>
      </w:r>
      <w:proofErr w:type="gramStart"/>
      <w:r w:rsidR="00AD207B">
        <w:t>a success criteria</w:t>
      </w:r>
      <w:proofErr w:type="gramEnd"/>
      <w:r w:rsidR="00AD207B">
        <w:t xml:space="preserve"> to relate back to, by stating that without the clear learning intentions set out by a success criteria</w:t>
      </w:r>
      <w:r w:rsidR="00D36AEB">
        <w:t>,</w:t>
      </w:r>
      <w:r w:rsidR="00AD207B">
        <w:t xml:space="preserve"> feedback is likely to be less specific and more general. This would lead to the feedback being less helpful and provide less emphasis on what the student had done well and what they should improve on. Moreover, Hattie and Clarke (2019) liken having </w:t>
      </w:r>
      <w:proofErr w:type="gramStart"/>
      <w:r w:rsidR="00AD207B">
        <w:t>a success criteria</w:t>
      </w:r>
      <w:proofErr w:type="gramEnd"/>
      <w:r w:rsidR="00AD207B">
        <w:t xml:space="preserve"> to providing rules for a game and argue that people in general would not want to play a game if they did not know the rules. This is the same as providing pupils feedback on their work without having given them </w:t>
      </w:r>
      <w:proofErr w:type="gramStart"/>
      <w:r w:rsidR="00AD207B">
        <w:t>a success criteria</w:t>
      </w:r>
      <w:proofErr w:type="gramEnd"/>
      <w:r w:rsidR="00AD207B">
        <w:t xml:space="preserve"> before they started their work. When students are given this success criteria they are going to have a better understanding of what is expected of them, and be more committed in working through the challenges of their learning. These concepts provided by Black and Jones (2006) and Hattie and Clarke (2019) are significant as they can be related </w:t>
      </w:r>
      <w:r w:rsidR="00C21E4D">
        <w:t xml:space="preserve">to the reflections seen in part </w:t>
      </w:r>
      <w:r w:rsidR="00845D56">
        <w:t>one</w:t>
      </w:r>
      <w:r w:rsidR="00514201">
        <w:t xml:space="preserve">. As in the </w:t>
      </w:r>
      <w:r w:rsidR="00C21E4D">
        <w:t>first literacy activity</w:t>
      </w:r>
      <w:r w:rsidR="00514201">
        <w:t xml:space="preserve"> the AFL strategy of providing</w:t>
      </w:r>
      <w:r w:rsidR="00C21E4D">
        <w:t xml:space="preserve"> </w:t>
      </w:r>
      <w:r w:rsidR="00141F8C">
        <w:t>feedback</w:t>
      </w:r>
      <w:r w:rsidR="00C53211">
        <w:t xml:space="preserve"> using comments </w:t>
      </w:r>
      <w:r w:rsidR="00C21E4D">
        <w:t>only was used</w:t>
      </w:r>
      <w:r w:rsidR="00845D56">
        <w:t>,</w:t>
      </w:r>
      <w:r w:rsidR="00C21E4D">
        <w:t xml:space="preserve"> and </w:t>
      </w:r>
      <w:r w:rsidR="00514201">
        <w:t>the mistake</w:t>
      </w:r>
      <w:r w:rsidR="00C21E4D">
        <w:t xml:space="preserve"> was</w:t>
      </w:r>
      <w:r w:rsidR="00845D56">
        <w:t xml:space="preserve"> made</w:t>
      </w:r>
      <w:r w:rsidR="00C21E4D">
        <w:t xml:space="preserve"> </w:t>
      </w:r>
      <w:r w:rsidR="00514201">
        <w:t xml:space="preserve">of not having the success criteria written down to show the groups of children before they started their </w:t>
      </w:r>
      <w:r w:rsidR="00C21E4D">
        <w:t xml:space="preserve">activities. Although when feedback was provided </w:t>
      </w:r>
      <w:r w:rsidR="00514201">
        <w:t>the majority seemed to understand it, the understanding seemed significantly higher in the second literacy act</w:t>
      </w:r>
      <w:r w:rsidR="00C21E4D">
        <w:t>ivity where</w:t>
      </w:r>
      <w:r w:rsidR="00514201">
        <w:t xml:space="preserve"> the success criteria </w:t>
      </w:r>
      <w:r w:rsidR="00C21E4D">
        <w:t xml:space="preserve">was </w:t>
      </w:r>
      <w:r w:rsidR="00514201">
        <w:t>written down on a whiteboard, and clearly visible to the pupils whilst they were comple</w:t>
      </w:r>
      <w:r w:rsidR="00845D56">
        <w:t>ting their task</w:t>
      </w:r>
      <w:r w:rsidR="00C21E4D">
        <w:t>. T</w:t>
      </w:r>
      <w:r w:rsidR="00514201">
        <w:t>his was important as the</w:t>
      </w:r>
      <w:r w:rsidR="00C21E4D">
        <w:t xml:space="preserve"> pupils</w:t>
      </w:r>
      <w:r w:rsidR="00514201">
        <w:t xml:space="preserve"> had a visualisation and more of</w:t>
      </w:r>
      <w:r w:rsidR="00C21E4D">
        <w:t xml:space="preserve"> a clear </w:t>
      </w:r>
      <w:r w:rsidR="00C21E4D">
        <w:lastRenderedPageBreak/>
        <w:t>understanding of the feedback being given to them</w:t>
      </w:r>
      <w:r w:rsidR="00514201">
        <w:t>. The literature provided by Black and Jones (2006) and Hattie and Clarke (2019) have solidified the notion that in my future practice I always need to ensure that the pupils are aware of the success criteria and have it to refer to when they are doing their work, and only then will the feedback I give them be completely beneficial.</w:t>
      </w:r>
    </w:p>
    <w:p w:rsidR="00A578DA" w:rsidRPr="00004C13" w:rsidRDefault="0036101A" w:rsidP="00141F8C">
      <w:pPr>
        <w:spacing w:line="360" w:lineRule="auto"/>
      </w:pPr>
      <w:r>
        <w:t xml:space="preserve">In conclusion, despite there being much debate within the literature on how feedback </w:t>
      </w:r>
      <w:r w:rsidR="00845D56">
        <w:t>is best expressed to pupils. A</w:t>
      </w:r>
      <w:r>
        <w:t>long with</w:t>
      </w:r>
      <w:r w:rsidRPr="0036101A">
        <w:t xml:space="preserve"> Hattie and </w:t>
      </w:r>
      <w:proofErr w:type="spellStart"/>
      <w:r w:rsidRPr="0036101A">
        <w:t>Timperely</w:t>
      </w:r>
      <w:proofErr w:type="spellEnd"/>
      <w:r w:rsidRPr="0036101A">
        <w:t xml:space="preserve"> (2007)</w:t>
      </w:r>
      <w:r>
        <w:t xml:space="preserve"> and Hattie and Clarke’s (2019) notions which state in order for feedback to have any use it must be given in a way which renders lines of investigation within the minds of pupils. The overwhelming trend in the literature supports the use of format</w:t>
      </w:r>
      <w:r w:rsidR="005F1E36">
        <w:t>ive feedback as an AFL strategy, so long as it communicated to the pupils clearly and directly.</w:t>
      </w:r>
      <w:r>
        <w:t xml:space="preserve"> There is no real doubt surrounding t</w:t>
      </w:r>
      <w:r w:rsidR="005F1E36">
        <w:t>his. Therefore, I will take formative feedback forward into my future practice and be confident in its use as an effective AFL strategy. As previously stated the</w:t>
      </w:r>
      <w:r>
        <w:t xml:space="preserve"> debates within the </w:t>
      </w:r>
      <w:r w:rsidR="005F1E36">
        <w:t>literature stem from how feedback is given to the pupils, the type of feedback that is most beneficial for students, and the importance of a success criteria to supplement the feedback.</w:t>
      </w:r>
      <w:r w:rsidR="00E81368">
        <w:t xml:space="preserve"> One of the main debates within the field of literature comes from the issue of whether feedback should be only effort based as suggested by </w:t>
      </w:r>
      <w:proofErr w:type="spellStart"/>
      <w:r w:rsidR="00E81368">
        <w:t>Dweck</w:t>
      </w:r>
      <w:proofErr w:type="spellEnd"/>
      <w:r w:rsidR="00E81368">
        <w:t xml:space="preserve"> (2009) or it should depend on the circumstance</w:t>
      </w:r>
      <w:r w:rsidR="00741978">
        <w:t xml:space="preserve"> and each individual pupil</w:t>
      </w:r>
      <w:r w:rsidR="00E81368">
        <w:t xml:space="preserve"> as suggested by Burnett and Mandell (2010). In relation to my future teaching practice I feel this is a topic for further research, however as the feedback I used in my last professional experience in reception was mostly effort based, I will keep an open mind and test both theories from </w:t>
      </w:r>
      <w:proofErr w:type="spellStart"/>
      <w:r w:rsidR="00E81368">
        <w:t>Dweck</w:t>
      </w:r>
      <w:proofErr w:type="spellEnd"/>
      <w:r w:rsidR="00E81368">
        <w:t xml:space="preserve"> (2009) and Burnett and Mandell (2010) in my future practice. </w:t>
      </w:r>
      <w:r w:rsidR="005F1E36">
        <w:t xml:space="preserve"> The written feedback or feedback using comments only is an interesting debate within the literature</w:t>
      </w:r>
      <w:r w:rsidR="00004C13">
        <w:t xml:space="preserve">. Despite Goldstein’s (2004) </w:t>
      </w:r>
      <w:r w:rsidR="00A53AFF">
        <w:t>criticisms</w:t>
      </w:r>
      <w:r w:rsidR="00004C13">
        <w:t xml:space="preserve"> of using comments only feedback, there are limitations in the da</w:t>
      </w:r>
      <w:r w:rsidR="00A53AFF">
        <w:t xml:space="preserve">tes of the </w:t>
      </w:r>
      <w:r w:rsidR="00004C13">
        <w:t>research used in the article. Additionally</w:t>
      </w:r>
      <w:r w:rsidR="00A53AFF">
        <w:t>,</w:t>
      </w:r>
      <w:r w:rsidR="00004C13">
        <w:t xml:space="preserve"> the vast majority of more recent peer reviewed article’s such as </w:t>
      </w:r>
      <w:r w:rsidR="00004C13" w:rsidRPr="00004C13">
        <w:t xml:space="preserve">Parr and </w:t>
      </w:r>
      <w:proofErr w:type="spellStart"/>
      <w:r w:rsidR="00004C13" w:rsidRPr="00004C13">
        <w:t>Timperely</w:t>
      </w:r>
      <w:proofErr w:type="spellEnd"/>
      <w:r w:rsidR="00004C13" w:rsidRPr="00004C13">
        <w:t xml:space="preserve"> (2010)</w:t>
      </w:r>
      <w:r w:rsidR="00004C13">
        <w:t xml:space="preserve"> and </w:t>
      </w:r>
      <w:proofErr w:type="spellStart"/>
      <w:r w:rsidR="00004C13" w:rsidRPr="00004C13">
        <w:t>Hatziapostolou</w:t>
      </w:r>
      <w:proofErr w:type="spellEnd"/>
      <w:r w:rsidR="00004C13" w:rsidRPr="00004C13">
        <w:t xml:space="preserve"> and </w:t>
      </w:r>
      <w:proofErr w:type="spellStart"/>
      <w:r w:rsidR="00004C13" w:rsidRPr="00004C13">
        <w:t>Paraskakis</w:t>
      </w:r>
      <w:proofErr w:type="spellEnd"/>
      <w:r w:rsidR="00004C13" w:rsidRPr="00004C13">
        <w:t xml:space="preserve"> (2010)</w:t>
      </w:r>
      <w:r w:rsidR="00004C13">
        <w:t xml:space="preserve"> support providing feedback using comments only and comments along with </w:t>
      </w:r>
      <w:r w:rsidR="00EB4EA3">
        <w:t xml:space="preserve">written feedback. These journal articles also </w:t>
      </w:r>
      <w:r w:rsidR="00004C13">
        <w:t>identify the challenges of providing written feedback without comments</w:t>
      </w:r>
      <w:r w:rsidR="00EB4EA3">
        <w:t>,</w:t>
      </w:r>
      <w:r w:rsidR="00004C13">
        <w:t xml:space="preserve"> and the limitations it places on the effectiveness of such feedback. Going forward in my future teaching practice I now understand the importance of providing feedback using verbal comment</w:t>
      </w:r>
      <w:r w:rsidR="00A02005">
        <w:t>s where possible, even if when the verbal comments are supplementing the written feedback. This is due to the fact that it opens a line of communication between teacher and student and allows the student ask questions if there is a lack of understanding of the written feedback. Finally, another criticism of using feedback as an AFL strategy in the literature is that it tends to be generalised and therefore limited in how beneficial it is to both teacher and pupil</w:t>
      </w:r>
      <w:r w:rsidR="00C53211">
        <w:t xml:space="preserve">. Black and Jones (2006) and Hattie and Clarke (2019) put emphasis on the importance of having </w:t>
      </w:r>
      <w:proofErr w:type="gramStart"/>
      <w:r w:rsidR="00C53211">
        <w:t>a success criteria</w:t>
      </w:r>
      <w:proofErr w:type="gramEnd"/>
      <w:r w:rsidR="00C53211">
        <w:t xml:space="preserve"> that is visible for both pupils to refer to when completing their work, but also for the teacher to refer to when providing feedback. </w:t>
      </w:r>
      <w:r w:rsidR="0033239C">
        <w:lastRenderedPageBreak/>
        <w:t>This is vital as it in my last professional teaching experience in one of the activities I didn’t make the success criteria visible to the pupils when they were completing their work</w:t>
      </w:r>
      <w:r w:rsidR="00EB4EA3">
        <w:t>,</w:t>
      </w:r>
      <w:r w:rsidR="0033239C">
        <w:t xml:space="preserve"> and I felt this had a detrimental effect on their standard of work. Going forward in my future practice I intend to talk the pupils through the success criteria before they begin their work and have it </w:t>
      </w:r>
      <w:r w:rsidR="00A53AFF">
        <w:t>visible</w:t>
      </w:r>
      <w:r w:rsidR="0033239C">
        <w:t xml:space="preserve"> for them whilst completing</w:t>
      </w:r>
      <w:r w:rsidR="00A53AFF">
        <w:t xml:space="preserve">. Despite these suggestions of how I’m going to take AFL forward into my future practice, it is important to note that in a time of educational reform in Wales with the new curriculum, my role as a reflective practitioner means that I was always be researching and learning about how to effectively implement AFL into my teaching </w:t>
      </w:r>
      <w:r w:rsidR="00207D0D">
        <w:t>practice</w:t>
      </w:r>
      <w:r w:rsidR="00A53AFF">
        <w:t>.</w:t>
      </w:r>
    </w:p>
    <w:p w:rsidR="0036101A" w:rsidRDefault="00207D0D" w:rsidP="00A578DA">
      <w:r>
        <w:t>Reference List</w:t>
      </w:r>
    </w:p>
    <w:p w:rsidR="00C062EB" w:rsidRDefault="00A578DA" w:rsidP="00F6376B">
      <w:r>
        <w:t xml:space="preserve">Butler, R. (1987) Task-involving and ego-involving properties of evaluation: effects of different feedback conditions on motivational perceptions, interest and performance. </w:t>
      </w:r>
      <w:r w:rsidRPr="00872AEC">
        <w:rPr>
          <w:i/>
        </w:rPr>
        <w:t>Journal of Educational Psychology</w:t>
      </w:r>
      <w:r>
        <w:t xml:space="preserve"> 78 (4),</w:t>
      </w:r>
      <w:r w:rsidR="00F6376B">
        <w:t xml:space="preserve"> pp</w:t>
      </w:r>
      <w:r>
        <w:t xml:space="preserve"> 210–216</w:t>
      </w:r>
      <w:r w:rsidR="00F6376B">
        <w:t>. (Accessed 15/12/21)</w:t>
      </w:r>
    </w:p>
    <w:p w:rsidR="00C062EB" w:rsidRDefault="00C062EB" w:rsidP="00F6376B">
      <w:r w:rsidRPr="00C062EB">
        <w:t>Black</w:t>
      </w:r>
      <w:r>
        <w:t>, P. and</w:t>
      </w:r>
      <w:r w:rsidRPr="00C062EB">
        <w:t xml:space="preserve"> Jones</w:t>
      </w:r>
      <w:r>
        <w:t>, J</w:t>
      </w:r>
      <w:r w:rsidRPr="00C062EB">
        <w:t xml:space="preserve"> (2006) Formative assessment and the learning and teaching of MFL: sharing the language learning road map with the learners, </w:t>
      </w:r>
      <w:r w:rsidRPr="00C062EB">
        <w:rPr>
          <w:i/>
        </w:rPr>
        <w:t>The Language Learning Journal</w:t>
      </w:r>
      <w:r>
        <w:t>, 34 (1) pp</w:t>
      </w:r>
      <w:r w:rsidRPr="00C062EB">
        <w:t xml:space="preserve"> 4-9,</w:t>
      </w:r>
      <w:r>
        <w:t xml:space="preserve"> (Accessed 13/12/21)</w:t>
      </w:r>
    </w:p>
    <w:p w:rsidR="00FA7332" w:rsidRDefault="00FA7332" w:rsidP="00F6376B">
      <w:r>
        <w:t>Berry, R. (2008) Assessment for Learning. Hong Kong: Hong Kong university Press</w:t>
      </w:r>
    </w:p>
    <w:p w:rsidR="00525B88" w:rsidRPr="00525B88" w:rsidRDefault="00525B88" w:rsidP="00F6376B">
      <w:r>
        <w:t xml:space="preserve">Bruno, I. and Santos, L, (2010) </w:t>
      </w:r>
      <w:r w:rsidRPr="00525B88">
        <w:t>Written comments as a form of feedback</w:t>
      </w:r>
      <w:r>
        <w:t xml:space="preserve">. </w:t>
      </w:r>
      <w:r>
        <w:rPr>
          <w:i/>
        </w:rPr>
        <w:t xml:space="preserve">Studies in educational evaluation. </w:t>
      </w:r>
      <w:r>
        <w:t>36 (1), pp 111-120. (Accessed 09/12/21)</w:t>
      </w:r>
    </w:p>
    <w:p w:rsidR="00F6376B" w:rsidRDefault="00F6376B" w:rsidP="00F6376B">
      <w:r>
        <w:t xml:space="preserve">Burnett, P., C. and Mandel, V. (2010) </w:t>
      </w:r>
      <w:r>
        <w:t>Praise and Feedback in the Pr</w:t>
      </w:r>
      <w:r>
        <w:t xml:space="preserve">imary Classroom: Teachers’ and </w:t>
      </w:r>
      <w:r>
        <w:t>Students’ Perspectives</w:t>
      </w:r>
      <w:r>
        <w:t xml:space="preserve">. </w:t>
      </w:r>
      <w:r w:rsidRPr="00872AEC">
        <w:rPr>
          <w:i/>
        </w:rPr>
        <w:t>Australian Journal of Educational &amp; Developmental Psychology</w:t>
      </w:r>
      <w:r>
        <w:t>. 10</w:t>
      </w:r>
      <w:r w:rsidRPr="00F6376B">
        <w:t xml:space="preserve"> pp. 145-154</w:t>
      </w:r>
      <w:r>
        <w:t>.</w:t>
      </w:r>
      <w:r w:rsidR="00872AEC">
        <w:t xml:space="preserve"> (Accessed 16/12/21)</w:t>
      </w:r>
    </w:p>
    <w:p w:rsidR="00FA7332" w:rsidRDefault="00FA7332" w:rsidP="00F6376B">
      <w:proofErr w:type="spellStart"/>
      <w:r w:rsidRPr="00FA7332">
        <w:t>Dweck</w:t>
      </w:r>
      <w:proofErr w:type="spellEnd"/>
      <w:r w:rsidRPr="00FA7332">
        <w:t xml:space="preserve">, C. (2009). </w:t>
      </w:r>
      <w:proofErr w:type="spellStart"/>
      <w:r w:rsidRPr="00FA7332">
        <w:t>Mindsets</w:t>
      </w:r>
      <w:proofErr w:type="spellEnd"/>
      <w:r w:rsidRPr="00FA7332">
        <w:t xml:space="preserve">: Developing Talent through a Growth </w:t>
      </w:r>
      <w:proofErr w:type="spellStart"/>
      <w:r w:rsidRPr="00FA7332">
        <w:t>Mindset</w:t>
      </w:r>
      <w:proofErr w:type="spellEnd"/>
      <w:r w:rsidRPr="00FA7332">
        <w:t xml:space="preserve">. </w:t>
      </w:r>
      <w:r w:rsidRPr="00FA7332">
        <w:rPr>
          <w:i/>
        </w:rPr>
        <w:t>Olympic Coach,</w:t>
      </w:r>
      <w:r w:rsidRPr="00FA7332">
        <w:t xml:space="preserve"> 21, 4.</w:t>
      </w:r>
      <w:r>
        <w:t xml:space="preserve"> (Accessed 18/12/21)</w:t>
      </w:r>
    </w:p>
    <w:p w:rsidR="00872AEC" w:rsidRPr="00872AEC" w:rsidRDefault="00872AEC" w:rsidP="00F6376B">
      <w:r>
        <w:t xml:space="preserve">Goldstein, L., M. (2004) </w:t>
      </w:r>
      <w:r w:rsidRPr="00872AEC">
        <w:t>Questions and answers about teacher written commentary and student revision: teachers and students working together</w:t>
      </w:r>
      <w:r>
        <w:t xml:space="preserve">. </w:t>
      </w:r>
      <w:r>
        <w:rPr>
          <w:i/>
        </w:rPr>
        <w:t>Journal of second language writing.</w:t>
      </w:r>
      <w:r>
        <w:t xml:space="preserve"> 13 (1) pp. 63-80. (Accessed 13/12/21)</w:t>
      </w:r>
    </w:p>
    <w:p w:rsidR="00525B88" w:rsidRDefault="00525B88" w:rsidP="00525B88">
      <w:proofErr w:type="spellStart"/>
      <w:r>
        <w:t>Gamlem</w:t>
      </w:r>
      <w:proofErr w:type="spellEnd"/>
      <w:r>
        <w:t xml:space="preserve">, S., M and </w:t>
      </w:r>
      <w:r>
        <w:t>Smith</w:t>
      </w:r>
      <w:r>
        <w:t>, K.</w:t>
      </w:r>
      <w:r>
        <w:t xml:space="preserve"> (2013) S</w:t>
      </w:r>
      <w:r>
        <w:t xml:space="preserve">tudent perceptions of classroom feedback. </w:t>
      </w:r>
      <w:r w:rsidRPr="00525B88">
        <w:rPr>
          <w:i/>
        </w:rPr>
        <w:t>Assessment in Education: Principles, Policy &amp; Practice</w:t>
      </w:r>
      <w:r>
        <w:t>, 20:2,</w:t>
      </w:r>
      <w:r>
        <w:t xml:space="preserve"> pp</w:t>
      </w:r>
      <w:r>
        <w:t xml:space="preserve"> 150-169</w:t>
      </w:r>
      <w:r w:rsidR="00AE05BC">
        <w:t xml:space="preserve"> (Accessed 17/12/21)</w:t>
      </w:r>
    </w:p>
    <w:p w:rsidR="00525B88" w:rsidRDefault="00525B88" w:rsidP="00525B88">
      <w:r>
        <w:t xml:space="preserve">Hattie, J., and </w:t>
      </w:r>
      <w:proofErr w:type="spellStart"/>
      <w:r>
        <w:t>Timperely</w:t>
      </w:r>
      <w:proofErr w:type="spellEnd"/>
      <w:r>
        <w:t xml:space="preserve">, H. (2007) The power of feedback. </w:t>
      </w:r>
      <w:r w:rsidRPr="00525B88">
        <w:rPr>
          <w:i/>
        </w:rPr>
        <w:t>Review of Educational Research</w:t>
      </w:r>
      <w:r>
        <w:t xml:space="preserve"> 77 (</w:t>
      </w:r>
      <w:r>
        <w:t>1</w:t>
      </w:r>
      <w:r>
        <w:t>)</w:t>
      </w:r>
      <w:r>
        <w:t>, pp. 81–112</w:t>
      </w:r>
      <w:r>
        <w:t xml:space="preserve"> (Accessed 08/12/21)</w:t>
      </w:r>
    </w:p>
    <w:p w:rsidR="00FA7332" w:rsidRDefault="00FA7332" w:rsidP="00FA7332">
      <w:proofErr w:type="spellStart"/>
      <w:r>
        <w:t>Hatziapostolo</w:t>
      </w:r>
      <w:r>
        <w:t>u</w:t>
      </w:r>
      <w:proofErr w:type="spellEnd"/>
      <w:r>
        <w:t xml:space="preserve">, T and </w:t>
      </w:r>
      <w:proofErr w:type="spellStart"/>
      <w:r>
        <w:t>Paraskakis</w:t>
      </w:r>
      <w:proofErr w:type="spellEnd"/>
      <w:r>
        <w:t xml:space="preserve">, I. (2010) </w:t>
      </w:r>
      <w:r>
        <w:t>Enhancing the Impact of Formative Feedback o</w:t>
      </w:r>
      <w:r>
        <w:t xml:space="preserve">n Student Learning through an Online </w:t>
      </w:r>
      <w:r>
        <w:t>Fee</w:t>
      </w:r>
      <w:r>
        <w:t>dback System</w:t>
      </w:r>
      <w:r w:rsidRPr="00FA7332">
        <w:rPr>
          <w:i/>
        </w:rPr>
        <w:t xml:space="preserve">. </w:t>
      </w:r>
      <w:r w:rsidRPr="00FA7332">
        <w:rPr>
          <w:i/>
        </w:rPr>
        <w:t xml:space="preserve">Electronic </w:t>
      </w:r>
      <w:r w:rsidRPr="00FA7332">
        <w:rPr>
          <w:i/>
        </w:rPr>
        <w:t xml:space="preserve">Journal </w:t>
      </w:r>
      <w:proofErr w:type="gramStart"/>
      <w:r w:rsidRPr="00FA7332">
        <w:rPr>
          <w:i/>
        </w:rPr>
        <w:t>of  e</w:t>
      </w:r>
      <w:proofErr w:type="gramEnd"/>
      <w:r w:rsidRPr="00FA7332">
        <w:rPr>
          <w:i/>
        </w:rPr>
        <w:t>-Learning</w:t>
      </w:r>
      <w:r>
        <w:t xml:space="preserve"> 8</w:t>
      </w:r>
      <w:r>
        <w:t xml:space="preserve">  </w:t>
      </w:r>
      <w:r>
        <w:t>(</w:t>
      </w:r>
      <w:r>
        <w:t>2</w:t>
      </w:r>
      <w:r>
        <w:t xml:space="preserve">) </w:t>
      </w:r>
      <w:r>
        <w:t>pp</w:t>
      </w:r>
      <w:r>
        <w:t xml:space="preserve"> 111-122 (Accessed 18/12/21)</w:t>
      </w:r>
      <w:r>
        <w:t xml:space="preserve">  </w:t>
      </w:r>
    </w:p>
    <w:p w:rsidR="00EA4145" w:rsidRDefault="00C062EB" w:rsidP="00A578DA">
      <w:r>
        <w:t>Hattie, J., &amp; Clarke, S. (2019</w:t>
      </w:r>
      <w:r w:rsidR="00F6376B" w:rsidRPr="00F6376B">
        <w:t>). Visible Learning: Feedback (1st ed.). Routledge. https://doi.org/10.4324/9780429485480</w:t>
      </w:r>
    </w:p>
    <w:p w:rsidR="00FA7332" w:rsidRDefault="00FA7332" w:rsidP="00FA7332">
      <w:r>
        <w:t xml:space="preserve">Jones, C. A. (2005) Assessment for Learning. </w:t>
      </w:r>
      <w:r w:rsidRPr="00FA7332">
        <w:rPr>
          <w:i/>
        </w:rPr>
        <w:t xml:space="preserve">Vocational Learning </w:t>
      </w:r>
      <w:r w:rsidRPr="00FA7332">
        <w:rPr>
          <w:i/>
        </w:rPr>
        <w:t>Support Programme</w:t>
      </w:r>
      <w:r>
        <w:t>:16–19</w:t>
      </w:r>
      <w:r>
        <w:t xml:space="preserve">. </w:t>
      </w:r>
      <w:r w:rsidR="00207D0D">
        <w:t>(Accessed 21/12/21)</w:t>
      </w:r>
    </w:p>
    <w:p w:rsidR="00F6376B" w:rsidRPr="00EA4145" w:rsidRDefault="00EA4145" w:rsidP="00EA4145">
      <w:r>
        <w:lastRenderedPageBreak/>
        <w:t xml:space="preserve">Parr, J., and </w:t>
      </w:r>
      <w:proofErr w:type="spellStart"/>
      <w:r>
        <w:t>Timperely</w:t>
      </w:r>
      <w:proofErr w:type="spellEnd"/>
      <w:r>
        <w:t xml:space="preserve">, H. S, (2010) </w:t>
      </w:r>
      <w:r w:rsidRPr="00EA4145">
        <w:t>Feedback to writing, assessment for teaching and learning and student progress</w:t>
      </w:r>
      <w:r>
        <w:t xml:space="preserve">. </w:t>
      </w:r>
      <w:r>
        <w:rPr>
          <w:i/>
        </w:rPr>
        <w:t>Accessing Writing.</w:t>
      </w:r>
      <w:r>
        <w:t xml:space="preserve"> 15 (2) pp 68-85 (Accessed 27/12/21)</w:t>
      </w:r>
    </w:p>
    <w:sectPr w:rsidR="00F6376B" w:rsidRPr="00EA4145">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A2FF6" w:rsidRDefault="005A2FF6" w:rsidP="009A305E">
      <w:pPr>
        <w:spacing w:after="0" w:line="240" w:lineRule="auto"/>
      </w:pPr>
      <w:r>
        <w:separator/>
      </w:r>
    </w:p>
  </w:endnote>
  <w:endnote w:type="continuationSeparator" w:id="0">
    <w:p w:rsidR="005A2FF6" w:rsidRDefault="005A2FF6" w:rsidP="009A30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A2FF6" w:rsidRDefault="005A2FF6" w:rsidP="009A305E">
      <w:pPr>
        <w:spacing w:after="0" w:line="240" w:lineRule="auto"/>
      </w:pPr>
      <w:r>
        <w:separator/>
      </w:r>
    </w:p>
  </w:footnote>
  <w:footnote w:type="continuationSeparator" w:id="0">
    <w:p w:rsidR="005A2FF6" w:rsidRDefault="005A2FF6" w:rsidP="009A30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A305E" w:rsidRDefault="009A305E">
    <w:pPr>
      <w:pStyle w:val="Header"/>
    </w:pPr>
    <w:r>
      <w:t>Joshua Evans 2103662</w:t>
    </w:r>
    <w:r w:rsidR="00EB4EA3">
      <w:t xml:space="preserve">       word count - 5249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43AF"/>
    <w:rsid w:val="00004C13"/>
    <w:rsid w:val="000D1410"/>
    <w:rsid w:val="000E6345"/>
    <w:rsid w:val="00141F8C"/>
    <w:rsid w:val="001568FD"/>
    <w:rsid w:val="00161143"/>
    <w:rsid w:val="0019749E"/>
    <w:rsid w:val="001A1B7A"/>
    <w:rsid w:val="001A5303"/>
    <w:rsid w:val="001C0107"/>
    <w:rsid w:val="001F6721"/>
    <w:rsid w:val="00203DE4"/>
    <w:rsid w:val="00207D0D"/>
    <w:rsid w:val="002300E2"/>
    <w:rsid w:val="002762C8"/>
    <w:rsid w:val="00277725"/>
    <w:rsid w:val="002E075A"/>
    <w:rsid w:val="00307094"/>
    <w:rsid w:val="0033239C"/>
    <w:rsid w:val="003565DA"/>
    <w:rsid w:val="0036017C"/>
    <w:rsid w:val="0036101A"/>
    <w:rsid w:val="003B6CCF"/>
    <w:rsid w:val="00442363"/>
    <w:rsid w:val="0045189A"/>
    <w:rsid w:val="0049758A"/>
    <w:rsid w:val="00514201"/>
    <w:rsid w:val="00525B88"/>
    <w:rsid w:val="00584364"/>
    <w:rsid w:val="005A2FF6"/>
    <w:rsid w:val="005D0A13"/>
    <w:rsid w:val="005F1E36"/>
    <w:rsid w:val="0065490B"/>
    <w:rsid w:val="00674C26"/>
    <w:rsid w:val="006824A7"/>
    <w:rsid w:val="006B3D37"/>
    <w:rsid w:val="006E6817"/>
    <w:rsid w:val="0071420C"/>
    <w:rsid w:val="00741978"/>
    <w:rsid w:val="00760D1F"/>
    <w:rsid w:val="00767E99"/>
    <w:rsid w:val="007931D0"/>
    <w:rsid w:val="00845D56"/>
    <w:rsid w:val="00872AEC"/>
    <w:rsid w:val="008D1B9C"/>
    <w:rsid w:val="008E2260"/>
    <w:rsid w:val="00927D33"/>
    <w:rsid w:val="00973784"/>
    <w:rsid w:val="0097398D"/>
    <w:rsid w:val="009A305E"/>
    <w:rsid w:val="009A7D45"/>
    <w:rsid w:val="009D70C5"/>
    <w:rsid w:val="00A02005"/>
    <w:rsid w:val="00A20D9C"/>
    <w:rsid w:val="00A33F38"/>
    <w:rsid w:val="00A53AFF"/>
    <w:rsid w:val="00A578DA"/>
    <w:rsid w:val="00A75E97"/>
    <w:rsid w:val="00A8228F"/>
    <w:rsid w:val="00AD207B"/>
    <w:rsid w:val="00AE05BC"/>
    <w:rsid w:val="00AF3532"/>
    <w:rsid w:val="00AF5956"/>
    <w:rsid w:val="00B22A29"/>
    <w:rsid w:val="00B60DD5"/>
    <w:rsid w:val="00BA571B"/>
    <w:rsid w:val="00BB526D"/>
    <w:rsid w:val="00C062EB"/>
    <w:rsid w:val="00C21E4D"/>
    <w:rsid w:val="00C53211"/>
    <w:rsid w:val="00C55481"/>
    <w:rsid w:val="00C66196"/>
    <w:rsid w:val="00C71CC9"/>
    <w:rsid w:val="00CB3C19"/>
    <w:rsid w:val="00D043AF"/>
    <w:rsid w:val="00D1368D"/>
    <w:rsid w:val="00D35D62"/>
    <w:rsid w:val="00D3648A"/>
    <w:rsid w:val="00D36AEB"/>
    <w:rsid w:val="00D45C11"/>
    <w:rsid w:val="00D6198E"/>
    <w:rsid w:val="00D82550"/>
    <w:rsid w:val="00E43A8A"/>
    <w:rsid w:val="00E631C1"/>
    <w:rsid w:val="00E81368"/>
    <w:rsid w:val="00EA4145"/>
    <w:rsid w:val="00EA4796"/>
    <w:rsid w:val="00EB2EDB"/>
    <w:rsid w:val="00EB4EA3"/>
    <w:rsid w:val="00F27329"/>
    <w:rsid w:val="00F50101"/>
    <w:rsid w:val="00F6376B"/>
    <w:rsid w:val="00F638DA"/>
    <w:rsid w:val="00FA5D60"/>
    <w:rsid w:val="00FA7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F40B74"/>
  <w15:chartTrackingRefBased/>
  <w15:docId w15:val="{789E0280-E365-4704-A178-B5FC0BB7E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41F8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41F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A30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305E"/>
  </w:style>
  <w:style w:type="paragraph" w:styleId="Footer">
    <w:name w:val="footer"/>
    <w:basedOn w:val="Normal"/>
    <w:link w:val="FooterChar"/>
    <w:uiPriority w:val="99"/>
    <w:unhideWhenUsed/>
    <w:rsid w:val="009A30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30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297</TotalTime>
  <Pages>13</Pages>
  <Words>4963</Words>
  <Characters>28291</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Evans</dc:creator>
  <cp:keywords/>
  <dc:description/>
  <cp:lastModifiedBy>Joshua Evans</cp:lastModifiedBy>
  <cp:revision>5</cp:revision>
  <dcterms:created xsi:type="dcterms:W3CDTF">2022-01-04T11:29:00Z</dcterms:created>
  <dcterms:modified xsi:type="dcterms:W3CDTF">2022-01-04T16:26:00Z</dcterms:modified>
</cp:coreProperties>
</file>