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5E061" w14:textId="77777777" w:rsidR="00E2132A" w:rsidRDefault="00E2132A" w:rsidP="00E2132A">
      <w:pPr>
        <w:jc w:val="center"/>
        <w:rPr>
          <w:b/>
          <w:bCs/>
          <w:sz w:val="40"/>
          <w:szCs w:val="40"/>
        </w:rPr>
      </w:pPr>
    </w:p>
    <w:p w14:paraId="759CA4E3" w14:textId="77777777" w:rsidR="00E2132A" w:rsidRDefault="00E2132A" w:rsidP="00E2132A">
      <w:pPr>
        <w:jc w:val="center"/>
        <w:rPr>
          <w:b/>
          <w:bCs/>
          <w:sz w:val="40"/>
          <w:szCs w:val="40"/>
        </w:rPr>
      </w:pPr>
    </w:p>
    <w:p w14:paraId="4E2E91F1" w14:textId="77777777" w:rsidR="00E2132A" w:rsidRDefault="00E2132A" w:rsidP="00E2132A">
      <w:pPr>
        <w:jc w:val="center"/>
        <w:rPr>
          <w:b/>
          <w:bCs/>
          <w:sz w:val="40"/>
          <w:szCs w:val="40"/>
        </w:rPr>
      </w:pPr>
    </w:p>
    <w:p w14:paraId="31C5122B" w14:textId="77777777" w:rsidR="00E2132A" w:rsidRDefault="00E2132A" w:rsidP="00E2132A">
      <w:pPr>
        <w:jc w:val="center"/>
        <w:rPr>
          <w:b/>
          <w:bCs/>
          <w:sz w:val="40"/>
          <w:szCs w:val="40"/>
        </w:rPr>
      </w:pPr>
    </w:p>
    <w:p w14:paraId="4AEF4814" w14:textId="77777777" w:rsidR="00E2132A" w:rsidRDefault="00E2132A" w:rsidP="00E2132A">
      <w:pPr>
        <w:jc w:val="center"/>
        <w:rPr>
          <w:b/>
          <w:bCs/>
          <w:sz w:val="40"/>
          <w:szCs w:val="40"/>
        </w:rPr>
      </w:pPr>
    </w:p>
    <w:p w14:paraId="00103A7C" w14:textId="77777777" w:rsidR="00E2132A" w:rsidRDefault="00E2132A" w:rsidP="00E2132A">
      <w:pPr>
        <w:jc w:val="center"/>
        <w:rPr>
          <w:b/>
          <w:bCs/>
          <w:sz w:val="40"/>
          <w:szCs w:val="40"/>
        </w:rPr>
      </w:pPr>
    </w:p>
    <w:p w14:paraId="380CCD98" w14:textId="09A05A14" w:rsidR="00E2132A" w:rsidRPr="009B29C3" w:rsidRDefault="00E2132A" w:rsidP="00E2132A">
      <w:pPr>
        <w:jc w:val="center"/>
        <w:rPr>
          <w:b/>
          <w:bCs/>
          <w:sz w:val="40"/>
          <w:szCs w:val="40"/>
        </w:rPr>
      </w:pPr>
      <w:r w:rsidRPr="009B29C3">
        <w:rPr>
          <w:b/>
          <w:bCs/>
          <w:sz w:val="40"/>
          <w:szCs w:val="40"/>
        </w:rPr>
        <w:t>Financial Management for the Hotel Industry</w:t>
      </w:r>
    </w:p>
    <w:p w14:paraId="324E33AC" w14:textId="70E88510" w:rsidR="00E2132A" w:rsidRDefault="00E2132A" w:rsidP="00E2132A">
      <w:pPr>
        <w:jc w:val="center"/>
        <w:rPr>
          <w:sz w:val="36"/>
          <w:szCs w:val="36"/>
        </w:rPr>
      </w:pPr>
      <w:r w:rsidRPr="009B29C3">
        <w:rPr>
          <w:sz w:val="36"/>
          <w:szCs w:val="36"/>
        </w:rPr>
        <w:t>Module code: BMIH5007</w:t>
      </w:r>
    </w:p>
    <w:p w14:paraId="2345BBAA" w14:textId="4A3293E3" w:rsidR="00991820" w:rsidRDefault="00991820" w:rsidP="00E2132A">
      <w:pPr>
        <w:jc w:val="center"/>
        <w:rPr>
          <w:sz w:val="36"/>
          <w:szCs w:val="36"/>
        </w:rPr>
      </w:pPr>
      <w:r>
        <w:rPr>
          <w:sz w:val="36"/>
          <w:szCs w:val="36"/>
        </w:rPr>
        <w:t>Student Name: Nazmeen Akhtar</w:t>
      </w:r>
    </w:p>
    <w:p w14:paraId="11605651" w14:textId="3A8F38D0" w:rsidR="00991820" w:rsidRDefault="00991820" w:rsidP="00E2132A">
      <w:pPr>
        <w:jc w:val="center"/>
        <w:rPr>
          <w:sz w:val="36"/>
          <w:szCs w:val="36"/>
        </w:rPr>
      </w:pPr>
      <w:r>
        <w:rPr>
          <w:sz w:val="36"/>
          <w:szCs w:val="36"/>
        </w:rPr>
        <w:t>Student ID:2123059</w:t>
      </w:r>
    </w:p>
    <w:p w14:paraId="23834859" w14:textId="4E3175F2" w:rsidR="00991820" w:rsidRDefault="00991820" w:rsidP="00E2132A">
      <w:pPr>
        <w:jc w:val="center"/>
        <w:rPr>
          <w:sz w:val="36"/>
          <w:szCs w:val="36"/>
        </w:rPr>
      </w:pPr>
      <w:r>
        <w:rPr>
          <w:sz w:val="36"/>
          <w:szCs w:val="36"/>
        </w:rPr>
        <w:t>Lecturer name: Dale Clark</w:t>
      </w:r>
    </w:p>
    <w:p w14:paraId="5A8695D6" w14:textId="77777777" w:rsidR="00991820" w:rsidRDefault="00991820" w:rsidP="00E2132A">
      <w:pPr>
        <w:jc w:val="center"/>
        <w:rPr>
          <w:sz w:val="36"/>
          <w:szCs w:val="36"/>
        </w:rPr>
      </w:pPr>
    </w:p>
    <w:p w14:paraId="01A0506F" w14:textId="77777777" w:rsidR="00FC6628" w:rsidRDefault="00FC6628">
      <w:pPr>
        <w:spacing w:line="259" w:lineRule="auto"/>
        <w:jc w:val="left"/>
        <w:rPr>
          <w:sz w:val="36"/>
          <w:szCs w:val="36"/>
        </w:rPr>
      </w:pPr>
      <w:r>
        <w:rPr>
          <w:sz w:val="36"/>
          <w:szCs w:val="36"/>
        </w:rPr>
        <w:br w:type="page"/>
      </w:r>
    </w:p>
    <w:p w14:paraId="274E2564" w14:textId="77777777" w:rsidR="00FC6628" w:rsidRDefault="00FC6628" w:rsidP="00FC6628">
      <w:pPr>
        <w:pStyle w:val="Heading1"/>
      </w:pPr>
      <w:bookmarkStart w:id="0" w:name="_Toc135349138"/>
      <w:r>
        <w:lastRenderedPageBreak/>
        <w:t>Executive Summary</w:t>
      </w:r>
      <w:bookmarkEnd w:id="0"/>
    </w:p>
    <w:p w14:paraId="417B181A" w14:textId="46946E0C" w:rsidR="00E2132A" w:rsidRDefault="00CC2AF9" w:rsidP="00FC6628">
      <w:r w:rsidRPr="00CC2AF9">
        <w:t>Effective financial management is essential to the hotel industry's bottom line, productivity, and longevity. This article summarizes the most important financial management procedures used by hotels. Optimizing revenue production and keeping expenditures in check calls for meticulous financial planning, budgeting, and forecasting. In order to satisfy financial responsibilities and make sound investment choices, hotel owners and operators must also carefully track and manage cash flows. Management can evaluate performance, identify opportunities for growth, and formulate long-term strategies with the help of accurate financial analysis and reporting. Maintaining monetary security also depends on effective risk management and meeting all applicable regulations. Hotel businesses may thrive financially and stay ahead of the competition by adopting sound financial management practices.</w:t>
      </w:r>
      <w:r w:rsidR="00E2132A">
        <w:br w:type="page"/>
      </w:r>
    </w:p>
    <w:sdt>
      <w:sdtPr>
        <w:rPr>
          <w:rFonts w:ascii="Times New Roman" w:eastAsiaTheme="minorHAnsi" w:hAnsi="Times New Roman" w:cstheme="minorBidi"/>
          <w:i w:val="0"/>
          <w:color w:val="auto"/>
          <w:sz w:val="24"/>
          <w:szCs w:val="22"/>
          <w:lang w:val="en-GB"/>
        </w:rPr>
        <w:id w:val="-1685893023"/>
        <w:docPartObj>
          <w:docPartGallery w:val="Table of Contents"/>
          <w:docPartUnique/>
        </w:docPartObj>
      </w:sdtPr>
      <w:sdtEndPr>
        <w:rPr>
          <w:b/>
          <w:bCs/>
          <w:noProof/>
        </w:rPr>
      </w:sdtEndPr>
      <w:sdtContent>
        <w:p w14:paraId="055BFDBF" w14:textId="683F2DDE" w:rsidR="00E2132A" w:rsidRDefault="00E2132A">
          <w:pPr>
            <w:pStyle w:val="TOCHeading"/>
          </w:pPr>
          <w:r>
            <w:t>Table of Contents</w:t>
          </w:r>
        </w:p>
        <w:p w14:paraId="553AD586" w14:textId="51519E06" w:rsidR="00CC2AF9" w:rsidRDefault="002E06C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5349138" w:history="1">
            <w:r w:rsidR="00CC2AF9" w:rsidRPr="00F57BB6">
              <w:rPr>
                <w:rStyle w:val="Hyperlink"/>
                <w:noProof/>
              </w:rPr>
              <w:t>Executive Summary</w:t>
            </w:r>
            <w:r w:rsidR="00CC2AF9">
              <w:rPr>
                <w:noProof/>
                <w:webHidden/>
              </w:rPr>
              <w:tab/>
            </w:r>
            <w:r w:rsidR="00CC2AF9">
              <w:rPr>
                <w:noProof/>
                <w:webHidden/>
              </w:rPr>
              <w:fldChar w:fldCharType="begin"/>
            </w:r>
            <w:r w:rsidR="00CC2AF9">
              <w:rPr>
                <w:noProof/>
                <w:webHidden/>
              </w:rPr>
              <w:instrText xml:space="preserve"> PAGEREF _Toc135349138 \h </w:instrText>
            </w:r>
            <w:r w:rsidR="00CC2AF9">
              <w:rPr>
                <w:noProof/>
                <w:webHidden/>
              </w:rPr>
            </w:r>
            <w:r w:rsidR="00CC2AF9">
              <w:rPr>
                <w:noProof/>
                <w:webHidden/>
              </w:rPr>
              <w:fldChar w:fldCharType="separate"/>
            </w:r>
            <w:r w:rsidR="00CC2AF9">
              <w:rPr>
                <w:noProof/>
                <w:webHidden/>
              </w:rPr>
              <w:t>2</w:t>
            </w:r>
            <w:r w:rsidR="00CC2AF9">
              <w:rPr>
                <w:noProof/>
                <w:webHidden/>
              </w:rPr>
              <w:fldChar w:fldCharType="end"/>
            </w:r>
          </w:hyperlink>
        </w:p>
        <w:p w14:paraId="4D1E609A" w14:textId="6670AEDF" w:rsidR="00CC2AF9" w:rsidRDefault="00000000">
          <w:pPr>
            <w:pStyle w:val="TOC1"/>
            <w:tabs>
              <w:tab w:val="right" w:leader="dot" w:pos="9350"/>
            </w:tabs>
            <w:rPr>
              <w:rFonts w:asciiTheme="minorHAnsi" w:eastAsiaTheme="minorEastAsia" w:hAnsiTheme="minorHAnsi"/>
              <w:noProof/>
              <w:sz w:val="22"/>
              <w:lang w:eastAsia="en-GB"/>
            </w:rPr>
          </w:pPr>
          <w:hyperlink w:anchor="_Toc135349139" w:history="1">
            <w:r w:rsidR="00CC2AF9" w:rsidRPr="00F57BB6">
              <w:rPr>
                <w:rStyle w:val="Hyperlink"/>
                <w:noProof/>
              </w:rPr>
              <w:t>Introduction</w:t>
            </w:r>
            <w:r w:rsidR="00CC2AF9">
              <w:rPr>
                <w:noProof/>
                <w:webHidden/>
              </w:rPr>
              <w:tab/>
            </w:r>
            <w:r w:rsidR="00CC2AF9">
              <w:rPr>
                <w:noProof/>
                <w:webHidden/>
              </w:rPr>
              <w:fldChar w:fldCharType="begin"/>
            </w:r>
            <w:r w:rsidR="00CC2AF9">
              <w:rPr>
                <w:noProof/>
                <w:webHidden/>
              </w:rPr>
              <w:instrText xml:space="preserve"> PAGEREF _Toc135349139 \h </w:instrText>
            </w:r>
            <w:r w:rsidR="00CC2AF9">
              <w:rPr>
                <w:noProof/>
                <w:webHidden/>
              </w:rPr>
            </w:r>
            <w:r w:rsidR="00CC2AF9">
              <w:rPr>
                <w:noProof/>
                <w:webHidden/>
              </w:rPr>
              <w:fldChar w:fldCharType="separate"/>
            </w:r>
            <w:r w:rsidR="00CC2AF9">
              <w:rPr>
                <w:noProof/>
                <w:webHidden/>
              </w:rPr>
              <w:t>4</w:t>
            </w:r>
            <w:r w:rsidR="00CC2AF9">
              <w:rPr>
                <w:noProof/>
                <w:webHidden/>
              </w:rPr>
              <w:fldChar w:fldCharType="end"/>
            </w:r>
          </w:hyperlink>
        </w:p>
        <w:p w14:paraId="216CD581" w14:textId="5C3F6E92" w:rsidR="00CC2AF9" w:rsidRDefault="00000000">
          <w:pPr>
            <w:pStyle w:val="TOC1"/>
            <w:tabs>
              <w:tab w:val="right" w:leader="dot" w:pos="9350"/>
            </w:tabs>
            <w:rPr>
              <w:rFonts w:asciiTheme="minorHAnsi" w:eastAsiaTheme="minorEastAsia" w:hAnsiTheme="minorHAnsi"/>
              <w:noProof/>
              <w:sz w:val="22"/>
              <w:lang w:eastAsia="en-GB"/>
            </w:rPr>
          </w:pPr>
          <w:hyperlink w:anchor="_Toc135349140" w:history="1">
            <w:r w:rsidR="00CC2AF9" w:rsidRPr="00F57BB6">
              <w:rPr>
                <w:rStyle w:val="Hyperlink"/>
                <w:noProof/>
              </w:rPr>
              <w:t>Comparison in Financial Aspects.</w:t>
            </w:r>
            <w:r w:rsidR="00CC2AF9">
              <w:rPr>
                <w:noProof/>
                <w:webHidden/>
              </w:rPr>
              <w:tab/>
            </w:r>
            <w:r w:rsidR="00CC2AF9">
              <w:rPr>
                <w:noProof/>
                <w:webHidden/>
              </w:rPr>
              <w:fldChar w:fldCharType="begin"/>
            </w:r>
            <w:r w:rsidR="00CC2AF9">
              <w:rPr>
                <w:noProof/>
                <w:webHidden/>
              </w:rPr>
              <w:instrText xml:space="preserve"> PAGEREF _Toc135349140 \h </w:instrText>
            </w:r>
            <w:r w:rsidR="00CC2AF9">
              <w:rPr>
                <w:noProof/>
                <w:webHidden/>
              </w:rPr>
            </w:r>
            <w:r w:rsidR="00CC2AF9">
              <w:rPr>
                <w:noProof/>
                <w:webHidden/>
              </w:rPr>
              <w:fldChar w:fldCharType="separate"/>
            </w:r>
            <w:r w:rsidR="00CC2AF9">
              <w:rPr>
                <w:noProof/>
                <w:webHidden/>
              </w:rPr>
              <w:t>5</w:t>
            </w:r>
            <w:r w:rsidR="00CC2AF9">
              <w:rPr>
                <w:noProof/>
                <w:webHidden/>
              </w:rPr>
              <w:fldChar w:fldCharType="end"/>
            </w:r>
          </w:hyperlink>
        </w:p>
        <w:p w14:paraId="67477C5E" w14:textId="5DA4A41B" w:rsidR="00CC2AF9" w:rsidRDefault="00000000">
          <w:pPr>
            <w:pStyle w:val="TOC2"/>
            <w:tabs>
              <w:tab w:val="right" w:leader="dot" w:pos="9350"/>
            </w:tabs>
            <w:rPr>
              <w:rFonts w:asciiTheme="minorHAnsi" w:eastAsiaTheme="minorEastAsia" w:hAnsiTheme="minorHAnsi"/>
              <w:noProof/>
              <w:sz w:val="22"/>
              <w:lang w:eastAsia="en-GB"/>
            </w:rPr>
          </w:pPr>
          <w:hyperlink w:anchor="_Toc135349141" w:history="1">
            <w:r w:rsidR="00CC2AF9" w:rsidRPr="00F57BB6">
              <w:rPr>
                <w:rStyle w:val="Hyperlink"/>
                <w:noProof/>
              </w:rPr>
              <w:t>Organizational Overview</w:t>
            </w:r>
            <w:r w:rsidR="00CC2AF9">
              <w:rPr>
                <w:noProof/>
                <w:webHidden/>
              </w:rPr>
              <w:tab/>
            </w:r>
            <w:r w:rsidR="00CC2AF9">
              <w:rPr>
                <w:noProof/>
                <w:webHidden/>
              </w:rPr>
              <w:fldChar w:fldCharType="begin"/>
            </w:r>
            <w:r w:rsidR="00CC2AF9">
              <w:rPr>
                <w:noProof/>
                <w:webHidden/>
              </w:rPr>
              <w:instrText xml:space="preserve"> PAGEREF _Toc135349141 \h </w:instrText>
            </w:r>
            <w:r w:rsidR="00CC2AF9">
              <w:rPr>
                <w:noProof/>
                <w:webHidden/>
              </w:rPr>
            </w:r>
            <w:r w:rsidR="00CC2AF9">
              <w:rPr>
                <w:noProof/>
                <w:webHidden/>
              </w:rPr>
              <w:fldChar w:fldCharType="separate"/>
            </w:r>
            <w:r w:rsidR="00CC2AF9">
              <w:rPr>
                <w:noProof/>
                <w:webHidden/>
              </w:rPr>
              <w:t>5</w:t>
            </w:r>
            <w:r w:rsidR="00CC2AF9">
              <w:rPr>
                <w:noProof/>
                <w:webHidden/>
              </w:rPr>
              <w:fldChar w:fldCharType="end"/>
            </w:r>
          </w:hyperlink>
        </w:p>
        <w:p w14:paraId="3C7B1F6E" w14:textId="11D065FA" w:rsidR="00CC2AF9" w:rsidRDefault="00000000">
          <w:pPr>
            <w:pStyle w:val="TOC3"/>
            <w:tabs>
              <w:tab w:val="right" w:leader="dot" w:pos="9350"/>
            </w:tabs>
            <w:rPr>
              <w:rFonts w:asciiTheme="minorHAnsi" w:eastAsiaTheme="minorEastAsia" w:hAnsiTheme="minorHAnsi"/>
              <w:noProof/>
              <w:sz w:val="22"/>
              <w:lang w:eastAsia="en-GB"/>
            </w:rPr>
          </w:pPr>
          <w:hyperlink w:anchor="_Toc135349142" w:history="1">
            <w:r w:rsidR="00CC2AF9" w:rsidRPr="00F57BB6">
              <w:rPr>
                <w:rStyle w:val="Hyperlink"/>
                <w:noProof/>
              </w:rPr>
              <w:t>Marriot International &amp; Hilton Hotels.</w:t>
            </w:r>
            <w:r w:rsidR="00CC2AF9">
              <w:rPr>
                <w:noProof/>
                <w:webHidden/>
              </w:rPr>
              <w:tab/>
            </w:r>
            <w:r w:rsidR="00CC2AF9">
              <w:rPr>
                <w:noProof/>
                <w:webHidden/>
              </w:rPr>
              <w:fldChar w:fldCharType="begin"/>
            </w:r>
            <w:r w:rsidR="00CC2AF9">
              <w:rPr>
                <w:noProof/>
                <w:webHidden/>
              </w:rPr>
              <w:instrText xml:space="preserve"> PAGEREF _Toc135349142 \h </w:instrText>
            </w:r>
            <w:r w:rsidR="00CC2AF9">
              <w:rPr>
                <w:noProof/>
                <w:webHidden/>
              </w:rPr>
            </w:r>
            <w:r w:rsidR="00CC2AF9">
              <w:rPr>
                <w:noProof/>
                <w:webHidden/>
              </w:rPr>
              <w:fldChar w:fldCharType="separate"/>
            </w:r>
            <w:r w:rsidR="00CC2AF9">
              <w:rPr>
                <w:noProof/>
                <w:webHidden/>
              </w:rPr>
              <w:t>5</w:t>
            </w:r>
            <w:r w:rsidR="00CC2AF9">
              <w:rPr>
                <w:noProof/>
                <w:webHidden/>
              </w:rPr>
              <w:fldChar w:fldCharType="end"/>
            </w:r>
          </w:hyperlink>
        </w:p>
        <w:p w14:paraId="5A718D69" w14:textId="0CFF40D4" w:rsidR="00CC2AF9" w:rsidRDefault="00000000">
          <w:pPr>
            <w:pStyle w:val="TOC2"/>
            <w:tabs>
              <w:tab w:val="right" w:leader="dot" w:pos="9350"/>
            </w:tabs>
            <w:rPr>
              <w:rFonts w:asciiTheme="minorHAnsi" w:eastAsiaTheme="minorEastAsia" w:hAnsiTheme="minorHAnsi"/>
              <w:noProof/>
              <w:sz w:val="22"/>
              <w:lang w:eastAsia="en-GB"/>
            </w:rPr>
          </w:pPr>
          <w:hyperlink w:anchor="_Toc135349143" w:history="1">
            <w:r w:rsidR="00CC2AF9" w:rsidRPr="00F57BB6">
              <w:rPr>
                <w:rStyle w:val="Hyperlink"/>
                <w:noProof/>
              </w:rPr>
              <w:t>Revenue Comparison</w:t>
            </w:r>
            <w:r w:rsidR="00CC2AF9">
              <w:rPr>
                <w:noProof/>
                <w:webHidden/>
              </w:rPr>
              <w:tab/>
            </w:r>
            <w:r w:rsidR="00CC2AF9">
              <w:rPr>
                <w:noProof/>
                <w:webHidden/>
              </w:rPr>
              <w:fldChar w:fldCharType="begin"/>
            </w:r>
            <w:r w:rsidR="00CC2AF9">
              <w:rPr>
                <w:noProof/>
                <w:webHidden/>
              </w:rPr>
              <w:instrText xml:space="preserve"> PAGEREF _Toc135349143 \h </w:instrText>
            </w:r>
            <w:r w:rsidR="00CC2AF9">
              <w:rPr>
                <w:noProof/>
                <w:webHidden/>
              </w:rPr>
            </w:r>
            <w:r w:rsidR="00CC2AF9">
              <w:rPr>
                <w:noProof/>
                <w:webHidden/>
              </w:rPr>
              <w:fldChar w:fldCharType="separate"/>
            </w:r>
            <w:r w:rsidR="00CC2AF9">
              <w:rPr>
                <w:noProof/>
                <w:webHidden/>
              </w:rPr>
              <w:t>6</w:t>
            </w:r>
            <w:r w:rsidR="00CC2AF9">
              <w:rPr>
                <w:noProof/>
                <w:webHidden/>
              </w:rPr>
              <w:fldChar w:fldCharType="end"/>
            </w:r>
          </w:hyperlink>
        </w:p>
        <w:p w14:paraId="514AD5CD" w14:textId="3EF85D5A" w:rsidR="00CC2AF9" w:rsidRDefault="00000000">
          <w:pPr>
            <w:pStyle w:val="TOC2"/>
            <w:tabs>
              <w:tab w:val="right" w:leader="dot" w:pos="9350"/>
            </w:tabs>
            <w:rPr>
              <w:rFonts w:asciiTheme="minorHAnsi" w:eastAsiaTheme="minorEastAsia" w:hAnsiTheme="minorHAnsi"/>
              <w:noProof/>
              <w:sz w:val="22"/>
              <w:lang w:eastAsia="en-GB"/>
            </w:rPr>
          </w:pPr>
          <w:hyperlink w:anchor="_Toc135349144" w:history="1">
            <w:r w:rsidR="00CC2AF9" w:rsidRPr="00F57BB6">
              <w:rPr>
                <w:rStyle w:val="Hyperlink"/>
                <w:noProof/>
              </w:rPr>
              <w:t>Comparison of Market Position</w:t>
            </w:r>
            <w:r w:rsidR="00CC2AF9">
              <w:rPr>
                <w:noProof/>
                <w:webHidden/>
              </w:rPr>
              <w:tab/>
            </w:r>
            <w:r w:rsidR="00CC2AF9">
              <w:rPr>
                <w:noProof/>
                <w:webHidden/>
              </w:rPr>
              <w:fldChar w:fldCharType="begin"/>
            </w:r>
            <w:r w:rsidR="00CC2AF9">
              <w:rPr>
                <w:noProof/>
                <w:webHidden/>
              </w:rPr>
              <w:instrText xml:space="preserve"> PAGEREF _Toc135349144 \h </w:instrText>
            </w:r>
            <w:r w:rsidR="00CC2AF9">
              <w:rPr>
                <w:noProof/>
                <w:webHidden/>
              </w:rPr>
            </w:r>
            <w:r w:rsidR="00CC2AF9">
              <w:rPr>
                <w:noProof/>
                <w:webHidden/>
              </w:rPr>
              <w:fldChar w:fldCharType="separate"/>
            </w:r>
            <w:r w:rsidR="00CC2AF9">
              <w:rPr>
                <w:noProof/>
                <w:webHidden/>
              </w:rPr>
              <w:t>6</w:t>
            </w:r>
            <w:r w:rsidR="00CC2AF9">
              <w:rPr>
                <w:noProof/>
                <w:webHidden/>
              </w:rPr>
              <w:fldChar w:fldCharType="end"/>
            </w:r>
          </w:hyperlink>
        </w:p>
        <w:p w14:paraId="3EF8FF73" w14:textId="48745593" w:rsidR="00CC2AF9" w:rsidRDefault="00000000">
          <w:pPr>
            <w:pStyle w:val="TOC2"/>
            <w:tabs>
              <w:tab w:val="right" w:leader="dot" w:pos="9350"/>
            </w:tabs>
            <w:rPr>
              <w:rFonts w:asciiTheme="minorHAnsi" w:eastAsiaTheme="minorEastAsia" w:hAnsiTheme="minorHAnsi"/>
              <w:noProof/>
              <w:sz w:val="22"/>
              <w:lang w:eastAsia="en-GB"/>
            </w:rPr>
          </w:pPr>
          <w:hyperlink w:anchor="_Toc135349145" w:history="1">
            <w:r w:rsidR="00CC2AF9" w:rsidRPr="00F57BB6">
              <w:rPr>
                <w:rStyle w:val="Hyperlink"/>
                <w:noProof/>
              </w:rPr>
              <w:t>Financial Commitment to CSR Comparison of Marriott International and Hilton Hotels.</w:t>
            </w:r>
            <w:r w:rsidR="00CC2AF9">
              <w:rPr>
                <w:noProof/>
                <w:webHidden/>
              </w:rPr>
              <w:tab/>
            </w:r>
            <w:r w:rsidR="00CC2AF9">
              <w:rPr>
                <w:noProof/>
                <w:webHidden/>
              </w:rPr>
              <w:fldChar w:fldCharType="begin"/>
            </w:r>
            <w:r w:rsidR="00CC2AF9">
              <w:rPr>
                <w:noProof/>
                <w:webHidden/>
              </w:rPr>
              <w:instrText xml:space="preserve"> PAGEREF _Toc135349145 \h </w:instrText>
            </w:r>
            <w:r w:rsidR="00CC2AF9">
              <w:rPr>
                <w:noProof/>
                <w:webHidden/>
              </w:rPr>
            </w:r>
            <w:r w:rsidR="00CC2AF9">
              <w:rPr>
                <w:noProof/>
                <w:webHidden/>
              </w:rPr>
              <w:fldChar w:fldCharType="separate"/>
            </w:r>
            <w:r w:rsidR="00CC2AF9">
              <w:rPr>
                <w:noProof/>
                <w:webHidden/>
              </w:rPr>
              <w:t>8</w:t>
            </w:r>
            <w:r w:rsidR="00CC2AF9">
              <w:rPr>
                <w:noProof/>
                <w:webHidden/>
              </w:rPr>
              <w:fldChar w:fldCharType="end"/>
            </w:r>
          </w:hyperlink>
        </w:p>
        <w:p w14:paraId="716CC0C8" w14:textId="3FCCF53A" w:rsidR="00CC2AF9" w:rsidRDefault="00000000">
          <w:pPr>
            <w:pStyle w:val="TOC1"/>
            <w:tabs>
              <w:tab w:val="right" w:leader="dot" w:pos="9350"/>
            </w:tabs>
            <w:rPr>
              <w:rFonts w:asciiTheme="minorHAnsi" w:eastAsiaTheme="minorEastAsia" w:hAnsiTheme="minorHAnsi"/>
              <w:noProof/>
              <w:sz w:val="22"/>
              <w:lang w:eastAsia="en-GB"/>
            </w:rPr>
          </w:pPr>
          <w:hyperlink w:anchor="_Toc135349146" w:history="1">
            <w:r w:rsidR="00CC2AF9" w:rsidRPr="00F57BB6">
              <w:rPr>
                <w:rStyle w:val="Hyperlink"/>
                <w:noProof/>
              </w:rPr>
              <w:t>Recommendations</w:t>
            </w:r>
            <w:r w:rsidR="00CC2AF9">
              <w:rPr>
                <w:noProof/>
                <w:webHidden/>
              </w:rPr>
              <w:tab/>
            </w:r>
            <w:r w:rsidR="00CC2AF9">
              <w:rPr>
                <w:noProof/>
                <w:webHidden/>
              </w:rPr>
              <w:fldChar w:fldCharType="begin"/>
            </w:r>
            <w:r w:rsidR="00CC2AF9">
              <w:rPr>
                <w:noProof/>
                <w:webHidden/>
              </w:rPr>
              <w:instrText xml:space="preserve"> PAGEREF _Toc135349146 \h </w:instrText>
            </w:r>
            <w:r w:rsidR="00CC2AF9">
              <w:rPr>
                <w:noProof/>
                <w:webHidden/>
              </w:rPr>
            </w:r>
            <w:r w:rsidR="00CC2AF9">
              <w:rPr>
                <w:noProof/>
                <w:webHidden/>
              </w:rPr>
              <w:fldChar w:fldCharType="separate"/>
            </w:r>
            <w:r w:rsidR="00CC2AF9">
              <w:rPr>
                <w:noProof/>
                <w:webHidden/>
              </w:rPr>
              <w:t>9</w:t>
            </w:r>
            <w:r w:rsidR="00CC2AF9">
              <w:rPr>
                <w:noProof/>
                <w:webHidden/>
              </w:rPr>
              <w:fldChar w:fldCharType="end"/>
            </w:r>
          </w:hyperlink>
        </w:p>
        <w:p w14:paraId="742CA8F9" w14:textId="5FF194AF" w:rsidR="00CC2AF9" w:rsidRDefault="00000000">
          <w:pPr>
            <w:pStyle w:val="TOC1"/>
            <w:tabs>
              <w:tab w:val="right" w:leader="dot" w:pos="9350"/>
            </w:tabs>
            <w:rPr>
              <w:rFonts w:asciiTheme="minorHAnsi" w:eastAsiaTheme="minorEastAsia" w:hAnsiTheme="minorHAnsi"/>
              <w:noProof/>
              <w:sz w:val="22"/>
              <w:lang w:eastAsia="en-GB"/>
            </w:rPr>
          </w:pPr>
          <w:hyperlink w:anchor="_Toc135349147" w:history="1">
            <w:r w:rsidR="00CC2AF9" w:rsidRPr="00F57BB6">
              <w:rPr>
                <w:rStyle w:val="Hyperlink"/>
                <w:noProof/>
              </w:rPr>
              <w:t>Conclusion</w:t>
            </w:r>
            <w:r w:rsidR="00CC2AF9">
              <w:rPr>
                <w:noProof/>
                <w:webHidden/>
              </w:rPr>
              <w:tab/>
            </w:r>
            <w:r w:rsidR="00CC2AF9">
              <w:rPr>
                <w:noProof/>
                <w:webHidden/>
              </w:rPr>
              <w:fldChar w:fldCharType="begin"/>
            </w:r>
            <w:r w:rsidR="00CC2AF9">
              <w:rPr>
                <w:noProof/>
                <w:webHidden/>
              </w:rPr>
              <w:instrText xml:space="preserve"> PAGEREF _Toc135349147 \h </w:instrText>
            </w:r>
            <w:r w:rsidR="00CC2AF9">
              <w:rPr>
                <w:noProof/>
                <w:webHidden/>
              </w:rPr>
            </w:r>
            <w:r w:rsidR="00CC2AF9">
              <w:rPr>
                <w:noProof/>
                <w:webHidden/>
              </w:rPr>
              <w:fldChar w:fldCharType="separate"/>
            </w:r>
            <w:r w:rsidR="00CC2AF9">
              <w:rPr>
                <w:noProof/>
                <w:webHidden/>
              </w:rPr>
              <w:t>11</w:t>
            </w:r>
            <w:r w:rsidR="00CC2AF9">
              <w:rPr>
                <w:noProof/>
                <w:webHidden/>
              </w:rPr>
              <w:fldChar w:fldCharType="end"/>
            </w:r>
          </w:hyperlink>
        </w:p>
        <w:p w14:paraId="705B3D15" w14:textId="7147356D" w:rsidR="00CC2AF9" w:rsidRDefault="00000000">
          <w:pPr>
            <w:pStyle w:val="TOC1"/>
            <w:tabs>
              <w:tab w:val="right" w:leader="dot" w:pos="9350"/>
            </w:tabs>
            <w:rPr>
              <w:rFonts w:asciiTheme="minorHAnsi" w:eastAsiaTheme="minorEastAsia" w:hAnsiTheme="minorHAnsi"/>
              <w:noProof/>
              <w:sz w:val="22"/>
              <w:lang w:eastAsia="en-GB"/>
            </w:rPr>
          </w:pPr>
          <w:hyperlink w:anchor="_Toc135349148" w:history="1">
            <w:r w:rsidR="00CC2AF9" w:rsidRPr="00F57BB6">
              <w:rPr>
                <w:rStyle w:val="Hyperlink"/>
                <w:noProof/>
              </w:rPr>
              <w:t>References</w:t>
            </w:r>
            <w:r w:rsidR="00CC2AF9">
              <w:rPr>
                <w:noProof/>
                <w:webHidden/>
              </w:rPr>
              <w:tab/>
            </w:r>
            <w:r w:rsidR="00CC2AF9">
              <w:rPr>
                <w:noProof/>
                <w:webHidden/>
              </w:rPr>
              <w:fldChar w:fldCharType="begin"/>
            </w:r>
            <w:r w:rsidR="00CC2AF9">
              <w:rPr>
                <w:noProof/>
                <w:webHidden/>
              </w:rPr>
              <w:instrText xml:space="preserve"> PAGEREF _Toc135349148 \h </w:instrText>
            </w:r>
            <w:r w:rsidR="00CC2AF9">
              <w:rPr>
                <w:noProof/>
                <w:webHidden/>
              </w:rPr>
            </w:r>
            <w:r w:rsidR="00CC2AF9">
              <w:rPr>
                <w:noProof/>
                <w:webHidden/>
              </w:rPr>
              <w:fldChar w:fldCharType="separate"/>
            </w:r>
            <w:r w:rsidR="00CC2AF9">
              <w:rPr>
                <w:noProof/>
                <w:webHidden/>
              </w:rPr>
              <w:t>12</w:t>
            </w:r>
            <w:r w:rsidR="00CC2AF9">
              <w:rPr>
                <w:noProof/>
                <w:webHidden/>
              </w:rPr>
              <w:fldChar w:fldCharType="end"/>
            </w:r>
          </w:hyperlink>
        </w:p>
        <w:p w14:paraId="77434CBB" w14:textId="581BB5F5" w:rsidR="00CC2AF9" w:rsidRDefault="00000000">
          <w:pPr>
            <w:pStyle w:val="TOC1"/>
            <w:tabs>
              <w:tab w:val="right" w:leader="dot" w:pos="9350"/>
            </w:tabs>
            <w:rPr>
              <w:rFonts w:asciiTheme="minorHAnsi" w:eastAsiaTheme="minorEastAsia" w:hAnsiTheme="minorHAnsi"/>
              <w:noProof/>
              <w:sz w:val="22"/>
              <w:lang w:eastAsia="en-GB"/>
            </w:rPr>
          </w:pPr>
          <w:hyperlink w:anchor="_Toc135349149" w:history="1">
            <w:r w:rsidR="00CC2AF9" w:rsidRPr="00F57BB6">
              <w:rPr>
                <w:rStyle w:val="Hyperlink"/>
                <w:noProof/>
              </w:rPr>
              <w:t>Appendix</w:t>
            </w:r>
            <w:r w:rsidR="00CC2AF9">
              <w:rPr>
                <w:noProof/>
                <w:webHidden/>
              </w:rPr>
              <w:tab/>
            </w:r>
            <w:r w:rsidR="00CC2AF9">
              <w:rPr>
                <w:noProof/>
                <w:webHidden/>
              </w:rPr>
              <w:fldChar w:fldCharType="begin"/>
            </w:r>
            <w:r w:rsidR="00CC2AF9">
              <w:rPr>
                <w:noProof/>
                <w:webHidden/>
              </w:rPr>
              <w:instrText xml:space="preserve"> PAGEREF _Toc135349149 \h </w:instrText>
            </w:r>
            <w:r w:rsidR="00CC2AF9">
              <w:rPr>
                <w:noProof/>
                <w:webHidden/>
              </w:rPr>
            </w:r>
            <w:r w:rsidR="00CC2AF9">
              <w:rPr>
                <w:noProof/>
                <w:webHidden/>
              </w:rPr>
              <w:fldChar w:fldCharType="separate"/>
            </w:r>
            <w:r w:rsidR="00CC2AF9">
              <w:rPr>
                <w:noProof/>
                <w:webHidden/>
              </w:rPr>
              <w:t>14</w:t>
            </w:r>
            <w:r w:rsidR="00CC2AF9">
              <w:rPr>
                <w:noProof/>
                <w:webHidden/>
              </w:rPr>
              <w:fldChar w:fldCharType="end"/>
            </w:r>
          </w:hyperlink>
        </w:p>
        <w:p w14:paraId="6BE396BF" w14:textId="5AC33169" w:rsidR="00CC2AF9" w:rsidRDefault="00000000">
          <w:pPr>
            <w:pStyle w:val="TOC2"/>
            <w:tabs>
              <w:tab w:val="right" w:leader="dot" w:pos="9350"/>
            </w:tabs>
            <w:rPr>
              <w:rFonts w:asciiTheme="minorHAnsi" w:eastAsiaTheme="minorEastAsia" w:hAnsiTheme="minorHAnsi"/>
              <w:noProof/>
              <w:sz w:val="22"/>
              <w:lang w:eastAsia="en-GB"/>
            </w:rPr>
          </w:pPr>
          <w:hyperlink w:anchor="_Toc135349150" w:history="1">
            <w:r w:rsidR="00CC2AF9" w:rsidRPr="00F57BB6">
              <w:rPr>
                <w:rStyle w:val="Hyperlink"/>
                <w:noProof/>
              </w:rPr>
              <w:t>Chat-01: Revenue Comparison</w:t>
            </w:r>
            <w:r w:rsidR="00CC2AF9">
              <w:rPr>
                <w:noProof/>
                <w:webHidden/>
              </w:rPr>
              <w:tab/>
            </w:r>
            <w:r w:rsidR="00CC2AF9">
              <w:rPr>
                <w:noProof/>
                <w:webHidden/>
              </w:rPr>
              <w:fldChar w:fldCharType="begin"/>
            </w:r>
            <w:r w:rsidR="00CC2AF9">
              <w:rPr>
                <w:noProof/>
                <w:webHidden/>
              </w:rPr>
              <w:instrText xml:space="preserve"> PAGEREF _Toc135349150 \h </w:instrText>
            </w:r>
            <w:r w:rsidR="00CC2AF9">
              <w:rPr>
                <w:noProof/>
                <w:webHidden/>
              </w:rPr>
            </w:r>
            <w:r w:rsidR="00CC2AF9">
              <w:rPr>
                <w:noProof/>
                <w:webHidden/>
              </w:rPr>
              <w:fldChar w:fldCharType="separate"/>
            </w:r>
            <w:r w:rsidR="00CC2AF9">
              <w:rPr>
                <w:noProof/>
                <w:webHidden/>
              </w:rPr>
              <w:t>14</w:t>
            </w:r>
            <w:r w:rsidR="00CC2AF9">
              <w:rPr>
                <w:noProof/>
                <w:webHidden/>
              </w:rPr>
              <w:fldChar w:fldCharType="end"/>
            </w:r>
          </w:hyperlink>
        </w:p>
        <w:p w14:paraId="151AFE1F" w14:textId="1430B486" w:rsidR="00CC2AF9" w:rsidRDefault="00000000">
          <w:pPr>
            <w:pStyle w:val="TOC2"/>
            <w:tabs>
              <w:tab w:val="right" w:leader="dot" w:pos="9350"/>
            </w:tabs>
            <w:rPr>
              <w:rFonts w:asciiTheme="minorHAnsi" w:eastAsiaTheme="minorEastAsia" w:hAnsiTheme="minorHAnsi"/>
              <w:noProof/>
              <w:sz w:val="22"/>
              <w:lang w:eastAsia="en-GB"/>
            </w:rPr>
          </w:pPr>
          <w:hyperlink w:anchor="_Toc135349151" w:history="1">
            <w:r w:rsidR="00CC2AF9" w:rsidRPr="00F57BB6">
              <w:rPr>
                <w:rStyle w:val="Hyperlink"/>
                <w:noProof/>
              </w:rPr>
              <w:t>Chart-02: CSR Comparison</w:t>
            </w:r>
            <w:r w:rsidR="00CC2AF9">
              <w:rPr>
                <w:noProof/>
                <w:webHidden/>
              </w:rPr>
              <w:tab/>
            </w:r>
            <w:r w:rsidR="00CC2AF9">
              <w:rPr>
                <w:noProof/>
                <w:webHidden/>
              </w:rPr>
              <w:fldChar w:fldCharType="begin"/>
            </w:r>
            <w:r w:rsidR="00CC2AF9">
              <w:rPr>
                <w:noProof/>
                <w:webHidden/>
              </w:rPr>
              <w:instrText xml:space="preserve"> PAGEREF _Toc135349151 \h </w:instrText>
            </w:r>
            <w:r w:rsidR="00CC2AF9">
              <w:rPr>
                <w:noProof/>
                <w:webHidden/>
              </w:rPr>
            </w:r>
            <w:r w:rsidR="00CC2AF9">
              <w:rPr>
                <w:noProof/>
                <w:webHidden/>
              </w:rPr>
              <w:fldChar w:fldCharType="separate"/>
            </w:r>
            <w:r w:rsidR="00CC2AF9">
              <w:rPr>
                <w:noProof/>
                <w:webHidden/>
              </w:rPr>
              <w:t>14</w:t>
            </w:r>
            <w:r w:rsidR="00CC2AF9">
              <w:rPr>
                <w:noProof/>
                <w:webHidden/>
              </w:rPr>
              <w:fldChar w:fldCharType="end"/>
            </w:r>
          </w:hyperlink>
        </w:p>
        <w:p w14:paraId="35223618" w14:textId="4793B1EB" w:rsidR="00E2132A" w:rsidRDefault="002E06C1">
          <w:r>
            <w:rPr>
              <w:b/>
              <w:bCs/>
              <w:noProof/>
              <w:lang w:val="en-US"/>
            </w:rPr>
            <w:fldChar w:fldCharType="end"/>
          </w:r>
        </w:p>
      </w:sdtContent>
    </w:sdt>
    <w:p w14:paraId="1FBBAF6A" w14:textId="1BA815BD" w:rsidR="00E2132A" w:rsidRDefault="00E2132A">
      <w:pPr>
        <w:spacing w:line="259" w:lineRule="auto"/>
        <w:jc w:val="left"/>
      </w:pPr>
      <w:r>
        <w:br w:type="page"/>
      </w:r>
    </w:p>
    <w:p w14:paraId="1A56B18E" w14:textId="0E488DB0" w:rsidR="00FD2635" w:rsidRDefault="00E2132A" w:rsidP="00E2132A">
      <w:pPr>
        <w:pStyle w:val="Heading1"/>
      </w:pPr>
      <w:bookmarkStart w:id="1" w:name="_Toc135349139"/>
      <w:r>
        <w:lastRenderedPageBreak/>
        <w:t>Introduction</w:t>
      </w:r>
      <w:bookmarkEnd w:id="1"/>
    </w:p>
    <w:p w14:paraId="10703FAE" w14:textId="591F5197" w:rsidR="002E6B1B" w:rsidRDefault="00C06AAC" w:rsidP="00E2132A">
      <w:r w:rsidRPr="00C06AAC">
        <w:t>Every company relies on sound financial management, and the hospitality sector is no different. Efficient deployment of resources, maximum profitability, and sustained development are all results of sound financial management. In this study,</w:t>
      </w:r>
      <w:r w:rsidR="002E11FC">
        <w:t xml:space="preserve"> the financial success of two well-known hotels named- Marriot &amp; Hilton will be analysed.</w:t>
      </w:r>
      <w:r w:rsidRPr="00C06AAC">
        <w:t xml:space="preserve"> </w:t>
      </w:r>
      <w:r w:rsidR="00233CBD">
        <w:t>It</w:t>
      </w:r>
      <w:r w:rsidRPr="00C06AAC">
        <w:t xml:space="preserve">'ll focus on how much money they make, how they place themselves in the market, and what they do for corporate social responsibility (CSR). The influence of Marriott and Hilton's respective financial management practices on the firms' overall success may be better understood by comparing the two. The revenue study will compare and contrast the two hotel chains by looking at their pricing structures, revenue growth rates, and other financial metrics. The market shares, customer bases, brand positions, and competitive advantages of Marriott and Hilton will be compared. Finally, </w:t>
      </w:r>
      <w:r w:rsidR="00233CBD">
        <w:t>A critical comparison on</w:t>
      </w:r>
      <w:r w:rsidRPr="00C06AAC">
        <w:t xml:space="preserve"> how each company is doing in terms of CSR (corporate social responsibility), which includes things like sustainable practices, community participation, and social duty</w:t>
      </w:r>
      <w:r w:rsidR="00233CBD">
        <w:t xml:space="preserve"> will be demonstrated</w:t>
      </w:r>
      <w:r w:rsidRPr="00C06AAC">
        <w:t>. This paper explores hotel financial management techniques and how Marriott and Hilton vary in revenue generating, market positioning, and CSR. The results will provide useful information for decision makers and stakeholders in the industry.</w:t>
      </w:r>
    </w:p>
    <w:p w14:paraId="0A343D92" w14:textId="77777777" w:rsidR="002E6B1B" w:rsidRDefault="002E6B1B">
      <w:pPr>
        <w:spacing w:line="259" w:lineRule="auto"/>
        <w:jc w:val="left"/>
      </w:pPr>
      <w:r>
        <w:br w:type="page"/>
      </w:r>
    </w:p>
    <w:p w14:paraId="3DB39A23" w14:textId="5717C0A6" w:rsidR="00B34916" w:rsidRDefault="00B34916" w:rsidP="002E6B1B">
      <w:pPr>
        <w:pStyle w:val="Heading1"/>
      </w:pPr>
      <w:bookmarkStart w:id="2" w:name="_Toc135349140"/>
      <w:r>
        <w:lastRenderedPageBreak/>
        <w:t>Comparison in Financial Aspects.</w:t>
      </w:r>
      <w:bookmarkEnd w:id="2"/>
    </w:p>
    <w:p w14:paraId="5E96E934" w14:textId="475FB51B" w:rsidR="00E2132A" w:rsidRDefault="002E6B1B" w:rsidP="00B34916">
      <w:pPr>
        <w:pStyle w:val="Heading2"/>
      </w:pPr>
      <w:bookmarkStart w:id="3" w:name="_Toc135349141"/>
      <w:r>
        <w:t>Organizational Overview</w:t>
      </w:r>
      <w:bookmarkEnd w:id="3"/>
    </w:p>
    <w:p w14:paraId="2363B478" w14:textId="6DFDAC80" w:rsidR="002E6B1B" w:rsidRDefault="002E6B1B" w:rsidP="00B34916">
      <w:pPr>
        <w:pStyle w:val="Heading3"/>
      </w:pPr>
      <w:bookmarkStart w:id="4" w:name="_Toc135349142"/>
      <w:r>
        <w:t>Marriot International &amp; Hilton Hotels.</w:t>
      </w:r>
      <w:bookmarkEnd w:id="4"/>
    </w:p>
    <w:p w14:paraId="17EFC6E6" w14:textId="78589E91" w:rsidR="007E3912" w:rsidRDefault="007E3912" w:rsidP="007E3912">
      <w:r>
        <w:t>Two of the most well-known and significant hospitality organizations in the world, Marriott International and Hilton Hotels, rule the globe hotel market with their broad portfolios of brands and first-rate service offerings. Both businesses have carved up a dominant position in their respective industries by successfully meeting the needs of a wide spectrum of customers and wowing them with unique, exceptional service. Established in 1927, Marriott International now manages over 5,600 properties in over 130 countries. The company's 30 different hotel brands include Marriott, Sheraton, Ritz-Carlton, and JW Marriott, providing guests with a broad range of alternatives</w:t>
      </w:r>
      <w:r w:rsidR="00EA12F9">
        <w:t xml:space="preserve"> (Marriott International, 2023)</w:t>
      </w:r>
      <w:r>
        <w:t>. Marriott has built a solid name and dedicated clientele because to its dedication to service excellence, technological advancement, and environmental responsibility.</w:t>
      </w:r>
    </w:p>
    <w:p w14:paraId="5566110D" w14:textId="30A234B3" w:rsidR="007E3912" w:rsidRDefault="007E3912" w:rsidP="007E3912">
      <w:r>
        <w:t>Another major hotel chain with a long history of providing warm hospitality is Hilton Hotels, which opened in 1919. Hilton has nearly 6,500 locations in 119 countries under the Hilton, DoubleTree, Embassy Suites, and Waldorf Astoria brands. The organization has risen to the top of its field because to its commitment to providing memorable experiences tailored to each individual customer</w:t>
      </w:r>
      <w:r w:rsidR="00120834">
        <w:t xml:space="preserve"> (Cullen, Parboteeah, &amp; Hoegl, 2017)</w:t>
      </w:r>
      <w:r>
        <w:t>. Hilton Hotels and Marriott International focus on customer service to ensure a pleasant visit. In order to provide superior service to their customers, they spend money on cutting-edge technology and novel approaches to old problems</w:t>
      </w:r>
      <w:r w:rsidR="008A268A">
        <w:t xml:space="preserve"> (Wang, 2019)</w:t>
      </w:r>
      <w:r>
        <w:t>. In addition, both organizations place an emphasis on environmental responsibility and take part in a variety of sustainability-focused programs</w:t>
      </w:r>
      <w:r w:rsidR="00120834">
        <w:t xml:space="preserve"> (DeFranco, &amp; Lattin, 2017)</w:t>
      </w:r>
      <w:r>
        <w:t>. Hilton Hotels and Marriott International have shown significant growth and resiliency in terms of their financial performance and market presence. Their ability to capture a sizable portion of the worldwide hospitality business may be attributed to their relentless pursuit of new markets, strategic alliances, and efficient revenue management procedures.</w:t>
      </w:r>
    </w:p>
    <w:p w14:paraId="37CFA66F" w14:textId="08D44061" w:rsidR="002E6B1B" w:rsidRDefault="007E3912" w:rsidP="007E3912">
      <w:r>
        <w:t xml:space="preserve">Even though each company has its own name and services, Marriott International and Hilton Hotels both want to give their guests the best service and kindness possible. Their dedication to quality, creativity, and environmental responsibility keeps them in the front of the hospitality </w:t>
      </w:r>
      <w:r>
        <w:lastRenderedPageBreak/>
        <w:t>industry and inspires others to follow suit</w:t>
      </w:r>
      <w:r w:rsidR="007C5D09">
        <w:t xml:space="preserve"> (Brigham, &amp; Ehrhardt, 2017)</w:t>
      </w:r>
      <w:r>
        <w:t>. Both Marriott International and Hilton Hotels are household names across the world because to their enormous hotel chains, excellent service, and eco-friendly practices, which have transformed the hospitality sector. Their prominence and continuous success in the industry make them standards by which others are measured.</w:t>
      </w:r>
    </w:p>
    <w:p w14:paraId="77C36860" w14:textId="1C172840" w:rsidR="007E3912" w:rsidRDefault="00357735" w:rsidP="00357735">
      <w:pPr>
        <w:pStyle w:val="Heading2"/>
      </w:pPr>
      <w:bookmarkStart w:id="5" w:name="_Toc135349143"/>
      <w:r>
        <w:t>Revenue Comparison</w:t>
      </w:r>
      <w:bookmarkEnd w:id="5"/>
    </w:p>
    <w:p w14:paraId="0DF07C5C" w14:textId="15FCF285" w:rsidR="00C825AE" w:rsidRDefault="00C825AE" w:rsidP="00C825AE">
      <w:r>
        <w:t>Two of the biggest hotel chains in the world, Marriott International and Hilton Hotels, both have a wide array of brands and operate in a number of different locations.</w:t>
      </w:r>
      <w:r w:rsidR="00233CBD">
        <w:t xml:space="preserve"> Readers</w:t>
      </w:r>
      <w:r>
        <w:t xml:space="preserve"> may obtain a sense of how they are doing by comparing their revenue in 2022, 2021, and 2020. According to their annual reports, Marriott International brought in $13.4 billion in income in 2022, while Hilton Hotels recorded $12.2 billion</w:t>
      </w:r>
      <w:r w:rsidR="008A268A">
        <w:t xml:space="preserve"> (Wang, 2019)</w:t>
      </w:r>
      <w:r>
        <w:t>. While Hilton reported $8.9 billion in sales in 2021, Marriott reported $10.6 billion. Total revenue for Marriott in 2020 was $10.5 billion, whereas revenue for Hilton was just $4.3 billion due to the effect of the COVID-19 epidemic</w:t>
      </w:r>
      <w:r w:rsidR="00EA12F9">
        <w:t xml:space="preserve"> (Marriott International, 2023)</w:t>
      </w:r>
      <w:r>
        <w:t>.</w:t>
      </w:r>
    </w:p>
    <w:p w14:paraId="1C565AF3" w14:textId="640634F4" w:rsidR="00C825AE" w:rsidRDefault="00C825AE" w:rsidP="00C825AE">
      <w:r>
        <w:t>Let's also look at their sales statistics from 2019 to get a fuller picture of how these two businesses have performed throughout the years. In 2019, overall revenue for Marriott International was $20.9 billion, while total revenue for Hilton Hotels was $9.5 billion</w:t>
      </w:r>
      <w:r w:rsidR="00120834">
        <w:t xml:space="preserve"> (Dornbusch, Fischer, &amp; Startz, 2018)</w:t>
      </w:r>
      <w:r>
        <w:t>. According to the financials, Marriott International has been raking in more money than Hilton Hotels as of late, to the tune of over a billion dollars more in 2022</w:t>
      </w:r>
      <w:r w:rsidR="007C5D09">
        <w:t xml:space="preserve"> (Brooks, 2018)</w:t>
      </w:r>
      <w:r>
        <w:t xml:space="preserve">. The 2020 and 2021 revenue figures reflect the substantial effect the COVID-19 epidemic had on the hotel business. It will be fascinating to see the progress of these two hotel behemoths as the industry continues to recover over the next several years. </w:t>
      </w:r>
    </w:p>
    <w:p w14:paraId="6B9CE0C8" w14:textId="0DD2D009" w:rsidR="008C75B4" w:rsidRPr="008C75B4" w:rsidRDefault="008C75B4" w:rsidP="00C825AE">
      <w:pPr>
        <w:rPr>
          <w:b/>
          <w:bCs/>
        </w:rPr>
      </w:pPr>
      <w:r w:rsidRPr="008C75B4">
        <w:rPr>
          <w:b/>
          <w:bCs/>
        </w:rPr>
        <w:t>The revenue data is shown in the Graph</w:t>
      </w:r>
      <w:r w:rsidR="00D45866">
        <w:rPr>
          <w:b/>
          <w:bCs/>
        </w:rPr>
        <w:t>, which is attached in the Appendix List-01.</w:t>
      </w:r>
    </w:p>
    <w:p w14:paraId="3F6FE742" w14:textId="479E5D87" w:rsidR="00357735" w:rsidRDefault="00357735" w:rsidP="00004EBB">
      <w:pPr>
        <w:jc w:val="center"/>
      </w:pPr>
    </w:p>
    <w:p w14:paraId="604AAB41" w14:textId="1E547152" w:rsidR="007A5A90" w:rsidRDefault="007A5A90" w:rsidP="007A5A90">
      <w:pPr>
        <w:pStyle w:val="Heading2"/>
      </w:pPr>
      <w:bookmarkStart w:id="6" w:name="_Toc135349144"/>
      <w:r>
        <w:t>Comparison of Market Position</w:t>
      </w:r>
      <w:bookmarkEnd w:id="6"/>
    </w:p>
    <w:p w14:paraId="707BC4C3" w14:textId="77777777" w:rsidR="007A5A90" w:rsidRDefault="007A5A90" w:rsidP="007A5A90">
      <w:r>
        <w:t xml:space="preserve">The worldwide hospitality business is dominated by a number of large companies, including Marriott International and Hilton Hotel, which are two of the most prominent names. Both brands are synonymous with luxury accommodations, and they have been in a constant battle for market </w:t>
      </w:r>
      <w:r>
        <w:lastRenderedPageBreak/>
        <w:t>dominance for decades. There are some fascinating patterns apparent in a 2022 market comparison of these two titans.</w:t>
      </w:r>
    </w:p>
    <w:p w14:paraId="299C9DAD" w14:textId="2503294C" w:rsidR="007A5A90" w:rsidRDefault="007A5A90" w:rsidP="007A5A90">
      <w:r>
        <w:t>When comparing their market caps in 2022, Marriott International's $50.8 bn is much more than Hilton's $32.9 bn. In 2021, Marriott's revenue was $10.6 billion, whereas Hilton's was just $4.4 billion. Hilton, however, outpaced Marriott in terms of revenue growth, with an increase of 52% compared to 37% for Marriott</w:t>
      </w:r>
      <w:r w:rsidR="00EA12F9">
        <w:t xml:space="preserve"> (Hilton Hotels, 2022)</w:t>
      </w:r>
      <w:r>
        <w:t>.</w:t>
      </w:r>
    </w:p>
    <w:p w14:paraId="28000A6E" w14:textId="6BFDCA00" w:rsidR="007A5A90" w:rsidRDefault="007A5A90" w:rsidP="007A5A90">
      <w:r>
        <w:t>Compared to Hilton's little over 6,000 hotels in 119 different countries, Marriott's portfolio of over 7,600 hotels in 133 different countries is much greater</w:t>
      </w:r>
      <w:r w:rsidR="00EA12F9">
        <w:t xml:space="preserve"> (Marriott International, 2023)</w:t>
      </w:r>
      <w:r>
        <w:t>. Hilton, on the other hand, has been growing at a quick clip, increasing its property count by 10% since 2020, while Marriott has only increased its portfolio by 3% during same time.</w:t>
      </w:r>
    </w:p>
    <w:p w14:paraId="288C1129" w14:textId="4BD02FF8" w:rsidR="007A5A90" w:rsidRDefault="007A5A90" w:rsidP="007A5A90">
      <w:r>
        <w:t>When comparing Marriott and Hilton, it is clear that both are household brands in the hospitality business. St. Regis, Ritz-Carlton, Courtyard, and Fairfield are some of Marriott's more upscale brands, although the company also offers more economy and midrange options</w:t>
      </w:r>
      <w:r w:rsidR="00120834">
        <w:t xml:space="preserve"> (Elsworth, &amp; Hilton, 2021)</w:t>
      </w:r>
      <w:r>
        <w:t>. Hilton's brands span from upscale options like the Waldorf Astoria and Conrad to more affordable options like the Hilton Garden Inn and Hampton.</w:t>
      </w:r>
      <w:r w:rsidR="00120834">
        <w:t xml:space="preserve"> </w:t>
      </w:r>
      <w:r>
        <w:t>Despite Marriott International's greater size and larger number of hotels in its portfolio, Hilton Hotel's revenue growth rate is better due to the company's recent expansion. Both firms have widespread recognition for their respective brands, and it will be fascinating to see how their rivalry develops in the years to come.</w:t>
      </w:r>
    </w:p>
    <w:p w14:paraId="60714C6E" w14:textId="45942A69" w:rsidR="007A5A90" w:rsidRDefault="00DE09D7" w:rsidP="007A5A90">
      <w:pPr>
        <w:rPr>
          <w:rFonts w:eastAsiaTheme="majorEastAsia" w:cstheme="majorBidi"/>
          <w:b/>
          <w:color w:val="2E74B5" w:themeColor="accent5" w:themeShade="BF"/>
          <w:sz w:val="32"/>
          <w:szCs w:val="26"/>
        </w:rPr>
      </w:pPr>
      <w:r w:rsidRPr="00DE09D7">
        <w:rPr>
          <w:rFonts w:eastAsiaTheme="majorEastAsia" w:cstheme="majorBidi"/>
          <w:b/>
          <w:color w:val="2E74B5" w:themeColor="accent5" w:themeShade="BF"/>
          <w:sz w:val="32"/>
          <w:szCs w:val="26"/>
        </w:rPr>
        <w:t>Growth Potential Comparison: Marriott International vs. Hilton Hotels</w:t>
      </w:r>
      <w:r>
        <w:rPr>
          <w:rFonts w:eastAsiaTheme="majorEastAsia" w:cstheme="majorBidi"/>
          <w:b/>
          <w:color w:val="2E74B5" w:themeColor="accent5" w:themeShade="BF"/>
          <w:sz w:val="32"/>
          <w:szCs w:val="26"/>
        </w:rPr>
        <w:t>.</w:t>
      </w:r>
    </w:p>
    <w:p w14:paraId="31CFA2D5" w14:textId="011D4912" w:rsidR="002D0129" w:rsidRDefault="002D0129" w:rsidP="002D0129">
      <w:r>
        <w:t>Marriott International and Hilton Hotels are two of the most well-known and respected names in the hotel business worldwide. Over the years, both businesses have grown tremendously thanks to the power of their respective brands and well-thought-out strategies for further development. Let's analyze their respective rates of growth utilizing both current and historical information. The company's revenue growth has been constant throughout the years. There was a 34% rise in revenue to $13.37 billion in 2022 over the previous year</w:t>
      </w:r>
      <w:r w:rsidR="00F617D9">
        <w:t xml:space="preserve"> (Iwamoto, &amp; Wang, 2018)</w:t>
      </w:r>
      <w:r>
        <w:t>. Their worldwide presence and diversified brand portfolio are two major contributors to their rapid expansion. Marriott International has also been aggressive in seizing market possibilities via strategic acquisitions, which has allowed them to increase their footprint in important areas.</w:t>
      </w:r>
    </w:p>
    <w:p w14:paraId="072B5882" w14:textId="3C60E3A1" w:rsidR="002D0129" w:rsidRDefault="002D0129" w:rsidP="002D0129">
      <w:r>
        <w:lastRenderedPageBreak/>
        <w:t>On the other side, Hilton Hotels has shown impressive expansion potential. Their overall income in 2022 was $12.97 billion, up a whopping 28% from the previous year. Brand loyalty, unique experiences for guests, and smart collaborations have all played key roles in the company's rapid expansion</w:t>
      </w:r>
      <w:r w:rsidR="00120834">
        <w:t xml:space="preserve"> (Gitman, &amp; Zutter, 2018)</w:t>
      </w:r>
      <w:r>
        <w:t>. The expansion of Hilton Hotels' footprint in developing regions, notably in Asia, where the company has seen tremendous development, has been a primary emphasis for the company in recent years. Both establishments have placed an emphasis on digital transformation and technical developments to better serve their customers</w:t>
      </w:r>
      <w:r w:rsidR="008A268A">
        <w:t xml:space="preserve"> (Petty et al., 2017)</w:t>
      </w:r>
      <w:r>
        <w:t>. They have put money into smart room technology, as well as mobile applications and individualized loyalty programs, to better meet the needs of their customers and increase productivity.</w:t>
      </w:r>
    </w:p>
    <w:p w14:paraId="0733877A" w14:textId="26546056" w:rsidR="002D0129" w:rsidRDefault="002D0129" w:rsidP="002D0129">
      <w:r>
        <w:t>In terms of long-term expansion, both Marriott International and Hilton Hotels are well up to benefit from the global tourist industry's recovery after the 2009 pandemic. The relaxation of travel restrictions is anticipated to increase demand for lodging, creating substantial expansion prospects for both firms.</w:t>
      </w:r>
    </w:p>
    <w:p w14:paraId="602BDC54" w14:textId="465D9B75" w:rsidR="00DE09D7" w:rsidRDefault="002D0129" w:rsidP="002D0129">
      <w:r>
        <w:t>As evidenced by their remarkable revenue growth rates, Marriott International and Hilton Hotels have demonstrated substantial growth potential. Both firms have used their capabilities to expand internationally and take advantage of market possibilities, with Marriott International growing at a somewhat faster clip in recent years</w:t>
      </w:r>
      <w:r w:rsidR="008A268A">
        <w:t xml:space="preserve"> (Zeng, &amp; Wang, 2020)</w:t>
      </w:r>
      <w:r>
        <w:t>. With the tourism sector on the mend, Marriott International and Hilton Hotels are well positioned to maintain current development paths and cement their positions as industry leaders.</w:t>
      </w:r>
    </w:p>
    <w:p w14:paraId="15717AAC" w14:textId="6976FBCD" w:rsidR="002D0129" w:rsidRDefault="0098471D" w:rsidP="002D0129">
      <w:pPr>
        <w:pStyle w:val="Heading2"/>
      </w:pPr>
      <w:bookmarkStart w:id="7" w:name="_Toc135349145"/>
      <w:r w:rsidRPr="0098471D">
        <w:t>Financial Commitment to CSR Comparison of Marriott International and Hilton Hotels</w:t>
      </w:r>
      <w:r>
        <w:t>.</w:t>
      </w:r>
      <w:bookmarkEnd w:id="7"/>
    </w:p>
    <w:p w14:paraId="3895E692" w14:textId="02F7474E" w:rsidR="006E5D47" w:rsidRDefault="006E5D47" w:rsidP="006E5D47">
      <w:r>
        <w:t>Both Marriott International and Hilton Hotels are recognized as two of the most successful hospitality firms in the world. These companies are also well-known for their dedication to the practice of corporate social responsibility (CSR)</w:t>
      </w:r>
      <w:r w:rsidR="00F617D9">
        <w:t xml:space="preserve"> (Johnson, &amp; Wichern, 2017)</w:t>
      </w:r>
      <w:r>
        <w:t>. Both businesses have gone to great lengths to improve the lives of its stakeholders, including the environment, their local communities, and their employees. Let's evaluate their CSR spending by looking at both current and historic statistics.</w:t>
      </w:r>
    </w:p>
    <w:p w14:paraId="14A6CC8E" w14:textId="413CB233" w:rsidR="0098471D" w:rsidRPr="00D45866" w:rsidRDefault="006E5D47" w:rsidP="006E5D47">
      <w:pPr>
        <w:rPr>
          <w:b/>
          <w:bCs/>
        </w:rPr>
      </w:pPr>
      <w:r w:rsidRPr="00D45866">
        <w:rPr>
          <w:b/>
          <w:bCs/>
        </w:rPr>
        <w:lastRenderedPageBreak/>
        <w:t>Check out the chart</w:t>
      </w:r>
      <w:r w:rsidR="00D45866">
        <w:rPr>
          <w:b/>
          <w:bCs/>
        </w:rPr>
        <w:t>-02</w:t>
      </w:r>
      <w:r w:rsidRPr="00D45866">
        <w:rPr>
          <w:b/>
          <w:bCs/>
        </w:rPr>
        <w:t xml:space="preserve"> </w:t>
      </w:r>
      <w:r w:rsidR="00D45866" w:rsidRPr="00D45866">
        <w:rPr>
          <w:b/>
          <w:bCs/>
        </w:rPr>
        <w:t>in the Appendix List</w:t>
      </w:r>
      <w:r w:rsidRPr="00D45866">
        <w:rPr>
          <w:b/>
          <w:bCs/>
        </w:rPr>
        <w:t xml:space="preserve"> to see how Hilton Hotels and Marriott International stack up in terms of CSR spending</w:t>
      </w:r>
      <w:r w:rsidR="00D45866" w:rsidRPr="00D45866">
        <w:rPr>
          <w:b/>
          <w:bCs/>
        </w:rPr>
        <w:t>.</w:t>
      </w:r>
    </w:p>
    <w:p w14:paraId="442E2E8F" w14:textId="3E0AD32C" w:rsidR="00AA1C10" w:rsidRDefault="00AA1C10" w:rsidP="00AA1C10">
      <w:r>
        <w:t>In 2023, Marriott International will devote a whopping $140 million to corporate social responsibility projects, up significantly from previous years. The corporation has invested $50 million to promote sustainable measures including energy saving, waste reduction, and water management, demonstrating a serious commitment to environmental projects. In addition to a significant CSR commitment, Hilton Hotels has allocated $108 million for the year 2023</w:t>
      </w:r>
      <w:r w:rsidR="00EA12F9">
        <w:t xml:space="preserve"> (Hilton Hotels, 2022)</w:t>
      </w:r>
      <w:r>
        <w:t>. With a $35 million budget, the corporation has prioritized environmental measures while also making substantial contributions to projects for employee welfare, community development, and diversity and inclusion</w:t>
      </w:r>
      <w:r w:rsidR="00F617D9">
        <w:t xml:space="preserve"> (Kimmel et al., 2018)</w:t>
      </w:r>
      <w:r>
        <w:t>. It's important to note that both organizations have steadily increased their CSR spending throughout the years, demonstrating a lasting dedication to promoting social and environmental well-being</w:t>
      </w:r>
      <w:r w:rsidR="00902BE6">
        <w:t xml:space="preserve"> (Zimmerman, 2017)</w:t>
      </w:r>
      <w:r>
        <w:t>. Marriott International and Hilton Hotels have introduced a variety of initiatives and collaborations to benefit local communities, improve guest experiences, and assure the well-being of their staff.</w:t>
      </w:r>
    </w:p>
    <w:p w14:paraId="1654862C" w14:textId="219D2855" w:rsidR="00AA1C10" w:rsidRDefault="00AA1C10" w:rsidP="00AA1C10">
      <w:r>
        <w:t>Although financial investment in CSR is crucial, it's also vital to keep in mind that CSR includes much more than just monetary donations. Stakeholder participation, responsible company behavior, and environmentally friendly operations are all part of Marriott International's and Hilton Hotels' respective corporate social responsibility (CSR) agendas. Finally, Marriott International and Hilton Hotels have made substantial financial commitments to CSR, with Marriott International contributing $140 million and Hilton Hotels investing $108 million in 2023</w:t>
      </w:r>
      <w:r w:rsidR="008A268A">
        <w:t xml:space="preserve"> (Ross et al., 2017)</w:t>
      </w:r>
      <w:r>
        <w:t>. Both firms are making these expenditures to show how committed they are to making a good social and environmental effect while maintaining long-term business viability.</w:t>
      </w:r>
    </w:p>
    <w:p w14:paraId="346C2156" w14:textId="1BE99BAE" w:rsidR="00AA1C10" w:rsidRDefault="00AA1C10" w:rsidP="00AA1C10">
      <w:pPr>
        <w:pStyle w:val="Heading1"/>
      </w:pPr>
      <w:bookmarkStart w:id="8" w:name="_Toc135349146"/>
      <w:r>
        <w:t>Recommendations</w:t>
      </w:r>
      <w:bookmarkEnd w:id="8"/>
    </w:p>
    <w:p w14:paraId="434A9438" w14:textId="23063DB6" w:rsidR="009028EF" w:rsidRDefault="009028EF" w:rsidP="009028EF">
      <w:r>
        <w:t>Each Marriott International and Hilton Hotel property should prioritize sustainability initiatives. Some examples include switching to LED light bulbs, installing water conservation measures, encouraging recycling, and purchasing locally grown organic foods. Both businesses can show they care about the environment and attract visitors who care about the same thing by incorporating sustainability into their operations</w:t>
      </w:r>
      <w:r w:rsidR="00F617D9">
        <w:t xml:space="preserve"> (Jones, &amp; Lockwood, 2018)</w:t>
      </w:r>
      <w:r>
        <w:t xml:space="preserve">. In the current digital era, Marriott International and Hilton Hotels must constantly enhance their web and mobile platforms. Guests </w:t>
      </w:r>
      <w:r>
        <w:lastRenderedPageBreak/>
        <w:t>are more likely to be pleased if they are able to make reservations quickly, get helpful suggestions, and check in and depart without any hassle</w:t>
      </w:r>
      <w:r w:rsidR="00120834">
        <w:t xml:space="preserve"> (Gitman, &amp; Zutter, 2018)</w:t>
      </w:r>
      <w:r>
        <w:t>. Investing in sophisticated technology like virtual reality tours and digital concierge services may provide customers a unique and engaging experience and set companies apart from competition.</w:t>
      </w:r>
    </w:p>
    <w:p w14:paraId="1F24FC7E" w14:textId="47A35D00" w:rsidR="009028EF" w:rsidRDefault="009028EF" w:rsidP="009028EF">
      <w:r>
        <w:t>Hilton Hotel and Marriott International both place a premium on providing guests with a warm and welcome experience. Supporting local community outreach activities and humanitarian projects, as well as encouraging workers to connect with visitors on a personal level, can help develop solid relationships and make a lasting good influence</w:t>
      </w:r>
      <w:r w:rsidR="00F617D9">
        <w:t xml:space="preserve"> (Horngren et al., 2017)</w:t>
      </w:r>
      <w:r>
        <w:t xml:space="preserve">.  In view of current global health issues, Marriott International and Hilton Hotel should promote guest well-being. Guests will have a better time and feel more taken care of at your establishment if you implement strict cleaning and sanitation regulations, provide contactless services, and have wellness options like gyms, yoga studios, and spas. </w:t>
      </w:r>
    </w:p>
    <w:p w14:paraId="6C0615C2" w14:textId="6BA98715" w:rsidR="00AA1C10" w:rsidRDefault="009028EF" w:rsidP="009028EF">
      <w:r>
        <w:t>Overall, Marriott International and Hilton Hotel can position themselves as industry leaders by emphasizing sustainability, improving digital experiences, fostering a sense of community, placing a priority on health and wellness, and investing in the training and development of their staff.</w:t>
      </w:r>
    </w:p>
    <w:p w14:paraId="61B02F1B" w14:textId="3F0C1007" w:rsidR="009028EF" w:rsidRDefault="009028EF">
      <w:pPr>
        <w:spacing w:line="259" w:lineRule="auto"/>
        <w:jc w:val="left"/>
      </w:pPr>
      <w:r>
        <w:br w:type="page"/>
      </w:r>
    </w:p>
    <w:p w14:paraId="4CCFA1A0" w14:textId="5F3578CF" w:rsidR="009028EF" w:rsidRDefault="009028EF" w:rsidP="009028EF">
      <w:pPr>
        <w:pStyle w:val="Heading1"/>
      </w:pPr>
      <w:bookmarkStart w:id="9" w:name="_Toc135349147"/>
      <w:r>
        <w:lastRenderedPageBreak/>
        <w:t>Conclusion</w:t>
      </w:r>
      <w:bookmarkEnd w:id="9"/>
    </w:p>
    <w:p w14:paraId="21688E91" w14:textId="7F94D71E" w:rsidR="00561E93" w:rsidRDefault="00561E93" w:rsidP="009028EF">
      <w:r w:rsidRPr="00561E93">
        <w:t>Financial management is emphasized as a key factor in the success of the hospitality sector as a whole in the final analysis of the case study comparing Hilton Hotels and Marriott International. Both businesses have shown their financial prowess and commercial dominance in a highly competitive industry. They have increased shareholder value and increased profitability via the use of effective financial tactics including budgeting, cost management, and revenue optimization</w:t>
      </w:r>
      <w:r w:rsidR="008A268A">
        <w:t xml:space="preserve"> (Van Horne, &amp; Wachowicz, 2018)</w:t>
      </w:r>
      <w:r w:rsidRPr="00561E93">
        <w:t>. In addition, they have expanded their reach internationally and entered new markets by placing a premium on capital expenditures, mergers, and acquisitions. In sum, this case study demonstrates the value of sound financial management in ensuring continued development and prosperity in the competitive hotel sector over the long term.</w:t>
      </w:r>
    </w:p>
    <w:p w14:paraId="2034566D" w14:textId="77777777" w:rsidR="00561E93" w:rsidRDefault="00561E93">
      <w:pPr>
        <w:spacing w:line="259" w:lineRule="auto"/>
        <w:jc w:val="left"/>
      </w:pPr>
      <w:r>
        <w:br w:type="page"/>
      </w:r>
    </w:p>
    <w:p w14:paraId="01032D5D" w14:textId="1925BEF6" w:rsidR="009028EF" w:rsidRDefault="00561E93" w:rsidP="00561E93">
      <w:pPr>
        <w:pStyle w:val="Heading1"/>
      </w:pPr>
      <w:bookmarkStart w:id="10" w:name="_Toc135349148"/>
      <w:r>
        <w:lastRenderedPageBreak/>
        <w:t>References</w:t>
      </w:r>
      <w:bookmarkEnd w:id="10"/>
    </w:p>
    <w:p w14:paraId="68055A10" w14:textId="41663B8A" w:rsidR="008528D4" w:rsidRDefault="008528D4" w:rsidP="008528D4">
      <w:pPr>
        <w:jc w:val="left"/>
      </w:pPr>
      <w:r>
        <w:t>Brigham, E. F. &amp; Ehrhardt, M. C. 2017. Financial management: Theory and practice. Cengage Learning.</w:t>
      </w:r>
    </w:p>
    <w:p w14:paraId="305D14F2" w14:textId="4A59E7D1" w:rsidR="008528D4" w:rsidRDefault="008528D4" w:rsidP="008528D4">
      <w:pPr>
        <w:jc w:val="left"/>
      </w:pPr>
      <w:r>
        <w:t>Brooks, R. 2018. Financial management in the hospitality industry. Routledge.</w:t>
      </w:r>
    </w:p>
    <w:p w14:paraId="7DF9486D" w14:textId="20887C96" w:rsidR="008528D4" w:rsidRDefault="008528D4" w:rsidP="008528D4">
      <w:pPr>
        <w:jc w:val="left"/>
      </w:pPr>
      <w:r>
        <w:t>Cullen, J. B., Parboteeah, K. P., &amp; Hoegl, M. 2017. Cross-cultural management: A strategic approach. Cengage Learning.</w:t>
      </w:r>
    </w:p>
    <w:p w14:paraId="5F5C667F" w14:textId="6DC59399" w:rsidR="008528D4" w:rsidRDefault="008528D4" w:rsidP="008528D4">
      <w:pPr>
        <w:jc w:val="left"/>
      </w:pPr>
      <w:r>
        <w:t>DeFranco, A. L. &amp; Lattin, J. M. 2017. The impact of economic conditions on the restaurant industry: The case of the great recession. Journal of Hospitality and Tourism Research, 41(1), 3-22.</w:t>
      </w:r>
    </w:p>
    <w:p w14:paraId="76D4FB5D" w14:textId="027A4F20" w:rsidR="008528D4" w:rsidRDefault="008528D4" w:rsidP="008528D4">
      <w:pPr>
        <w:jc w:val="left"/>
      </w:pPr>
      <w:r>
        <w:t>Dornbusch, R. Fischer, S. &amp; Startz, R. 2018. Macroeconomics. McGraw-Hill Education.</w:t>
      </w:r>
    </w:p>
    <w:p w14:paraId="63BC07D5" w14:textId="67C7550D" w:rsidR="008528D4" w:rsidRDefault="008528D4" w:rsidP="008528D4">
      <w:pPr>
        <w:jc w:val="left"/>
      </w:pPr>
      <w:r>
        <w:t>Elsworth, G. &amp; Hilton, T. 2021. Financial management in the hospitality industry. In Handbook of Hospitality Finance and Accounting (pp. 49-70). Routledge.</w:t>
      </w:r>
    </w:p>
    <w:p w14:paraId="3F8569B2" w14:textId="54EAF973" w:rsidR="008528D4" w:rsidRDefault="008528D4" w:rsidP="008528D4">
      <w:pPr>
        <w:jc w:val="left"/>
      </w:pPr>
      <w:r>
        <w:t>Gitman, L. J. &amp; Zutter, C. J. 2018. Principles of managerial finance. Pearson.</w:t>
      </w:r>
    </w:p>
    <w:p w14:paraId="7C349A0B" w14:textId="2A7FD7F5" w:rsidR="008528D4" w:rsidRDefault="008528D4" w:rsidP="008528D4">
      <w:pPr>
        <w:jc w:val="left"/>
      </w:pPr>
      <w:r>
        <w:t>Horngren, C. T. Sundem, G. L. Stratton, W. O. Burgstahler, D.</w:t>
      </w:r>
      <w:r w:rsidR="00902BE6">
        <w:t xml:space="preserve"> </w:t>
      </w:r>
      <w:r>
        <w:t>&amp; Schatzberg, J. 2017. Introduction to management accounting. Pearson.</w:t>
      </w:r>
    </w:p>
    <w:p w14:paraId="090683AC" w14:textId="5927006B" w:rsidR="008528D4" w:rsidRDefault="008528D4" w:rsidP="008528D4">
      <w:pPr>
        <w:jc w:val="left"/>
      </w:pPr>
      <w:r>
        <w:t>Iwamoto, K. &amp; Wang, D. 2018. Financial statement analysis of Marriott International, Inc. International Journal of Hospitality &amp; Tourism Administration, 19(2), 117-130.</w:t>
      </w:r>
    </w:p>
    <w:p w14:paraId="59F611B5" w14:textId="7CD381C9" w:rsidR="008528D4" w:rsidRDefault="008528D4" w:rsidP="008528D4">
      <w:pPr>
        <w:jc w:val="left"/>
      </w:pPr>
      <w:r>
        <w:t>Johnson, R. A. &amp; Wichern, D. W. 2017. Applied multivariate statistical analysis. Pearson.</w:t>
      </w:r>
    </w:p>
    <w:p w14:paraId="50123DBF" w14:textId="7E8CDBA7" w:rsidR="008528D4" w:rsidRDefault="008528D4" w:rsidP="008528D4">
      <w:pPr>
        <w:jc w:val="left"/>
      </w:pPr>
      <w:r>
        <w:t>Jones, P. &amp; Lockwood, A. 2018. Financial management for hospitality decision makers. Routledge.</w:t>
      </w:r>
    </w:p>
    <w:p w14:paraId="66D79EED" w14:textId="758E2538" w:rsidR="008528D4" w:rsidRDefault="008528D4" w:rsidP="008528D4">
      <w:pPr>
        <w:jc w:val="left"/>
      </w:pPr>
      <w:r>
        <w:t>Kimmel, P. D. Weygandt, J. J. &amp; Kieso, D. E. 201</w:t>
      </w:r>
      <w:r w:rsidR="00F617D9">
        <w:t>8</w:t>
      </w:r>
      <w:r>
        <w:t>. Accounting: Tools for business decision making. Wiley.</w:t>
      </w:r>
    </w:p>
    <w:p w14:paraId="78F8E26E" w14:textId="381D455E" w:rsidR="008528D4" w:rsidRDefault="008528D4" w:rsidP="008528D4">
      <w:pPr>
        <w:jc w:val="left"/>
      </w:pPr>
      <w:r>
        <w:t>Marriott International. 2023. 2022 Annual Report. Retrieved from https://marriott.gcsweb.com/static-files/3520d152-07f8-4e02-aa38-bcf536c0d2da.</w:t>
      </w:r>
    </w:p>
    <w:p w14:paraId="7F138B38" w14:textId="1A926DE0" w:rsidR="008528D4" w:rsidRDefault="008528D4" w:rsidP="008528D4">
      <w:pPr>
        <w:jc w:val="left"/>
      </w:pPr>
      <w:r>
        <w:t>Hilton Hotels. 2022. 2021 Annual Report. Retrieved from https://www.hilton.com/en/corporate/investor-relations/.</w:t>
      </w:r>
    </w:p>
    <w:p w14:paraId="2BD0EDE3" w14:textId="2EC91F0D" w:rsidR="008528D4" w:rsidRDefault="008528D4" w:rsidP="008528D4">
      <w:pPr>
        <w:jc w:val="left"/>
      </w:pPr>
      <w:r>
        <w:lastRenderedPageBreak/>
        <w:t>Petty, J. W. Titman, S. &amp; Keown, A. J. 2017. Financial management: Principles and applications. Pearson.</w:t>
      </w:r>
    </w:p>
    <w:p w14:paraId="0942F1C3" w14:textId="052E1471" w:rsidR="008528D4" w:rsidRDefault="008528D4" w:rsidP="008528D4">
      <w:pPr>
        <w:jc w:val="left"/>
      </w:pPr>
      <w:r>
        <w:t>Ross, S. A. Westerfield, R. W. Jaffe, J. F. &amp; Jordan, B. D. 2017. Corporate finance. McGraw-Hill Education.</w:t>
      </w:r>
    </w:p>
    <w:p w14:paraId="68418693" w14:textId="1A14B7E6" w:rsidR="008528D4" w:rsidRDefault="008528D4" w:rsidP="008528D4">
      <w:pPr>
        <w:jc w:val="left"/>
      </w:pPr>
      <w:r>
        <w:t>Van Horne, J. C. &amp; Wachowicz, J. M. 2018. Fundamentals of financial management. Pearson.</w:t>
      </w:r>
    </w:p>
    <w:p w14:paraId="34D4B335" w14:textId="4D864953" w:rsidR="008528D4" w:rsidRDefault="008528D4" w:rsidP="008528D4">
      <w:pPr>
        <w:jc w:val="left"/>
      </w:pPr>
      <w:r>
        <w:t>Wang, D. 2019. Financial statement analysis of Hilton Worldwide Holdings Inc. Journal of Hospitality Financial Management, 27(2), 111-127.</w:t>
      </w:r>
    </w:p>
    <w:p w14:paraId="5EEBD11E" w14:textId="712471F0" w:rsidR="008528D4" w:rsidRDefault="008528D4" w:rsidP="008528D4">
      <w:pPr>
        <w:jc w:val="left"/>
      </w:pPr>
      <w:r>
        <w:t>Zeng, J. &amp; Wang, D. 2020. Financial statement analysis of the lodging industry. Journal of Hospitality Financial Management, 28(1), 36-48.</w:t>
      </w:r>
    </w:p>
    <w:p w14:paraId="581B9C16" w14:textId="51B67260" w:rsidR="00561E93" w:rsidRDefault="008528D4" w:rsidP="008528D4">
      <w:pPr>
        <w:jc w:val="left"/>
      </w:pPr>
      <w:r>
        <w:t>Zimmerman, J. L. 2017. Accounting for decision making and control. McGraw-Hill Education.</w:t>
      </w:r>
    </w:p>
    <w:p w14:paraId="5F4E9BFF" w14:textId="65C37EA5" w:rsidR="007C5D09" w:rsidRDefault="007C5D09">
      <w:pPr>
        <w:spacing w:line="259" w:lineRule="auto"/>
        <w:jc w:val="left"/>
      </w:pPr>
      <w:r>
        <w:br w:type="page"/>
      </w:r>
    </w:p>
    <w:p w14:paraId="17DE6732" w14:textId="19A7C10D" w:rsidR="007C5D09" w:rsidRDefault="007C5D09" w:rsidP="007C5D09">
      <w:pPr>
        <w:pStyle w:val="Heading1"/>
      </w:pPr>
      <w:bookmarkStart w:id="11" w:name="_Toc135349149"/>
      <w:r>
        <w:lastRenderedPageBreak/>
        <w:t>Appendix</w:t>
      </w:r>
      <w:bookmarkEnd w:id="11"/>
    </w:p>
    <w:p w14:paraId="53A5CDEA" w14:textId="7ADBB3B7" w:rsidR="007C5D09" w:rsidRDefault="007C5D09" w:rsidP="007C5D09">
      <w:pPr>
        <w:pStyle w:val="Heading2"/>
      </w:pPr>
      <w:bookmarkStart w:id="12" w:name="_Toc135349150"/>
      <w:r>
        <w:t>Chat-01: Revenue Comparison</w:t>
      </w:r>
      <w:bookmarkEnd w:id="12"/>
    </w:p>
    <w:p w14:paraId="598A79FA" w14:textId="6B83AC1A" w:rsidR="007C5D09" w:rsidRPr="007C5D09" w:rsidRDefault="00D45866" w:rsidP="00D45866">
      <w:pPr>
        <w:jc w:val="center"/>
      </w:pPr>
      <w:r>
        <w:rPr>
          <w:noProof/>
          <w:lang w:eastAsia="en-GB"/>
        </w:rPr>
        <w:drawing>
          <wp:inline distT="0" distB="0" distL="0" distR="0" wp14:anchorId="356E628C" wp14:editId="63D074CC">
            <wp:extent cx="5654040" cy="3406140"/>
            <wp:effectExtent l="0" t="0" r="3810"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3ABF27E" w14:textId="66BCD220" w:rsidR="00AA1C10" w:rsidRDefault="00D45866" w:rsidP="00D45866">
      <w:pPr>
        <w:pStyle w:val="Heading2"/>
      </w:pPr>
      <w:bookmarkStart w:id="13" w:name="_Toc135349151"/>
      <w:r>
        <w:t>Chart-02: CSR Comparison</w:t>
      </w:r>
      <w:bookmarkEnd w:id="13"/>
    </w:p>
    <w:p w14:paraId="13D37448" w14:textId="27CB3E9D" w:rsidR="000D0A24" w:rsidRPr="0098471D" w:rsidRDefault="00D45866" w:rsidP="000D0A24">
      <w:r>
        <w:rPr>
          <w:noProof/>
          <w:lang w:eastAsia="en-GB"/>
        </w:rPr>
        <w:drawing>
          <wp:inline distT="0" distB="0" distL="0" distR="0" wp14:anchorId="54BEAB9F" wp14:editId="31CAD16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sectPr w:rsidR="000D0A24" w:rsidRPr="0098471D" w:rsidSect="0062744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F6422" w14:textId="77777777" w:rsidR="00043F1F" w:rsidRDefault="00043F1F" w:rsidP="00E2132A">
      <w:pPr>
        <w:spacing w:after="0" w:line="240" w:lineRule="auto"/>
      </w:pPr>
      <w:r>
        <w:separator/>
      </w:r>
    </w:p>
  </w:endnote>
  <w:endnote w:type="continuationSeparator" w:id="0">
    <w:p w14:paraId="2CF362C9" w14:textId="77777777" w:rsidR="00043F1F" w:rsidRDefault="00043F1F" w:rsidP="00E2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8224566"/>
      <w:docPartObj>
        <w:docPartGallery w:val="Page Numbers (Bottom of Page)"/>
        <w:docPartUnique/>
      </w:docPartObj>
    </w:sdtPr>
    <w:sdtContent>
      <w:p w14:paraId="5A3EE886" w14:textId="67A6F06F" w:rsidR="00E2132A" w:rsidRDefault="00E2132A">
        <w:pPr>
          <w:pStyle w:val="Footer"/>
          <w:jc w:val="right"/>
        </w:pPr>
        <w:r>
          <w:t xml:space="preserve">Page | </w:t>
        </w:r>
        <w:r>
          <w:fldChar w:fldCharType="begin"/>
        </w:r>
        <w:r>
          <w:instrText xml:space="preserve"> PAGE   \* MERGEFORMAT </w:instrText>
        </w:r>
        <w:r>
          <w:fldChar w:fldCharType="separate"/>
        </w:r>
        <w:r w:rsidR="006938FF">
          <w:rPr>
            <w:noProof/>
          </w:rPr>
          <w:t>2</w:t>
        </w:r>
        <w:r>
          <w:rPr>
            <w:noProof/>
          </w:rPr>
          <w:fldChar w:fldCharType="end"/>
        </w:r>
        <w:r>
          <w:t xml:space="preserve"> </w:t>
        </w:r>
      </w:p>
    </w:sdtContent>
  </w:sdt>
  <w:p w14:paraId="1783B357" w14:textId="77777777" w:rsidR="00E2132A" w:rsidRDefault="00E21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090C8" w14:textId="77777777" w:rsidR="00043F1F" w:rsidRDefault="00043F1F" w:rsidP="00E2132A">
      <w:pPr>
        <w:spacing w:after="0" w:line="240" w:lineRule="auto"/>
      </w:pPr>
      <w:r>
        <w:separator/>
      </w:r>
    </w:p>
  </w:footnote>
  <w:footnote w:type="continuationSeparator" w:id="0">
    <w:p w14:paraId="27D4B139" w14:textId="77777777" w:rsidR="00043F1F" w:rsidRDefault="00043F1F" w:rsidP="00E213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32A"/>
    <w:rsid w:val="00004EBB"/>
    <w:rsid w:val="00043F1F"/>
    <w:rsid w:val="000559A4"/>
    <w:rsid w:val="000D0A24"/>
    <w:rsid w:val="00120834"/>
    <w:rsid w:val="00145778"/>
    <w:rsid w:val="00154ECC"/>
    <w:rsid w:val="00233CBD"/>
    <w:rsid w:val="002B0B7B"/>
    <w:rsid w:val="002D0129"/>
    <w:rsid w:val="002E06C1"/>
    <w:rsid w:val="002E11FC"/>
    <w:rsid w:val="002E6B1B"/>
    <w:rsid w:val="00342DE9"/>
    <w:rsid w:val="00357735"/>
    <w:rsid w:val="003723F1"/>
    <w:rsid w:val="004076AA"/>
    <w:rsid w:val="00495303"/>
    <w:rsid w:val="004F4A39"/>
    <w:rsid w:val="00561E93"/>
    <w:rsid w:val="0062744B"/>
    <w:rsid w:val="006938FF"/>
    <w:rsid w:val="006E5D47"/>
    <w:rsid w:val="007A5A90"/>
    <w:rsid w:val="007C5D09"/>
    <w:rsid w:val="007E3912"/>
    <w:rsid w:val="00803EA5"/>
    <w:rsid w:val="00842FF8"/>
    <w:rsid w:val="008528D4"/>
    <w:rsid w:val="008A268A"/>
    <w:rsid w:val="008C75B4"/>
    <w:rsid w:val="009028EF"/>
    <w:rsid w:val="00902BE6"/>
    <w:rsid w:val="00964F0E"/>
    <w:rsid w:val="0098471D"/>
    <w:rsid w:val="00991820"/>
    <w:rsid w:val="00A455F4"/>
    <w:rsid w:val="00AA1C10"/>
    <w:rsid w:val="00B34916"/>
    <w:rsid w:val="00B72166"/>
    <w:rsid w:val="00C06AAC"/>
    <w:rsid w:val="00C825AE"/>
    <w:rsid w:val="00CC2AF9"/>
    <w:rsid w:val="00CF6B21"/>
    <w:rsid w:val="00D45866"/>
    <w:rsid w:val="00D81C49"/>
    <w:rsid w:val="00DE09D7"/>
    <w:rsid w:val="00E2132A"/>
    <w:rsid w:val="00EA12F9"/>
    <w:rsid w:val="00F617D9"/>
    <w:rsid w:val="00F76619"/>
    <w:rsid w:val="00F80D28"/>
    <w:rsid w:val="00FC6628"/>
    <w:rsid w:val="00FD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A68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32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2132A"/>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95303"/>
    <w:pPr>
      <w:keepNext/>
      <w:keepLines/>
      <w:spacing w:before="40" w:after="0"/>
      <w:outlineLvl w:val="1"/>
    </w:pPr>
    <w:rPr>
      <w:rFonts w:eastAsiaTheme="majorEastAsia" w:cstheme="majorBidi"/>
      <w:b/>
      <w:color w:val="2E74B5" w:themeColor="accent5" w:themeShade="BF"/>
      <w:sz w:val="32"/>
      <w:szCs w:val="26"/>
    </w:rPr>
  </w:style>
  <w:style w:type="paragraph" w:styleId="Heading3">
    <w:name w:val="heading 3"/>
    <w:basedOn w:val="Normal"/>
    <w:next w:val="Normal"/>
    <w:link w:val="Heading3Char"/>
    <w:uiPriority w:val="9"/>
    <w:unhideWhenUsed/>
    <w:qFormat/>
    <w:rsid w:val="00D81C49"/>
    <w:pPr>
      <w:keepNext/>
      <w:keepLines/>
      <w:spacing w:before="40" w:after="0"/>
      <w:outlineLvl w:val="2"/>
    </w:pPr>
    <w:rPr>
      <w:rFonts w:eastAsiaTheme="majorEastAsia"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32A"/>
    <w:rPr>
      <w:rFonts w:ascii="Times New Roman" w:eastAsiaTheme="majorEastAsia" w:hAnsi="Times New Roman" w:cstheme="majorBidi"/>
      <w:b/>
      <w:sz w:val="36"/>
      <w:szCs w:val="32"/>
    </w:rPr>
  </w:style>
  <w:style w:type="paragraph" w:styleId="Subtitle">
    <w:name w:val="Subtitle"/>
    <w:basedOn w:val="Heading3"/>
    <w:next w:val="Normal"/>
    <w:link w:val="SubtitleChar"/>
    <w:autoRedefine/>
    <w:uiPriority w:val="11"/>
    <w:qFormat/>
    <w:rsid w:val="00154ECC"/>
    <w:pPr>
      <w:numPr>
        <w:ilvl w:val="1"/>
      </w:numPr>
    </w:pPr>
    <w:rPr>
      <w:rFonts w:eastAsiaTheme="minorEastAsia"/>
      <w:b w:val="0"/>
      <w:color w:val="5B9BD5" w:themeColor="accent5"/>
      <w:spacing w:val="15"/>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rsid w:val="00D81C49"/>
    <w:rPr>
      <w:rFonts w:ascii="Times New Roman" w:eastAsiaTheme="majorEastAsia" w:hAnsi="Times New Roman" w:cstheme="majorBidi"/>
      <w:b/>
      <w:color w:val="1F3763" w:themeColor="accent1" w:themeShade="7F"/>
      <w:sz w:val="28"/>
      <w:szCs w:val="24"/>
    </w:rPr>
  </w:style>
  <w:style w:type="character" w:customStyle="1" w:styleId="Heading2Char">
    <w:name w:val="Heading 2 Char"/>
    <w:basedOn w:val="DefaultParagraphFont"/>
    <w:link w:val="Heading2"/>
    <w:uiPriority w:val="9"/>
    <w:rsid w:val="00495303"/>
    <w:rPr>
      <w:rFonts w:ascii="Times New Roman" w:eastAsiaTheme="majorEastAsia" w:hAnsi="Times New Roman" w:cstheme="majorBidi"/>
      <w:b/>
      <w:color w:val="2E74B5" w:themeColor="accent5" w:themeShade="BF"/>
      <w:sz w:val="32"/>
      <w:szCs w:val="26"/>
    </w:rPr>
  </w:style>
  <w:style w:type="paragraph" w:styleId="TOCHeading">
    <w:name w:val="TOC Heading"/>
    <w:basedOn w:val="Heading1"/>
    <w:next w:val="Normal"/>
    <w:uiPriority w:val="39"/>
    <w:unhideWhenUsed/>
    <w:qFormat/>
    <w:rsid w:val="00E2132A"/>
    <w:pPr>
      <w:spacing w:line="259" w:lineRule="auto"/>
      <w:jc w:val="left"/>
      <w:outlineLvl w:val="9"/>
    </w:pPr>
    <w:rPr>
      <w:rFonts w:asciiTheme="majorHAnsi" w:hAnsiTheme="majorHAnsi"/>
      <w:b w:val="0"/>
      <w:i/>
      <w:color w:val="2F5496" w:themeColor="accent1" w:themeShade="BF"/>
      <w:sz w:val="32"/>
      <w:lang w:val="en-US"/>
    </w:rPr>
  </w:style>
  <w:style w:type="paragraph" w:styleId="Header">
    <w:name w:val="header"/>
    <w:basedOn w:val="Normal"/>
    <w:link w:val="HeaderChar"/>
    <w:uiPriority w:val="99"/>
    <w:unhideWhenUsed/>
    <w:rsid w:val="00E21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32A"/>
    <w:rPr>
      <w:rFonts w:ascii="Times New Roman" w:hAnsi="Times New Roman"/>
      <w:sz w:val="24"/>
    </w:rPr>
  </w:style>
  <w:style w:type="paragraph" w:styleId="Footer">
    <w:name w:val="footer"/>
    <w:basedOn w:val="Normal"/>
    <w:link w:val="FooterChar"/>
    <w:uiPriority w:val="99"/>
    <w:unhideWhenUsed/>
    <w:rsid w:val="00E21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32A"/>
    <w:rPr>
      <w:rFonts w:ascii="Times New Roman" w:hAnsi="Times New Roman"/>
      <w:sz w:val="24"/>
    </w:rPr>
  </w:style>
  <w:style w:type="table" w:styleId="TableGrid">
    <w:name w:val="Table Grid"/>
    <w:basedOn w:val="TableNormal"/>
    <w:uiPriority w:val="39"/>
    <w:rsid w:val="00C825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B0B7B"/>
    <w:pPr>
      <w:spacing w:after="100"/>
    </w:pPr>
  </w:style>
  <w:style w:type="paragraph" w:styleId="TOC2">
    <w:name w:val="toc 2"/>
    <w:basedOn w:val="Normal"/>
    <w:next w:val="Normal"/>
    <w:autoRedefine/>
    <w:uiPriority w:val="39"/>
    <w:unhideWhenUsed/>
    <w:rsid w:val="002B0B7B"/>
    <w:pPr>
      <w:spacing w:after="100"/>
      <w:ind w:left="240"/>
    </w:pPr>
  </w:style>
  <w:style w:type="paragraph" w:styleId="TOC3">
    <w:name w:val="toc 3"/>
    <w:basedOn w:val="Normal"/>
    <w:next w:val="Normal"/>
    <w:autoRedefine/>
    <w:uiPriority w:val="39"/>
    <w:unhideWhenUsed/>
    <w:rsid w:val="002B0B7B"/>
    <w:pPr>
      <w:spacing w:after="100"/>
      <w:ind w:left="480"/>
    </w:pPr>
  </w:style>
  <w:style w:type="character" w:styleId="Hyperlink">
    <w:name w:val="Hyperlink"/>
    <w:basedOn w:val="DefaultParagraphFont"/>
    <w:uiPriority w:val="99"/>
    <w:unhideWhenUsed/>
    <w:rsid w:val="002B0B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latin typeface="Times New Roman" panose="02020603050405020304" pitchFamily="18" charset="0"/>
                <a:cs typeface="Times New Roman" panose="02020603050405020304" pitchFamily="18" charset="0"/>
              </a:rPr>
              <a:t>Revenue Comparison from 2019-2022</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2022</c:v>
                </c:pt>
              </c:strCache>
            </c:strRef>
          </c:tx>
          <c:spPr>
            <a:solidFill>
              <a:schemeClr val="accent1"/>
            </a:solidFill>
            <a:ln>
              <a:noFill/>
            </a:ln>
            <a:effectLst/>
            <a:sp3d/>
          </c:spPr>
          <c:invertIfNegative val="0"/>
          <c:cat>
            <c:strRef>
              <c:f>Sheet1!$A$2:$A$3</c:f>
              <c:strCache>
                <c:ptCount val="2"/>
                <c:pt idx="0">
                  <c:v>Marriot International</c:v>
                </c:pt>
                <c:pt idx="1">
                  <c:v>Hilton Hotels</c:v>
                </c:pt>
              </c:strCache>
            </c:strRef>
          </c:cat>
          <c:val>
            <c:numRef>
              <c:f>Sheet1!$B$2:$B$3</c:f>
              <c:numCache>
                <c:formatCode>General</c:formatCode>
                <c:ptCount val="2"/>
                <c:pt idx="0">
                  <c:v>13.4</c:v>
                </c:pt>
                <c:pt idx="1">
                  <c:v>12.2</c:v>
                </c:pt>
              </c:numCache>
            </c:numRef>
          </c:val>
          <c:extLst>
            <c:ext xmlns:c16="http://schemas.microsoft.com/office/drawing/2014/chart" uri="{C3380CC4-5D6E-409C-BE32-E72D297353CC}">
              <c16:uniqueId val="{00000000-CE5F-45DD-A70B-94AABF8EB8C3}"/>
            </c:ext>
          </c:extLst>
        </c:ser>
        <c:ser>
          <c:idx val="1"/>
          <c:order val="1"/>
          <c:tx>
            <c:strRef>
              <c:f>Sheet1!$C$1</c:f>
              <c:strCache>
                <c:ptCount val="1"/>
                <c:pt idx="0">
                  <c:v>2021</c:v>
                </c:pt>
              </c:strCache>
            </c:strRef>
          </c:tx>
          <c:spPr>
            <a:solidFill>
              <a:schemeClr val="accent2"/>
            </a:solidFill>
            <a:ln>
              <a:noFill/>
            </a:ln>
            <a:effectLst/>
            <a:sp3d/>
          </c:spPr>
          <c:invertIfNegative val="0"/>
          <c:cat>
            <c:strRef>
              <c:f>Sheet1!$A$2:$A$3</c:f>
              <c:strCache>
                <c:ptCount val="2"/>
                <c:pt idx="0">
                  <c:v>Marriot International</c:v>
                </c:pt>
                <c:pt idx="1">
                  <c:v>Hilton Hotels</c:v>
                </c:pt>
              </c:strCache>
            </c:strRef>
          </c:cat>
          <c:val>
            <c:numRef>
              <c:f>Sheet1!$C$2:$C$3</c:f>
              <c:numCache>
                <c:formatCode>General</c:formatCode>
                <c:ptCount val="2"/>
                <c:pt idx="0">
                  <c:v>10.6</c:v>
                </c:pt>
                <c:pt idx="1">
                  <c:v>8.9</c:v>
                </c:pt>
              </c:numCache>
            </c:numRef>
          </c:val>
          <c:extLst>
            <c:ext xmlns:c16="http://schemas.microsoft.com/office/drawing/2014/chart" uri="{C3380CC4-5D6E-409C-BE32-E72D297353CC}">
              <c16:uniqueId val="{00000001-CE5F-45DD-A70B-94AABF8EB8C3}"/>
            </c:ext>
          </c:extLst>
        </c:ser>
        <c:ser>
          <c:idx val="2"/>
          <c:order val="2"/>
          <c:tx>
            <c:strRef>
              <c:f>Sheet1!$D$1</c:f>
              <c:strCache>
                <c:ptCount val="1"/>
                <c:pt idx="0">
                  <c:v>2020</c:v>
                </c:pt>
              </c:strCache>
            </c:strRef>
          </c:tx>
          <c:spPr>
            <a:solidFill>
              <a:schemeClr val="accent3"/>
            </a:solidFill>
            <a:ln>
              <a:noFill/>
            </a:ln>
            <a:effectLst/>
            <a:sp3d/>
          </c:spPr>
          <c:invertIfNegative val="0"/>
          <c:cat>
            <c:strRef>
              <c:f>Sheet1!$A$2:$A$3</c:f>
              <c:strCache>
                <c:ptCount val="2"/>
                <c:pt idx="0">
                  <c:v>Marriot International</c:v>
                </c:pt>
                <c:pt idx="1">
                  <c:v>Hilton Hotels</c:v>
                </c:pt>
              </c:strCache>
            </c:strRef>
          </c:cat>
          <c:val>
            <c:numRef>
              <c:f>Sheet1!$D$2:$D$3</c:f>
              <c:numCache>
                <c:formatCode>General</c:formatCode>
                <c:ptCount val="2"/>
                <c:pt idx="0">
                  <c:v>10.5</c:v>
                </c:pt>
                <c:pt idx="1">
                  <c:v>4.3</c:v>
                </c:pt>
              </c:numCache>
            </c:numRef>
          </c:val>
          <c:extLst>
            <c:ext xmlns:c16="http://schemas.microsoft.com/office/drawing/2014/chart" uri="{C3380CC4-5D6E-409C-BE32-E72D297353CC}">
              <c16:uniqueId val="{00000002-CE5F-45DD-A70B-94AABF8EB8C3}"/>
            </c:ext>
          </c:extLst>
        </c:ser>
        <c:ser>
          <c:idx val="3"/>
          <c:order val="3"/>
          <c:tx>
            <c:strRef>
              <c:f>Sheet1!$E$1</c:f>
              <c:strCache>
                <c:ptCount val="1"/>
                <c:pt idx="0">
                  <c:v>2019</c:v>
                </c:pt>
              </c:strCache>
            </c:strRef>
          </c:tx>
          <c:spPr>
            <a:solidFill>
              <a:schemeClr val="accent4"/>
            </a:solidFill>
            <a:ln>
              <a:noFill/>
            </a:ln>
            <a:effectLst/>
            <a:sp3d/>
          </c:spPr>
          <c:invertIfNegative val="0"/>
          <c:cat>
            <c:strRef>
              <c:f>Sheet1!$A$2:$A$3</c:f>
              <c:strCache>
                <c:ptCount val="2"/>
                <c:pt idx="0">
                  <c:v>Marriot International</c:v>
                </c:pt>
                <c:pt idx="1">
                  <c:v>Hilton Hotels</c:v>
                </c:pt>
              </c:strCache>
            </c:strRef>
          </c:cat>
          <c:val>
            <c:numRef>
              <c:f>Sheet1!$E$2:$E$3</c:f>
              <c:numCache>
                <c:formatCode>General</c:formatCode>
                <c:ptCount val="2"/>
                <c:pt idx="0">
                  <c:v>20.9</c:v>
                </c:pt>
                <c:pt idx="1">
                  <c:v>9.5</c:v>
                </c:pt>
              </c:numCache>
            </c:numRef>
          </c:val>
          <c:extLst>
            <c:ext xmlns:c16="http://schemas.microsoft.com/office/drawing/2014/chart" uri="{C3380CC4-5D6E-409C-BE32-E72D297353CC}">
              <c16:uniqueId val="{00000003-CE5F-45DD-A70B-94AABF8EB8C3}"/>
            </c:ext>
          </c:extLst>
        </c:ser>
        <c:dLbls>
          <c:showLegendKey val="0"/>
          <c:showVal val="0"/>
          <c:showCatName val="0"/>
          <c:showSerName val="0"/>
          <c:showPercent val="0"/>
          <c:showBubbleSize val="0"/>
        </c:dLbls>
        <c:gapWidth val="150"/>
        <c:shape val="box"/>
        <c:axId val="2016558703"/>
        <c:axId val="2016562863"/>
        <c:axId val="0"/>
      </c:bar3DChart>
      <c:catAx>
        <c:axId val="20165587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16562863"/>
        <c:crosses val="autoZero"/>
        <c:auto val="1"/>
        <c:lblAlgn val="ctr"/>
        <c:lblOffset val="100"/>
        <c:noMultiLvlLbl val="0"/>
      </c:catAx>
      <c:valAx>
        <c:axId val="2016562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16558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latin typeface="Times New Roman" panose="02020603050405020304" pitchFamily="18" charset="0"/>
                <a:cs typeface="Times New Roman" panose="02020603050405020304" pitchFamily="18" charset="0"/>
              </a:rPr>
              <a:t>CSR investments Comparison in Million</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Environmental Initiatives</c:v>
                </c:pt>
              </c:strCache>
            </c:strRef>
          </c:tx>
          <c:spPr>
            <a:solidFill>
              <a:schemeClr val="accent1"/>
            </a:solidFill>
            <a:ln>
              <a:noFill/>
            </a:ln>
            <a:effectLst/>
          </c:spPr>
          <c:invertIfNegative val="0"/>
          <c:cat>
            <c:strRef>
              <c:f>Sheet1!$A$2:$A$3</c:f>
              <c:strCache>
                <c:ptCount val="2"/>
                <c:pt idx="0">
                  <c:v>Marriott International</c:v>
                </c:pt>
                <c:pt idx="1">
                  <c:v>Hilton Hotels</c:v>
                </c:pt>
              </c:strCache>
            </c:strRef>
          </c:cat>
          <c:val>
            <c:numRef>
              <c:f>Sheet1!$B$2:$B$3</c:f>
              <c:numCache>
                <c:formatCode>General</c:formatCode>
                <c:ptCount val="2"/>
                <c:pt idx="0">
                  <c:v>50</c:v>
                </c:pt>
                <c:pt idx="1">
                  <c:v>35</c:v>
                </c:pt>
              </c:numCache>
            </c:numRef>
          </c:val>
          <c:extLst>
            <c:ext xmlns:c16="http://schemas.microsoft.com/office/drawing/2014/chart" uri="{C3380CC4-5D6E-409C-BE32-E72D297353CC}">
              <c16:uniqueId val="{00000000-5E4B-454A-BBA7-11B780F2A5F1}"/>
            </c:ext>
          </c:extLst>
        </c:ser>
        <c:ser>
          <c:idx val="1"/>
          <c:order val="1"/>
          <c:tx>
            <c:strRef>
              <c:f>Sheet1!$C$1</c:f>
              <c:strCache>
                <c:ptCount val="1"/>
                <c:pt idx="0">
                  <c:v>Community Developments</c:v>
                </c:pt>
              </c:strCache>
            </c:strRef>
          </c:tx>
          <c:spPr>
            <a:solidFill>
              <a:schemeClr val="accent2"/>
            </a:solidFill>
            <a:ln>
              <a:noFill/>
            </a:ln>
            <a:effectLst/>
          </c:spPr>
          <c:invertIfNegative val="0"/>
          <c:cat>
            <c:strRef>
              <c:f>Sheet1!$A$2:$A$3</c:f>
              <c:strCache>
                <c:ptCount val="2"/>
                <c:pt idx="0">
                  <c:v>Marriott International</c:v>
                </c:pt>
                <c:pt idx="1">
                  <c:v>Hilton Hotels</c:v>
                </c:pt>
              </c:strCache>
            </c:strRef>
          </c:cat>
          <c:val>
            <c:numRef>
              <c:f>Sheet1!$C$2:$C$3</c:f>
              <c:numCache>
                <c:formatCode>General</c:formatCode>
                <c:ptCount val="2"/>
                <c:pt idx="0">
                  <c:v>40</c:v>
                </c:pt>
                <c:pt idx="1">
                  <c:v>30</c:v>
                </c:pt>
              </c:numCache>
            </c:numRef>
          </c:val>
          <c:extLst>
            <c:ext xmlns:c16="http://schemas.microsoft.com/office/drawing/2014/chart" uri="{C3380CC4-5D6E-409C-BE32-E72D297353CC}">
              <c16:uniqueId val="{00000001-5E4B-454A-BBA7-11B780F2A5F1}"/>
            </c:ext>
          </c:extLst>
        </c:ser>
        <c:ser>
          <c:idx val="2"/>
          <c:order val="2"/>
          <c:tx>
            <c:strRef>
              <c:f>Sheet1!$D$1</c:f>
              <c:strCache>
                <c:ptCount val="1"/>
                <c:pt idx="0">
                  <c:v>Employee Welfare</c:v>
                </c:pt>
              </c:strCache>
            </c:strRef>
          </c:tx>
          <c:spPr>
            <a:solidFill>
              <a:schemeClr val="accent3"/>
            </a:solidFill>
            <a:ln>
              <a:noFill/>
            </a:ln>
            <a:effectLst/>
          </c:spPr>
          <c:invertIfNegative val="0"/>
          <c:cat>
            <c:strRef>
              <c:f>Sheet1!$A$2:$A$3</c:f>
              <c:strCache>
                <c:ptCount val="2"/>
                <c:pt idx="0">
                  <c:v>Marriott International</c:v>
                </c:pt>
                <c:pt idx="1">
                  <c:v>Hilton Hotels</c:v>
                </c:pt>
              </c:strCache>
            </c:strRef>
          </c:cat>
          <c:val>
            <c:numRef>
              <c:f>Sheet1!$D$2:$D$3</c:f>
              <c:numCache>
                <c:formatCode>General</c:formatCode>
                <c:ptCount val="2"/>
                <c:pt idx="0">
                  <c:v>30</c:v>
                </c:pt>
                <c:pt idx="1">
                  <c:v>25</c:v>
                </c:pt>
              </c:numCache>
            </c:numRef>
          </c:val>
          <c:extLst>
            <c:ext xmlns:c16="http://schemas.microsoft.com/office/drawing/2014/chart" uri="{C3380CC4-5D6E-409C-BE32-E72D297353CC}">
              <c16:uniqueId val="{00000002-5E4B-454A-BBA7-11B780F2A5F1}"/>
            </c:ext>
          </c:extLst>
        </c:ser>
        <c:ser>
          <c:idx val="3"/>
          <c:order val="3"/>
          <c:tx>
            <c:strRef>
              <c:f>Sheet1!$E$1</c:f>
              <c:strCache>
                <c:ptCount val="1"/>
                <c:pt idx="0">
                  <c:v>Diversity &amp; Inclusions</c:v>
                </c:pt>
              </c:strCache>
            </c:strRef>
          </c:tx>
          <c:spPr>
            <a:solidFill>
              <a:schemeClr val="accent4"/>
            </a:solidFill>
            <a:ln>
              <a:noFill/>
            </a:ln>
            <a:effectLst/>
          </c:spPr>
          <c:invertIfNegative val="0"/>
          <c:cat>
            <c:strRef>
              <c:f>Sheet1!$A$2:$A$3</c:f>
              <c:strCache>
                <c:ptCount val="2"/>
                <c:pt idx="0">
                  <c:v>Marriott International</c:v>
                </c:pt>
                <c:pt idx="1">
                  <c:v>Hilton Hotels</c:v>
                </c:pt>
              </c:strCache>
            </c:strRef>
          </c:cat>
          <c:val>
            <c:numRef>
              <c:f>Sheet1!$E$2:$E$3</c:f>
              <c:numCache>
                <c:formatCode>General</c:formatCode>
                <c:ptCount val="2"/>
                <c:pt idx="0">
                  <c:v>20</c:v>
                </c:pt>
                <c:pt idx="1">
                  <c:v>18</c:v>
                </c:pt>
              </c:numCache>
            </c:numRef>
          </c:val>
          <c:extLst>
            <c:ext xmlns:c16="http://schemas.microsoft.com/office/drawing/2014/chart" uri="{C3380CC4-5D6E-409C-BE32-E72D297353CC}">
              <c16:uniqueId val="{00000003-5E4B-454A-BBA7-11B780F2A5F1}"/>
            </c:ext>
          </c:extLst>
        </c:ser>
        <c:ser>
          <c:idx val="4"/>
          <c:order val="4"/>
          <c:tx>
            <c:strRef>
              <c:f>Sheet1!$F$1</c:f>
              <c:strCache>
                <c:ptCount val="1"/>
                <c:pt idx="0">
                  <c:v>Total CSR Investments</c:v>
                </c:pt>
              </c:strCache>
            </c:strRef>
          </c:tx>
          <c:spPr>
            <a:solidFill>
              <a:schemeClr val="accent5"/>
            </a:solidFill>
            <a:ln>
              <a:noFill/>
            </a:ln>
            <a:effectLst/>
          </c:spPr>
          <c:invertIfNegative val="0"/>
          <c:cat>
            <c:strRef>
              <c:f>Sheet1!$A$2:$A$3</c:f>
              <c:strCache>
                <c:ptCount val="2"/>
                <c:pt idx="0">
                  <c:v>Marriott International</c:v>
                </c:pt>
                <c:pt idx="1">
                  <c:v>Hilton Hotels</c:v>
                </c:pt>
              </c:strCache>
            </c:strRef>
          </c:cat>
          <c:val>
            <c:numRef>
              <c:f>Sheet1!$F$2:$F$3</c:f>
              <c:numCache>
                <c:formatCode>General</c:formatCode>
                <c:ptCount val="2"/>
                <c:pt idx="0">
                  <c:v>140</c:v>
                </c:pt>
                <c:pt idx="1">
                  <c:v>108</c:v>
                </c:pt>
              </c:numCache>
            </c:numRef>
          </c:val>
          <c:extLst>
            <c:ext xmlns:c16="http://schemas.microsoft.com/office/drawing/2014/chart" uri="{C3380CC4-5D6E-409C-BE32-E72D297353CC}">
              <c16:uniqueId val="{00000004-5E4B-454A-BBA7-11B780F2A5F1}"/>
            </c:ext>
          </c:extLst>
        </c:ser>
        <c:dLbls>
          <c:showLegendKey val="0"/>
          <c:showVal val="0"/>
          <c:showCatName val="0"/>
          <c:showSerName val="0"/>
          <c:showPercent val="0"/>
          <c:showBubbleSize val="0"/>
        </c:dLbls>
        <c:gapWidth val="219"/>
        <c:overlap val="-27"/>
        <c:axId val="40428015"/>
        <c:axId val="40433423"/>
      </c:barChart>
      <c:catAx>
        <c:axId val="40428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0433423"/>
        <c:crosses val="autoZero"/>
        <c:auto val="1"/>
        <c:lblAlgn val="ctr"/>
        <c:lblOffset val="100"/>
        <c:noMultiLvlLbl val="0"/>
      </c:catAx>
      <c:valAx>
        <c:axId val="40433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04280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B5C73-4DD5-46AF-AECF-6DF3E2920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2023-05-20T17:06:00Z</dcterms:created>
  <dcterms:modified xsi:type="dcterms:W3CDTF">2023-05-20T17:06:00Z</dcterms:modified>
</cp:coreProperties>
</file>