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A637D5" w:rsidRDefault="00A637D5">
      <w:pPr>
        <w:spacing w:after="200" w:line="360" w:lineRule="auto"/>
        <w:jc w:val="both"/>
        <w:rPr>
          <w:sz w:val="24"/>
          <w:szCs w:val="24"/>
        </w:rPr>
      </w:pPr>
    </w:p>
    <w:p w14:paraId="00000002" w14:textId="77777777" w:rsidR="00A637D5" w:rsidRDefault="00A637D5">
      <w:pPr>
        <w:spacing w:after="200" w:line="360" w:lineRule="auto"/>
        <w:jc w:val="center"/>
        <w:rPr>
          <w:rFonts w:ascii="Times New Roman" w:eastAsia="Times New Roman" w:hAnsi="Times New Roman" w:cs="Times New Roman"/>
          <w:b/>
          <w:sz w:val="32"/>
          <w:szCs w:val="32"/>
        </w:rPr>
      </w:pPr>
    </w:p>
    <w:p w14:paraId="00000003" w14:textId="77777777" w:rsidR="00A637D5" w:rsidRDefault="00A637D5">
      <w:pPr>
        <w:spacing w:after="200" w:line="360" w:lineRule="auto"/>
        <w:jc w:val="center"/>
        <w:rPr>
          <w:rFonts w:ascii="Times New Roman" w:eastAsia="Times New Roman" w:hAnsi="Times New Roman" w:cs="Times New Roman"/>
          <w:b/>
          <w:sz w:val="32"/>
          <w:szCs w:val="32"/>
        </w:rPr>
      </w:pPr>
    </w:p>
    <w:p w14:paraId="00000004" w14:textId="77777777" w:rsidR="00A637D5" w:rsidRDefault="00A637D5">
      <w:pPr>
        <w:spacing w:after="200" w:line="360" w:lineRule="auto"/>
        <w:jc w:val="center"/>
        <w:rPr>
          <w:rFonts w:ascii="Times New Roman" w:eastAsia="Times New Roman" w:hAnsi="Times New Roman" w:cs="Times New Roman"/>
          <w:b/>
          <w:sz w:val="32"/>
          <w:szCs w:val="32"/>
        </w:rPr>
      </w:pPr>
    </w:p>
    <w:p w14:paraId="00000005" w14:textId="77777777" w:rsidR="00A637D5" w:rsidRDefault="00A637D5">
      <w:pPr>
        <w:spacing w:after="200" w:line="360" w:lineRule="auto"/>
        <w:jc w:val="center"/>
        <w:rPr>
          <w:rFonts w:ascii="Times New Roman" w:eastAsia="Times New Roman" w:hAnsi="Times New Roman" w:cs="Times New Roman"/>
          <w:b/>
          <w:sz w:val="32"/>
          <w:szCs w:val="32"/>
        </w:rPr>
      </w:pPr>
    </w:p>
    <w:p w14:paraId="00000006" w14:textId="77777777" w:rsidR="00A637D5" w:rsidRPr="008F4654" w:rsidRDefault="00A637D5">
      <w:pPr>
        <w:spacing w:after="200" w:line="360" w:lineRule="auto"/>
        <w:jc w:val="center"/>
        <w:rPr>
          <w:rFonts w:eastAsia="Times New Roman"/>
          <w:b/>
          <w:sz w:val="32"/>
          <w:szCs w:val="32"/>
        </w:rPr>
      </w:pPr>
    </w:p>
    <w:p w14:paraId="00000007" w14:textId="77777777" w:rsidR="00A637D5" w:rsidRPr="008F4654" w:rsidRDefault="00A362D3">
      <w:pPr>
        <w:spacing w:after="200" w:line="360" w:lineRule="auto"/>
        <w:jc w:val="center"/>
        <w:rPr>
          <w:rFonts w:eastAsia="Times New Roman"/>
          <w:b/>
          <w:sz w:val="32"/>
          <w:szCs w:val="32"/>
        </w:rPr>
      </w:pPr>
      <w:r w:rsidRPr="008F4654">
        <w:rPr>
          <w:rFonts w:eastAsia="Times New Roman"/>
          <w:b/>
          <w:sz w:val="32"/>
          <w:szCs w:val="32"/>
        </w:rPr>
        <w:t>Module Code- BMIH4002</w:t>
      </w:r>
    </w:p>
    <w:p w14:paraId="00000008" w14:textId="77777777" w:rsidR="00A637D5" w:rsidRPr="008F4654" w:rsidRDefault="00A362D3">
      <w:pPr>
        <w:spacing w:before="240" w:after="240" w:line="360" w:lineRule="auto"/>
        <w:jc w:val="center"/>
        <w:rPr>
          <w:rFonts w:eastAsia="Times New Roman"/>
          <w:b/>
          <w:sz w:val="32"/>
          <w:szCs w:val="32"/>
        </w:rPr>
      </w:pPr>
      <w:r w:rsidRPr="008F4654">
        <w:rPr>
          <w:rFonts w:eastAsia="Times New Roman"/>
          <w:b/>
          <w:sz w:val="32"/>
          <w:szCs w:val="32"/>
        </w:rPr>
        <w:t>Module Name- Food &amp; Beverage Operations</w:t>
      </w:r>
    </w:p>
    <w:p w14:paraId="0000000A" w14:textId="4DD2A538" w:rsidR="00A637D5" w:rsidRPr="008F4654" w:rsidRDefault="00A362D3">
      <w:pPr>
        <w:spacing w:before="240" w:after="240" w:line="360" w:lineRule="auto"/>
        <w:jc w:val="center"/>
        <w:rPr>
          <w:rFonts w:eastAsia="Times New Roman"/>
          <w:b/>
          <w:sz w:val="32"/>
          <w:szCs w:val="32"/>
        </w:rPr>
      </w:pPr>
      <w:r w:rsidRPr="008F4654">
        <w:rPr>
          <w:rFonts w:eastAsia="Times New Roman"/>
          <w:b/>
          <w:sz w:val="32"/>
          <w:szCs w:val="32"/>
        </w:rPr>
        <w:t xml:space="preserve">Assignment Title -  Student Journal </w:t>
      </w:r>
    </w:p>
    <w:p w14:paraId="0000000B" w14:textId="77777777" w:rsidR="00A637D5" w:rsidRPr="008F4654" w:rsidRDefault="00A362D3">
      <w:pPr>
        <w:spacing w:before="240" w:after="240" w:line="360" w:lineRule="auto"/>
        <w:jc w:val="center"/>
        <w:rPr>
          <w:rFonts w:eastAsia="Times New Roman"/>
          <w:b/>
          <w:sz w:val="32"/>
          <w:szCs w:val="32"/>
        </w:rPr>
      </w:pPr>
      <w:r w:rsidRPr="008F4654">
        <w:rPr>
          <w:rFonts w:eastAsia="Times New Roman"/>
          <w:b/>
          <w:sz w:val="32"/>
          <w:szCs w:val="32"/>
        </w:rPr>
        <w:t xml:space="preserve">       Word Count- 750</w:t>
      </w:r>
    </w:p>
    <w:p w14:paraId="0000000C" w14:textId="067E6397" w:rsidR="00A637D5" w:rsidRPr="008F4654" w:rsidRDefault="00A362D3">
      <w:pPr>
        <w:spacing w:before="240" w:after="240" w:line="360" w:lineRule="auto"/>
        <w:jc w:val="center"/>
        <w:rPr>
          <w:rFonts w:eastAsia="Times New Roman"/>
          <w:b/>
          <w:sz w:val="32"/>
          <w:szCs w:val="32"/>
        </w:rPr>
      </w:pPr>
      <w:r w:rsidRPr="008F4654">
        <w:rPr>
          <w:rFonts w:eastAsia="Times New Roman"/>
          <w:b/>
          <w:sz w:val="32"/>
          <w:szCs w:val="32"/>
        </w:rPr>
        <w:t xml:space="preserve"> Student </w:t>
      </w:r>
      <w:r w:rsidR="00801585">
        <w:rPr>
          <w:rFonts w:eastAsia="Times New Roman"/>
          <w:b/>
          <w:sz w:val="32"/>
          <w:szCs w:val="32"/>
        </w:rPr>
        <w:t>ID 2120180</w:t>
      </w:r>
    </w:p>
    <w:p w14:paraId="0000000D" w14:textId="336B6C91" w:rsidR="00A637D5" w:rsidRDefault="00A362D3">
      <w:pPr>
        <w:spacing w:before="240" w:after="240" w:line="360" w:lineRule="auto"/>
        <w:jc w:val="center"/>
        <w:rPr>
          <w:rFonts w:eastAsia="Times New Roman"/>
          <w:b/>
          <w:sz w:val="32"/>
          <w:szCs w:val="32"/>
        </w:rPr>
      </w:pPr>
      <w:r w:rsidRPr="008F4654">
        <w:rPr>
          <w:rFonts w:eastAsia="Times New Roman"/>
          <w:b/>
          <w:sz w:val="32"/>
          <w:szCs w:val="32"/>
        </w:rPr>
        <w:t xml:space="preserve"> Student Name-</w:t>
      </w:r>
      <w:r w:rsidR="00801585">
        <w:rPr>
          <w:rFonts w:eastAsia="Times New Roman"/>
          <w:b/>
          <w:sz w:val="32"/>
          <w:szCs w:val="32"/>
        </w:rPr>
        <w:t xml:space="preserve"> Voja Sajn</w:t>
      </w:r>
    </w:p>
    <w:p w14:paraId="3B30B3D1" w14:textId="44D84E4B" w:rsidR="00C00E9E" w:rsidRDefault="00A92F2A">
      <w:pPr>
        <w:spacing w:before="240" w:after="240" w:line="360" w:lineRule="auto"/>
        <w:jc w:val="center"/>
        <w:rPr>
          <w:rFonts w:eastAsia="Times New Roman"/>
          <w:b/>
          <w:sz w:val="32"/>
          <w:szCs w:val="32"/>
        </w:rPr>
      </w:pPr>
      <w:r>
        <w:rPr>
          <w:rFonts w:eastAsia="Times New Roman"/>
          <w:b/>
          <w:sz w:val="32"/>
          <w:szCs w:val="32"/>
        </w:rPr>
        <w:t>Tutor</w:t>
      </w:r>
      <w:r w:rsidR="00D7539C">
        <w:rPr>
          <w:rFonts w:eastAsia="Times New Roman"/>
          <w:b/>
          <w:sz w:val="32"/>
          <w:szCs w:val="32"/>
        </w:rPr>
        <w:t>:</w:t>
      </w:r>
      <w:r w:rsidR="00A82281">
        <w:rPr>
          <w:rFonts w:eastAsia="Times New Roman"/>
          <w:b/>
          <w:sz w:val="32"/>
          <w:szCs w:val="32"/>
        </w:rPr>
        <w:t xml:space="preserve"> </w:t>
      </w:r>
      <w:r w:rsidR="0087191E">
        <w:rPr>
          <w:rFonts w:eastAsia="Times New Roman"/>
          <w:b/>
          <w:sz w:val="32"/>
          <w:szCs w:val="32"/>
        </w:rPr>
        <w:t xml:space="preserve">Ffion </w:t>
      </w:r>
      <w:r w:rsidR="00082F76">
        <w:rPr>
          <w:rFonts w:eastAsia="Times New Roman"/>
          <w:b/>
          <w:sz w:val="32"/>
          <w:szCs w:val="32"/>
        </w:rPr>
        <w:t>Cumberpatch</w:t>
      </w:r>
    </w:p>
    <w:p w14:paraId="17C31E3B" w14:textId="77777777" w:rsidR="00C00E9E" w:rsidRPr="008F4654" w:rsidRDefault="00C00E9E">
      <w:pPr>
        <w:spacing w:before="240" w:after="240" w:line="360" w:lineRule="auto"/>
        <w:jc w:val="center"/>
        <w:rPr>
          <w:rFonts w:eastAsia="Times New Roman"/>
          <w:b/>
          <w:sz w:val="32"/>
          <w:szCs w:val="32"/>
        </w:rPr>
      </w:pPr>
    </w:p>
    <w:p w14:paraId="0000000E" w14:textId="77777777" w:rsidR="00A637D5" w:rsidRDefault="00A637D5">
      <w:pPr>
        <w:spacing w:after="200" w:line="360" w:lineRule="auto"/>
        <w:jc w:val="both"/>
        <w:rPr>
          <w:sz w:val="24"/>
          <w:szCs w:val="24"/>
        </w:rPr>
      </w:pPr>
    </w:p>
    <w:p w14:paraId="0000000F" w14:textId="77777777" w:rsidR="00A637D5" w:rsidRDefault="00A637D5">
      <w:pPr>
        <w:spacing w:after="200" w:line="360" w:lineRule="auto"/>
        <w:jc w:val="both"/>
        <w:rPr>
          <w:sz w:val="24"/>
          <w:szCs w:val="24"/>
        </w:rPr>
      </w:pPr>
    </w:p>
    <w:p w14:paraId="00000010" w14:textId="77777777" w:rsidR="00A637D5" w:rsidRDefault="00A362D3">
      <w:pPr>
        <w:spacing w:after="200" w:line="360" w:lineRule="auto"/>
        <w:jc w:val="both"/>
        <w:rPr>
          <w:sz w:val="24"/>
          <w:szCs w:val="24"/>
        </w:rPr>
      </w:pPr>
      <w:r>
        <w:br w:type="page"/>
      </w:r>
    </w:p>
    <w:p w14:paraId="00000011" w14:textId="77777777" w:rsidR="00A637D5" w:rsidRPr="00F217DF" w:rsidRDefault="00A362D3">
      <w:pPr>
        <w:spacing w:after="200" w:line="360" w:lineRule="auto"/>
        <w:jc w:val="both"/>
        <w:rPr>
          <w:b/>
          <w:sz w:val="24"/>
          <w:szCs w:val="24"/>
        </w:rPr>
      </w:pPr>
      <w:r w:rsidRPr="00F217DF">
        <w:rPr>
          <w:b/>
          <w:sz w:val="24"/>
          <w:szCs w:val="24"/>
        </w:rPr>
        <w:t xml:space="preserve">Learning Log </w:t>
      </w:r>
    </w:p>
    <w:p w14:paraId="00000012" w14:textId="77777777" w:rsidR="00A637D5" w:rsidRDefault="00A362D3">
      <w:pPr>
        <w:spacing w:after="200" w:line="360" w:lineRule="auto"/>
        <w:jc w:val="both"/>
        <w:rPr>
          <w:sz w:val="24"/>
          <w:szCs w:val="24"/>
        </w:rPr>
      </w:pPr>
      <w:r>
        <w:rPr>
          <w:sz w:val="24"/>
          <w:szCs w:val="24"/>
        </w:rPr>
        <w:t>Topic of Choice Allergies and Intolerances and the importance within the industry</w:t>
      </w:r>
    </w:p>
    <w:p w14:paraId="00000013" w14:textId="77777777" w:rsidR="00A637D5" w:rsidRPr="00F217DF" w:rsidRDefault="00A362D3">
      <w:pPr>
        <w:spacing w:after="200" w:line="360" w:lineRule="auto"/>
        <w:jc w:val="both"/>
        <w:rPr>
          <w:b/>
          <w:sz w:val="24"/>
          <w:szCs w:val="24"/>
        </w:rPr>
      </w:pPr>
      <w:r w:rsidRPr="00F217DF">
        <w:rPr>
          <w:b/>
          <w:sz w:val="24"/>
          <w:szCs w:val="24"/>
        </w:rPr>
        <w:t xml:space="preserve">Date Completed: </w:t>
      </w:r>
    </w:p>
    <w:p w14:paraId="00000014" w14:textId="28D93695" w:rsidR="00A637D5" w:rsidRDefault="00A362D3">
      <w:pPr>
        <w:spacing w:after="200" w:line="360" w:lineRule="auto"/>
        <w:jc w:val="both"/>
        <w:rPr>
          <w:sz w:val="24"/>
          <w:szCs w:val="24"/>
        </w:rPr>
      </w:pPr>
      <w:r>
        <w:rPr>
          <w:sz w:val="24"/>
          <w:szCs w:val="24"/>
        </w:rPr>
        <w:t>In the present hotel and other related industries, allergen management has become a rising concern among different services presented by them. There are different kinds of allergies among customers that need to be taken care of. One of the main sources of allergies is the food and food processing made available by hotels, restaurants, and others. Food allergies are the natural response of the immune system of the human body that triggers different symptoms that affect different organ systems of the body like the respiratory tract, skin, gastric system, and many more (</w:t>
      </w:r>
      <w:r>
        <w:rPr>
          <w:sz w:val="24"/>
          <w:szCs w:val="24"/>
          <w:highlight w:val="white"/>
        </w:rPr>
        <w:t xml:space="preserve">Gargano </w:t>
      </w:r>
      <w:r>
        <w:rPr>
          <w:i/>
          <w:sz w:val="24"/>
          <w:szCs w:val="24"/>
          <w:highlight w:val="white"/>
        </w:rPr>
        <w:t>et al.</w:t>
      </w:r>
      <w:r>
        <w:rPr>
          <w:sz w:val="24"/>
          <w:szCs w:val="24"/>
          <w:highlight w:val="white"/>
        </w:rPr>
        <w:t>, 2021)</w:t>
      </w:r>
      <w:r>
        <w:rPr>
          <w:sz w:val="24"/>
          <w:szCs w:val="24"/>
        </w:rPr>
        <w:t>. The sensitivity can be different for separate individuals, as some people can consume food with allergens, while others are highly sensitive and need to be extremely cautious about the food they consume. In t</w:t>
      </w:r>
      <w:r w:rsidR="00F217DF">
        <w:rPr>
          <w:sz w:val="24"/>
          <w:szCs w:val="24"/>
        </w:rPr>
        <w:t xml:space="preserve">he course of Hotel Management, </w:t>
      </w:r>
      <w:r>
        <w:rPr>
          <w:sz w:val="24"/>
          <w:szCs w:val="24"/>
        </w:rPr>
        <w:t xml:space="preserve">I have learned the importance of allergens and their measures within the hospitality industry. </w:t>
      </w:r>
    </w:p>
    <w:p w14:paraId="00000015" w14:textId="77777777" w:rsidR="00A637D5" w:rsidRDefault="00A362D3">
      <w:pPr>
        <w:spacing w:after="200" w:line="360" w:lineRule="auto"/>
        <w:jc w:val="both"/>
        <w:rPr>
          <w:sz w:val="24"/>
          <w:szCs w:val="24"/>
        </w:rPr>
      </w:pPr>
      <w:r>
        <w:rPr>
          <w:sz w:val="24"/>
          <w:szCs w:val="24"/>
        </w:rPr>
        <w:t>Individuals are generally allergic to some common products or ingredients used in food like Celery, Eggs, Milk, Nuts, sulphates, and others (</w:t>
      </w:r>
      <w:r>
        <w:rPr>
          <w:sz w:val="24"/>
          <w:szCs w:val="24"/>
          <w:highlight w:val="white"/>
        </w:rPr>
        <w:t xml:space="preserve">Katidi </w:t>
      </w:r>
      <w:r>
        <w:rPr>
          <w:i/>
          <w:sz w:val="24"/>
          <w:szCs w:val="24"/>
          <w:highlight w:val="white"/>
        </w:rPr>
        <w:t>et al.</w:t>
      </w:r>
      <w:r>
        <w:rPr>
          <w:sz w:val="24"/>
          <w:szCs w:val="24"/>
          <w:highlight w:val="white"/>
        </w:rPr>
        <w:t>, 2022)</w:t>
      </w:r>
      <w:r>
        <w:rPr>
          <w:sz w:val="24"/>
          <w:szCs w:val="24"/>
        </w:rPr>
        <w:t>. Food allergies have become more common in the UK. Hence awareness of common allergies is necessary for both the industry and the customers to avoid different health problems. Allergies and Intolerances are indeed essential for the managers of hospitality institutions to regulate from the perspective of customer safety and all the legal obligations placed by the government and International organisations (</w:t>
      </w:r>
      <w:r>
        <w:rPr>
          <w:sz w:val="24"/>
          <w:szCs w:val="24"/>
          <w:highlight w:val="white"/>
        </w:rPr>
        <w:t xml:space="preserve">Jankovic </w:t>
      </w:r>
      <w:r>
        <w:rPr>
          <w:i/>
          <w:sz w:val="24"/>
          <w:szCs w:val="24"/>
          <w:highlight w:val="white"/>
        </w:rPr>
        <w:t>et al.</w:t>
      </w:r>
      <w:r>
        <w:rPr>
          <w:sz w:val="24"/>
          <w:szCs w:val="24"/>
          <w:highlight w:val="white"/>
        </w:rPr>
        <w:t>, 2019)</w:t>
      </w:r>
      <w:r>
        <w:rPr>
          <w:sz w:val="24"/>
          <w:szCs w:val="24"/>
        </w:rPr>
        <w:t xml:space="preserve">. From theoretical studies in the present course, I have learned different measures that can be taken regarding allergies and intolerances of customers. </w:t>
      </w:r>
    </w:p>
    <w:p w14:paraId="00000016" w14:textId="77777777" w:rsidR="00A637D5" w:rsidRDefault="00A362D3">
      <w:pPr>
        <w:spacing w:after="200" w:line="360" w:lineRule="auto"/>
        <w:jc w:val="both"/>
        <w:rPr>
          <w:sz w:val="24"/>
          <w:szCs w:val="24"/>
        </w:rPr>
      </w:pPr>
      <w:r>
        <w:rPr>
          <w:sz w:val="24"/>
          <w:szCs w:val="24"/>
        </w:rPr>
        <w:t>There are safety measures and mandates imposed by the EU and adopted by the UK to set up the food processing and restaurant industry (</w:t>
      </w:r>
      <w:proofErr w:type="spellStart"/>
      <w:r>
        <w:rPr>
          <w:sz w:val="24"/>
          <w:szCs w:val="24"/>
          <w:highlight w:val="white"/>
        </w:rPr>
        <w:t>Aleksić</w:t>
      </w:r>
      <w:proofErr w:type="spellEnd"/>
      <w:r>
        <w:rPr>
          <w:sz w:val="24"/>
          <w:szCs w:val="24"/>
          <w:highlight w:val="white"/>
        </w:rPr>
        <w:t xml:space="preserve"> </w:t>
      </w:r>
      <w:r>
        <w:rPr>
          <w:i/>
          <w:sz w:val="24"/>
          <w:szCs w:val="24"/>
          <w:highlight w:val="white"/>
        </w:rPr>
        <w:t>et al.</w:t>
      </w:r>
      <w:r>
        <w:rPr>
          <w:sz w:val="24"/>
          <w:szCs w:val="24"/>
          <w:highlight w:val="white"/>
        </w:rPr>
        <w:t>, 2020)</w:t>
      </w:r>
      <w:r>
        <w:rPr>
          <w:sz w:val="24"/>
          <w:szCs w:val="24"/>
        </w:rPr>
        <w:t xml:space="preserve">. The staff and the interns are trained accordingly by the management and the people responsible so that they can abide by them. Certain food regulations state that the customer has the responsibility of providing information on what allergies or intolerances they suffer from. But the service providers are equally responsible for offering customers accurate and relevant information about the ingredients to their customers. </w:t>
      </w:r>
    </w:p>
    <w:p w14:paraId="00000017" w14:textId="77777777" w:rsidR="00A637D5" w:rsidRDefault="00A362D3">
      <w:pPr>
        <w:spacing w:after="200" w:line="360" w:lineRule="auto"/>
        <w:jc w:val="both"/>
        <w:rPr>
          <w:sz w:val="24"/>
          <w:szCs w:val="24"/>
        </w:rPr>
      </w:pPr>
      <w:r>
        <w:rPr>
          <w:sz w:val="24"/>
          <w:szCs w:val="24"/>
        </w:rPr>
        <w:t>The rules and regulations are different for different preparations and packaging. Prepacked food is food covered partially or wholly. The rules state that information on Common allergic and other ingredients must be available on the packaging material and highlighted for the customers to notice (</w:t>
      </w:r>
      <w:proofErr w:type="spellStart"/>
      <w:r>
        <w:rPr>
          <w:sz w:val="24"/>
          <w:szCs w:val="24"/>
          <w:highlight w:val="white"/>
        </w:rPr>
        <w:t>Blom</w:t>
      </w:r>
      <w:proofErr w:type="spellEnd"/>
      <w:r>
        <w:rPr>
          <w:sz w:val="24"/>
          <w:szCs w:val="24"/>
          <w:highlight w:val="white"/>
        </w:rPr>
        <w:t xml:space="preserve"> </w:t>
      </w:r>
      <w:r>
        <w:rPr>
          <w:i/>
          <w:sz w:val="24"/>
          <w:szCs w:val="24"/>
          <w:highlight w:val="white"/>
        </w:rPr>
        <w:t>et al.</w:t>
      </w:r>
      <w:r>
        <w:rPr>
          <w:sz w:val="24"/>
          <w:szCs w:val="24"/>
          <w:highlight w:val="white"/>
        </w:rPr>
        <w:t>, 2021)</w:t>
      </w:r>
      <w:r>
        <w:rPr>
          <w:sz w:val="24"/>
          <w:szCs w:val="24"/>
        </w:rPr>
        <w:t xml:space="preserve">. If the food is prepared and packaged on the same premises, then there must be labels attached to the packets stating the ingredients with information on allergens. The EU regulations also have rules for non-prepared food like bread, cheese, or items in restaurants. It requires the allergen information to be present somewhere visible like chalkboards or menus, which the customers can easily spot. </w:t>
      </w:r>
    </w:p>
    <w:p w14:paraId="00000018" w14:textId="77777777" w:rsidR="00A637D5" w:rsidRDefault="00A362D3">
      <w:pPr>
        <w:spacing w:after="200" w:line="360" w:lineRule="auto"/>
        <w:jc w:val="both"/>
        <w:rPr>
          <w:sz w:val="24"/>
          <w:szCs w:val="24"/>
        </w:rPr>
      </w:pPr>
      <w:r>
        <w:rPr>
          <w:sz w:val="24"/>
          <w:szCs w:val="24"/>
        </w:rPr>
        <w:t>There are measures taught in the Hotel Management course that briefly discuss how allergen management can be made possible in the Kitchen section of catering companies and businesses related to hospitality. Most establishments follow a record-keeping system of logbooks with information on the products used for different dishes. The allergens are highlighted in those logbooks. Separate containing measures are also used for those specific ingredients. There are other risks of managing ingredients like Cross-contamination. It can happen when one food comes in contact with another during preparation or other means (</w:t>
      </w:r>
      <w:r>
        <w:rPr>
          <w:sz w:val="24"/>
          <w:szCs w:val="24"/>
          <w:highlight w:val="white"/>
        </w:rPr>
        <w:t>Parrish, 2018)</w:t>
      </w:r>
      <w:r>
        <w:rPr>
          <w:sz w:val="24"/>
          <w:szCs w:val="24"/>
        </w:rPr>
        <w:t>. Avoiding this is one of the main priorities considered by the industry. Certain methods are implemented to reduce the risk of cross-contact. Separate use and continuous cleaning of utensils to remove allergens, using sectional work surfaces, and many more. It can also occur from using common products like oils and this must also be avoided to reduce cross-contamination.</w:t>
      </w:r>
    </w:p>
    <w:p w14:paraId="00000019" w14:textId="77777777" w:rsidR="00A637D5" w:rsidRDefault="00A362D3">
      <w:pPr>
        <w:spacing w:after="200" w:line="360" w:lineRule="auto"/>
        <w:jc w:val="both"/>
        <w:rPr>
          <w:sz w:val="24"/>
          <w:szCs w:val="24"/>
        </w:rPr>
      </w:pPr>
      <w:r>
        <w:rPr>
          <w:sz w:val="24"/>
          <w:szCs w:val="24"/>
        </w:rPr>
        <w:t>There are other types of intolerances in the form of Non-Food allergens. There are common sources of allergens except for food items like Medication, Latex, Insect Bites, Pollens, and others. Certain anaphylactic reactions occur from consuming medication made of different antibiotics or regular consumption of the same medicines. Latex is another material that can develop allergies in people who are frequently exposed to it (</w:t>
      </w:r>
      <w:r>
        <w:rPr>
          <w:sz w:val="24"/>
          <w:szCs w:val="24"/>
          <w:highlight w:val="white"/>
        </w:rPr>
        <w:t>Mason and Rosa, 2022)</w:t>
      </w:r>
      <w:r>
        <w:rPr>
          <w:sz w:val="24"/>
          <w:szCs w:val="24"/>
        </w:rPr>
        <w:t xml:space="preserve">. They may have associations with the rubber or latex business. Insect stings from bees, hornets, ants and others are one of the most problematic allergies to develop. Other allergies also include pollen. Hotels and other businesses in the hospitality sector are suggested to take special care in those aspects. </w:t>
      </w:r>
    </w:p>
    <w:p w14:paraId="0000001A" w14:textId="77777777" w:rsidR="00A637D5" w:rsidRDefault="00A362D3">
      <w:pPr>
        <w:spacing w:after="200" w:line="360" w:lineRule="auto"/>
        <w:jc w:val="both"/>
        <w:rPr>
          <w:sz w:val="24"/>
          <w:szCs w:val="24"/>
        </w:rPr>
      </w:pPr>
      <w:r>
        <w:rPr>
          <w:sz w:val="24"/>
          <w:szCs w:val="24"/>
        </w:rPr>
        <w:t xml:space="preserve">All the above facts and information are taught in the Hotel Management courses, but there are some observations and suggestions from my point of view. The reception and the waiters must cross-question with politeness about the medical and allergic conditions of the customers to avoid unfortunate allergic incidents. I think a separate kitchen with other staff must be appointed for orders from customers having allergies. </w:t>
      </w:r>
    </w:p>
    <w:p w14:paraId="0000001B" w14:textId="77777777" w:rsidR="00A637D5" w:rsidRDefault="00A362D3">
      <w:pPr>
        <w:spacing w:after="200" w:line="360" w:lineRule="auto"/>
        <w:jc w:val="both"/>
        <w:rPr>
          <w:b/>
          <w:sz w:val="24"/>
          <w:szCs w:val="24"/>
        </w:rPr>
      </w:pPr>
      <w:r>
        <w:br w:type="page"/>
      </w:r>
    </w:p>
    <w:p w14:paraId="0000001C" w14:textId="77777777" w:rsidR="00A637D5" w:rsidRDefault="00A362D3">
      <w:pPr>
        <w:spacing w:after="200" w:line="360" w:lineRule="auto"/>
        <w:jc w:val="both"/>
        <w:rPr>
          <w:b/>
          <w:sz w:val="24"/>
          <w:szCs w:val="24"/>
        </w:rPr>
      </w:pPr>
      <w:r>
        <w:rPr>
          <w:b/>
          <w:sz w:val="24"/>
          <w:szCs w:val="24"/>
        </w:rPr>
        <w:t xml:space="preserve">References </w:t>
      </w:r>
    </w:p>
    <w:p w14:paraId="0000001D" w14:textId="6C37B786" w:rsidR="00A637D5" w:rsidRDefault="00A362D3">
      <w:pPr>
        <w:spacing w:after="200" w:line="360" w:lineRule="auto"/>
        <w:jc w:val="both"/>
        <w:rPr>
          <w:color w:val="0000FF"/>
          <w:sz w:val="24"/>
          <w:szCs w:val="24"/>
        </w:rPr>
      </w:pPr>
      <w:proofErr w:type="spellStart"/>
      <w:r>
        <w:rPr>
          <w:sz w:val="24"/>
          <w:szCs w:val="24"/>
          <w:highlight w:val="white"/>
        </w:rPr>
        <w:t>Aleksić</w:t>
      </w:r>
      <w:proofErr w:type="spellEnd"/>
      <w:r>
        <w:rPr>
          <w:sz w:val="24"/>
          <w:szCs w:val="24"/>
          <w:highlight w:val="white"/>
        </w:rPr>
        <w:t>, M., Popov-</w:t>
      </w:r>
      <w:proofErr w:type="spellStart"/>
      <w:r>
        <w:rPr>
          <w:sz w:val="24"/>
          <w:szCs w:val="24"/>
          <w:highlight w:val="white"/>
        </w:rPr>
        <w:t>Raljić</w:t>
      </w:r>
      <w:proofErr w:type="spellEnd"/>
      <w:r>
        <w:rPr>
          <w:sz w:val="24"/>
          <w:szCs w:val="24"/>
          <w:highlight w:val="white"/>
        </w:rPr>
        <w:t xml:space="preserve">, J., </w:t>
      </w:r>
      <w:proofErr w:type="spellStart"/>
      <w:r>
        <w:rPr>
          <w:sz w:val="24"/>
          <w:szCs w:val="24"/>
          <w:highlight w:val="white"/>
        </w:rPr>
        <w:t>Đorđević</w:t>
      </w:r>
      <w:proofErr w:type="spellEnd"/>
      <w:r>
        <w:rPr>
          <w:sz w:val="24"/>
          <w:szCs w:val="24"/>
          <w:highlight w:val="white"/>
        </w:rPr>
        <w:t xml:space="preserve">, V., </w:t>
      </w:r>
      <w:proofErr w:type="spellStart"/>
      <w:r>
        <w:rPr>
          <w:sz w:val="24"/>
          <w:szCs w:val="24"/>
          <w:highlight w:val="white"/>
        </w:rPr>
        <w:t>Rašeta</w:t>
      </w:r>
      <w:proofErr w:type="spellEnd"/>
      <w:r>
        <w:rPr>
          <w:sz w:val="24"/>
          <w:szCs w:val="24"/>
          <w:highlight w:val="white"/>
        </w:rPr>
        <w:t xml:space="preserve">, M., </w:t>
      </w:r>
      <w:proofErr w:type="spellStart"/>
      <w:r>
        <w:rPr>
          <w:sz w:val="24"/>
          <w:szCs w:val="24"/>
          <w:highlight w:val="white"/>
        </w:rPr>
        <w:t>Lukić</w:t>
      </w:r>
      <w:proofErr w:type="spellEnd"/>
      <w:r>
        <w:rPr>
          <w:sz w:val="24"/>
          <w:szCs w:val="24"/>
          <w:highlight w:val="white"/>
        </w:rPr>
        <w:t xml:space="preserve">, M., </w:t>
      </w:r>
      <w:proofErr w:type="spellStart"/>
      <w:r>
        <w:rPr>
          <w:sz w:val="24"/>
          <w:szCs w:val="24"/>
          <w:highlight w:val="white"/>
        </w:rPr>
        <w:t>Spirić</w:t>
      </w:r>
      <w:proofErr w:type="spellEnd"/>
      <w:r>
        <w:rPr>
          <w:sz w:val="24"/>
          <w:szCs w:val="24"/>
          <w:highlight w:val="white"/>
        </w:rPr>
        <w:t xml:space="preserve">, D. and </w:t>
      </w:r>
      <w:proofErr w:type="spellStart"/>
      <w:r>
        <w:rPr>
          <w:sz w:val="24"/>
          <w:szCs w:val="24"/>
          <w:highlight w:val="white"/>
        </w:rPr>
        <w:t>Janković</w:t>
      </w:r>
      <w:proofErr w:type="spellEnd"/>
      <w:r>
        <w:rPr>
          <w:sz w:val="24"/>
          <w:szCs w:val="24"/>
          <w:highlight w:val="white"/>
        </w:rPr>
        <w:t xml:space="preserve">, V., 2020. Control of nutritive allergens in a hospitality kitchen. </w:t>
      </w:r>
      <w:r>
        <w:rPr>
          <w:i/>
          <w:sz w:val="24"/>
          <w:szCs w:val="24"/>
          <w:highlight w:val="white"/>
        </w:rPr>
        <w:t>Scientific journal" Meat Technology"</w:t>
      </w:r>
      <w:r>
        <w:rPr>
          <w:sz w:val="24"/>
          <w:szCs w:val="24"/>
          <w:highlight w:val="white"/>
        </w:rPr>
        <w:t xml:space="preserve">, </w:t>
      </w:r>
      <w:r>
        <w:rPr>
          <w:i/>
          <w:sz w:val="24"/>
          <w:szCs w:val="24"/>
          <w:highlight w:val="white"/>
        </w:rPr>
        <w:t>61</w:t>
      </w:r>
      <w:r>
        <w:rPr>
          <w:sz w:val="24"/>
          <w:szCs w:val="24"/>
          <w:highlight w:val="white"/>
        </w:rPr>
        <w:t xml:space="preserve">(1), pp.75-81. </w:t>
      </w:r>
    </w:p>
    <w:p w14:paraId="0000001E" w14:textId="30887CC7" w:rsidR="00A637D5" w:rsidRDefault="00A362D3">
      <w:pPr>
        <w:spacing w:after="200" w:line="360" w:lineRule="auto"/>
        <w:jc w:val="both"/>
        <w:rPr>
          <w:color w:val="0000FF"/>
          <w:sz w:val="24"/>
          <w:szCs w:val="24"/>
        </w:rPr>
      </w:pPr>
      <w:proofErr w:type="spellStart"/>
      <w:r>
        <w:rPr>
          <w:sz w:val="24"/>
          <w:szCs w:val="24"/>
          <w:highlight w:val="white"/>
        </w:rPr>
        <w:t>Blom</w:t>
      </w:r>
      <w:proofErr w:type="spellEnd"/>
      <w:r>
        <w:rPr>
          <w:sz w:val="24"/>
          <w:szCs w:val="24"/>
          <w:highlight w:val="white"/>
        </w:rPr>
        <w:t xml:space="preserve">, W.M., van </w:t>
      </w:r>
      <w:proofErr w:type="spellStart"/>
      <w:r>
        <w:rPr>
          <w:sz w:val="24"/>
          <w:szCs w:val="24"/>
          <w:highlight w:val="white"/>
        </w:rPr>
        <w:t>Dijk</w:t>
      </w:r>
      <w:proofErr w:type="spellEnd"/>
      <w:r>
        <w:rPr>
          <w:sz w:val="24"/>
          <w:szCs w:val="24"/>
          <w:highlight w:val="white"/>
        </w:rPr>
        <w:t xml:space="preserve">, L.M., Michelsen‐Huisman, A., </w:t>
      </w:r>
      <w:proofErr w:type="spellStart"/>
      <w:r>
        <w:rPr>
          <w:sz w:val="24"/>
          <w:szCs w:val="24"/>
          <w:highlight w:val="white"/>
        </w:rPr>
        <w:t>Houben</w:t>
      </w:r>
      <w:proofErr w:type="spellEnd"/>
      <w:r>
        <w:rPr>
          <w:sz w:val="24"/>
          <w:szCs w:val="24"/>
          <w:highlight w:val="white"/>
        </w:rPr>
        <w:t xml:space="preserve">, G.F., </w:t>
      </w:r>
      <w:proofErr w:type="spellStart"/>
      <w:r>
        <w:rPr>
          <w:sz w:val="24"/>
          <w:szCs w:val="24"/>
          <w:highlight w:val="white"/>
        </w:rPr>
        <w:t>Knulst</w:t>
      </w:r>
      <w:proofErr w:type="spellEnd"/>
      <w:r>
        <w:rPr>
          <w:sz w:val="24"/>
          <w:szCs w:val="24"/>
          <w:highlight w:val="white"/>
        </w:rPr>
        <w:t xml:space="preserve">, A.C., </w:t>
      </w:r>
      <w:proofErr w:type="spellStart"/>
      <w:r>
        <w:rPr>
          <w:sz w:val="24"/>
          <w:szCs w:val="24"/>
          <w:highlight w:val="white"/>
        </w:rPr>
        <w:t>Linders</w:t>
      </w:r>
      <w:proofErr w:type="spellEnd"/>
      <w:r>
        <w:rPr>
          <w:sz w:val="24"/>
          <w:szCs w:val="24"/>
          <w:highlight w:val="white"/>
        </w:rPr>
        <w:t xml:space="preserve">, Y.F., </w:t>
      </w:r>
      <w:proofErr w:type="spellStart"/>
      <w:r>
        <w:rPr>
          <w:sz w:val="24"/>
          <w:szCs w:val="24"/>
          <w:highlight w:val="white"/>
        </w:rPr>
        <w:t>Verhoeckx</w:t>
      </w:r>
      <w:proofErr w:type="spellEnd"/>
      <w:r>
        <w:rPr>
          <w:sz w:val="24"/>
          <w:szCs w:val="24"/>
          <w:highlight w:val="white"/>
        </w:rPr>
        <w:t xml:space="preserve">, K.C., Holleman, B.C. and Lentz, L.R., 2021. Allergen labelling: current practice and improvement from a communication perspective. </w:t>
      </w:r>
      <w:r>
        <w:rPr>
          <w:i/>
          <w:sz w:val="24"/>
          <w:szCs w:val="24"/>
          <w:highlight w:val="white"/>
        </w:rPr>
        <w:t>Clinical &amp; Experimental Allergy</w:t>
      </w:r>
      <w:r>
        <w:rPr>
          <w:sz w:val="24"/>
          <w:szCs w:val="24"/>
          <w:highlight w:val="white"/>
        </w:rPr>
        <w:t xml:space="preserve">, </w:t>
      </w:r>
      <w:r>
        <w:rPr>
          <w:i/>
          <w:sz w:val="24"/>
          <w:szCs w:val="24"/>
          <w:highlight w:val="white"/>
        </w:rPr>
        <w:t>51</w:t>
      </w:r>
      <w:r>
        <w:rPr>
          <w:sz w:val="24"/>
          <w:szCs w:val="24"/>
          <w:highlight w:val="white"/>
        </w:rPr>
        <w:t xml:space="preserve">(4), pp.574-584. </w:t>
      </w:r>
    </w:p>
    <w:p w14:paraId="0000001F" w14:textId="7F27A3BF" w:rsidR="00A637D5" w:rsidRDefault="00A362D3">
      <w:pPr>
        <w:spacing w:after="200" w:line="360" w:lineRule="auto"/>
        <w:jc w:val="both"/>
        <w:rPr>
          <w:color w:val="0000FF"/>
          <w:sz w:val="24"/>
          <w:szCs w:val="24"/>
        </w:rPr>
      </w:pPr>
      <w:r>
        <w:rPr>
          <w:sz w:val="24"/>
          <w:szCs w:val="24"/>
          <w:highlight w:val="white"/>
        </w:rPr>
        <w:t xml:space="preserve">Gargano, D., </w:t>
      </w:r>
      <w:proofErr w:type="spellStart"/>
      <w:r>
        <w:rPr>
          <w:sz w:val="24"/>
          <w:szCs w:val="24"/>
          <w:highlight w:val="white"/>
        </w:rPr>
        <w:t>Appanna</w:t>
      </w:r>
      <w:proofErr w:type="spellEnd"/>
      <w:r>
        <w:rPr>
          <w:sz w:val="24"/>
          <w:szCs w:val="24"/>
          <w:highlight w:val="white"/>
        </w:rPr>
        <w:t xml:space="preserve">, R., </w:t>
      </w:r>
      <w:proofErr w:type="spellStart"/>
      <w:r>
        <w:rPr>
          <w:sz w:val="24"/>
          <w:szCs w:val="24"/>
          <w:highlight w:val="white"/>
        </w:rPr>
        <w:t>Santonicola</w:t>
      </w:r>
      <w:proofErr w:type="spellEnd"/>
      <w:r>
        <w:rPr>
          <w:sz w:val="24"/>
          <w:szCs w:val="24"/>
          <w:highlight w:val="white"/>
        </w:rPr>
        <w:t xml:space="preserve">, A., De </w:t>
      </w:r>
      <w:proofErr w:type="spellStart"/>
      <w:r>
        <w:rPr>
          <w:sz w:val="24"/>
          <w:szCs w:val="24"/>
          <w:highlight w:val="white"/>
        </w:rPr>
        <w:t>Bartolomeis</w:t>
      </w:r>
      <w:proofErr w:type="spellEnd"/>
      <w:r>
        <w:rPr>
          <w:sz w:val="24"/>
          <w:szCs w:val="24"/>
          <w:highlight w:val="white"/>
        </w:rPr>
        <w:t xml:space="preserve">, F., </w:t>
      </w:r>
      <w:proofErr w:type="spellStart"/>
      <w:r>
        <w:rPr>
          <w:sz w:val="24"/>
          <w:szCs w:val="24"/>
          <w:highlight w:val="white"/>
        </w:rPr>
        <w:t>Stellato</w:t>
      </w:r>
      <w:proofErr w:type="spellEnd"/>
      <w:r>
        <w:rPr>
          <w:sz w:val="24"/>
          <w:szCs w:val="24"/>
          <w:highlight w:val="white"/>
        </w:rPr>
        <w:t xml:space="preserve">, C., </w:t>
      </w:r>
      <w:proofErr w:type="spellStart"/>
      <w:r>
        <w:rPr>
          <w:sz w:val="24"/>
          <w:szCs w:val="24"/>
          <w:highlight w:val="white"/>
        </w:rPr>
        <w:t>Cianferoni</w:t>
      </w:r>
      <w:proofErr w:type="spellEnd"/>
      <w:r>
        <w:rPr>
          <w:sz w:val="24"/>
          <w:szCs w:val="24"/>
          <w:highlight w:val="white"/>
        </w:rPr>
        <w:t xml:space="preserve">, A., </w:t>
      </w:r>
      <w:proofErr w:type="spellStart"/>
      <w:r>
        <w:rPr>
          <w:sz w:val="24"/>
          <w:szCs w:val="24"/>
          <w:highlight w:val="white"/>
        </w:rPr>
        <w:t>Casolaro</w:t>
      </w:r>
      <w:proofErr w:type="spellEnd"/>
      <w:r>
        <w:rPr>
          <w:sz w:val="24"/>
          <w:szCs w:val="24"/>
          <w:highlight w:val="white"/>
        </w:rPr>
        <w:t xml:space="preserve">, V. and Iovino, P., 2021. Food allergy and intolerance: A narrative review on nutritional concerns. </w:t>
      </w:r>
      <w:r>
        <w:rPr>
          <w:i/>
          <w:sz w:val="24"/>
          <w:szCs w:val="24"/>
          <w:highlight w:val="white"/>
        </w:rPr>
        <w:t>Nutrients</w:t>
      </w:r>
      <w:r>
        <w:rPr>
          <w:sz w:val="24"/>
          <w:szCs w:val="24"/>
          <w:highlight w:val="white"/>
        </w:rPr>
        <w:t xml:space="preserve">, </w:t>
      </w:r>
      <w:r>
        <w:rPr>
          <w:i/>
          <w:sz w:val="24"/>
          <w:szCs w:val="24"/>
          <w:highlight w:val="white"/>
        </w:rPr>
        <w:t>13</w:t>
      </w:r>
      <w:r>
        <w:rPr>
          <w:sz w:val="24"/>
          <w:szCs w:val="24"/>
          <w:highlight w:val="white"/>
        </w:rPr>
        <w:t xml:space="preserve">(5), p.1638. </w:t>
      </w:r>
    </w:p>
    <w:p w14:paraId="00000020" w14:textId="2EC1E534" w:rsidR="00A637D5" w:rsidRDefault="00A362D3">
      <w:pPr>
        <w:spacing w:after="200" w:line="360" w:lineRule="auto"/>
        <w:jc w:val="both"/>
        <w:rPr>
          <w:color w:val="0000FF"/>
          <w:sz w:val="24"/>
          <w:szCs w:val="24"/>
          <w:highlight w:val="white"/>
        </w:rPr>
      </w:pPr>
      <w:proofErr w:type="spellStart"/>
      <w:r>
        <w:rPr>
          <w:sz w:val="24"/>
          <w:szCs w:val="24"/>
          <w:highlight w:val="white"/>
        </w:rPr>
        <w:t>Jankovic</w:t>
      </w:r>
      <w:proofErr w:type="spellEnd"/>
      <w:r>
        <w:rPr>
          <w:sz w:val="24"/>
          <w:szCs w:val="24"/>
          <w:highlight w:val="white"/>
        </w:rPr>
        <w:t xml:space="preserve">, V.V., </w:t>
      </w:r>
      <w:proofErr w:type="spellStart"/>
      <w:r>
        <w:rPr>
          <w:sz w:val="24"/>
          <w:szCs w:val="24"/>
          <w:highlight w:val="white"/>
        </w:rPr>
        <w:t>Raljic</w:t>
      </w:r>
      <w:proofErr w:type="spellEnd"/>
      <w:r>
        <w:rPr>
          <w:sz w:val="24"/>
          <w:szCs w:val="24"/>
          <w:highlight w:val="white"/>
        </w:rPr>
        <w:t xml:space="preserve">, J.P., </w:t>
      </w:r>
      <w:proofErr w:type="spellStart"/>
      <w:r>
        <w:rPr>
          <w:sz w:val="24"/>
          <w:szCs w:val="24"/>
          <w:highlight w:val="white"/>
        </w:rPr>
        <w:t>Mitrovic</w:t>
      </w:r>
      <w:proofErr w:type="spellEnd"/>
      <w:r>
        <w:rPr>
          <w:sz w:val="24"/>
          <w:szCs w:val="24"/>
          <w:highlight w:val="white"/>
        </w:rPr>
        <w:t xml:space="preserve">, R.R., </w:t>
      </w:r>
      <w:proofErr w:type="spellStart"/>
      <w:r>
        <w:rPr>
          <w:sz w:val="24"/>
          <w:szCs w:val="24"/>
          <w:highlight w:val="white"/>
        </w:rPr>
        <w:t>Velebit</w:t>
      </w:r>
      <w:proofErr w:type="spellEnd"/>
      <w:r>
        <w:rPr>
          <w:sz w:val="24"/>
          <w:szCs w:val="24"/>
          <w:highlight w:val="white"/>
        </w:rPr>
        <w:t xml:space="preserve">, B.M., </w:t>
      </w:r>
      <w:proofErr w:type="spellStart"/>
      <w:r>
        <w:rPr>
          <w:sz w:val="24"/>
          <w:szCs w:val="24"/>
          <w:highlight w:val="white"/>
        </w:rPr>
        <w:t>Lakicevic</w:t>
      </w:r>
      <w:proofErr w:type="spellEnd"/>
      <w:r>
        <w:rPr>
          <w:sz w:val="24"/>
          <w:szCs w:val="24"/>
          <w:highlight w:val="white"/>
        </w:rPr>
        <w:t xml:space="preserve">, B.Z. and </w:t>
      </w:r>
      <w:proofErr w:type="spellStart"/>
      <w:r>
        <w:rPr>
          <w:sz w:val="24"/>
          <w:szCs w:val="24"/>
          <w:highlight w:val="white"/>
        </w:rPr>
        <w:t>Milojevic</w:t>
      </w:r>
      <w:proofErr w:type="spellEnd"/>
      <w:r>
        <w:rPr>
          <w:sz w:val="24"/>
          <w:szCs w:val="24"/>
          <w:highlight w:val="white"/>
        </w:rPr>
        <w:t xml:space="preserve">, L.Z., 2019, September. Managing allergies in food service. In </w:t>
      </w:r>
      <w:r>
        <w:rPr>
          <w:i/>
          <w:sz w:val="24"/>
          <w:szCs w:val="24"/>
          <w:highlight w:val="white"/>
        </w:rPr>
        <w:t>IOP Conference Series: Earth and Environmental Science</w:t>
      </w:r>
      <w:r>
        <w:rPr>
          <w:sz w:val="24"/>
          <w:szCs w:val="24"/>
          <w:highlight w:val="white"/>
        </w:rPr>
        <w:t xml:space="preserve"> (Vol. 333, No. 1, p. 012040). IOP Publishing. </w:t>
      </w:r>
    </w:p>
    <w:p w14:paraId="00000021" w14:textId="5F82B775" w:rsidR="00A637D5" w:rsidRDefault="00A362D3">
      <w:pPr>
        <w:spacing w:after="200" w:line="360" w:lineRule="auto"/>
        <w:jc w:val="both"/>
        <w:rPr>
          <w:color w:val="0000FF"/>
          <w:sz w:val="24"/>
          <w:szCs w:val="24"/>
          <w:highlight w:val="white"/>
        </w:rPr>
      </w:pPr>
      <w:proofErr w:type="spellStart"/>
      <w:r>
        <w:rPr>
          <w:sz w:val="24"/>
          <w:szCs w:val="24"/>
          <w:highlight w:val="white"/>
        </w:rPr>
        <w:t>Katidi</w:t>
      </w:r>
      <w:proofErr w:type="spellEnd"/>
      <w:r>
        <w:rPr>
          <w:sz w:val="24"/>
          <w:szCs w:val="24"/>
          <w:highlight w:val="white"/>
        </w:rPr>
        <w:t xml:space="preserve">, A., </w:t>
      </w:r>
      <w:proofErr w:type="spellStart"/>
      <w:r>
        <w:rPr>
          <w:sz w:val="24"/>
          <w:szCs w:val="24"/>
          <w:highlight w:val="white"/>
        </w:rPr>
        <w:t>Vlassopoulos</w:t>
      </w:r>
      <w:proofErr w:type="spellEnd"/>
      <w:r>
        <w:rPr>
          <w:sz w:val="24"/>
          <w:szCs w:val="24"/>
          <w:highlight w:val="white"/>
        </w:rPr>
        <w:t xml:space="preserve">, A., </w:t>
      </w:r>
      <w:proofErr w:type="spellStart"/>
      <w:r>
        <w:rPr>
          <w:sz w:val="24"/>
          <w:szCs w:val="24"/>
          <w:highlight w:val="white"/>
        </w:rPr>
        <w:t>Xanthopoulou</w:t>
      </w:r>
      <w:proofErr w:type="spellEnd"/>
      <w:r>
        <w:rPr>
          <w:sz w:val="24"/>
          <w:szCs w:val="24"/>
          <w:highlight w:val="white"/>
        </w:rPr>
        <w:t xml:space="preserve">, S., </w:t>
      </w:r>
      <w:proofErr w:type="spellStart"/>
      <w:r>
        <w:rPr>
          <w:sz w:val="24"/>
          <w:szCs w:val="24"/>
          <w:highlight w:val="white"/>
        </w:rPr>
        <w:t>Boutopoulou</w:t>
      </w:r>
      <w:proofErr w:type="spellEnd"/>
      <w:r>
        <w:rPr>
          <w:sz w:val="24"/>
          <w:szCs w:val="24"/>
          <w:highlight w:val="white"/>
        </w:rPr>
        <w:t xml:space="preserve">, B., </w:t>
      </w:r>
      <w:proofErr w:type="spellStart"/>
      <w:r>
        <w:rPr>
          <w:sz w:val="24"/>
          <w:szCs w:val="24"/>
          <w:highlight w:val="white"/>
        </w:rPr>
        <w:t>Moriki</w:t>
      </w:r>
      <w:proofErr w:type="spellEnd"/>
      <w:r>
        <w:rPr>
          <w:sz w:val="24"/>
          <w:szCs w:val="24"/>
          <w:highlight w:val="white"/>
        </w:rPr>
        <w:t xml:space="preserve">, D., </w:t>
      </w:r>
      <w:proofErr w:type="spellStart"/>
      <w:r>
        <w:rPr>
          <w:sz w:val="24"/>
          <w:szCs w:val="24"/>
          <w:highlight w:val="white"/>
        </w:rPr>
        <w:t>Sardeli</w:t>
      </w:r>
      <w:proofErr w:type="spellEnd"/>
      <w:r>
        <w:rPr>
          <w:sz w:val="24"/>
          <w:szCs w:val="24"/>
          <w:highlight w:val="white"/>
        </w:rPr>
        <w:t xml:space="preserve">, O., </w:t>
      </w:r>
      <w:proofErr w:type="spellStart"/>
      <w:r>
        <w:rPr>
          <w:sz w:val="24"/>
          <w:szCs w:val="24"/>
          <w:highlight w:val="white"/>
        </w:rPr>
        <w:t>Rufián</w:t>
      </w:r>
      <w:proofErr w:type="spellEnd"/>
      <w:r>
        <w:rPr>
          <w:sz w:val="24"/>
          <w:szCs w:val="24"/>
          <w:highlight w:val="white"/>
        </w:rPr>
        <w:t xml:space="preserve">-Henares, J.Á., </w:t>
      </w:r>
      <w:proofErr w:type="spellStart"/>
      <w:r>
        <w:rPr>
          <w:sz w:val="24"/>
          <w:szCs w:val="24"/>
          <w:highlight w:val="white"/>
        </w:rPr>
        <w:t>Douros</w:t>
      </w:r>
      <w:proofErr w:type="spellEnd"/>
      <w:r>
        <w:rPr>
          <w:sz w:val="24"/>
          <w:szCs w:val="24"/>
          <w:highlight w:val="white"/>
        </w:rPr>
        <w:t xml:space="preserve">, K. and </w:t>
      </w:r>
      <w:proofErr w:type="spellStart"/>
      <w:r>
        <w:rPr>
          <w:sz w:val="24"/>
          <w:szCs w:val="24"/>
          <w:highlight w:val="white"/>
        </w:rPr>
        <w:t>Kapsokefalou</w:t>
      </w:r>
      <w:proofErr w:type="spellEnd"/>
      <w:r>
        <w:rPr>
          <w:sz w:val="24"/>
          <w:szCs w:val="24"/>
          <w:highlight w:val="white"/>
        </w:rPr>
        <w:t xml:space="preserve">, M., 2022. The Expansion of the Hellenic Food Thesaurus; Allergens Labelling and Allergens-Free Claims on Greek Branded Food Products. </w:t>
      </w:r>
      <w:r>
        <w:rPr>
          <w:i/>
          <w:sz w:val="24"/>
          <w:szCs w:val="24"/>
          <w:highlight w:val="white"/>
        </w:rPr>
        <w:t>Nutrients</w:t>
      </w:r>
      <w:r>
        <w:rPr>
          <w:sz w:val="24"/>
          <w:szCs w:val="24"/>
          <w:highlight w:val="white"/>
        </w:rPr>
        <w:t xml:space="preserve">, </w:t>
      </w:r>
      <w:r>
        <w:rPr>
          <w:i/>
          <w:sz w:val="24"/>
          <w:szCs w:val="24"/>
          <w:highlight w:val="white"/>
        </w:rPr>
        <w:t>14</w:t>
      </w:r>
      <w:r>
        <w:rPr>
          <w:sz w:val="24"/>
          <w:szCs w:val="24"/>
          <w:highlight w:val="white"/>
        </w:rPr>
        <w:t xml:space="preserve">(16), p.3421. </w:t>
      </w:r>
    </w:p>
    <w:p w14:paraId="00000022" w14:textId="34C4ECDB" w:rsidR="00A637D5" w:rsidRDefault="00A362D3">
      <w:pPr>
        <w:spacing w:after="200" w:line="360" w:lineRule="auto"/>
        <w:jc w:val="both"/>
        <w:rPr>
          <w:color w:val="0000FF"/>
          <w:sz w:val="24"/>
          <w:szCs w:val="24"/>
        </w:rPr>
      </w:pPr>
      <w:r>
        <w:rPr>
          <w:sz w:val="24"/>
          <w:szCs w:val="24"/>
          <w:highlight w:val="white"/>
        </w:rPr>
        <w:t xml:space="preserve">Mason, H. and Rosa, I., 2022. Latex Allergens in the Ear Straps of Face Coverings and Masks in the UK: Initial Findings. </w:t>
      </w:r>
      <w:r>
        <w:rPr>
          <w:i/>
          <w:sz w:val="24"/>
          <w:szCs w:val="24"/>
          <w:highlight w:val="white"/>
        </w:rPr>
        <w:t>COVID</w:t>
      </w:r>
      <w:r>
        <w:rPr>
          <w:sz w:val="24"/>
          <w:szCs w:val="24"/>
          <w:highlight w:val="white"/>
        </w:rPr>
        <w:t xml:space="preserve">, </w:t>
      </w:r>
      <w:r>
        <w:rPr>
          <w:i/>
          <w:sz w:val="24"/>
          <w:szCs w:val="24"/>
          <w:highlight w:val="white"/>
        </w:rPr>
        <w:t>2</w:t>
      </w:r>
      <w:r>
        <w:rPr>
          <w:sz w:val="24"/>
          <w:szCs w:val="24"/>
          <w:highlight w:val="white"/>
        </w:rPr>
        <w:t xml:space="preserve">(7), pp.907-915. </w:t>
      </w:r>
    </w:p>
    <w:p w14:paraId="00000023" w14:textId="01BF4FE0" w:rsidR="00A637D5" w:rsidRDefault="00A362D3">
      <w:pPr>
        <w:spacing w:after="200" w:line="360" w:lineRule="auto"/>
        <w:jc w:val="both"/>
        <w:rPr>
          <w:color w:val="0000FF"/>
          <w:sz w:val="24"/>
          <w:szCs w:val="24"/>
          <w:highlight w:val="white"/>
        </w:rPr>
      </w:pPr>
      <w:r>
        <w:rPr>
          <w:sz w:val="24"/>
          <w:szCs w:val="24"/>
          <w:highlight w:val="white"/>
        </w:rPr>
        <w:t xml:space="preserve">Parrish, C.P., 2018. Management of peanut allergy: a focus on novel immunotherapies. </w:t>
      </w:r>
      <w:r>
        <w:rPr>
          <w:i/>
          <w:sz w:val="24"/>
          <w:szCs w:val="24"/>
          <w:highlight w:val="white"/>
        </w:rPr>
        <w:t xml:space="preserve">Am J </w:t>
      </w:r>
      <w:proofErr w:type="spellStart"/>
      <w:r>
        <w:rPr>
          <w:i/>
          <w:sz w:val="24"/>
          <w:szCs w:val="24"/>
          <w:highlight w:val="white"/>
        </w:rPr>
        <w:t>Manag</w:t>
      </w:r>
      <w:proofErr w:type="spellEnd"/>
      <w:r>
        <w:rPr>
          <w:i/>
          <w:sz w:val="24"/>
          <w:szCs w:val="24"/>
          <w:highlight w:val="white"/>
        </w:rPr>
        <w:t xml:space="preserve"> Care</w:t>
      </w:r>
      <w:r>
        <w:rPr>
          <w:sz w:val="24"/>
          <w:szCs w:val="24"/>
          <w:highlight w:val="white"/>
        </w:rPr>
        <w:t xml:space="preserve">, </w:t>
      </w:r>
      <w:r>
        <w:rPr>
          <w:i/>
          <w:sz w:val="24"/>
          <w:szCs w:val="24"/>
          <w:highlight w:val="white"/>
        </w:rPr>
        <w:t>24</w:t>
      </w:r>
      <w:r>
        <w:rPr>
          <w:sz w:val="24"/>
          <w:szCs w:val="24"/>
          <w:highlight w:val="white"/>
        </w:rPr>
        <w:t xml:space="preserve">(19 </w:t>
      </w:r>
      <w:proofErr w:type="spellStart"/>
      <w:r>
        <w:rPr>
          <w:sz w:val="24"/>
          <w:szCs w:val="24"/>
          <w:highlight w:val="white"/>
        </w:rPr>
        <w:t>Suppl</w:t>
      </w:r>
      <w:proofErr w:type="spellEnd"/>
      <w:r>
        <w:rPr>
          <w:sz w:val="24"/>
          <w:szCs w:val="24"/>
          <w:highlight w:val="white"/>
        </w:rPr>
        <w:t xml:space="preserve">), pp.S419-S427. Available at: </w:t>
      </w:r>
    </w:p>
    <w:p w14:paraId="00000024" w14:textId="77777777" w:rsidR="00A637D5" w:rsidRDefault="00A637D5">
      <w:pPr>
        <w:widowControl w:val="0"/>
        <w:pBdr>
          <w:top w:val="nil"/>
          <w:left w:val="nil"/>
          <w:bottom w:val="nil"/>
          <w:right w:val="nil"/>
          <w:between w:val="nil"/>
        </w:pBdr>
        <w:rPr>
          <w:sz w:val="24"/>
          <w:szCs w:val="24"/>
        </w:rPr>
      </w:pPr>
    </w:p>
    <w:sectPr w:rsidR="00A637D5" w:rsidSect="00F217DF">
      <w:footerReference w:type="default" r:id="rId7"/>
      <w:footerReference w:type="firs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A89E1F" w14:textId="77777777" w:rsidR="00AB56E9" w:rsidRDefault="00AB56E9">
      <w:pPr>
        <w:spacing w:line="240" w:lineRule="auto"/>
      </w:pPr>
      <w:r>
        <w:separator/>
      </w:r>
    </w:p>
  </w:endnote>
  <w:endnote w:type="continuationSeparator" w:id="0">
    <w:p w14:paraId="2BE2AD08" w14:textId="77777777" w:rsidR="00AB56E9" w:rsidRDefault="00AB56E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6" w14:textId="2DAA1CDD" w:rsidR="00A637D5" w:rsidRDefault="00A362D3">
    <w:pPr>
      <w:jc w:val="right"/>
    </w:pPr>
    <w:r>
      <w:fldChar w:fldCharType="begin"/>
    </w:r>
    <w:r>
      <w:instrText>PAGE</w:instrText>
    </w:r>
    <w:r>
      <w:fldChar w:fldCharType="separate"/>
    </w:r>
    <w:r w:rsidR="00F217DF">
      <w:rPr>
        <w:noProof/>
      </w:rPr>
      <w:t>6</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7" w14:textId="35BA7EB0" w:rsidR="00A637D5" w:rsidRDefault="00A362D3">
    <w:pPr>
      <w:ind w:left="9360"/>
    </w:pPr>
    <w:r>
      <w:fldChar w:fldCharType="begin"/>
    </w:r>
    <w:r>
      <w:instrText>PAGE</w:instrText>
    </w:r>
    <w:r>
      <w:fldChar w:fldCharType="separate"/>
    </w:r>
    <w:r w:rsidR="00F217DF">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A860E3" w14:textId="77777777" w:rsidR="00AB56E9" w:rsidRDefault="00AB56E9">
      <w:pPr>
        <w:spacing w:line="240" w:lineRule="auto"/>
      </w:pPr>
      <w:r>
        <w:separator/>
      </w:r>
    </w:p>
  </w:footnote>
  <w:footnote w:type="continuationSeparator" w:id="0">
    <w:p w14:paraId="44A4545A" w14:textId="77777777" w:rsidR="00AB56E9" w:rsidRDefault="00AB56E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proofState w:spelling="clean"/>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37D5"/>
    <w:rsid w:val="00015A2F"/>
    <w:rsid w:val="00082F76"/>
    <w:rsid w:val="00453122"/>
    <w:rsid w:val="00516F3F"/>
    <w:rsid w:val="006E0995"/>
    <w:rsid w:val="007C6428"/>
    <w:rsid w:val="00801585"/>
    <w:rsid w:val="00815C94"/>
    <w:rsid w:val="0087191E"/>
    <w:rsid w:val="008F4654"/>
    <w:rsid w:val="00A362D3"/>
    <w:rsid w:val="00A637D5"/>
    <w:rsid w:val="00A82281"/>
    <w:rsid w:val="00A92F2A"/>
    <w:rsid w:val="00AB56E9"/>
    <w:rsid w:val="00C00E9E"/>
    <w:rsid w:val="00D7539C"/>
    <w:rsid w:val="00F217D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D064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tulo1">
    <w:name w:val="heading 1"/>
    <w:basedOn w:val="Normal"/>
    <w:next w:val="Normal"/>
    <w:pPr>
      <w:keepNext/>
      <w:keepLines/>
      <w:spacing w:before="400" w:after="120"/>
      <w:outlineLvl w:val="0"/>
    </w:pPr>
    <w:rPr>
      <w:sz w:val="40"/>
      <w:szCs w:val="40"/>
    </w:rPr>
  </w:style>
  <w:style w:type="paragraph" w:styleId="Ttulo2">
    <w:name w:val="heading 2"/>
    <w:basedOn w:val="Normal"/>
    <w:next w:val="Normal"/>
    <w:pPr>
      <w:keepNext/>
      <w:keepLines/>
      <w:spacing w:before="360" w:after="120"/>
      <w:outlineLvl w:val="1"/>
    </w:pPr>
    <w:rPr>
      <w:sz w:val="32"/>
      <w:szCs w:val="32"/>
    </w:rPr>
  </w:style>
  <w:style w:type="paragraph" w:styleId="Ttulo3">
    <w:name w:val="heading 3"/>
    <w:basedOn w:val="Normal"/>
    <w:next w:val="Normal"/>
    <w:pPr>
      <w:keepNext/>
      <w:keepLines/>
      <w:spacing w:before="320" w:after="80"/>
      <w:outlineLvl w:val="2"/>
    </w:pPr>
    <w:rPr>
      <w:color w:val="434343"/>
      <w:sz w:val="28"/>
      <w:szCs w:val="28"/>
    </w:rPr>
  </w:style>
  <w:style w:type="paragraph" w:styleId="Ttulo4">
    <w:name w:val="heading 4"/>
    <w:basedOn w:val="Normal"/>
    <w:next w:val="Normal"/>
    <w:pPr>
      <w:keepNext/>
      <w:keepLines/>
      <w:spacing w:before="280" w:after="80"/>
      <w:outlineLvl w:val="3"/>
    </w:pPr>
    <w:rPr>
      <w:color w:val="666666"/>
      <w:sz w:val="24"/>
      <w:szCs w:val="24"/>
    </w:rPr>
  </w:style>
  <w:style w:type="paragraph" w:styleId="Ttulo5">
    <w:name w:val="heading 5"/>
    <w:basedOn w:val="Normal"/>
    <w:next w:val="Normal"/>
    <w:pPr>
      <w:keepNext/>
      <w:keepLines/>
      <w:spacing w:before="240" w:after="80"/>
      <w:outlineLvl w:val="4"/>
    </w:pPr>
    <w:rPr>
      <w:color w:val="666666"/>
    </w:rPr>
  </w:style>
  <w:style w:type="paragraph" w:styleId="Ttulo6">
    <w:name w:val="heading 6"/>
    <w:basedOn w:val="Normal"/>
    <w:next w:val="Normal"/>
    <w:pPr>
      <w:keepNext/>
      <w:keepLines/>
      <w:spacing w:before="240" w:after="80"/>
      <w:outlineLvl w:val="5"/>
    </w:pPr>
    <w:rPr>
      <w:i/>
      <w:color w:val="666666"/>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Ttulo">
    <w:name w:val="Title"/>
    <w:basedOn w:val="Normal"/>
    <w:next w:val="Normal"/>
    <w:pPr>
      <w:keepNext/>
      <w:keepLines/>
      <w:spacing w:after="60"/>
    </w:pPr>
    <w:rPr>
      <w:sz w:val="52"/>
      <w:szCs w:val="52"/>
    </w:rPr>
  </w:style>
  <w:style w:type="paragraph" w:styleId="Subttulo">
    <w:name w:val="Subtitle"/>
    <w:basedOn w:val="Normal"/>
    <w:next w:val="Normal"/>
    <w:pPr>
      <w:keepNext/>
      <w:keepLines/>
      <w:spacing w:after="320"/>
    </w:pPr>
    <w:rPr>
      <w:color w:val="666666"/>
      <w:sz w:val="30"/>
      <w:szCs w:val="30"/>
    </w:rPr>
  </w:style>
  <w:style w:type="paragraph" w:styleId="Encabezado">
    <w:name w:val="header"/>
    <w:basedOn w:val="Normal"/>
    <w:link w:val="EncabezadoCar"/>
    <w:uiPriority w:val="99"/>
    <w:unhideWhenUsed/>
    <w:rsid w:val="008F4654"/>
    <w:pPr>
      <w:tabs>
        <w:tab w:val="center" w:pos="4513"/>
        <w:tab w:val="right" w:pos="9026"/>
      </w:tabs>
      <w:spacing w:line="240" w:lineRule="auto"/>
    </w:pPr>
  </w:style>
  <w:style w:type="character" w:customStyle="1" w:styleId="EncabezadoCar">
    <w:name w:val="Encabezado Car"/>
    <w:basedOn w:val="Fuentedeprrafopredeter"/>
    <w:link w:val="Encabezado"/>
    <w:uiPriority w:val="99"/>
    <w:rsid w:val="008F4654"/>
  </w:style>
  <w:style w:type="paragraph" w:styleId="Piedepgina">
    <w:name w:val="footer"/>
    <w:basedOn w:val="Normal"/>
    <w:link w:val="PiedepginaCar"/>
    <w:uiPriority w:val="99"/>
    <w:unhideWhenUsed/>
    <w:rsid w:val="008F4654"/>
    <w:pPr>
      <w:tabs>
        <w:tab w:val="center" w:pos="4513"/>
        <w:tab w:val="right" w:pos="9026"/>
      </w:tabs>
      <w:spacing w:line="240" w:lineRule="auto"/>
    </w:pPr>
  </w:style>
  <w:style w:type="character" w:customStyle="1" w:styleId="PiedepginaCar">
    <w:name w:val="Pie de página Car"/>
    <w:basedOn w:val="Fuentedeprrafopredeter"/>
    <w:link w:val="Piedepgina"/>
    <w:uiPriority w:val="99"/>
    <w:rsid w:val="008F4654"/>
  </w:style>
  <w:style w:type="character" w:styleId="Hipervnculo">
    <w:name w:val="Hyperlink"/>
    <w:basedOn w:val="Fuentedeprrafopredeter"/>
    <w:uiPriority w:val="99"/>
    <w:unhideWhenUsed/>
    <w:rsid w:val="00801585"/>
    <w:rPr>
      <w:color w:val="0000FF" w:themeColor="hyperlink"/>
      <w:u w:val="single"/>
    </w:rPr>
  </w:style>
  <w:style w:type="character" w:styleId="Mencinsinresolver">
    <w:name w:val="Unresolved Mention"/>
    <w:basedOn w:val="Fuentedeprrafopredeter"/>
    <w:uiPriority w:val="99"/>
    <w:semiHidden/>
    <w:unhideWhenUsed/>
    <w:rsid w:val="008015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2.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DehVTCuE6/by4z/n5cw9hYi69XA==">AMUW2mXY/zHMDo0pUeOvcaCV+J6oMT3hLcqcJE59LLwkjahJkty4pYxqYteJg1vuT5S4uXIEJ0PJ4D0eZlO7DrfuoRGeLQ+x2c+Aq98GEk6Kgy73x3YKoaM=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1090</Words>
  <Characters>5999</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2022-10-27T13:08:00Z</dcterms:created>
  <dcterms:modified xsi:type="dcterms:W3CDTF">2022-10-27T13:08:00Z</dcterms:modified>
</cp:coreProperties>
</file>