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674CF35" w:rsidR="7908378C" w:rsidRDefault="7908378C" w:rsidP="33572C6E">
            <w:pPr>
              <w:ind w:right="237"/>
              <w:rPr>
                <w:b/>
                <w:bCs/>
                <w:color w:val="auto"/>
                <w:sz w:val="32"/>
                <w:szCs w:val="32"/>
              </w:rPr>
            </w:pPr>
            <w:r w:rsidRPr="33572C6E">
              <w:rPr>
                <w:b/>
                <w:bCs/>
                <w:color w:val="auto"/>
                <w:sz w:val="32"/>
                <w:szCs w:val="32"/>
              </w:rPr>
              <w:t xml:space="preserve">Learner name: </w:t>
            </w:r>
            <w:r w:rsidR="009278EC">
              <w:rPr>
                <w:b/>
                <w:bCs/>
                <w:color w:val="auto"/>
                <w:sz w:val="32"/>
                <w:szCs w:val="32"/>
              </w:rPr>
              <w:t>Liam Finan</w:t>
            </w:r>
          </w:p>
          <w:p w14:paraId="3A3A802D" w14:textId="77777777" w:rsidR="33572C6E" w:rsidRDefault="33572C6E" w:rsidP="33572C6E">
            <w:pPr>
              <w:ind w:right="237"/>
              <w:rPr>
                <w:b/>
                <w:bCs/>
                <w:color w:val="auto"/>
                <w:sz w:val="32"/>
                <w:szCs w:val="32"/>
              </w:rPr>
            </w:pPr>
          </w:p>
          <w:p w14:paraId="7883A53E" w14:textId="694DA96C" w:rsidR="7908378C" w:rsidRDefault="7908378C" w:rsidP="33572C6E">
            <w:pPr>
              <w:ind w:right="237"/>
              <w:rPr>
                <w:b/>
                <w:bCs/>
                <w:color w:val="auto"/>
                <w:sz w:val="32"/>
                <w:szCs w:val="32"/>
              </w:rPr>
            </w:pPr>
            <w:r w:rsidRPr="33572C6E">
              <w:rPr>
                <w:b/>
                <w:bCs/>
                <w:color w:val="auto"/>
                <w:sz w:val="32"/>
                <w:szCs w:val="32"/>
              </w:rPr>
              <w:t>Learner’s University Registration Number:</w:t>
            </w:r>
            <w:r w:rsidR="009278EC">
              <w:rPr>
                <w:b/>
                <w:bCs/>
                <w:color w:val="auto"/>
                <w:sz w:val="32"/>
                <w:szCs w:val="32"/>
              </w:rPr>
              <w:t xml:space="preserve"> 2131864</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0E3E0AB6" w14:textId="77777777" w:rsidR="00A607B9" w:rsidRPr="000E02AC" w:rsidRDefault="00A607B9" w:rsidP="00A607B9">
      <w:pPr>
        <w:spacing w:line="360" w:lineRule="auto"/>
        <w:rPr>
          <w:rFonts w:asciiTheme="minorHAnsi" w:hAnsiTheme="minorHAnsi" w:cstheme="minorHAnsi"/>
          <w:sz w:val="22"/>
          <w:szCs w:val="22"/>
        </w:rPr>
      </w:pPr>
      <w:r w:rsidRPr="000E02AC">
        <w:rPr>
          <w:rFonts w:asciiTheme="minorHAnsi" w:hAnsiTheme="minorHAnsi" w:cstheme="minorHAnsi"/>
          <w:sz w:val="22"/>
          <w:szCs w:val="22"/>
        </w:rPr>
        <w:t>This short essay will look at an incident that I attended during my two-year probationary period. This incident is one of which I have played a significant role in as an attending officer, and one which is still an ongoing case. Due to the domestic-related nature of this incident, this essay will have a large focus on the complexities of such cases and the importance of good investigative skills to ensure a successful investigation. This essay will be broken down into several parts. The first will give the context of the incident. The second will highlight the complexities of domestic-related incidents, and the difficulties victims are faced with when reporting to police, specifically through a gender binary lens when looking at male victims. The third part will analyse my role within the incident, the investigative actions taken throughout the investigation to ensure I am achieving the best possible evidence. Finally, the fourth part will critically assess my experience within the investigation by means of self-reflective modules.</w:t>
      </w:r>
    </w:p>
    <w:p w14:paraId="7D2D9AFE" w14:textId="77777777" w:rsidR="00A607B9" w:rsidRPr="000E02AC" w:rsidRDefault="00A607B9" w:rsidP="00A607B9">
      <w:pPr>
        <w:spacing w:line="360" w:lineRule="auto"/>
        <w:rPr>
          <w:rFonts w:asciiTheme="minorHAnsi" w:hAnsiTheme="minorHAnsi" w:cstheme="minorHAnsi"/>
          <w:sz w:val="22"/>
          <w:szCs w:val="22"/>
        </w:rPr>
      </w:pPr>
    </w:p>
    <w:p w14:paraId="599FFFED" w14:textId="77777777" w:rsidR="00A607B9" w:rsidRPr="000E02AC" w:rsidRDefault="00A607B9" w:rsidP="00A607B9">
      <w:pPr>
        <w:spacing w:line="360" w:lineRule="auto"/>
        <w:rPr>
          <w:rFonts w:asciiTheme="minorHAnsi" w:hAnsiTheme="minorHAnsi" w:cstheme="minorHAnsi"/>
          <w:sz w:val="22"/>
          <w:szCs w:val="22"/>
        </w:rPr>
      </w:pPr>
      <w:r w:rsidRPr="000E02AC">
        <w:rPr>
          <w:rFonts w:asciiTheme="minorHAnsi" w:hAnsiTheme="minorHAnsi" w:cstheme="minorHAnsi"/>
          <w:sz w:val="22"/>
          <w:szCs w:val="22"/>
        </w:rPr>
        <w:t xml:space="preserve">The incident of which I am discussing is one of domestic-related GBH. The call was a third-party report made to police by ambulance following a call received from a female </w:t>
      </w:r>
      <w:proofErr w:type="gramStart"/>
      <w:r w:rsidRPr="000E02AC">
        <w:rPr>
          <w:rFonts w:asciiTheme="minorHAnsi" w:hAnsiTheme="minorHAnsi" w:cstheme="minorHAnsi"/>
          <w:sz w:val="22"/>
          <w:szCs w:val="22"/>
        </w:rPr>
        <w:t>stating</w:t>
      </w:r>
      <w:proofErr w:type="gramEnd"/>
      <w:r w:rsidRPr="000E02AC">
        <w:rPr>
          <w:rFonts w:asciiTheme="minorHAnsi" w:hAnsiTheme="minorHAnsi" w:cstheme="minorHAnsi"/>
          <w:sz w:val="22"/>
          <w:szCs w:val="22"/>
        </w:rPr>
        <w:t xml:space="preserve"> ‘I HAVE THROWN A GLASS AT MY HUSBAND AND HE HAS A GASH ON HIS LEG […] HE’S LOSING A LOT OF BLOOD’. A further two calls came in prior to police arrival. It was a night shift, so I attended along with two other officers. Both parties were separated, and I spoke with the female. The female disclosed, on </w:t>
      </w:r>
      <w:proofErr w:type="spellStart"/>
      <w:r w:rsidRPr="000E02AC">
        <w:rPr>
          <w:rFonts w:asciiTheme="minorHAnsi" w:hAnsiTheme="minorHAnsi" w:cstheme="minorHAnsi"/>
          <w:sz w:val="22"/>
          <w:szCs w:val="22"/>
        </w:rPr>
        <w:lastRenderedPageBreak/>
        <w:t>bodyworn</w:t>
      </w:r>
      <w:proofErr w:type="spellEnd"/>
      <w:r w:rsidRPr="000E02AC">
        <w:rPr>
          <w:rFonts w:asciiTheme="minorHAnsi" w:hAnsiTheme="minorHAnsi" w:cstheme="minorHAnsi"/>
          <w:sz w:val="22"/>
          <w:szCs w:val="22"/>
        </w:rPr>
        <w:t xml:space="preserve">, that she had gone through her husband’s phone (the male) and seen that he had been having an affair, so she has gone into the kitchen where the male was sleeping on the couch (it was a very big kitchen with a seating area toward the bottom), and thrown a glass at the wall which has ‘ricocheted’ whereby a fragment of glass had struck him in his leg, causing the wound. Prior to separating the parties however, I noticed a staining of what was most likely a liquid on the wall, so I was able to identify that something had most likely hit the wall, however the injury was not consistent with a shard of glass ‘ricocheting’ from the wall and hitting the leg. </w:t>
      </w:r>
    </w:p>
    <w:p w14:paraId="6A2A1876" w14:textId="77777777" w:rsidR="00A607B9" w:rsidRPr="000E02AC" w:rsidRDefault="00A607B9" w:rsidP="00A607B9">
      <w:pPr>
        <w:spacing w:line="360" w:lineRule="auto"/>
        <w:rPr>
          <w:rFonts w:asciiTheme="minorHAnsi" w:hAnsiTheme="minorHAnsi" w:cstheme="minorHAnsi"/>
          <w:sz w:val="22"/>
          <w:szCs w:val="22"/>
        </w:rPr>
      </w:pPr>
    </w:p>
    <w:p w14:paraId="6BF96040" w14:textId="77777777" w:rsidR="00A607B9" w:rsidRPr="000E02AC" w:rsidRDefault="00A607B9" w:rsidP="00A607B9">
      <w:pPr>
        <w:spacing w:line="360" w:lineRule="auto"/>
        <w:rPr>
          <w:rFonts w:asciiTheme="minorHAnsi" w:hAnsiTheme="minorHAnsi" w:cstheme="minorHAnsi"/>
          <w:sz w:val="22"/>
          <w:szCs w:val="22"/>
        </w:rPr>
      </w:pPr>
      <w:r w:rsidRPr="000E02AC">
        <w:rPr>
          <w:rFonts w:asciiTheme="minorHAnsi" w:hAnsiTheme="minorHAnsi" w:cstheme="minorHAnsi"/>
          <w:sz w:val="22"/>
          <w:szCs w:val="22"/>
        </w:rPr>
        <w:t xml:space="preserve">Due to disclosure from the female to myself, in addition to the ambulance logs whereby the female had admitted to throwing the glass at her husband, the female was arrested under Section 18 of the Offences Against the Persons Act. Due to there being three of us (and one van!), my colleagues conveyed the female to custody whilst I remained at scene to wait for ambulance and to establish a scene for CSI to attend in a couple of hours. The male was soon conveyed to hospital for his injury, and I remained at scene and waited outside until the end of my tour of duty to preserve the scene. </w:t>
      </w:r>
    </w:p>
    <w:p w14:paraId="58EE5AFA" w14:textId="77777777" w:rsidR="00A607B9" w:rsidRPr="000E02AC" w:rsidRDefault="00A607B9" w:rsidP="00A607B9">
      <w:pPr>
        <w:spacing w:line="360" w:lineRule="auto"/>
        <w:rPr>
          <w:rFonts w:asciiTheme="minorHAnsi" w:hAnsiTheme="minorHAnsi" w:cstheme="minorHAnsi"/>
          <w:sz w:val="22"/>
          <w:szCs w:val="22"/>
        </w:rPr>
      </w:pPr>
    </w:p>
    <w:p w14:paraId="4B252008" w14:textId="77777777" w:rsidR="00A607B9" w:rsidRPr="000E02AC" w:rsidRDefault="00A607B9" w:rsidP="00A607B9">
      <w:pPr>
        <w:spacing w:line="360" w:lineRule="auto"/>
        <w:rPr>
          <w:rFonts w:asciiTheme="minorHAnsi" w:hAnsiTheme="minorHAnsi" w:cstheme="minorHAnsi"/>
          <w:sz w:val="22"/>
          <w:szCs w:val="22"/>
        </w:rPr>
      </w:pPr>
      <w:r w:rsidRPr="000E02AC">
        <w:rPr>
          <w:rFonts w:asciiTheme="minorHAnsi" w:hAnsiTheme="minorHAnsi" w:cstheme="minorHAnsi"/>
          <w:sz w:val="22"/>
          <w:szCs w:val="22"/>
        </w:rPr>
        <w:t xml:space="preserve">It should be noted that for this short essay the term domestic is the one put forward by the Domestic Abuse Act 2021, which defines domestic abuse as behaviour of person (A) towards person (B) as being abusive, and where they are personally connected. </w:t>
      </w:r>
    </w:p>
    <w:p w14:paraId="6A4AAC5E" w14:textId="77777777" w:rsidR="00A607B9" w:rsidRPr="000E02AC" w:rsidRDefault="00A607B9" w:rsidP="00A607B9">
      <w:pPr>
        <w:spacing w:line="360" w:lineRule="auto"/>
        <w:rPr>
          <w:rFonts w:asciiTheme="minorHAnsi" w:hAnsiTheme="minorHAnsi" w:cstheme="minorHAnsi"/>
          <w:sz w:val="22"/>
          <w:szCs w:val="22"/>
        </w:rPr>
      </w:pPr>
    </w:p>
    <w:p w14:paraId="4DC38DB4" w14:textId="77777777" w:rsidR="00A607B9" w:rsidRPr="000E02AC" w:rsidRDefault="00A607B9" w:rsidP="00A607B9">
      <w:pPr>
        <w:spacing w:line="360" w:lineRule="auto"/>
        <w:rPr>
          <w:rFonts w:asciiTheme="minorHAnsi" w:hAnsiTheme="minorHAnsi" w:cstheme="minorHAnsi"/>
          <w:sz w:val="22"/>
          <w:szCs w:val="22"/>
        </w:rPr>
      </w:pPr>
      <w:r w:rsidRPr="000E02AC">
        <w:rPr>
          <w:rFonts w:asciiTheme="minorHAnsi" w:hAnsiTheme="minorHAnsi" w:cstheme="minorHAnsi"/>
          <w:sz w:val="22"/>
          <w:szCs w:val="22"/>
        </w:rPr>
        <w:t xml:space="preserve">There is no denying the challenges that are presented to victims when it comes to reporting domestic violence (Gracia, 2004; Pain, 2017; </w:t>
      </w:r>
      <w:proofErr w:type="spellStart"/>
      <w:r w:rsidRPr="000E02AC">
        <w:rPr>
          <w:rFonts w:asciiTheme="minorHAnsi" w:hAnsiTheme="minorHAnsi" w:cstheme="minorHAnsi"/>
          <w:sz w:val="22"/>
          <w:szCs w:val="22"/>
        </w:rPr>
        <w:t>Gurm</w:t>
      </w:r>
      <w:proofErr w:type="spellEnd"/>
      <w:r w:rsidRPr="000E02AC">
        <w:rPr>
          <w:rFonts w:asciiTheme="minorHAnsi" w:hAnsiTheme="minorHAnsi" w:cstheme="minorHAnsi"/>
          <w:sz w:val="22"/>
          <w:szCs w:val="22"/>
        </w:rPr>
        <w:t xml:space="preserve"> and Marchbank, 2020), and the many reasons victims of such incidents do not come forward, such as fear of repercussions, a belief that there is not enough evidence for an investigation, or in many cases, not wanting to ‘burden’ anyone else about it (TalkingParents.com, 2022). It is almost contradictory, as whilst society is destigmatising men as victims of domestic-related abuse (Broberg, 2022), and, in turn, making men more comfortable to come forward and report themselves as victims of domestic-related abuse, the Office for National Statistics (2022) reports that in the year 2022, out of 2.4 million adults who had experienced domestic abuse in an intimate relationship, 699,000 of those were male, a decrease of 59,000 reports since the same publication put out in 2020 (Office for National Statistics, 2020; 2022). </w:t>
      </w:r>
    </w:p>
    <w:p w14:paraId="62202062" w14:textId="77777777" w:rsidR="00A607B9" w:rsidRPr="000E02AC" w:rsidRDefault="00A607B9" w:rsidP="00A607B9">
      <w:pPr>
        <w:spacing w:line="360" w:lineRule="auto"/>
        <w:rPr>
          <w:rFonts w:asciiTheme="minorHAnsi" w:hAnsiTheme="minorHAnsi" w:cstheme="minorHAnsi"/>
          <w:sz w:val="22"/>
          <w:szCs w:val="22"/>
        </w:rPr>
      </w:pPr>
    </w:p>
    <w:p w14:paraId="05874252" w14:textId="77777777" w:rsidR="00A607B9" w:rsidRPr="000E02AC" w:rsidRDefault="00A607B9" w:rsidP="00A607B9">
      <w:pPr>
        <w:spacing w:line="360" w:lineRule="auto"/>
        <w:rPr>
          <w:rFonts w:asciiTheme="minorHAnsi" w:hAnsiTheme="minorHAnsi" w:cstheme="minorHAnsi"/>
          <w:sz w:val="22"/>
          <w:szCs w:val="22"/>
        </w:rPr>
      </w:pPr>
      <w:r w:rsidRPr="000E02AC">
        <w:rPr>
          <w:rFonts w:asciiTheme="minorHAnsi" w:hAnsiTheme="minorHAnsi" w:cstheme="minorHAnsi"/>
          <w:sz w:val="22"/>
          <w:szCs w:val="22"/>
        </w:rPr>
        <w:t xml:space="preserve">When focusing more specifically on male victims of domestic abuse, a report published by Brooks (2023) for </w:t>
      </w:r>
      <w:proofErr w:type="spellStart"/>
      <w:r w:rsidRPr="000E02AC">
        <w:rPr>
          <w:rFonts w:asciiTheme="minorHAnsi" w:hAnsiTheme="minorHAnsi" w:cstheme="minorHAnsi"/>
          <w:sz w:val="22"/>
          <w:szCs w:val="22"/>
        </w:rPr>
        <w:t>ManKind</w:t>
      </w:r>
      <w:proofErr w:type="spellEnd"/>
      <w:r w:rsidRPr="000E02AC">
        <w:rPr>
          <w:rFonts w:asciiTheme="minorHAnsi" w:hAnsiTheme="minorHAnsi" w:cstheme="minorHAnsi"/>
          <w:sz w:val="22"/>
          <w:szCs w:val="22"/>
        </w:rPr>
        <w:t xml:space="preserve">, an organisation dedicated towards male victims of domestic abuse, found that 66% of men who contacted </w:t>
      </w:r>
      <w:proofErr w:type="spellStart"/>
      <w:r w:rsidRPr="000E02AC">
        <w:rPr>
          <w:rFonts w:asciiTheme="minorHAnsi" w:hAnsiTheme="minorHAnsi" w:cstheme="minorHAnsi"/>
          <w:sz w:val="22"/>
          <w:szCs w:val="22"/>
        </w:rPr>
        <w:t>ManKind</w:t>
      </w:r>
      <w:proofErr w:type="spellEnd"/>
      <w:r w:rsidRPr="000E02AC">
        <w:rPr>
          <w:rFonts w:asciiTheme="minorHAnsi" w:hAnsiTheme="minorHAnsi" w:cstheme="minorHAnsi"/>
          <w:sz w:val="22"/>
          <w:szCs w:val="22"/>
        </w:rPr>
        <w:t xml:space="preserve"> had never disclosed their abuse to any other person (with 64% of them only calling due to them being anonymous); 11% of victims that are male have </w:t>
      </w:r>
      <w:r w:rsidRPr="000E02AC">
        <w:rPr>
          <w:rFonts w:asciiTheme="minorHAnsi" w:hAnsiTheme="minorHAnsi" w:cstheme="minorHAnsi"/>
          <w:sz w:val="22"/>
          <w:szCs w:val="22"/>
        </w:rPr>
        <w:lastRenderedPageBreak/>
        <w:t xml:space="preserve">contemplated suicide due to the abuse they are enduring; and that victims that are male are almost three times as less likely to tell anyone compared to female victims (Brooks, 2023). </w:t>
      </w:r>
    </w:p>
    <w:p w14:paraId="3107FACA" w14:textId="77777777" w:rsidR="00A607B9" w:rsidRPr="000E02AC" w:rsidRDefault="00A607B9" w:rsidP="00A607B9">
      <w:pPr>
        <w:spacing w:line="360" w:lineRule="auto"/>
        <w:rPr>
          <w:rFonts w:asciiTheme="minorHAnsi" w:hAnsiTheme="minorHAnsi" w:cstheme="minorHAnsi"/>
          <w:sz w:val="22"/>
          <w:szCs w:val="22"/>
        </w:rPr>
      </w:pPr>
    </w:p>
    <w:p w14:paraId="1A2CD74D" w14:textId="77777777" w:rsidR="00A607B9" w:rsidRPr="000E02AC" w:rsidRDefault="00A607B9" w:rsidP="00A607B9">
      <w:pPr>
        <w:spacing w:line="360" w:lineRule="auto"/>
        <w:rPr>
          <w:rFonts w:asciiTheme="minorHAnsi" w:hAnsiTheme="minorHAnsi" w:cstheme="minorHAnsi"/>
          <w:sz w:val="22"/>
          <w:szCs w:val="22"/>
        </w:rPr>
      </w:pPr>
      <w:r w:rsidRPr="000E02AC">
        <w:rPr>
          <w:rFonts w:asciiTheme="minorHAnsi" w:hAnsiTheme="minorHAnsi" w:cstheme="minorHAnsi"/>
          <w:sz w:val="22"/>
          <w:szCs w:val="22"/>
        </w:rPr>
        <w:t xml:space="preserve">On the night of the incident, the male refused to cooperate with any police action. When I spoke with him, he stated that he was just sleeping and then woke up to the gash on his leg but would not say anything further. Whilst the male’s injury needed addressing as priority, the male refused to assist the police in any manner, and refused to provide any form of disclosure statement, or statement of complaint. All other investigative actions were completed, such as the seizure of clothing the female wore at the time, hand swabs, Golden Hour Principles, establishing a scene, arrest, officer statements, </w:t>
      </w:r>
      <w:proofErr w:type="gramStart"/>
      <w:r w:rsidRPr="000E02AC">
        <w:rPr>
          <w:rFonts w:asciiTheme="minorHAnsi" w:hAnsiTheme="minorHAnsi" w:cstheme="minorHAnsi"/>
          <w:sz w:val="22"/>
          <w:szCs w:val="22"/>
        </w:rPr>
        <w:t>CCTV</w:t>
      </w:r>
      <w:proofErr w:type="gramEnd"/>
      <w:r w:rsidRPr="000E02AC">
        <w:rPr>
          <w:rFonts w:asciiTheme="minorHAnsi" w:hAnsiTheme="minorHAnsi" w:cstheme="minorHAnsi"/>
          <w:sz w:val="22"/>
          <w:szCs w:val="22"/>
        </w:rPr>
        <w:t xml:space="preserve"> and house to house, however the only thing remaining was any form of cooperation from the male. The investigation was taken by the HUB to proceed, whereby they have given the rationale to go for a victimless prosecution due to the level of injury and the female having admitted the offence in interview. </w:t>
      </w:r>
    </w:p>
    <w:p w14:paraId="454C5620" w14:textId="77777777" w:rsidR="00A607B9" w:rsidRPr="000E02AC" w:rsidRDefault="00A607B9" w:rsidP="00A607B9">
      <w:pPr>
        <w:spacing w:line="360" w:lineRule="auto"/>
        <w:rPr>
          <w:rFonts w:asciiTheme="minorHAnsi" w:hAnsiTheme="minorHAnsi" w:cstheme="minorHAnsi"/>
          <w:sz w:val="22"/>
          <w:szCs w:val="22"/>
        </w:rPr>
      </w:pPr>
    </w:p>
    <w:p w14:paraId="1C90E976" w14:textId="77777777" w:rsidR="00A607B9" w:rsidRPr="000E02AC" w:rsidRDefault="00A607B9" w:rsidP="00A607B9">
      <w:pPr>
        <w:spacing w:line="360" w:lineRule="auto"/>
        <w:rPr>
          <w:rFonts w:asciiTheme="minorHAnsi" w:hAnsiTheme="minorHAnsi" w:cstheme="minorHAnsi"/>
          <w:sz w:val="22"/>
          <w:szCs w:val="22"/>
        </w:rPr>
      </w:pPr>
      <w:r w:rsidRPr="000E02AC">
        <w:rPr>
          <w:rFonts w:asciiTheme="minorHAnsi" w:hAnsiTheme="minorHAnsi" w:cstheme="minorHAnsi"/>
          <w:sz w:val="22"/>
          <w:szCs w:val="22"/>
        </w:rPr>
        <w:t>Bail conditions were put in place, and since the incident took place, the male has continuously rung 101 asking for the case to be dropped as he wants to return home to be with his family, stating that nothing happened, and that it was an accident. Whilst I have not spoken to the male since the night I attended the call, I cannot help but wonder why the male would not support any form of police action. I have two hypotheses on why I believe the male did not want to be perceived as supporting the prosecution. The first, is the societal stigmatisation and embarrassment that comes from the admittance that you were a victim of domestic abuse, more specifically whereby the perpetrator was a female. This, unfortunately, is still prevalent within society, and that as a male you are both ‘stronger’ and ‘bigger’ than a female and therefore should be able to protect yourself (Patrick, 2020). The second, is again, a societal stigmatisation, however this time it is through the lens of being perceived as a ‘family man’. The protector, the saviour, the breadwinner, the ‘manly’ man that won’t ever let his children see him hurt or upset. For instance, the male showing a willingness to support police action and the prosecution would show to family and friends, and the rest of society, that he was not a family man, and therefore, not a real man; as no real man would subject his family to that (Patrick, 2020).</w:t>
      </w:r>
    </w:p>
    <w:p w14:paraId="7E59138E" w14:textId="77777777" w:rsidR="00A607B9" w:rsidRPr="000E02AC" w:rsidRDefault="00A607B9" w:rsidP="00A607B9">
      <w:pPr>
        <w:spacing w:line="360" w:lineRule="auto"/>
        <w:rPr>
          <w:rFonts w:asciiTheme="minorHAnsi" w:hAnsiTheme="minorHAnsi" w:cstheme="minorHAnsi"/>
          <w:sz w:val="22"/>
          <w:szCs w:val="22"/>
        </w:rPr>
      </w:pPr>
    </w:p>
    <w:p w14:paraId="3A501790" w14:textId="77777777" w:rsidR="00A607B9" w:rsidRPr="000E02AC" w:rsidRDefault="00A607B9" w:rsidP="00A607B9">
      <w:pPr>
        <w:spacing w:line="360" w:lineRule="auto"/>
        <w:rPr>
          <w:rFonts w:asciiTheme="minorHAnsi" w:hAnsiTheme="minorHAnsi" w:cstheme="minorHAnsi"/>
          <w:color w:val="323132"/>
          <w:sz w:val="22"/>
          <w:szCs w:val="22"/>
        </w:rPr>
      </w:pPr>
      <w:r w:rsidRPr="000E02AC">
        <w:rPr>
          <w:rFonts w:asciiTheme="minorHAnsi" w:hAnsiTheme="minorHAnsi" w:cstheme="minorHAnsi"/>
          <w:color w:val="323132"/>
          <w:sz w:val="22"/>
          <w:szCs w:val="22"/>
        </w:rPr>
        <w:t xml:space="preserve">Upon reflection, there was one thing that resonated with me, which was that the people involved did not seem like the people that would have been involved in such an incident. A young family, whereby the parents were recently married with two young children. I am aware that anyone can be a victim, and of course, I don’t know for how long or what the dynamic was like of this relationship. </w:t>
      </w:r>
      <w:r w:rsidRPr="000E02AC">
        <w:rPr>
          <w:rFonts w:asciiTheme="minorHAnsi" w:hAnsiTheme="minorHAnsi" w:cstheme="minorHAnsi"/>
          <w:color w:val="323132"/>
          <w:sz w:val="22"/>
          <w:szCs w:val="22"/>
        </w:rPr>
        <w:lastRenderedPageBreak/>
        <w:t xml:space="preserve">There were no previous calls at the address regarding any domestic-related issues, however, given the attitude of the male, I don’t think any calls would have been placed if anything had taken place. The only warning marker was placed on the female as being subject to MARAC whereby she was the perpetrator against an ex-partner. Looking at it now, it seems the reason for not wanting to proceed with an investigation is likely due to the outcome of ‘gained vs </w:t>
      </w:r>
      <w:proofErr w:type="gramStart"/>
      <w:r w:rsidRPr="000E02AC">
        <w:rPr>
          <w:rFonts w:asciiTheme="minorHAnsi" w:hAnsiTheme="minorHAnsi" w:cstheme="minorHAnsi"/>
          <w:color w:val="323132"/>
          <w:sz w:val="22"/>
          <w:szCs w:val="22"/>
        </w:rPr>
        <w:t>losses’</w:t>
      </w:r>
      <w:proofErr w:type="gramEnd"/>
      <w:r w:rsidRPr="000E02AC">
        <w:rPr>
          <w:rFonts w:asciiTheme="minorHAnsi" w:hAnsiTheme="minorHAnsi" w:cstheme="minorHAnsi"/>
          <w:color w:val="323132"/>
          <w:sz w:val="22"/>
          <w:szCs w:val="22"/>
        </w:rPr>
        <w:t xml:space="preserve">. In this instance, the losses outweigh the gains twofold. </w:t>
      </w:r>
    </w:p>
    <w:p w14:paraId="2DA4B539" w14:textId="77777777" w:rsidR="00A607B9" w:rsidRPr="000E02AC" w:rsidRDefault="00A607B9" w:rsidP="00A607B9">
      <w:pPr>
        <w:spacing w:line="360" w:lineRule="auto"/>
        <w:rPr>
          <w:rFonts w:asciiTheme="minorHAnsi" w:hAnsiTheme="minorHAnsi" w:cstheme="minorHAnsi"/>
          <w:color w:val="323132"/>
          <w:sz w:val="22"/>
          <w:szCs w:val="22"/>
        </w:rPr>
      </w:pPr>
    </w:p>
    <w:p w14:paraId="22C9113E" w14:textId="77777777" w:rsidR="00A607B9" w:rsidRPr="000E02AC" w:rsidRDefault="00A607B9" w:rsidP="00A607B9">
      <w:pPr>
        <w:spacing w:line="360" w:lineRule="auto"/>
        <w:rPr>
          <w:rFonts w:asciiTheme="minorHAnsi" w:hAnsiTheme="minorHAnsi" w:cstheme="minorHAnsi"/>
          <w:color w:val="323132"/>
          <w:sz w:val="22"/>
          <w:szCs w:val="22"/>
        </w:rPr>
      </w:pPr>
      <w:r w:rsidRPr="000E02AC">
        <w:rPr>
          <w:rFonts w:asciiTheme="minorHAnsi" w:hAnsiTheme="minorHAnsi" w:cstheme="minorHAnsi"/>
          <w:color w:val="323132"/>
          <w:sz w:val="22"/>
          <w:szCs w:val="22"/>
        </w:rPr>
        <w:t xml:space="preserve">I will now use Gibbs Reflective Cycle to critically analyse my role within the incident. What I found most challenging regarding the experience when it comes to analysing my role, was the fact that I was acting as Supervisor for the shift. My Sergeant had left work at midnight so the was left without supervision for the remainder. Due to having the most experience, I was not so gently pushed into the role from my colleagues. I found this difficult for several reasons. Not only was I dealing with the incident at hand, securing evidence, establishing scene, I was having to manage two other officers by asking them to assist with safeguarding the children and facilitating someone to come and get them, as well as updating control on the condition of the male and arranging ambulance, whilst updating Bronze Inspector. </w:t>
      </w:r>
    </w:p>
    <w:p w14:paraId="16A74095" w14:textId="77777777" w:rsidR="00A607B9" w:rsidRPr="000E02AC" w:rsidRDefault="00A607B9" w:rsidP="00A607B9">
      <w:pPr>
        <w:spacing w:line="360" w:lineRule="auto"/>
        <w:rPr>
          <w:rFonts w:asciiTheme="minorHAnsi" w:hAnsiTheme="minorHAnsi" w:cstheme="minorHAnsi"/>
          <w:color w:val="323132"/>
          <w:sz w:val="22"/>
          <w:szCs w:val="22"/>
        </w:rPr>
      </w:pPr>
    </w:p>
    <w:p w14:paraId="29654B6D" w14:textId="77777777" w:rsidR="00A607B9" w:rsidRPr="000E02AC" w:rsidRDefault="00A607B9" w:rsidP="00A607B9">
      <w:pPr>
        <w:spacing w:line="360" w:lineRule="auto"/>
        <w:rPr>
          <w:rFonts w:asciiTheme="minorHAnsi" w:hAnsiTheme="minorHAnsi" w:cstheme="minorHAnsi"/>
          <w:color w:val="323132"/>
          <w:sz w:val="22"/>
          <w:szCs w:val="22"/>
        </w:rPr>
      </w:pPr>
      <w:r w:rsidRPr="000E02AC">
        <w:rPr>
          <w:rFonts w:asciiTheme="minorHAnsi" w:hAnsiTheme="minorHAnsi" w:cstheme="minorHAnsi"/>
          <w:color w:val="323132"/>
          <w:sz w:val="22"/>
          <w:szCs w:val="22"/>
        </w:rPr>
        <w:t xml:space="preserve">I found this very challenging and will admit that I got quite flustered. I had my colleague asking if he should seize all clothing she was wearing or just certain items, I was on the radio to Bronze whilst my phone would ring so that ambulance could speak to me, all whilst my colleagues could have stepped in and assisted with some of the actions. At the time, I was solely thinking about obtaining best evidence. As an officer I tend to lead in situations unless there is an officer with more experience with me, so I naturally fell into a role of which felt comfortable for me, however, in hindsight, I think it would have been beneficial to hand out roles to other officers to help relieve the stresses I put on myself at the time. This would allow me to stand back and reflect on what is happening in the moment. The risk of trying to do everything yourself in a scenario like this can be extremely damaging to an investigation as you can easily lose track of what has been done and get tunnel vision. </w:t>
      </w:r>
    </w:p>
    <w:p w14:paraId="2E0B7063" w14:textId="77777777" w:rsidR="00A607B9" w:rsidRPr="000E02AC" w:rsidRDefault="00A607B9" w:rsidP="00A607B9">
      <w:pPr>
        <w:spacing w:line="360" w:lineRule="auto"/>
        <w:rPr>
          <w:rFonts w:asciiTheme="minorHAnsi" w:hAnsiTheme="minorHAnsi" w:cstheme="minorHAnsi"/>
          <w:color w:val="323132"/>
          <w:sz w:val="22"/>
          <w:szCs w:val="22"/>
        </w:rPr>
      </w:pPr>
    </w:p>
    <w:p w14:paraId="07E34D00" w14:textId="77777777" w:rsidR="00A607B9" w:rsidRPr="000E02AC" w:rsidRDefault="00A607B9" w:rsidP="00A607B9">
      <w:pPr>
        <w:spacing w:line="360" w:lineRule="auto"/>
        <w:rPr>
          <w:rFonts w:asciiTheme="minorHAnsi" w:hAnsiTheme="minorHAnsi" w:cstheme="minorHAnsi"/>
          <w:color w:val="323132"/>
          <w:sz w:val="22"/>
          <w:szCs w:val="22"/>
        </w:rPr>
      </w:pPr>
      <w:r w:rsidRPr="000E02AC">
        <w:rPr>
          <w:rFonts w:asciiTheme="minorHAnsi" w:hAnsiTheme="minorHAnsi" w:cstheme="minorHAnsi"/>
          <w:color w:val="323132"/>
          <w:sz w:val="22"/>
          <w:szCs w:val="22"/>
        </w:rPr>
        <w:t xml:space="preserve">From this incident I have learned of the importance of speaking with your colleagues, go in with a plan, or even take a minute to brief each other whilst at scene (incident permitting). This can allow for effective teamwork when dealing with an incident and securing best evidence. Moving forward, whilst it is important to take charge and deal with the incident at hand, using effective communication and taking a step back to analyse the scene at hand is a crucial part of policing. </w:t>
      </w:r>
    </w:p>
    <w:p w14:paraId="360DB3F8" w14:textId="77777777" w:rsidR="00A607B9" w:rsidRPr="000E02AC" w:rsidRDefault="00A607B9" w:rsidP="00A607B9">
      <w:pPr>
        <w:spacing w:line="360" w:lineRule="auto"/>
        <w:rPr>
          <w:rFonts w:asciiTheme="minorHAnsi" w:hAnsiTheme="minorHAnsi" w:cstheme="minorHAnsi"/>
          <w:color w:val="323132"/>
          <w:sz w:val="22"/>
          <w:szCs w:val="22"/>
        </w:rPr>
      </w:pPr>
    </w:p>
    <w:p w14:paraId="46BE090F" w14:textId="77777777" w:rsidR="00A607B9" w:rsidRPr="000E02AC" w:rsidRDefault="00A607B9" w:rsidP="00A607B9">
      <w:pPr>
        <w:spacing w:line="360" w:lineRule="auto"/>
        <w:rPr>
          <w:rFonts w:asciiTheme="minorHAnsi" w:hAnsiTheme="minorHAnsi" w:cstheme="minorHAnsi"/>
          <w:color w:val="323132"/>
          <w:sz w:val="22"/>
          <w:szCs w:val="22"/>
        </w:rPr>
      </w:pPr>
      <w:r w:rsidRPr="000E02AC">
        <w:rPr>
          <w:rFonts w:asciiTheme="minorHAnsi" w:hAnsiTheme="minorHAnsi" w:cstheme="minorHAnsi"/>
          <w:color w:val="323132"/>
          <w:sz w:val="22"/>
          <w:szCs w:val="22"/>
        </w:rPr>
        <w:t xml:space="preserve">This short essay has referenced a domestic-related incident of which I attended whilst in my probationary period. It has highlighted the challenges victims are faced with when it comes to reporting domestic abuse, and more specifically, the societal issues men face when it comes to being victims themselves and the internalised struggle of admitting that they are victims of abuse. </w:t>
      </w:r>
      <w:proofErr w:type="gramStart"/>
      <w:r w:rsidRPr="000E02AC">
        <w:rPr>
          <w:rFonts w:asciiTheme="minorHAnsi" w:hAnsiTheme="minorHAnsi" w:cstheme="minorHAnsi"/>
          <w:color w:val="323132"/>
          <w:sz w:val="22"/>
          <w:szCs w:val="22"/>
        </w:rPr>
        <w:t>With this in mind, I</w:t>
      </w:r>
      <w:proofErr w:type="gramEnd"/>
      <w:r w:rsidRPr="000E02AC">
        <w:rPr>
          <w:rFonts w:asciiTheme="minorHAnsi" w:hAnsiTheme="minorHAnsi" w:cstheme="minorHAnsi"/>
          <w:color w:val="323132"/>
          <w:sz w:val="22"/>
          <w:szCs w:val="22"/>
        </w:rPr>
        <w:t xml:space="preserve"> have critically analysed my role within the incident and acknowledged both my strengths and weaknesses so that I can improve my policing capabilities for future incidents. </w:t>
      </w:r>
    </w:p>
    <w:p w14:paraId="036E67BC" w14:textId="77777777" w:rsidR="00A607B9" w:rsidRPr="000E02AC" w:rsidRDefault="00A607B9" w:rsidP="00A607B9">
      <w:pPr>
        <w:spacing w:line="360" w:lineRule="auto"/>
        <w:rPr>
          <w:rFonts w:asciiTheme="minorHAnsi" w:hAnsiTheme="minorHAnsi" w:cstheme="minorHAnsi"/>
          <w:color w:val="323132"/>
          <w:sz w:val="22"/>
          <w:szCs w:val="22"/>
        </w:rPr>
      </w:pPr>
    </w:p>
    <w:p w14:paraId="3D8E3E43" w14:textId="3307140E" w:rsidR="00A607B9" w:rsidRPr="000E02AC" w:rsidRDefault="00A607B9" w:rsidP="00A607B9">
      <w:pPr>
        <w:spacing w:line="360" w:lineRule="auto"/>
        <w:rPr>
          <w:rFonts w:asciiTheme="minorHAnsi" w:hAnsiTheme="minorHAnsi" w:cstheme="minorHAnsi"/>
          <w:color w:val="323132"/>
          <w:sz w:val="22"/>
          <w:szCs w:val="22"/>
        </w:rPr>
      </w:pPr>
      <w:r w:rsidRPr="000E02AC">
        <w:rPr>
          <w:rFonts w:asciiTheme="minorHAnsi" w:hAnsiTheme="minorHAnsi" w:cstheme="minorHAnsi"/>
          <w:color w:val="323132"/>
          <w:sz w:val="22"/>
          <w:szCs w:val="22"/>
        </w:rPr>
        <w:t>Word count: 1,85</w:t>
      </w:r>
      <w:r w:rsidR="00516CB9">
        <w:rPr>
          <w:rFonts w:asciiTheme="minorHAnsi" w:hAnsiTheme="minorHAnsi" w:cstheme="minorHAnsi"/>
          <w:color w:val="323132"/>
          <w:sz w:val="22"/>
          <w:szCs w:val="22"/>
        </w:rPr>
        <w:t>2</w:t>
      </w:r>
    </w:p>
    <w:p w14:paraId="14F75534" w14:textId="77777777" w:rsidR="00A607B9" w:rsidRDefault="00A607B9" w:rsidP="00A607B9"/>
    <w:p w14:paraId="46E6565E" w14:textId="77777777" w:rsidR="00A607B9" w:rsidRDefault="00A607B9" w:rsidP="00A607B9"/>
    <w:p w14:paraId="0D8C2C31" w14:textId="77777777" w:rsidR="00A607B9" w:rsidRDefault="00A607B9" w:rsidP="00A607B9"/>
    <w:p w14:paraId="558817AF" w14:textId="77777777" w:rsidR="00A607B9" w:rsidRDefault="00A607B9" w:rsidP="00A607B9"/>
    <w:p w14:paraId="61018424" w14:textId="77777777" w:rsidR="00A607B9" w:rsidRPr="000E02AC" w:rsidRDefault="00A607B9" w:rsidP="00A607B9">
      <w:pPr>
        <w:rPr>
          <w:rFonts w:asciiTheme="minorHAnsi" w:hAnsiTheme="minorHAnsi" w:cstheme="minorHAnsi"/>
          <w:u w:val="single"/>
        </w:rPr>
      </w:pPr>
      <w:r w:rsidRPr="000E02AC">
        <w:rPr>
          <w:rFonts w:asciiTheme="minorHAnsi" w:hAnsiTheme="minorHAnsi" w:cstheme="minorHAnsi"/>
          <w:u w:val="single"/>
        </w:rPr>
        <w:t>Bibliography</w:t>
      </w:r>
    </w:p>
    <w:p w14:paraId="123744AE" w14:textId="77777777" w:rsidR="00A607B9" w:rsidRPr="000E02AC" w:rsidRDefault="00A607B9" w:rsidP="00A607B9">
      <w:pPr>
        <w:rPr>
          <w:rFonts w:asciiTheme="minorHAnsi" w:hAnsiTheme="minorHAnsi" w:cstheme="minorHAnsi"/>
        </w:rPr>
      </w:pPr>
    </w:p>
    <w:p w14:paraId="6D527464" w14:textId="77777777" w:rsidR="00A607B9" w:rsidRPr="000E02AC" w:rsidRDefault="00A607B9" w:rsidP="00A607B9">
      <w:pPr>
        <w:rPr>
          <w:rStyle w:val="Hyperlink"/>
          <w:rFonts w:asciiTheme="minorHAnsi" w:hAnsiTheme="minorHAnsi" w:cstheme="minorHAnsi"/>
          <w:sz w:val="22"/>
          <w:szCs w:val="22"/>
        </w:rPr>
      </w:pPr>
      <w:r w:rsidRPr="000E02AC">
        <w:rPr>
          <w:rStyle w:val="Hyperlink"/>
          <w:rFonts w:asciiTheme="minorHAnsi" w:hAnsiTheme="minorHAnsi" w:cstheme="minorHAnsi"/>
          <w:color w:val="auto"/>
          <w:sz w:val="22"/>
          <w:szCs w:val="22"/>
        </w:rPr>
        <w:t xml:space="preserve">Brooks, M. (2023). Male Victims of Domestic Abuse and Partner Abuse: 70 Key Facts. </w:t>
      </w:r>
      <w:proofErr w:type="spellStart"/>
      <w:r w:rsidRPr="000E02AC">
        <w:rPr>
          <w:rStyle w:val="Hyperlink"/>
          <w:rFonts w:asciiTheme="minorHAnsi" w:hAnsiTheme="minorHAnsi" w:cstheme="minorHAnsi"/>
          <w:i/>
          <w:iCs/>
          <w:color w:val="auto"/>
          <w:sz w:val="22"/>
          <w:szCs w:val="22"/>
        </w:rPr>
        <w:t>MenKind</w:t>
      </w:r>
      <w:proofErr w:type="spellEnd"/>
      <w:r w:rsidRPr="000E02AC">
        <w:rPr>
          <w:rStyle w:val="Hyperlink"/>
          <w:rFonts w:asciiTheme="minorHAnsi" w:hAnsiTheme="minorHAnsi" w:cstheme="minorHAnsi"/>
          <w:color w:val="auto"/>
          <w:sz w:val="22"/>
          <w:szCs w:val="22"/>
        </w:rPr>
        <w:t xml:space="preserve">. (online). Accessed at: </w:t>
      </w:r>
      <w:hyperlink r:id="rId15" w:history="1">
        <w:r w:rsidRPr="000E02AC">
          <w:rPr>
            <w:rStyle w:val="Hyperlink"/>
            <w:rFonts w:asciiTheme="minorHAnsi" w:hAnsiTheme="minorHAnsi" w:cstheme="minorHAnsi"/>
            <w:sz w:val="22"/>
            <w:szCs w:val="22"/>
          </w:rPr>
          <w:t>Male Victims - Domestic and Partner Abuse Statistics (mankind.org.uk)</w:t>
        </w:r>
      </w:hyperlink>
    </w:p>
    <w:p w14:paraId="0F480E7A" w14:textId="77777777" w:rsidR="00A607B9" w:rsidRPr="000E02AC" w:rsidRDefault="00A607B9" w:rsidP="00A607B9">
      <w:pPr>
        <w:rPr>
          <w:rStyle w:val="Hyperlink"/>
          <w:rFonts w:asciiTheme="minorHAnsi" w:hAnsiTheme="minorHAnsi" w:cstheme="minorHAnsi"/>
          <w:sz w:val="22"/>
          <w:szCs w:val="22"/>
        </w:rPr>
      </w:pPr>
    </w:p>
    <w:p w14:paraId="5A601265" w14:textId="77777777" w:rsidR="00A607B9" w:rsidRPr="000E02AC" w:rsidRDefault="00A607B9" w:rsidP="00A607B9">
      <w:pPr>
        <w:rPr>
          <w:rStyle w:val="Hyperlink"/>
          <w:rFonts w:asciiTheme="minorHAnsi" w:hAnsiTheme="minorHAnsi" w:cstheme="minorHAnsi"/>
          <w:sz w:val="22"/>
          <w:szCs w:val="22"/>
        </w:rPr>
      </w:pPr>
      <w:r w:rsidRPr="000E02AC">
        <w:rPr>
          <w:rFonts w:asciiTheme="minorHAnsi" w:hAnsiTheme="minorHAnsi" w:cstheme="minorHAnsi"/>
          <w:sz w:val="22"/>
          <w:szCs w:val="22"/>
        </w:rPr>
        <w:t xml:space="preserve">Domestic Abuse Act (2021). Part 1: Definition of Domestic Abuse. (online). Accessed at: </w:t>
      </w:r>
      <w:hyperlink r:id="rId16" w:history="1">
        <w:r w:rsidRPr="000E02AC">
          <w:rPr>
            <w:rStyle w:val="Hyperlink"/>
            <w:rFonts w:asciiTheme="minorHAnsi" w:hAnsiTheme="minorHAnsi" w:cstheme="minorHAnsi"/>
            <w:sz w:val="22"/>
            <w:szCs w:val="22"/>
          </w:rPr>
          <w:t>Domestic Abuse Act 2021 (legislation.gov.uk)</w:t>
        </w:r>
      </w:hyperlink>
    </w:p>
    <w:p w14:paraId="32AE8FBF" w14:textId="77777777" w:rsidR="00A607B9" w:rsidRPr="000E02AC" w:rsidRDefault="00A607B9" w:rsidP="00A607B9">
      <w:pPr>
        <w:rPr>
          <w:rFonts w:asciiTheme="minorHAnsi" w:hAnsiTheme="minorHAnsi" w:cstheme="minorHAnsi"/>
          <w:sz w:val="22"/>
          <w:szCs w:val="22"/>
        </w:rPr>
      </w:pPr>
    </w:p>
    <w:p w14:paraId="6DCD712B" w14:textId="77777777" w:rsidR="00A607B9" w:rsidRPr="000E02AC" w:rsidRDefault="00A607B9" w:rsidP="00A607B9">
      <w:pPr>
        <w:shd w:val="clear" w:color="auto" w:fill="FFFFFF"/>
        <w:rPr>
          <w:rStyle w:val="highwire-cite-metadata-pages"/>
          <w:rFonts w:asciiTheme="minorHAnsi" w:hAnsiTheme="minorHAnsi" w:cstheme="minorHAnsi"/>
          <w:sz w:val="22"/>
          <w:szCs w:val="22"/>
        </w:rPr>
      </w:pPr>
      <w:r w:rsidRPr="000E02AC">
        <w:rPr>
          <w:rStyle w:val="nlm-surname"/>
          <w:rFonts w:asciiTheme="minorHAnsi" w:hAnsiTheme="minorHAnsi" w:cstheme="minorHAnsi"/>
          <w:sz w:val="22"/>
          <w:szCs w:val="22"/>
        </w:rPr>
        <w:t>Gracia</w:t>
      </w:r>
      <w:r w:rsidRPr="000E02AC">
        <w:rPr>
          <w:rStyle w:val="highwire-citation-author"/>
          <w:rFonts w:asciiTheme="minorHAnsi" w:hAnsiTheme="minorHAnsi" w:cstheme="minorHAnsi"/>
          <w:sz w:val="22"/>
          <w:szCs w:val="22"/>
        </w:rPr>
        <w:t xml:space="preserve">, E. (2004). </w:t>
      </w:r>
      <w:r w:rsidRPr="000E02AC">
        <w:rPr>
          <w:rFonts w:asciiTheme="minorHAnsi" w:hAnsiTheme="minorHAnsi" w:cstheme="minorHAnsi"/>
          <w:sz w:val="22"/>
          <w:szCs w:val="22"/>
        </w:rPr>
        <w:t xml:space="preserve">Unreported cases of domestic violence against women: towards an epidemiology of social silence, tolerance, and inhibition. </w:t>
      </w:r>
      <w:r w:rsidRPr="000E02AC">
        <w:rPr>
          <w:rStyle w:val="highwire-cite-metadata-journal"/>
          <w:rFonts w:asciiTheme="minorHAnsi" w:hAnsiTheme="minorHAnsi" w:cstheme="minorHAnsi"/>
          <w:i/>
          <w:iCs/>
          <w:sz w:val="22"/>
          <w:szCs w:val="22"/>
        </w:rPr>
        <w:t>Journal of Epidemiology &amp; Community Health </w:t>
      </w:r>
      <w:proofErr w:type="gramStart"/>
      <w:r w:rsidRPr="000E02AC">
        <w:rPr>
          <w:rStyle w:val="highwire-cite-metadata-year"/>
          <w:rFonts w:asciiTheme="minorHAnsi" w:hAnsiTheme="minorHAnsi" w:cstheme="minorHAnsi"/>
          <w:sz w:val="22"/>
          <w:szCs w:val="22"/>
        </w:rPr>
        <w:t>2004;</w:t>
      </w:r>
      <w:r w:rsidRPr="000E02AC">
        <w:rPr>
          <w:rStyle w:val="highwire-cite-metadata-volume"/>
          <w:rFonts w:asciiTheme="minorHAnsi" w:hAnsiTheme="minorHAnsi" w:cstheme="minorHAnsi"/>
          <w:b/>
          <w:bCs/>
          <w:sz w:val="22"/>
          <w:szCs w:val="22"/>
        </w:rPr>
        <w:t>58:</w:t>
      </w:r>
      <w:r w:rsidRPr="000E02AC">
        <w:rPr>
          <w:rStyle w:val="highwire-cite-metadata-pages"/>
          <w:rFonts w:asciiTheme="minorHAnsi" w:hAnsiTheme="minorHAnsi" w:cstheme="minorHAnsi"/>
          <w:sz w:val="22"/>
          <w:szCs w:val="22"/>
        </w:rPr>
        <w:t>536</w:t>
      </w:r>
      <w:proofErr w:type="gramEnd"/>
      <w:r w:rsidRPr="000E02AC">
        <w:rPr>
          <w:rStyle w:val="highwire-cite-metadata-pages"/>
          <w:rFonts w:asciiTheme="minorHAnsi" w:hAnsiTheme="minorHAnsi" w:cstheme="minorHAnsi"/>
          <w:sz w:val="22"/>
          <w:szCs w:val="22"/>
        </w:rPr>
        <w:t>-537.</w:t>
      </w:r>
    </w:p>
    <w:p w14:paraId="7D7B7634" w14:textId="77777777" w:rsidR="00A607B9" w:rsidRPr="000E02AC" w:rsidRDefault="00A607B9" w:rsidP="00A607B9">
      <w:pPr>
        <w:shd w:val="clear" w:color="auto" w:fill="FFFFFF"/>
        <w:rPr>
          <w:rFonts w:asciiTheme="minorHAnsi" w:hAnsiTheme="minorHAnsi" w:cstheme="minorHAnsi"/>
          <w:sz w:val="22"/>
          <w:szCs w:val="22"/>
        </w:rPr>
      </w:pPr>
    </w:p>
    <w:p w14:paraId="0472A533" w14:textId="77777777" w:rsidR="00A607B9" w:rsidRPr="000E02AC" w:rsidRDefault="00A607B9" w:rsidP="00A607B9">
      <w:pPr>
        <w:rPr>
          <w:rFonts w:asciiTheme="minorHAnsi" w:hAnsiTheme="minorHAnsi" w:cstheme="minorHAnsi"/>
          <w:sz w:val="22"/>
          <w:szCs w:val="22"/>
        </w:rPr>
      </w:pPr>
      <w:proofErr w:type="spellStart"/>
      <w:r w:rsidRPr="000E02AC">
        <w:rPr>
          <w:rFonts w:asciiTheme="minorHAnsi" w:hAnsiTheme="minorHAnsi" w:cstheme="minorHAnsi"/>
          <w:sz w:val="22"/>
          <w:szCs w:val="22"/>
        </w:rPr>
        <w:t>Gurm</w:t>
      </w:r>
      <w:proofErr w:type="spellEnd"/>
      <w:r w:rsidRPr="000E02AC">
        <w:rPr>
          <w:rFonts w:asciiTheme="minorHAnsi" w:hAnsiTheme="minorHAnsi" w:cstheme="minorHAnsi"/>
          <w:sz w:val="22"/>
          <w:szCs w:val="22"/>
        </w:rPr>
        <w:t xml:space="preserve">, B., </w:t>
      </w:r>
      <w:proofErr w:type="spellStart"/>
      <w:r w:rsidRPr="000E02AC">
        <w:rPr>
          <w:rFonts w:asciiTheme="minorHAnsi" w:hAnsiTheme="minorHAnsi" w:cstheme="minorHAnsi"/>
          <w:sz w:val="22"/>
          <w:szCs w:val="22"/>
        </w:rPr>
        <w:t>Murchbank</w:t>
      </w:r>
      <w:proofErr w:type="spellEnd"/>
      <w:r w:rsidRPr="000E02AC">
        <w:rPr>
          <w:rFonts w:asciiTheme="minorHAnsi" w:hAnsiTheme="minorHAnsi" w:cstheme="minorHAnsi"/>
          <w:sz w:val="22"/>
          <w:szCs w:val="22"/>
        </w:rPr>
        <w:t xml:space="preserve">, J. (2020). Why Survivors Don’t Report: </w:t>
      </w:r>
      <w:r w:rsidRPr="000E02AC">
        <w:rPr>
          <w:rFonts w:asciiTheme="minorHAnsi" w:hAnsiTheme="minorHAnsi" w:cstheme="minorHAnsi"/>
          <w:i/>
          <w:iCs/>
          <w:sz w:val="22"/>
          <w:szCs w:val="22"/>
        </w:rPr>
        <w:t>Making Sense of a Global Pandemic: Relationship Violence &amp; Working Together Towards a Violence Free Society</w:t>
      </w:r>
      <w:r w:rsidRPr="000E02AC">
        <w:rPr>
          <w:rFonts w:asciiTheme="minorHAnsi" w:hAnsiTheme="minorHAnsi" w:cstheme="minorHAnsi"/>
          <w:sz w:val="22"/>
          <w:szCs w:val="22"/>
        </w:rPr>
        <w:t xml:space="preserve">. (online). Accessed at: </w:t>
      </w:r>
      <w:hyperlink r:id="rId17" w:history="1">
        <w:r w:rsidRPr="000E02AC">
          <w:rPr>
            <w:rStyle w:val="Hyperlink"/>
            <w:rFonts w:asciiTheme="minorHAnsi" w:hAnsiTheme="minorHAnsi" w:cstheme="minorHAnsi"/>
            <w:sz w:val="22"/>
            <w:szCs w:val="22"/>
          </w:rPr>
          <w:t>Chapter 8: Why Survivors Don’t Report – Making Sense of a Global Pandemic: Relationship Violence &amp; Working Together Towards a Violence Free Society (pressbooks.pub)</w:t>
        </w:r>
      </w:hyperlink>
    </w:p>
    <w:p w14:paraId="3D385631" w14:textId="77777777" w:rsidR="00A607B9" w:rsidRPr="000E02AC" w:rsidRDefault="00A607B9" w:rsidP="00A607B9">
      <w:pPr>
        <w:rPr>
          <w:rFonts w:asciiTheme="minorHAnsi" w:hAnsiTheme="minorHAnsi" w:cstheme="minorHAnsi"/>
          <w:sz w:val="22"/>
          <w:szCs w:val="22"/>
        </w:rPr>
      </w:pPr>
    </w:p>
    <w:p w14:paraId="354F6646" w14:textId="77777777" w:rsidR="00A607B9" w:rsidRPr="000E02AC" w:rsidRDefault="00A607B9" w:rsidP="00A607B9">
      <w:pPr>
        <w:rPr>
          <w:rFonts w:asciiTheme="minorHAnsi" w:hAnsiTheme="minorHAnsi" w:cstheme="minorHAnsi"/>
          <w:sz w:val="22"/>
          <w:szCs w:val="22"/>
        </w:rPr>
      </w:pPr>
      <w:r w:rsidRPr="000E02AC">
        <w:rPr>
          <w:rFonts w:asciiTheme="minorHAnsi" w:hAnsiTheme="minorHAnsi" w:cstheme="minorHAnsi"/>
          <w:sz w:val="22"/>
          <w:szCs w:val="22"/>
        </w:rPr>
        <w:t xml:space="preserve">Pain, R. (2017). Everyday Terrorism: </w:t>
      </w:r>
      <w:r w:rsidRPr="000E02AC">
        <w:rPr>
          <w:rFonts w:asciiTheme="minorHAnsi" w:hAnsiTheme="minorHAnsi" w:cstheme="minorHAnsi"/>
          <w:i/>
          <w:iCs/>
          <w:sz w:val="22"/>
          <w:szCs w:val="22"/>
        </w:rPr>
        <w:t xml:space="preserve">How Fear Works in Domestic Abuse. </w:t>
      </w:r>
      <w:r w:rsidRPr="000E02AC">
        <w:rPr>
          <w:rFonts w:asciiTheme="minorHAnsi" w:hAnsiTheme="minorHAnsi" w:cstheme="minorHAnsi"/>
          <w:sz w:val="22"/>
          <w:szCs w:val="22"/>
        </w:rPr>
        <w:t xml:space="preserve">(online). Accessed at: </w:t>
      </w:r>
      <w:hyperlink r:id="rId18" w:history="1">
        <w:r w:rsidRPr="000E02AC">
          <w:rPr>
            <w:rStyle w:val="Hyperlink"/>
            <w:rFonts w:asciiTheme="minorHAnsi" w:hAnsiTheme="minorHAnsi" w:cstheme="minorHAnsi"/>
            <w:sz w:val="22"/>
            <w:szCs w:val="22"/>
          </w:rPr>
          <w:t>EverydayTerrorismReport.pdf (</w:t>
        </w:r>
        <w:proofErr w:type="spellStart"/>
        <w:proofErr w:type="gramStart"/>
        <w:r w:rsidRPr="000E02AC">
          <w:rPr>
            <w:rStyle w:val="Hyperlink"/>
            <w:rFonts w:asciiTheme="minorHAnsi" w:hAnsiTheme="minorHAnsi" w:cstheme="minorHAnsi"/>
            <w:sz w:val="22"/>
            <w:szCs w:val="22"/>
          </w:rPr>
          <w:t>womensaid.scot</w:t>
        </w:r>
        <w:proofErr w:type="spellEnd"/>
        <w:proofErr w:type="gramEnd"/>
        <w:r w:rsidRPr="000E02AC">
          <w:rPr>
            <w:rStyle w:val="Hyperlink"/>
            <w:rFonts w:asciiTheme="minorHAnsi" w:hAnsiTheme="minorHAnsi" w:cstheme="minorHAnsi"/>
            <w:sz w:val="22"/>
            <w:szCs w:val="22"/>
          </w:rPr>
          <w:t>)</w:t>
        </w:r>
      </w:hyperlink>
    </w:p>
    <w:p w14:paraId="4213686A" w14:textId="77777777" w:rsidR="00A607B9" w:rsidRPr="000E02AC" w:rsidRDefault="00A607B9" w:rsidP="00A607B9">
      <w:pPr>
        <w:rPr>
          <w:rFonts w:asciiTheme="minorHAnsi" w:hAnsiTheme="minorHAnsi" w:cstheme="minorHAnsi"/>
          <w:sz w:val="22"/>
          <w:szCs w:val="22"/>
        </w:rPr>
      </w:pPr>
    </w:p>
    <w:p w14:paraId="7D99944E" w14:textId="77777777" w:rsidR="00A607B9" w:rsidRPr="000E02AC" w:rsidRDefault="00A607B9" w:rsidP="00A607B9">
      <w:pPr>
        <w:rPr>
          <w:rStyle w:val="Hyperlink"/>
          <w:rFonts w:asciiTheme="minorHAnsi" w:hAnsiTheme="minorHAnsi" w:cstheme="minorHAnsi"/>
          <w:sz w:val="22"/>
          <w:szCs w:val="22"/>
        </w:rPr>
      </w:pPr>
      <w:r w:rsidRPr="000E02AC">
        <w:rPr>
          <w:rFonts w:asciiTheme="minorHAnsi" w:hAnsiTheme="minorHAnsi" w:cstheme="minorHAnsi"/>
          <w:sz w:val="22"/>
          <w:szCs w:val="22"/>
        </w:rPr>
        <w:t xml:space="preserve">Patrick, W. (2020). Why Men who are Domestic Violence Victims Don’t Report. </w:t>
      </w:r>
      <w:r w:rsidRPr="000E02AC">
        <w:rPr>
          <w:rFonts w:asciiTheme="minorHAnsi" w:hAnsiTheme="minorHAnsi" w:cstheme="minorHAnsi"/>
          <w:i/>
          <w:iCs/>
          <w:sz w:val="22"/>
          <w:szCs w:val="22"/>
        </w:rPr>
        <w:t>Psychology Today</w:t>
      </w:r>
      <w:r w:rsidRPr="000E02AC">
        <w:rPr>
          <w:rFonts w:asciiTheme="minorHAnsi" w:hAnsiTheme="minorHAnsi" w:cstheme="minorHAnsi"/>
          <w:sz w:val="22"/>
          <w:szCs w:val="22"/>
        </w:rPr>
        <w:t xml:space="preserve">. (online). Accessed at: </w:t>
      </w:r>
      <w:hyperlink r:id="rId19" w:history="1">
        <w:r w:rsidRPr="000E02AC">
          <w:rPr>
            <w:rStyle w:val="Hyperlink"/>
            <w:rFonts w:asciiTheme="minorHAnsi" w:hAnsiTheme="minorHAnsi" w:cstheme="minorHAnsi"/>
            <w:sz w:val="22"/>
            <w:szCs w:val="22"/>
          </w:rPr>
          <w:t>Why Men Who Are Domestic Violence Victims Don't Report | Psychology Today United Kingdom</w:t>
        </w:r>
      </w:hyperlink>
    </w:p>
    <w:p w14:paraId="07DB6076" w14:textId="77777777" w:rsidR="00A607B9" w:rsidRPr="000E02AC" w:rsidRDefault="00A607B9" w:rsidP="00A607B9">
      <w:pPr>
        <w:rPr>
          <w:rFonts w:asciiTheme="minorHAnsi" w:hAnsiTheme="minorHAnsi" w:cstheme="minorHAnsi"/>
          <w:sz w:val="22"/>
          <w:szCs w:val="22"/>
        </w:rPr>
      </w:pPr>
    </w:p>
    <w:p w14:paraId="0610468B" w14:textId="77777777" w:rsidR="00A607B9" w:rsidRPr="000E02AC" w:rsidRDefault="00A607B9" w:rsidP="00A607B9">
      <w:pPr>
        <w:rPr>
          <w:rStyle w:val="Hyperlink"/>
          <w:rFonts w:asciiTheme="minorHAnsi" w:hAnsiTheme="minorHAnsi" w:cstheme="minorHAnsi"/>
          <w:sz w:val="22"/>
          <w:szCs w:val="22"/>
        </w:rPr>
      </w:pPr>
      <w:proofErr w:type="spellStart"/>
      <w:r w:rsidRPr="000E02AC">
        <w:rPr>
          <w:rFonts w:asciiTheme="minorHAnsi" w:hAnsiTheme="minorHAnsi" w:cstheme="minorHAnsi"/>
          <w:sz w:val="22"/>
          <w:szCs w:val="22"/>
        </w:rPr>
        <w:t>TalkingParents</w:t>
      </w:r>
      <w:proofErr w:type="spellEnd"/>
      <w:r w:rsidRPr="000E02AC">
        <w:rPr>
          <w:rFonts w:asciiTheme="minorHAnsi" w:hAnsiTheme="minorHAnsi" w:cstheme="minorHAnsi"/>
          <w:sz w:val="22"/>
          <w:szCs w:val="22"/>
        </w:rPr>
        <w:t xml:space="preserve"> (2022). Why Domestic Violence Goes Unreported. </w:t>
      </w:r>
      <w:r w:rsidRPr="000E02AC">
        <w:rPr>
          <w:rFonts w:asciiTheme="minorHAnsi" w:hAnsiTheme="minorHAnsi" w:cstheme="minorHAnsi"/>
          <w:i/>
          <w:iCs/>
          <w:sz w:val="22"/>
          <w:szCs w:val="22"/>
        </w:rPr>
        <w:t>TalkingParents.com</w:t>
      </w:r>
      <w:r w:rsidRPr="000E02AC">
        <w:rPr>
          <w:rFonts w:asciiTheme="minorHAnsi" w:hAnsiTheme="minorHAnsi" w:cstheme="minorHAnsi"/>
          <w:sz w:val="22"/>
          <w:szCs w:val="22"/>
        </w:rPr>
        <w:t xml:space="preserve">. (online). Accessed at: </w:t>
      </w:r>
      <w:hyperlink r:id="rId20" w:history="1">
        <w:r w:rsidRPr="000E02AC">
          <w:rPr>
            <w:rStyle w:val="Hyperlink"/>
            <w:rFonts w:asciiTheme="minorHAnsi" w:hAnsiTheme="minorHAnsi" w:cstheme="minorHAnsi"/>
            <w:sz w:val="22"/>
            <w:szCs w:val="22"/>
          </w:rPr>
          <w:t xml:space="preserve">Why Domestic Violence Goes Unreported | </w:t>
        </w:r>
        <w:proofErr w:type="spellStart"/>
        <w:r w:rsidRPr="000E02AC">
          <w:rPr>
            <w:rStyle w:val="Hyperlink"/>
            <w:rFonts w:asciiTheme="minorHAnsi" w:hAnsiTheme="minorHAnsi" w:cstheme="minorHAnsi"/>
            <w:sz w:val="22"/>
            <w:szCs w:val="22"/>
          </w:rPr>
          <w:t>TalkingParents</w:t>
        </w:r>
        <w:proofErr w:type="spellEnd"/>
      </w:hyperlink>
    </w:p>
    <w:p w14:paraId="396EF466" w14:textId="77777777" w:rsidR="00A607B9" w:rsidRPr="000E02AC" w:rsidRDefault="00A607B9" w:rsidP="00A607B9">
      <w:pPr>
        <w:rPr>
          <w:rFonts w:asciiTheme="minorHAnsi" w:hAnsiTheme="minorHAnsi" w:cstheme="minorHAnsi"/>
          <w:sz w:val="22"/>
          <w:szCs w:val="22"/>
        </w:rPr>
      </w:pPr>
    </w:p>
    <w:p w14:paraId="70A2C5D8" w14:textId="77777777" w:rsidR="00A607B9" w:rsidRPr="000E02AC" w:rsidRDefault="00A607B9" w:rsidP="00A607B9">
      <w:pPr>
        <w:rPr>
          <w:rStyle w:val="Hyperlink"/>
          <w:rFonts w:asciiTheme="minorHAnsi" w:hAnsiTheme="minorHAnsi" w:cstheme="minorHAnsi"/>
          <w:sz w:val="22"/>
          <w:szCs w:val="22"/>
        </w:rPr>
      </w:pPr>
      <w:r w:rsidRPr="000E02AC">
        <w:rPr>
          <w:rFonts w:asciiTheme="minorHAnsi" w:hAnsiTheme="minorHAnsi" w:cstheme="minorHAnsi"/>
          <w:sz w:val="22"/>
          <w:szCs w:val="22"/>
        </w:rPr>
        <w:t xml:space="preserve">The Office for National Statistics (2020). Domestic Abuse victim characteristics, </w:t>
      </w:r>
      <w:proofErr w:type="gramStart"/>
      <w:r w:rsidRPr="000E02AC">
        <w:rPr>
          <w:rFonts w:asciiTheme="minorHAnsi" w:hAnsiTheme="minorHAnsi" w:cstheme="minorHAnsi"/>
          <w:sz w:val="22"/>
          <w:szCs w:val="22"/>
        </w:rPr>
        <w:t>England</w:t>
      </w:r>
      <w:proofErr w:type="gramEnd"/>
      <w:r w:rsidRPr="000E02AC">
        <w:rPr>
          <w:rFonts w:asciiTheme="minorHAnsi" w:hAnsiTheme="minorHAnsi" w:cstheme="minorHAnsi"/>
          <w:sz w:val="22"/>
          <w:szCs w:val="22"/>
        </w:rPr>
        <w:t xml:space="preserve"> and Wales. (online). Accessed at: </w:t>
      </w:r>
      <w:hyperlink r:id="rId21" w:history="1">
        <w:r w:rsidRPr="000E02AC">
          <w:rPr>
            <w:rStyle w:val="Hyperlink"/>
            <w:rFonts w:asciiTheme="minorHAnsi" w:hAnsiTheme="minorHAnsi" w:cstheme="minorHAnsi"/>
            <w:sz w:val="22"/>
            <w:szCs w:val="22"/>
          </w:rPr>
          <w:t>Domestic abuse victim characteristics, England and Wales - Office for National Statistics (ons.gov.uk)</w:t>
        </w:r>
      </w:hyperlink>
    </w:p>
    <w:p w14:paraId="2F8CD2AD" w14:textId="77777777" w:rsidR="00A607B9" w:rsidRPr="000E02AC" w:rsidRDefault="00A607B9" w:rsidP="00A607B9">
      <w:pPr>
        <w:rPr>
          <w:rStyle w:val="Hyperlink"/>
          <w:rFonts w:asciiTheme="minorHAnsi" w:hAnsiTheme="minorHAnsi" w:cstheme="minorHAnsi"/>
          <w:sz w:val="22"/>
          <w:szCs w:val="22"/>
        </w:rPr>
      </w:pPr>
    </w:p>
    <w:p w14:paraId="487AFD35" w14:textId="77777777" w:rsidR="00A607B9" w:rsidRPr="000E02AC" w:rsidRDefault="00A607B9" w:rsidP="00A607B9">
      <w:pPr>
        <w:rPr>
          <w:rFonts w:asciiTheme="minorHAnsi" w:hAnsiTheme="minorHAnsi" w:cstheme="minorHAnsi"/>
          <w:sz w:val="22"/>
          <w:szCs w:val="22"/>
        </w:rPr>
      </w:pPr>
      <w:r w:rsidRPr="000E02AC">
        <w:rPr>
          <w:rFonts w:asciiTheme="minorHAnsi" w:hAnsiTheme="minorHAnsi" w:cstheme="minorHAnsi"/>
          <w:sz w:val="22"/>
          <w:szCs w:val="22"/>
        </w:rPr>
        <w:t xml:space="preserve">The Office for National Statistics (2022). Domestic Abuse in England and Wales. (online). Accessed at: </w:t>
      </w:r>
      <w:hyperlink r:id="rId22" w:history="1">
        <w:r w:rsidRPr="000E02AC">
          <w:rPr>
            <w:rStyle w:val="Hyperlink"/>
            <w:rFonts w:asciiTheme="minorHAnsi" w:hAnsiTheme="minorHAnsi" w:cstheme="minorHAnsi"/>
            <w:sz w:val="22"/>
            <w:szCs w:val="22"/>
          </w:rPr>
          <w:t>Domestic abuse in England and Wales overview - Office for National Statistics (ons.gov.uk)</w:t>
        </w:r>
      </w:hyperlink>
    </w:p>
    <w:p w14:paraId="3150A33C" w14:textId="77777777" w:rsidR="00A607B9" w:rsidRPr="000E02AC" w:rsidRDefault="00A607B9" w:rsidP="00A607B9">
      <w:pPr>
        <w:rPr>
          <w:rFonts w:asciiTheme="minorHAnsi" w:hAnsiTheme="minorHAnsi" w:cstheme="minorHAnsi"/>
        </w:rPr>
      </w:pPr>
    </w:p>
    <w:p w14:paraId="5A14BEB8" w14:textId="69952D76" w:rsidR="5B843AF0" w:rsidRPr="00E676F7" w:rsidRDefault="5B843AF0" w:rsidP="00A607B9">
      <w:pPr>
        <w:ind w:right="237"/>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lastRenderedPageBreak/>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29B372E9" w14:textId="77777777" w:rsidR="008E6744" w:rsidRDefault="008E6744" w:rsidP="008E6744">
      <w:pPr>
        <w:spacing w:line="360" w:lineRule="auto"/>
      </w:pPr>
      <w:r>
        <w:t xml:space="preserve">This short essay will look at an incident that I attended following my initial police tutorship phase. This incident will be one wherein I played a significant role in relation to the investigation, such as dealing with the victims and witnesses involved, the investigative actions I took as a student Police Constable, </w:t>
      </w:r>
      <w:r>
        <w:lastRenderedPageBreak/>
        <w:t xml:space="preserve">and the management of my own attitudes and opinions towards the investigation, such as reflective practise. This essay will be broken down into several parts. The first I will give the context of the incident in which I attended. The second will briefly highlight the frequency of domestic-related incidents that are prevalent within the United Kingdom, and briefly highlight the difficulty in identifying victims of domestic-related incidents. The third will analyse my role within the incident, highlighting my role within the investigation, the investigative fast-track actions I undertook at scene, and the importance of securing early evidence at scene. The fourth, and final, part will look at the difficulties and challenges that were presented, and my reflective practise throughout the investigation. </w:t>
      </w:r>
    </w:p>
    <w:p w14:paraId="644C20D8" w14:textId="77777777" w:rsidR="008E6744" w:rsidRDefault="008E6744" w:rsidP="008E6744">
      <w:pPr>
        <w:spacing w:line="360" w:lineRule="auto"/>
      </w:pPr>
      <w:r>
        <w:t xml:space="preserve">The call came through to response officers as ‘I just found my girlfriend hanging’. It was my last night shift, and it was 03:23 in the early hours of Sunday morning. As soon as the radio transmitted the call and give the address, I knew immediately who it was. The female in question was very well known to officers, and in the months leading up to the incident there had been significant calls made to and from the address. I attended at the scene with another male colleague and arrived shortly after the call was dispatched. I made my way up towards the front door and inside of the property. A male voice called down from upstairs and I made my way up the stairs and towards the female’s bedroom. The female was on the floor, not suspended, with a ligature around her neck. Appeared to have been there for a minimum of two days due to the pooling of blood. The male handed myself a phone, of which the emergency services were on the line, who asked me to continue with chest compressions. I stated that the female was of a state where any opportunities towards the preservation of life were going to be unsuccessful. The sergeant shortly arrived at scene, whereby it was established that due to the time of the night, it was best to preserve the scene as it was so that CID and CSI could attend in the morning to continue with the further investigative opportunities that were not available at that time. </w:t>
      </w:r>
    </w:p>
    <w:p w14:paraId="5794F441" w14:textId="77777777" w:rsidR="008E6744" w:rsidRDefault="008E6744" w:rsidP="008E6744">
      <w:pPr>
        <w:spacing w:line="360" w:lineRule="auto"/>
      </w:pPr>
      <w:r>
        <w:t xml:space="preserve">The National Centre for Domestic Violence (ncdv.org.uk: no date) (cited by the Office for National Statistics, 2022) states that in 2022 alone there were 2.4 million adult victims to domestic related incidents, with 1.7 million of those being women. With there also being over 1.5 million domestic related incidents having been reported to the police in the year 2022 alone, an increase of 7.7% from the year prior (The National Centre for Domestic Violence (cited by the Office for National Statistics, 2022). The Femicide Census (2020), in a 10-year report dating from 2009 – 2018, highlights that 1,681 women have been killed by men since the report started back in 2009. The report further published the names of the 111 women who were murdered in 2020, further stating that of these 111 women, 70% of the killings took place in the home (either that of both the victim and perpetrator, or that of the victim or the perpetrator), and 22% involved asphyxiation or strangulation (Femicide Census, 2020). The above statistics are concerning; however, they are the stark reality of what women often face daily at the hands of their perpetrator. </w:t>
      </w:r>
    </w:p>
    <w:p w14:paraId="086B5023" w14:textId="77777777" w:rsidR="008E6744" w:rsidRDefault="008E6744" w:rsidP="008E6744">
      <w:pPr>
        <w:spacing w:line="360" w:lineRule="auto"/>
      </w:pPr>
      <w:r>
        <w:t xml:space="preserve">At the time of attending the incident, it was crucial for me to not rule out the possibility of a domestic related death having taken place, especially due to the information known regarding both the male and female and their previous domestic related incidents. This is especially true given the fact that in most domestic related cases, if it is known that the perpetrator is a repeat perpetrator (or offender), there is a high likelihood that abuse, harassment, and even physical violence will be used in some </w:t>
      </w:r>
      <w:r>
        <w:lastRenderedPageBreak/>
        <w:t>capacity (Hester, 2013, cited in Women’s Aid et al., 2021). With all this critical information at the forefront of my mind whilst attending the scene, it was concerning to see the male, who was the ex-partner, at the female’s home address. I went downstairs to the front door and took an initial account from the male and asked him to account for his actions of the night and how he ended up being at the female’s house. The male stated that he had not heard from the female in 6 days, and whilst they had not been in a relationship for a couple of months, they remained in contact. The male further went on to state that he was concerned she may have been with another male, and therefore wanted to attend at her home address to see if she was okay, but also to see if she was alone. Following no answer at the door, he has let himself into the premises due to the front door being insecure and unable to lock. Brewster (2003, cited in Logan, 2010) highlights that stalking behaviour is common in relationships whereby partner violence was prevalent, with there being a significant correlation between stalking behaviour and a history of both coercive control and physical and sexual violence (Logan, 2010). When hearing this information, it was evident that the male displayed typical characteristics and tendencies of stalking behaviour, which was even more concerning given the fact they were no longer in a relationship.</w:t>
      </w:r>
    </w:p>
    <w:p w14:paraId="17EDFF1F" w14:textId="77777777" w:rsidR="008E6744" w:rsidRDefault="008E6744" w:rsidP="008E6744">
      <w:pPr>
        <w:spacing w:line="360" w:lineRule="auto"/>
      </w:pPr>
      <w:r>
        <w:t>Following taking an account from the male and to preserve any forensic DNA, the male’s clothing was seized along with any items on his person at the time. A scene was established, and an officer remained at scene to uphold its integrity. Due to the time of night and CSI and CID not being able to attend until morning, it was crucial to ascertain a timeline and complete as many investigative actions as could be realistically completed. These included house to house, CCTV, seizing of the male’s clothing, and establishing a scene whereby everything was to remain in situ. Within a criminal investigation, these are individual components to what are known as the Golden Hour Principles within policing, and refer to individual lines of enquiry which are done at the location of the crime scene in order to increase the effectiveness of the investigation by securing significant material that can be used for the prosecution of the offence and to identify an offender (College of Policing: no date). The Golden Hour Principles and Fast Track Actions are largely interchangeable and refer, in most part, to the same thing. Fast Track Actions are defined as “any investigative actions which, if pursued immediately, are likely to establish important facts, preserve evidence or lead to the early resolution of the investigation” (College of Policing: no date). It should be noted that there are multiple steps to an investigation and obtaining evidence, however the Golden Hour Principles refer, specifically, to many of the actions done at scene to preserve the likelihood of ascertaining evidence that may be subjected to matters out of human control, such as the weather with forensic opportunities.</w:t>
      </w:r>
    </w:p>
    <w:p w14:paraId="206108C7" w14:textId="77777777" w:rsidR="008E6744" w:rsidRDefault="008E6744" w:rsidP="008E6744">
      <w:pPr>
        <w:spacing w:line="360" w:lineRule="auto"/>
      </w:pPr>
      <w:r>
        <w:t xml:space="preserve">Cook and Tattersall (2023) refers to the ABC approach when dealing with an investigation, which stands for Assume nothing, Believe nothing, and Challenge everything. This was significant during this investigation as at no point could I rule out the male’s involvement as a suspect in a potential homicide. At least not until the death could be deemed as non-suspicious, with, thankfully, CID were able to confirm due to the Ring doorbell CCTV marrying up with the timeframe given by the male in his account. From this point forward the investigation was handed to me, and I had to complete my first ever coroner’s file for a sudden death, which meant that there was an additional long list of further </w:t>
      </w:r>
      <w:r>
        <w:lastRenderedPageBreak/>
        <w:t xml:space="preserve">investigatory actions which needed to be completed for the coroner by a deadline. These included phone downloads and pharmaceutical examinations, statements from persons at scene and who last saw the female alive, officer statement, a lengthy covering report detailing all the findings and piecing together a verdict on the outcome of the death, however the most difficult and challenging aspect was the taking of the antecedent statement from the female’s parents. </w:t>
      </w:r>
    </w:p>
    <w:p w14:paraId="459A7CD4" w14:textId="77777777" w:rsidR="008E6744" w:rsidRDefault="008E6744" w:rsidP="008E6744">
      <w:pPr>
        <w:spacing w:line="360" w:lineRule="auto"/>
      </w:pPr>
      <w:r>
        <w:t xml:space="preserve">As I briefly highlighted above, one of the most challenging aspects of this process so far was the taking of the antecedent statement. There were several aspects of the process which were made more difficult due to the parents having been estranged from the female for over 6 years, due to her highly disruptive and chaotic lifestyle which was through no fault of the parents. The female moved to Wales and the parents remained in England. Due to this I had to facilitate an opportunity to meet with the parents to obtain a detailed antecedent statement, which was challenging not only given the emotions that were present throughout the taking of the statement, but also due to the chaotic lifestyle the female led it was a very lengthy statement and I had to assure that everything was accurate and punctual. Understandably, emotions are high in such a setting, therefore I set forth detailed rules to make the process easier, which included frequent breaks if they felt they needed some air, allowing them time to themselves if they also needed it, beverage breaks, and setting a steady pace so that they did not feel as though they were rushed. However, the most challenging by far was the parents asking if I could accompany them to the female’s house so that they could look for a few personal items given the fact they did not ‘know her’, and so they could lay some flowers where she passed. </w:t>
      </w:r>
    </w:p>
    <w:p w14:paraId="52B3B63E" w14:textId="77777777" w:rsidR="008E6744" w:rsidRDefault="008E6744" w:rsidP="008E6744">
      <w:pPr>
        <w:spacing w:before="240"/>
        <w:ind w:left="227" w:right="227"/>
      </w:pPr>
      <w:r>
        <w:t xml:space="preserve">“For many individuals the death of a loved one is just such a crisis. Ensuring that the proper steps and procedures are taken at the scene of that death to reassure family members that the death was a natural one or a suicide” (Adkins, 1999:13). </w:t>
      </w:r>
    </w:p>
    <w:p w14:paraId="53635192" w14:textId="77777777" w:rsidR="008E6744" w:rsidRDefault="008E6744" w:rsidP="008E6744">
      <w:pPr>
        <w:spacing w:line="360" w:lineRule="auto"/>
      </w:pPr>
      <w:r>
        <w:t xml:space="preserve">I found this to be a very personal moment that the family could have done alone, and truthfully, I felt very uncomfortable being present as I would routinely be asked questions that nobody would know the answer to, such as ‘I wonder if she suffered?’. Whilst it was emotionally challenging on all parts, I felt a sense of pride when the parents thanked me for all that I have done. Whilst it is always difficult attending at sudden deaths, and it was especially emotionally challenging having such close encounters on a personal level with the parents, it made me feel a little more human and not just a number in a uniform, which I often overlook. Moving forward, I feel as though I now have a greater understanding of the importance of following the ABC approach when dealing with an investigation, as everything must be critically analysed, or in this case, seen as a suspect, until they can be mitigated from the enquiry due to the analysis of evidence. From start to finish, I was present and had key involvement within the investigation and was also frequently in contact with the family of the female, updating them when I could in relation to the investigation, but also acting as a human with decency when dealing with the loss of a loved one. This investigation has made me feel more confident when dealing with large investigative incidents whereby you do not know in what direction the investigation will </w:t>
      </w:r>
      <w:proofErr w:type="gramStart"/>
      <w:r>
        <w:t>go, and</w:t>
      </w:r>
      <w:proofErr w:type="gramEnd"/>
      <w:r>
        <w:t xml:space="preserve"> has made me more confident in pursuing my path of wanting to be a CID officer. </w:t>
      </w:r>
    </w:p>
    <w:p w14:paraId="24C5CABA" w14:textId="2D9B5B80" w:rsidR="008E6744" w:rsidRDefault="008E6744" w:rsidP="008E6744">
      <w:pPr>
        <w:spacing w:line="360" w:lineRule="auto"/>
      </w:pPr>
      <w:r>
        <w:t>Word count: 1,933</w:t>
      </w:r>
    </w:p>
    <w:p w14:paraId="1AC0512E" w14:textId="77777777" w:rsidR="008E6744" w:rsidRDefault="008E6744" w:rsidP="008E6744">
      <w:pPr>
        <w:spacing w:line="360" w:lineRule="auto"/>
      </w:pPr>
    </w:p>
    <w:p w14:paraId="52FF0634" w14:textId="77777777" w:rsidR="008E6744" w:rsidRDefault="008E6744" w:rsidP="008E6744"/>
    <w:p w14:paraId="1C9DE16B" w14:textId="77777777" w:rsidR="008E6744" w:rsidRPr="00CC27C7" w:rsidRDefault="008E6744" w:rsidP="008E6744">
      <w:pPr>
        <w:rPr>
          <w:u w:val="single"/>
        </w:rPr>
      </w:pPr>
      <w:r w:rsidRPr="00CC27C7">
        <w:rPr>
          <w:u w:val="single"/>
        </w:rPr>
        <w:lastRenderedPageBreak/>
        <w:t>Bibliography</w:t>
      </w:r>
    </w:p>
    <w:p w14:paraId="6FDD8841" w14:textId="77777777" w:rsidR="008E6744" w:rsidRDefault="008E6744" w:rsidP="008E6744">
      <w:pPr>
        <w:rPr>
          <w:rStyle w:val="Hyperlink"/>
        </w:rPr>
      </w:pPr>
      <w:r>
        <w:t xml:space="preserve">Adkins, J. (1999). Foreword. In: US Department of Justice. Death Investigation. (online). Accessed at: </w:t>
      </w:r>
      <w:hyperlink r:id="rId23" w:history="1">
        <w:r>
          <w:rPr>
            <w:rStyle w:val="Hyperlink"/>
          </w:rPr>
          <w:t>Death Investigation: A Guide for the Scene Investigator (ojp.gov)</w:t>
        </w:r>
      </w:hyperlink>
    </w:p>
    <w:p w14:paraId="47777E20" w14:textId="77777777" w:rsidR="008E6744" w:rsidRDefault="008E6744" w:rsidP="008E6744"/>
    <w:p w14:paraId="20C12345" w14:textId="77777777" w:rsidR="008E6744" w:rsidRDefault="008E6744" w:rsidP="008E6744">
      <w:pPr>
        <w:rPr>
          <w:rStyle w:val="Hyperlink"/>
        </w:rPr>
      </w:pPr>
      <w:r>
        <w:t xml:space="preserve">College of Policing (2023). The College of Policing. (online). Accessed at: </w:t>
      </w:r>
      <w:hyperlink r:id="rId24" w:history="1">
        <w:r>
          <w:rPr>
            <w:rStyle w:val="Hyperlink"/>
          </w:rPr>
          <w:t>Investigation process | College of Policing</w:t>
        </w:r>
      </w:hyperlink>
    </w:p>
    <w:p w14:paraId="644B1802" w14:textId="77777777" w:rsidR="008E6744" w:rsidRDefault="008E6744" w:rsidP="008E6744">
      <w:pPr>
        <w:rPr>
          <w:rStyle w:val="Hyperlink"/>
        </w:rPr>
      </w:pPr>
    </w:p>
    <w:p w14:paraId="2C72D912" w14:textId="77777777" w:rsidR="008E6744" w:rsidRDefault="008E6744" w:rsidP="008E6744">
      <w:pPr>
        <w:rPr>
          <w:rStyle w:val="Hyperlink"/>
        </w:rPr>
      </w:pPr>
      <w:r>
        <w:t xml:space="preserve">Cook, T., Tattersall, A. (2023). Senior Investigating Officers’ Handbook. Blackstone’s. (online). Accessed at: </w:t>
      </w:r>
      <w:hyperlink r:id="rId25" w:history="1">
        <w:r w:rsidRPr="00256A32">
          <w:rPr>
            <w:rStyle w:val="Hyperlink"/>
          </w:rPr>
          <w:t>https://touch.policeoracle.com/news/article/.cfm?id=87207</w:t>
        </w:r>
      </w:hyperlink>
    </w:p>
    <w:p w14:paraId="7A637089" w14:textId="77777777" w:rsidR="008E6744" w:rsidRDefault="008E6744" w:rsidP="008E6744"/>
    <w:p w14:paraId="4CFE5A8F" w14:textId="77777777" w:rsidR="008E6744" w:rsidRDefault="008E6744" w:rsidP="008E6744">
      <w:pPr>
        <w:rPr>
          <w:rStyle w:val="Hyperlink"/>
        </w:rPr>
      </w:pPr>
      <w:r>
        <w:t xml:space="preserve">Femicide Census (2020). Femicide Report. (online). Accessed at: </w:t>
      </w:r>
      <w:hyperlink r:id="rId26" w:history="1">
        <w:r>
          <w:rPr>
            <w:rStyle w:val="Hyperlink"/>
          </w:rPr>
          <w:t>010998-2020-Femicide-Report_V2.pdf (femicidecensus.org)</w:t>
        </w:r>
      </w:hyperlink>
    </w:p>
    <w:p w14:paraId="7F363F58" w14:textId="77777777" w:rsidR="008E6744" w:rsidRDefault="008E6744" w:rsidP="008E6744"/>
    <w:p w14:paraId="54E503AE" w14:textId="77777777" w:rsidR="008E6744" w:rsidRDefault="008E6744" w:rsidP="008E6744">
      <w:pPr>
        <w:rPr>
          <w:rStyle w:val="Hyperlink"/>
        </w:rPr>
      </w:pPr>
      <w:r>
        <w:t xml:space="preserve">Logan, TK. (2010). Research on Partner Stalking: </w:t>
      </w:r>
      <w:r w:rsidRPr="00CC27C7">
        <w:rPr>
          <w:i/>
          <w:iCs/>
        </w:rPr>
        <w:t>Putting the Pieces Together.</w:t>
      </w:r>
      <w:r>
        <w:t xml:space="preserve"> (online). Accessed at: </w:t>
      </w:r>
      <w:hyperlink r:id="rId27" w:history="1">
        <w:r>
          <w:rPr>
            <w:rStyle w:val="Hyperlink"/>
          </w:rPr>
          <w:t>Research on Partner Stalking: Putting the Pieces Together (ojp.gov)</w:t>
        </w:r>
      </w:hyperlink>
    </w:p>
    <w:p w14:paraId="431C8FF9" w14:textId="77777777" w:rsidR="008E6744" w:rsidRDefault="008E6744" w:rsidP="008E6744"/>
    <w:p w14:paraId="70CAFAFB" w14:textId="77777777" w:rsidR="008E6744" w:rsidRDefault="008E6744" w:rsidP="008E6744">
      <w:pPr>
        <w:rPr>
          <w:rStyle w:val="Hyperlink"/>
        </w:rPr>
      </w:pPr>
      <w:r>
        <w:t xml:space="preserve">National Centre for Domestic Violence (no date). Domestic Abuse Statistics UK. (online). Accessed at: </w:t>
      </w:r>
      <w:hyperlink r:id="rId28" w:anchor=":~:text=1.5%20million,compared%20to%20the%20previous%20year." w:history="1">
        <w:r>
          <w:rPr>
            <w:rStyle w:val="Hyperlink"/>
          </w:rPr>
          <w:t>Domestic Abuse Statistics UK • NCDV</w:t>
        </w:r>
      </w:hyperlink>
    </w:p>
    <w:p w14:paraId="67EE4E5F" w14:textId="77777777" w:rsidR="008E6744" w:rsidRDefault="008E6744" w:rsidP="008E6744">
      <w:pPr>
        <w:rPr>
          <w:rStyle w:val="Hyperlink"/>
        </w:rPr>
      </w:pPr>
    </w:p>
    <w:p w14:paraId="360B680B" w14:textId="77777777" w:rsidR="008E6744" w:rsidRDefault="008E6744" w:rsidP="008E6744">
      <w:pPr>
        <w:rPr>
          <w:rStyle w:val="Hyperlink"/>
        </w:rPr>
      </w:pPr>
      <w:r w:rsidRPr="00B6677C">
        <w:t xml:space="preserve">The Office for National Statistics (2022). Domestic Abuse in England and Wales. (online). Accessed at: </w:t>
      </w:r>
      <w:hyperlink r:id="rId29" w:history="1">
        <w:r w:rsidRPr="00B6677C">
          <w:rPr>
            <w:rStyle w:val="Hyperlink"/>
          </w:rPr>
          <w:t>Domestic abuse in England and Wales overview - Office for National Statistics (ons.gov.uk)</w:t>
        </w:r>
      </w:hyperlink>
    </w:p>
    <w:p w14:paraId="395BB707" w14:textId="77777777" w:rsidR="008E6744" w:rsidRPr="00B6677C" w:rsidRDefault="008E6744" w:rsidP="008E6744"/>
    <w:p w14:paraId="6EA34762" w14:textId="77777777" w:rsidR="008E6744" w:rsidRDefault="008E6744" w:rsidP="008E6744">
      <w:r>
        <w:t>Women’s Aid, Hester, M., Walker, S-J., and Williamson, E. (2021) Gendered experiences of justice and domestic abuse. Evidence for policy and practice. Bristol: Women’s Aid</w:t>
      </w:r>
    </w:p>
    <w:p w14:paraId="08F66F32" w14:textId="77777777" w:rsidR="008E6744" w:rsidRDefault="008E6744" w:rsidP="008E6744">
      <w:r>
        <w:t xml:space="preserve"> </w:t>
      </w:r>
    </w:p>
    <w:p w14:paraId="7114768D" w14:textId="77777777" w:rsidR="008E6744" w:rsidRDefault="008E6744" w:rsidP="008E6744"/>
    <w:p w14:paraId="3914F190" w14:textId="77777777" w:rsidR="008E6744" w:rsidRDefault="008E6744" w:rsidP="008E6744"/>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0EFE7FC" w:rsidR="0FF883D4" w:rsidRDefault="5CE196A1" w:rsidP="5CE196A1">
      <w:r w:rsidRPr="5CE196A1">
        <w:rPr>
          <w:rFonts w:eastAsia="Arial"/>
          <w:b/>
          <w:bCs/>
          <w:color w:val="000000" w:themeColor="text1"/>
          <w:sz w:val="24"/>
          <w:szCs w:val="24"/>
        </w:rPr>
        <w:t xml:space="preserve">Signed: </w:t>
      </w:r>
      <w:proofErr w:type="spellStart"/>
      <w:r w:rsidR="007A2A23" w:rsidRPr="007A2A23">
        <w:rPr>
          <w:rFonts w:ascii="Kunstler Script" w:eastAsia="Arial" w:hAnsi="Kunstler Script"/>
          <w:b/>
          <w:bCs/>
          <w:color w:val="000000" w:themeColor="text1"/>
          <w:sz w:val="32"/>
          <w:szCs w:val="32"/>
        </w:rPr>
        <w:t>LFinan</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482B2B3A" w14:textId="46984507" w:rsidR="0FF883D4" w:rsidRPr="007A2A23" w:rsidRDefault="5CE196A1" w:rsidP="007A2A23">
      <w:pPr>
        <w:sectPr w:rsidR="0FF883D4" w:rsidRPr="007A2A23" w:rsidSect="0022001B">
          <w:footerReference w:type="default" r:id="rId3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7A2A23">
        <w:rPr>
          <w:rFonts w:eastAsia="Arial"/>
          <w:b/>
          <w:bCs/>
          <w:color w:val="000000" w:themeColor="text1"/>
          <w:sz w:val="24"/>
          <w:szCs w:val="24"/>
        </w:rPr>
        <w:t>: 23/10/2023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DBE0A" w14:textId="77777777" w:rsidR="00EB69E8" w:rsidRDefault="00EB69E8">
      <w:r>
        <w:separator/>
      </w:r>
    </w:p>
  </w:endnote>
  <w:endnote w:type="continuationSeparator" w:id="0">
    <w:p w14:paraId="1C4D5357" w14:textId="77777777" w:rsidR="00EB69E8" w:rsidRDefault="00EB6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Kunstler Script">
    <w:panose1 w:val="030304020206070D0D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B1949" w14:textId="77777777" w:rsidR="00EB69E8" w:rsidRDefault="00EB69E8">
      <w:r>
        <w:separator/>
      </w:r>
    </w:p>
  </w:footnote>
  <w:footnote w:type="continuationSeparator" w:id="0">
    <w:p w14:paraId="05C0EEE9" w14:textId="77777777" w:rsidR="00EB69E8" w:rsidRDefault="00EB69E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0870EF54"/>
    <w:lvl w:ilvl="0" w:tplc="20AA5EF8">
      <w:start w:val="1"/>
      <w:numFmt w:val="decimal"/>
      <w:lvlText w:val="%1."/>
      <w:lvlJc w:val="left"/>
      <w:pPr>
        <w:ind w:left="720" w:hanging="360"/>
      </w:pPr>
    </w:lvl>
    <w:lvl w:ilvl="1" w:tplc="CBD677B6">
      <w:start w:val="1"/>
      <w:numFmt w:val="lowerLetter"/>
      <w:lvlText w:val="%2."/>
      <w:lvlJc w:val="left"/>
      <w:pPr>
        <w:ind w:left="1440" w:hanging="360"/>
      </w:pPr>
    </w:lvl>
    <w:lvl w:ilvl="2" w:tplc="EB1E7334">
      <w:start w:val="1"/>
      <w:numFmt w:val="lowerRoman"/>
      <w:lvlText w:val="%3."/>
      <w:lvlJc w:val="right"/>
      <w:pPr>
        <w:ind w:left="2160" w:hanging="180"/>
      </w:pPr>
    </w:lvl>
    <w:lvl w:ilvl="3" w:tplc="F2E4CAF8">
      <w:start w:val="1"/>
      <w:numFmt w:val="decimal"/>
      <w:lvlText w:val="%4."/>
      <w:lvlJc w:val="left"/>
      <w:pPr>
        <w:ind w:left="2880" w:hanging="360"/>
      </w:pPr>
    </w:lvl>
    <w:lvl w:ilvl="4" w:tplc="4BB0ECAE">
      <w:start w:val="1"/>
      <w:numFmt w:val="lowerLetter"/>
      <w:lvlText w:val="%5."/>
      <w:lvlJc w:val="left"/>
      <w:pPr>
        <w:ind w:left="3600" w:hanging="360"/>
      </w:pPr>
    </w:lvl>
    <w:lvl w:ilvl="5" w:tplc="683A0776">
      <w:start w:val="1"/>
      <w:numFmt w:val="lowerRoman"/>
      <w:lvlText w:val="%6."/>
      <w:lvlJc w:val="right"/>
      <w:pPr>
        <w:ind w:left="4320" w:hanging="180"/>
      </w:pPr>
    </w:lvl>
    <w:lvl w:ilvl="6" w:tplc="9A2E7B4A">
      <w:start w:val="1"/>
      <w:numFmt w:val="decimal"/>
      <w:lvlText w:val="%7."/>
      <w:lvlJc w:val="left"/>
      <w:pPr>
        <w:ind w:left="5040" w:hanging="360"/>
      </w:pPr>
    </w:lvl>
    <w:lvl w:ilvl="7" w:tplc="6B366AEE">
      <w:start w:val="1"/>
      <w:numFmt w:val="lowerLetter"/>
      <w:lvlText w:val="%8."/>
      <w:lvlJc w:val="left"/>
      <w:pPr>
        <w:ind w:left="5760" w:hanging="360"/>
      </w:pPr>
    </w:lvl>
    <w:lvl w:ilvl="8" w:tplc="A33CA8D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91025B8A"/>
    <w:lvl w:ilvl="0" w:tplc="19CE543C">
      <w:start w:val="1"/>
      <w:numFmt w:val="decimal"/>
      <w:lvlText w:val="%1."/>
      <w:lvlJc w:val="left"/>
      <w:pPr>
        <w:ind w:left="720" w:hanging="360"/>
      </w:pPr>
    </w:lvl>
    <w:lvl w:ilvl="1" w:tplc="F512458C">
      <w:start w:val="1"/>
      <w:numFmt w:val="decimal"/>
      <w:lvlText w:val="%2."/>
      <w:lvlJc w:val="left"/>
      <w:pPr>
        <w:ind w:left="1440" w:hanging="360"/>
      </w:pPr>
    </w:lvl>
    <w:lvl w:ilvl="2" w:tplc="986AB50E">
      <w:start w:val="1"/>
      <w:numFmt w:val="lowerRoman"/>
      <w:lvlText w:val="%3."/>
      <w:lvlJc w:val="right"/>
      <w:pPr>
        <w:ind w:left="2160" w:hanging="180"/>
      </w:pPr>
    </w:lvl>
    <w:lvl w:ilvl="3" w:tplc="6F3E0B74">
      <w:start w:val="1"/>
      <w:numFmt w:val="decimal"/>
      <w:lvlText w:val="%4."/>
      <w:lvlJc w:val="left"/>
      <w:pPr>
        <w:ind w:left="2880" w:hanging="360"/>
      </w:pPr>
    </w:lvl>
    <w:lvl w:ilvl="4" w:tplc="CAC80CB8">
      <w:start w:val="1"/>
      <w:numFmt w:val="lowerLetter"/>
      <w:lvlText w:val="%5."/>
      <w:lvlJc w:val="left"/>
      <w:pPr>
        <w:ind w:left="3600" w:hanging="360"/>
      </w:pPr>
    </w:lvl>
    <w:lvl w:ilvl="5" w:tplc="595A5000">
      <w:start w:val="1"/>
      <w:numFmt w:val="lowerRoman"/>
      <w:lvlText w:val="%6."/>
      <w:lvlJc w:val="right"/>
      <w:pPr>
        <w:ind w:left="4320" w:hanging="180"/>
      </w:pPr>
    </w:lvl>
    <w:lvl w:ilvl="6" w:tplc="93BC0A0C">
      <w:start w:val="1"/>
      <w:numFmt w:val="decimal"/>
      <w:lvlText w:val="%7."/>
      <w:lvlJc w:val="left"/>
      <w:pPr>
        <w:ind w:left="5040" w:hanging="360"/>
      </w:pPr>
    </w:lvl>
    <w:lvl w:ilvl="7" w:tplc="D9A05FCC">
      <w:start w:val="1"/>
      <w:numFmt w:val="lowerLetter"/>
      <w:lvlText w:val="%8."/>
      <w:lvlJc w:val="left"/>
      <w:pPr>
        <w:ind w:left="5760" w:hanging="360"/>
      </w:pPr>
    </w:lvl>
    <w:lvl w:ilvl="8" w:tplc="7F2AF932">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43175">
    <w:abstractNumId w:val="47"/>
  </w:num>
  <w:num w:numId="2" w16cid:durableId="1384214790">
    <w:abstractNumId w:val="10"/>
  </w:num>
  <w:num w:numId="3" w16cid:durableId="1469318110">
    <w:abstractNumId w:val="1"/>
    <w:lvlOverride w:ilvl="0">
      <w:lvl w:ilvl="0">
        <w:start w:val="1"/>
        <w:numFmt w:val="bullet"/>
        <w:lvlText w:val=""/>
        <w:lvlJc w:val="left"/>
        <w:pPr>
          <w:ind w:left="720" w:hanging="360"/>
        </w:pPr>
        <w:rPr>
          <w:rFonts w:ascii="Symbol" w:hAnsi="Symbol" w:hint="default"/>
        </w:rPr>
      </w:lvl>
    </w:lvlOverride>
  </w:num>
  <w:num w:numId="4" w16cid:durableId="719548596">
    <w:abstractNumId w:val="22"/>
  </w:num>
  <w:num w:numId="5" w16cid:durableId="1211117512">
    <w:abstractNumId w:val="44"/>
  </w:num>
  <w:num w:numId="6" w16cid:durableId="1973054699">
    <w:abstractNumId w:val="46"/>
  </w:num>
  <w:num w:numId="7" w16cid:durableId="2136757245">
    <w:abstractNumId w:val="34"/>
  </w:num>
  <w:num w:numId="8" w16cid:durableId="1651522300">
    <w:abstractNumId w:val="32"/>
  </w:num>
  <w:num w:numId="9" w16cid:durableId="1348680209">
    <w:abstractNumId w:val="29"/>
  </w:num>
  <w:num w:numId="10" w16cid:durableId="780296954">
    <w:abstractNumId w:val="30"/>
  </w:num>
  <w:num w:numId="11" w16cid:durableId="153421627">
    <w:abstractNumId w:val="9"/>
  </w:num>
  <w:num w:numId="12" w16cid:durableId="244611977">
    <w:abstractNumId w:val="33"/>
  </w:num>
  <w:num w:numId="13" w16cid:durableId="1414544253">
    <w:abstractNumId w:val="17"/>
  </w:num>
  <w:num w:numId="14" w16cid:durableId="1532373287">
    <w:abstractNumId w:val="16"/>
  </w:num>
  <w:num w:numId="15" w16cid:durableId="1674146917">
    <w:abstractNumId w:val="26"/>
  </w:num>
  <w:num w:numId="16" w16cid:durableId="720131505">
    <w:abstractNumId w:val="7"/>
  </w:num>
  <w:num w:numId="17" w16cid:durableId="985356849">
    <w:abstractNumId w:val="25"/>
  </w:num>
  <w:num w:numId="18" w16cid:durableId="1408728637">
    <w:abstractNumId w:val="15"/>
  </w:num>
  <w:num w:numId="19" w16cid:durableId="201016593">
    <w:abstractNumId w:val="13"/>
  </w:num>
  <w:num w:numId="20" w16cid:durableId="32659366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8136713">
    <w:abstractNumId w:val="23"/>
  </w:num>
  <w:num w:numId="22" w16cid:durableId="163278910">
    <w:abstractNumId w:val="18"/>
  </w:num>
  <w:num w:numId="23" w16cid:durableId="1053114536">
    <w:abstractNumId w:val="14"/>
  </w:num>
  <w:num w:numId="24" w16cid:durableId="973943529">
    <w:abstractNumId w:val="11"/>
  </w:num>
  <w:num w:numId="25" w16cid:durableId="1193304144">
    <w:abstractNumId w:val="27"/>
  </w:num>
  <w:num w:numId="26" w16cid:durableId="1213032970">
    <w:abstractNumId w:val="19"/>
  </w:num>
  <w:num w:numId="27" w16cid:durableId="1964732243">
    <w:abstractNumId w:val="40"/>
  </w:num>
  <w:num w:numId="28" w16cid:durableId="1710686269">
    <w:abstractNumId w:val="35"/>
  </w:num>
  <w:num w:numId="29" w16cid:durableId="277182536">
    <w:abstractNumId w:val="39"/>
  </w:num>
  <w:num w:numId="30" w16cid:durableId="1728331394">
    <w:abstractNumId w:val="20"/>
  </w:num>
  <w:num w:numId="31" w16cid:durableId="567233059">
    <w:abstractNumId w:val="42"/>
  </w:num>
  <w:num w:numId="32" w16cid:durableId="1991784931">
    <w:abstractNumId w:val="31"/>
  </w:num>
  <w:num w:numId="33" w16cid:durableId="1258169429">
    <w:abstractNumId w:val="12"/>
  </w:num>
  <w:num w:numId="34" w16cid:durableId="2145929106">
    <w:abstractNumId w:val="43"/>
  </w:num>
  <w:num w:numId="35" w16cid:durableId="1186746329">
    <w:abstractNumId w:val="38"/>
  </w:num>
  <w:num w:numId="36" w16cid:durableId="1222327381">
    <w:abstractNumId w:val="4"/>
  </w:num>
  <w:num w:numId="37" w16cid:durableId="146825840">
    <w:abstractNumId w:val="45"/>
  </w:num>
  <w:num w:numId="38" w16cid:durableId="454517950">
    <w:abstractNumId w:val="41"/>
  </w:num>
  <w:num w:numId="39" w16cid:durableId="1191921424">
    <w:abstractNumId w:val="36"/>
  </w:num>
  <w:num w:numId="40" w16cid:durableId="1379934163">
    <w:abstractNumId w:val="37"/>
  </w:num>
  <w:num w:numId="41" w16cid:durableId="151917198">
    <w:abstractNumId w:val="3"/>
  </w:num>
  <w:num w:numId="42" w16cid:durableId="2005013936">
    <w:abstractNumId w:val="5"/>
  </w:num>
  <w:num w:numId="43" w16cid:durableId="1754165156">
    <w:abstractNumId w:val="24"/>
  </w:num>
  <w:num w:numId="44" w16cid:durableId="925961076">
    <w:abstractNumId w:val="6"/>
  </w:num>
  <w:num w:numId="45" w16cid:durableId="1084302844">
    <w:abstractNumId w:val="2"/>
  </w:num>
  <w:num w:numId="46" w16cid:durableId="2067562354">
    <w:abstractNumId w:val="0"/>
  </w:num>
  <w:num w:numId="47" w16cid:durableId="2075737894">
    <w:abstractNumId w:val="21"/>
  </w:num>
  <w:num w:numId="48" w16cid:durableId="1160734098">
    <w:abstractNumId w:val="28"/>
  </w:num>
  <w:num w:numId="49" w16cid:durableId="145320505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16CB9"/>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153C"/>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2A23"/>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6744"/>
    <w:rsid w:val="008F22BD"/>
    <w:rsid w:val="009079BD"/>
    <w:rsid w:val="00912BD9"/>
    <w:rsid w:val="00916CFB"/>
    <w:rsid w:val="00920E5B"/>
    <w:rsid w:val="009249F8"/>
    <w:rsid w:val="00926436"/>
    <w:rsid w:val="009278EC"/>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07B9"/>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9E8"/>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ighwire-citation-author">
    <w:name w:val="highwire-citation-author"/>
    <w:basedOn w:val="DefaultParagraphFont"/>
    <w:rsid w:val="00A607B9"/>
  </w:style>
  <w:style w:type="character" w:customStyle="1" w:styleId="nlm-surname">
    <w:name w:val="nlm-surname"/>
    <w:basedOn w:val="DefaultParagraphFont"/>
    <w:rsid w:val="00A607B9"/>
  </w:style>
  <w:style w:type="character" w:customStyle="1" w:styleId="highwire-cite-metadata-journal">
    <w:name w:val="highwire-cite-metadata-journal"/>
    <w:basedOn w:val="DefaultParagraphFont"/>
    <w:rsid w:val="00A607B9"/>
  </w:style>
  <w:style w:type="character" w:customStyle="1" w:styleId="highwire-cite-metadata-year">
    <w:name w:val="highwire-cite-metadata-year"/>
    <w:basedOn w:val="DefaultParagraphFont"/>
    <w:rsid w:val="00A607B9"/>
  </w:style>
  <w:style w:type="character" w:customStyle="1" w:styleId="highwire-cite-metadata-volume">
    <w:name w:val="highwire-cite-metadata-volume"/>
    <w:basedOn w:val="DefaultParagraphFont"/>
    <w:rsid w:val="00A607B9"/>
  </w:style>
  <w:style w:type="character" w:customStyle="1" w:styleId="highwire-cite-metadata-pages">
    <w:name w:val="highwire-cite-metadata-pages"/>
    <w:basedOn w:val="DefaultParagraphFont"/>
    <w:rsid w:val="00A60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omensaid.scot/wp-content/uploads/2017/07/EverydayTerrorismReport.pdf" TargetMode="External"/><Relationship Id="rId26" Type="http://schemas.openxmlformats.org/officeDocument/2006/relationships/hyperlink" Target="https://www.femicidecensus.org/wp-content/uploads/2022/02/010998-2020-Femicide-Report_V2.pdf" TargetMode="External"/><Relationship Id="rId3" Type="http://schemas.openxmlformats.org/officeDocument/2006/relationships/customXml" Target="../customXml/item3.xml"/><Relationship Id="rId21" Type="http://schemas.openxmlformats.org/officeDocument/2006/relationships/hyperlink" Target="https://www.ons.gov.uk/peoplepopulationandcommunity/crimeandjustice/articles/domesticabusevictimcharacteristicsenglandandwales/yearendingmarch202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kpu.pressbooks.pub/nevr/chapter/why-do-survivors-not-report-to-police/" TargetMode="External"/><Relationship Id="rId25" Type="http://schemas.openxmlformats.org/officeDocument/2006/relationships/hyperlink" Target="https://touch.policeoracle.com/news/article/.cfm?id=87207"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legislation.gov.uk/ukpga/2021/17/part/1/enacted" TargetMode="External"/><Relationship Id="rId20" Type="http://schemas.openxmlformats.org/officeDocument/2006/relationships/hyperlink" Target="https://talkingparents.com/parenting-resources/unreported-domestic-violence" TargetMode="External"/><Relationship Id="rId29" Type="http://schemas.openxmlformats.org/officeDocument/2006/relationships/hyperlink" Target="https://www.ons.gov.uk/peoplepopulationandcommunity/crimeandjustice/bulletins/domesticabuseinenglandandwalesoverview/november2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on-proces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mankind.org.uk/wp-content/uploads/2023/06/4-Key-Facts-on-Male-Victims-of-Domestic-Abuse-2023-final-June-2023.pdf" TargetMode="External"/><Relationship Id="rId23" Type="http://schemas.openxmlformats.org/officeDocument/2006/relationships/hyperlink" Target="https://www.ojp.gov/pdffiles/167568.pdf" TargetMode="External"/><Relationship Id="rId28" Type="http://schemas.openxmlformats.org/officeDocument/2006/relationships/hyperlink" Target="https://www.ncdv.org.uk/domestic-abuse-statistics-uk/" TargetMode="External"/><Relationship Id="rId10" Type="http://schemas.openxmlformats.org/officeDocument/2006/relationships/endnotes" Target="endnotes.xml"/><Relationship Id="rId19" Type="http://schemas.openxmlformats.org/officeDocument/2006/relationships/hyperlink" Target="https://www.psychologytoday.com/gb/blog/why-bad-looks-good/202007/why-men-who-are-domestic-violence-victims-dont-repor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ons.gov.uk/peoplepopulationandcommunity/crimeandjustice/bulletins/domesticabuseinenglandandwalesoverview/november2022" TargetMode="External"/><Relationship Id="rId27" Type="http://schemas.openxmlformats.org/officeDocument/2006/relationships/hyperlink" Target="https://www.ojp.gov/pdffiles1/nij/245387.pdf" TargetMode="External"/><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5798</Words>
  <Characters>33050</Characters>
  <Application>Microsoft Office Word</Application>
  <DocSecurity>0</DocSecurity>
  <Lines>275</Lines>
  <Paragraphs>77</Paragraphs>
  <ScaleCrop>false</ScaleCrop>
  <Company>Powys County Council</Company>
  <LinksUpToDate>false</LinksUpToDate>
  <CharactersWithSpaces>38771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Finan,Liam swp8278</cp:lastModifiedBy>
  <cp:revision>6</cp:revision>
  <cp:lastPrinted>2014-08-26T08:55:00Z</cp:lastPrinted>
  <dcterms:created xsi:type="dcterms:W3CDTF">2023-10-10T14:16:00Z</dcterms:created>
  <dcterms:modified xsi:type="dcterms:W3CDTF">2023-10-23T15:17:00Z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2023-10-10T14:16:45Z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94a1cba6-2ccd-46ae-9031-2f6be05bdf15</vt:lpwstr>
  </property>
  <property fmtid="{D5CDD505-2E9C-101B-9397-08002B2CF9AE}" pid="9" name="MSIP_Label_66cf8fe5-b7b7-4df7-b38d-1c61ac2f6639_ContentBits">
    <vt:lpwstr>0</vt:lpwstr>
  </property>
</Properties>
</file>