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431952" w14:textId="03BCCF0E" w:rsidR="008B54EF" w:rsidRDefault="008B54EF" w:rsidP="00E83335">
      <w:pPr>
        <w:keepNext/>
        <w:spacing w:line="480" w:lineRule="auto"/>
        <w:rPr>
          <w:rFonts w:cstheme="minorHAnsi"/>
        </w:rPr>
      </w:pPr>
      <w:r>
        <w:rPr>
          <w:rFonts w:cstheme="minorHAnsi"/>
        </w:rPr>
        <w:t>Scott Sowton</w:t>
      </w:r>
    </w:p>
    <w:p w14:paraId="7D5FED20" w14:textId="7B581537" w:rsidR="008B54EF" w:rsidRDefault="008B54EF" w:rsidP="00E83335">
      <w:pPr>
        <w:keepNext/>
        <w:spacing w:line="480" w:lineRule="auto"/>
        <w:rPr>
          <w:rFonts w:cstheme="minorHAnsi"/>
        </w:rPr>
      </w:pPr>
      <w:r>
        <w:rPr>
          <w:rFonts w:cstheme="minorHAnsi"/>
        </w:rPr>
        <w:t>1702624</w:t>
      </w:r>
    </w:p>
    <w:p w14:paraId="08665AA9" w14:textId="64B56A74" w:rsidR="008B54EF" w:rsidRDefault="008B54EF" w:rsidP="00E83335">
      <w:pPr>
        <w:keepNext/>
        <w:spacing w:line="480" w:lineRule="auto"/>
        <w:rPr>
          <w:rFonts w:cstheme="minorHAnsi"/>
        </w:rPr>
      </w:pPr>
      <w:r w:rsidRPr="008D1879">
        <w:rPr>
          <w:rFonts w:cstheme="minorHAnsi"/>
          <w:noProof/>
        </w:rPr>
        <w:drawing>
          <wp:anchor distT="0" distB="0" distL="114300" distR="114300" simplePos="0" relativeHeight="251658240" behindDoc="1" locked="0" layoutInCell="1" allowOverlap="1" wp14:anchorId="25123232" wp14:editId="4F7202DC">
            <wp:simplePos x="0" y="0"/>
            <wp:positionH relativeFrom="column">
              <wp:posOffset>0</wp:posOffset>
            </wp:positionH>
            <wp:positionV relativeFrom="paragraph">
              <wp:posOffset>346568</wp:posOffset>
            </wp:positionV>
            <wp:extent cx="5731510" cy="3665220"/>
            <wp:effectExtent l="0" t="0" r="2540" b="0"/>
            <wp:wrapTight wrapText="bothSides">
              <wp:wrapPolygon edited="0">
                <wp:start x="0" y="0"/>
                <wp:lineTo x="0" y="21443"/>
                <wp:lineTo x="21538" y="21443"/>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3665220"/>
                    </a:xfrm>
                    <a:prstGeom prst="rect">
                      <a:avLst/>
                    </a:prstGeom>
                  </pic:spPr>
                </pic:pic>
              </a:graphicData>
            </a:graphic>
          </wp:anchor>
        </w:drawing>
      </w:r>
    </w:p>
    <w:p w14:paraId="29D11A63" w14:textId="5598DF25" w:rsidR="001A49A0" w:rsidRPr="008D1879" w:rsidRDefault="001A49A0" w:rsidP="00E83335">
      <w:pPr>
        <w:keepNext/>
        <w:spacing w:line="480" w:lineRule="auto"/>
        <w:rPr>
          <w:rFonts w:cstheme="minorHAnsi"/>
        </w:rPr>
      </w:pPr>
    </w:p>
    <w:p w14:paraId="76A0439B" w14:textId="3F45A370" w:rsidR="001A49A0" w:rsidRPr="008D1879" w:rsidRDefault="001A49A0" w:rsidP="00E83335">
      <w:pPr>
        <w:pStyle w:val="Caption"/>
        <w:spacing w:line="480" w:lineRule="auto"/>
        <w:rPr>
          <w:rFonts w:cstheme="minorHAnsi"/>
        </w:rPr>
      </w:pPr>
      <w:r w:rsidRPr="008D1879">
        <w:rPr>
          <w:rFonts w:cstheme="minorHAnsi"/>
        </w:rPr>
        <w:t>"The Political Cartoon For The Year 1775" (Washington D.C., 1775), Library of Congress, British Cartoon Prints Collection.</w:t>
      </w:r>
    </w:p>
    <w:p w14:paraId="6782FA95" w14:textId="26D41806" w:rsidR="00145911" w:rsidRPr="008D1879" w:rsidRDefault="00145911" w:rsidP="00E83335">
      <w:pPr>
        <w:spacing w:line="480" w:lineRule="auto"/>
        <w:rPr>
          <w:rFonts w:cstheme="minorHAnsi"/>
        </w:rPr>
      </w:pPr>
    </w:p>
    <w:p w14:paraId="31AA5541" w14:textId="3855914D" w:rsidR="00145911" w:rsidRPr="008D1879" w:rsidRDefault="00145911" w:rsidP="008D1879">
      <w:pPr>
        <w:spacing w:line="480" w:lineRule="auto"/>
        <w:ind w:firstLine="720"/>
        <w:jc w:val="both"/>
        <w:rPr>
          <w:rFonts w:cstheme="minorHAnsi"/>
        </w:rPr>
      </w:pPr>
      <w:r w:rsidRPr="008D1879">
        <w:rPr>
          <w:rFonts w:cstheme="minorHAnsi"/>
        </w:rPr>
        <w:t>The image that is the subject of this essay’s commentary is a 1775 British political cartoon depicting Britain’s impending inclusion into the American Revolutionary War</w:t>
      </w:r>
      <w:r w:rsidR="00985001" w:rsidRPr="008D1879">
        <w:rPr>
          <w:rFonts w:cstheme="minorHAnsi"/>
        </w:rPr>
        <w:t xml:space="preserve"> (1775-1783)</w:t>
      </w:r>
      <w:r w:rsidRPr="008D1879">
        <w:rPr>
          <w:rFonts w:cstheme="minorHAnsi"/>
        </w:rPr>
        <w:t xml:space="preserve">. </w:t>
      </w:r>
      <w:r w:rsidR="00940E6E" w:rsidRPr="008D1879">
        <w:rPr>
          <w:rFonts w:cstheme="minorHAnsi"/>
        </w:rPr>
        <w:t xml:space="preserve">The cartoon was published in </w:t>
      </w:r>
      <w:r w:rsidR="00940E6E" w:rsidRPr="008D1879">
        <w:rPr>
          <w:rFonts w:cstheme="minorHAnsi"/>
          <w:i/>
          <w:iCs/>
        </w:rPr>
        <w:t>The Westminster Magazine, Or, The Pantheon of Taste</w:t>
      </w:r>
      <w:r w:rsidR="00940E6E" w:rsidRPr="008D1879">
        <w:rPr>
          <w:rFonts w:cstheme="minorHAnsi"/>
        </w:rPr>
        <w:t>, a publication</w:t>
      </w:r>
      <w:r w:rsidR="00E32213" w:rsidRPr="008D1879">
        <w:rPr>
          <w:rFonts w:cstheme="minorHAnsi"/>
        </w:rPr>
        <w:t xml:space="preserve"> for the dissemination of views on “History, Manners, Politics, Literature and Gallantry &amp; Fashion”</w:t>
      </w:r>
      <w:r w:rsidR="00940E6E" w:rsidRPr="008D1879">
        <w:rPr>
          <w:rFonts w:cstheme="minorHAnsi"/>
        </w:rPr>
        <w:t xml:space="preserve"> to the </w:t>
      </w:r>
      <w:r w:rsidR="00E32213" w:rsidRPr="008D1879">
        <w:rPr>
          <w:rFonts w:cstheme="minorHAnsi"/>
        </w:rPr>
        <w:t>British public</w:t>
      </w:r>
      <w:r w:rsidR="00940E6E" w:rsidRPr="008D1879">
        <w:rPr>
          <w:rStyle w:val="FootnoteReference"/>
          <w:rFonts w:cstheme="minorHAnsi"/>
        </w:rPr>
        <w:footnoteReference w:id="1"/>
      </w:r>
      <w:r w:rsidR="00940E6E" w:rsidRPr="008D1879">
        <w:rPr>
          <w:rFonts w:cstheme="minorHAnsi"/>
        </w:rPr>
        <w:t xml:space="preserve">. </w:t>
      </w:r>
      <w:r w:rsidR="00E32213" w:rsidRPr="008D1879">
        <w:rPr>
          <w:rFonts w:cstheme="minorHAnsi"/>
        </w:rPr>
        <w:t xml:space="preserve">The journal acts as a commentary on the contemporary happenings within Britain, with the authors being academics or even Lords. For an understanding of a political cartoon and its </w:t>
      </w:r>
      <w:r w:rsidR="00E32213" w:rsidRPr="008D1879">
        <w:rPr>
          <w:rFonts w:cstheme="minorHAnsi"/>
        </w:rPr>
        <w:lastRenderedPageBreak/>
        <w:t xml:space="preserve">significance, one must first understand </w:t>
      </w:r>
      <w:r w:rsidR="00692844" w:rsidRPr="008D1879">
        <w:rPr>
          <w:rFonts w:cstheme="minorHAnsi"/>
        </w:rPr>
        <w:t xml:space="preserve">the historical context in which the cartoon is present and then decipher the message in which it is trying to tell. For an even greater understanding, one must also understand the significance of the political cartoon as a visual image and how it can aid historians in their studies.  </w:t>
      </w:r>
    </w:p>
    <w:p w14:paraId="232624C1" w14:textId="095CB47E" w:rsidR="00317DB6" w:rsidRPr="008D1879" w:rsidRDefault="00317DB6" w:rsidP="00E83335">
      <w:pPr>
        <w:spacing w:line="480" w:lineRule="auto"/>
        <w:jc w:val="both"/>
        <w:rPr>
          <w:rFonts w:cstheme="minorHAnsi"/>
        </w:rPr>
      </w:pPr>
    </w:p>
    <w:p w14:paraId="4484F7FA" w14:textId="55D10E58" w:rsidR="00317DB6" w:rsidRPr="008D1879" w:rsidRDefault="00317DB6" w:rsidP="008D1879">
      <w:pPr>
        <w:spacing w:line="480" w:lineRule="auto"/>
        <w:jc w:val="both"/>
        <w:rPr>
          <w:rFonts w:cstheme="minorHAnsi"/>
        </w:rPr>
      </w:pPr>
      <w:r w:rsidRPr="008D1879">
        <w:rPr>
          <w:rFonts w:cstheme="minorHAnsi"/>
        </w:rPr>
        <w:t>The use of political cartoons as a way of distributing information since the 17</w:t>
      </w:r>
      <w:r w:rsidRPr="008D1879">
        <w:rPr>
          <w:rFonts w:cstheme="minorHAnsi"/>
          <w:vertAlign w:val="superscript"/>
        </w:rPr>
        <w:t>th</w:t>
      </w:r>
      <w:r w:rsidRPr="008D1879">
        <w:rPr>
          <w:rFonts w:cstheme="minorHAnsi"/>
        </w:rPr>
        <w:t xml:space="preserve"> - 18</w:t>
      </w:r>
      <w:r w:rsidRPr="008D1879">
        <w:rPr>
          <w:rFonts w:cstheme="minorHAnsi"/>
          <w:vertAlign w:val="superscript"/>
        </w:rPr>
        <w:t>th</w:t>
      </w:r>
      <w:r w:rsidRPr="008D1879">
        <w:rPr>
          <w:rFonts w:cstheme="minorHAnsi"/>
        </w:rPr>
        <w:t xml:space="preserve"> </w:t>
      </w:r>
      <w:r w:rsidR="005223F5" w:rsidRPr="008D1879">
        <w:rPr>
          <w:rFonts w:cstheme="minorHAnsi"/>
        </w:rPr>
        <w:t>century when</w:t>
      </w:r>
      <w:r w:rsidRPr="008D1879">
        <w:rPr>
          <w:rFonts w:cstheme="minorHAnsi"/>
        </w:rPr>
        <w:t xml:space="preserve"> they were known as pictorial satire and became popularised amongst political upheavals such as the French and American revolutions</w:t>
      </w:r>
      <w:r w:rsidRPr="008D1879">
        <w:rPr>
          <w:rStyle w:val="FootnoteReference"/>
          <w:rFonts w:cstheme="minorHAnsi"/>
        </w:rPr>
        <w:footnoteReference w:id="2"/>
      </w:r>
      <w:r w:rsidRPr="008D1879">
        <w:rPr>
          <w:rFonts w:cstheme="minorHAnsi"/>
        </w:rPr>
        <w:t xml:space="preserve">. </w:t>
      </w:r>
      <w:r w:rsidR="005223F5" w:rsidRPr="008D1879">
        <w:rPr>
          <w:rFonts w:cstheme="minorHAnsi"/>
        </w:rPr>
        <w:t xml:space="preserve">Designed to be topical and germane to contemporary events, political cartoons are typically </w:t>
      </w:r>
      <w:r w:rsidR="003F5F6F" w:rsidRPr="008D1879">
        <w:rPr>
          <w:rFonts w:cstheme="minorHAnsi"/>
        </w:rPr>
        <w:t>representations</w:t>
      </w:r>
      <w:r w:rsidR="005223F5" w:rsidRPr="008D1879">
        <w:rPr>
          <w:rFonts w:cstheme="minorHAnsi"/>
        </w:rPr>
        <w:t xml:space="preserve"> of famous people or events satirised and caricatured to humiliate or “reveal the shortcomings of” the subject</w:t>
      </w:r>
      <w:r w:rsidR="005223F5" w:rsidRPr="008D1879">
        <w:rPr>
          <w:rStyle w:val="FootnoteReference"/>
          <w:rFonts w:cstheme="minorHAnsi"/>
        </w:rPr>
        <w:footnoteReference w:id="3"/>
      </w:r>
      <w:r w:rsidR="005223F5" w:rsidRPr="008D1879">
        <w:rPr>
          <w:rFonts w:cstheme="minorHAnsi"/>
        </w:rPr>
        <w:t>.</w:t>
      </w:r>
      <w:r w:rsidR="003F5F6F" w:rsidRPr="008D1879">
        <w:rPr>
          <w:rFonts w:cstheme="minorHAnsi"/>
        </w:rPr>
        <w:t xml:space="preserve"> Political cartoons are used so effectively due to the large amount of information that one garner from a precursory look, as messages and viewpoints are easier to spread through images</w:t>
      </w:r>
      <w:r w:rsidR="00633EFC" w:rsidRPr="008D1879">
        <w:rPr>
          <w:rFonts w:cstheme="minorHAnsi"/>
        </w:rPr>
        <w:t xml:space="preserve"> as a universal idea and</w:t>
      </w:r>
      <w:r w:rsidR="003F5F6F" w:rsidRPr="008D1879">
        <w:rPr>
          <w:rFonts w:cstheme="minorHAnsi"/>
        </w:rPr>
        <w:t xml:space="preserve"> to an audience who w</w:t>
      </w:r>
      <w:r w:rsidR="00475888" w:rsidRPr="008D1879">
        <w:rPr>
          <w:rFonts w:cstheme="minorHAnsi"/>
        </w:rPr>
        <w:t>ould be</w:t>
      </w:r>
      <w:r w:rsidR="003F5F6F" w:rsidRPr="008D1879">
        <w:rPr>
          <w:rFonts w:cstheme="minorHAnsi"/>
        </w:rPr>
        <w:t xml:space="preserve"> largely illiterate</w:t>
      </w:r>
      <w:r w:rsidR="00633EFC" w:rsidRPr="008D1879">
        <w:rPr>
          <w:rStyle w:val="FootnoteReference"/>
          <w:rFonts w:cstheme="minorHAnsi"/>
        </w:rPr>
        <w:footnoteReference w:id="4"/>
      </w:r>
      <w:r w:rsidR="00633EFC" w:rsidRPr="008D1879">
        <w:rPr>
          <w:rFonts w:cstheme="minorHAnsi"/>
        </w:rPr>
        <w:t>.</w:t>
      </w:r>
      <w:r w:rsidR="00D458FC" w:rsidRPr="008D1879">
        <w:rPr>
          <w:rFonts w:cstheme="minorHAnsi"/>
        </w:rPr>
        <w:t xml:space="preserve"> One must also </w:t>
      </w:r>
      <w:r w:rsidR="008D1879" w:rsidRPr="008D1879">
        <w:rPr>
          <w:rFonts w:cstheme="minorHAnsi"/>
        </w:rPr>
        <w:t>consider</w:t>
      </w:r>
      <w:r w:rsidR="00D458FC" w:rsidRPr="008D1879">
        <w:rPr>
          <w:rFonts w:cstheme="minorHAnsi"/>
        </w:rPr>
        <w:t>, that when studying historical political cartoons that the cartoon</w:t>
      </w:r>
      <w:r w:rsidR="008D1879" w:rsidRPr="008D1879">
        <w:rPr>
          <w:rFonts w:cstheme="minorHAnsi"/>
        </w:rPr>
        <w:t xml:space="preserve"> assumes the idea of an “ideal viewer”</w:t>
      </w:r>
      <w:r w:rsidR="008D1879" w:rsidRPr="008D1879">
        <w:rPr>
          <w:rStyle w:val="FootnoteReference"/>
          <w:rFonts w:cstheme="minorHAnsi"/>
        </w:rPr>
        <w:footnoteReference w:id="5"/>
      </w:r>
      <w:r w:rsidR="008D1879" w:rsidRPr="008D1879">
        <w:rPr>
          <w:rFonts w:cstheme="minorHAnsi"/>
        </w:rPr>
        <w:t>.</w:t>
      </w:r>
      <w:r w:rsidR="00CD383C">
        <w:rPr>
          <w:rFonts w:cstheme="minorHAnsi"/>
        </w:rPr>
        <w:t xml:space="preserve"> This ideal viewer theory assumes that those who view a</w:t>
      </w:r>
      <w:r w:rsidR="000A1D95">
        <w:rPr>
          <w:rFonts w:cstheme="minorHAnsi"/>
        </w:rPr>
        <w:t xml:space="preserve"> political cartoon understand all of the topical references and analogies and if the reader is not part of that original culture in time they will always be looking in as an outsider. </w:t>
      </w:r>
      <w:r w:rsidR="00836B06">
        <w:rPr>
          <w:rFonts w:cstheme="minorHAnsi"/>
        </w:rPr>
        <w:t xml:space="preserve">This of course as is a problem when analysing a political cartoon, but it can be seen as a tool. If everything within the image is connected and all analogies mean something, the potential depth of the historical context of a source image is vast and only needs a careful analysis. </w:t>
      </w:r>
    </w:p>
    <w:p w14:paraId="32F019E8" w14:textId="401E96CC" w:rsidR="001A49A0" w:rsidRPr="008D1879" w:rsidRDefault="001A49A0" w:rsidP="00E83335">
      <w:pPr>
        <w:spacing w:line="480" w:lineRule="auto"/>
        <w:rPr>
          <w:rFonts w:cstheme="minorHAnsi"/>
        </w:rPr>
      </w:pPr>
    </w:p>
    <w:p w14:paraId="6ACB6D83" w14:textId="0DF8B9BB" w:rsidR="008D1879" w:rsidRDefault="004A08FC" w:rsidP="008D1879">
      <w:pPr>
        <w:spacing w:line="480" w:lineRule="auto"/>
        <w:ind w:firstLine="720"/>
        <w:jc w:val="both"/>
        <w:rPr>
          <w:rFonts w:cstheme="minorHAnsi"/>
        </w:rPr>
      </w:pPr>
      <w:r w:rsidRPr="008D1879">
        <w:rPr>
          <w:rFonts w:cstheme="minorHAnsi"/>
        </w:rPr>
        <w:lastRenderedPageBreak/>
        <w:t xml:space="preserve">The cartoon itself depicts King George III and William Murray, the Earl of Mansfield on a horse-drawn cart riding to a chasm </w:t>
      </w:r>
      <w:r w:rsidR="00CE756C" w:rsidRPr="008D1879">
        <w:rPr>
          <w:rFonts w:cstheme="minorHAnsi"/>
        </w:rPr>
        <w:t xml:space="preserve">while </w:t>
      </w:r>
      <w:r w:rsidRPr="008D1879">
        <w:rPr>
          <w:rFonts w:cstheme="minorHAnsi"/>
        </w:rPr>
        <w:t>driving over books labelled ‘The Magna Charta’ and ‘Constitution’. The horses drawing the cart are labelled ‘Pride’ and ‘Obstinacy’ and they are surrounded</w:t>
      </w:r>
      <w:r w:rsidR="00CD383C">
        <w:rPr>
          <w:rFonts w:cstheme="minorHAnsi"/>
        </w:rPr>
        <w:t xml:space="preserve"> by</w:t>
      </w:r>
      <w:r w:rsidRPr="008D1879">
        <w:rPr>
          <w:rFonts w:cstheme="minorHAnsi"/>
        </w:rPr>
        <w:t xml:space="preserve"> Governors, </w:t>
      </w:r>
      <w:r w:rsidR="00CE756C" w:rsidRPr="008D1879">
        <w:rPr>
          <w:rFonts w:cstheme="minorHAnsi"/>
        </w:rPr>
        <w:t>Electors,</w:t>
      </w:r>
      <w:r w:rsidRPr="008D1879">
        <w:rPr>
          <w:rFonts w:cstheme="minorHAnsi"/>
        </w:rPr>
        <w:t xml:space="preserve"> and </w:t>
      </w:r>
      <w:r w:rsidR="00CE756C" w:rsidRPr="008D1879">
        <w:rPr>
          <w:rFonts w:cstheme="minorHAnsi"/>
        </w:rPr>
        <w:t xml:space="preserve">citizens, all while a demon carrying a bag labelled ‘National Credit’ flies away to a distant cityscape labelled ‘America’. There is an overwhelming amount of information presented by this cartoon, and due to its very nature, each facet of information can hold great significance in identifying the historical context of the source. The main focus of the cartoon is the cart in which George III sits, and so it shall be addressed first. </w:t>
      </w:r>
    </w:p>
    <w:p w14:paraId="5A99319C" w14:textId="5C9C10EC" w:rsidR="00CE756C" w:rsidRPr="008D1879" w:rsidRDefault="00CE756C" w:rsidP="008D1879">
      <w:pPr>
        <w:spacing w:line="480" w:lineRule="auto"/>
        <w:ind w:firstLine="720"/>
        <w:jc w:val="both"/>
        <w:rPr>
          <w:rFonts w:cstheme="minorHAnsi"/>
        </w:rPr>
      </w:pPr>
      <w:r w:rsidRPr="008D1879">
        <w:rPr>
          <w:rFonts w:cstheme="minorHAnsi"/>
        </w:rPr>
        <w:t xml:space="preserve">George III was the king of Britain during the American Revolutionary war and thus it is no surprise to see him as the man leading the charge </w:t>
      </w:r>
      <w:r w:rsidR="00E83335" w:rsidRPr="008D1879">
        <w:rPr>
          <w:rFonts w:cstheme="minorHAnsi"/>
        </w:rPr>
        <w:t>into</w:t>
      </w:r>
      <w:r w:rsidRPr="008D1879">
        <w:rPr>
          <w:rFonts w:cstheme="minorHAnsi"/>
        </w:rPr>
        <w:t xml:space="preserve"> the war.</w:t>
      </w:r>
      <w:r w:rsidR="00E83335" w:rsidRPr="008D1879">
        <w:rPr>
          <w:rFonts w:cstheme="minorHAnsi"/>
        </w:rPr>
        <w:t xml:space="preserve"> While he did not take </w:t>
      </w:r>
      <w:r w:rsidR="009F0D98" w:rsidRPr="008D1879">
        <w:rPr>
          <w:rFonts w:cstheme="minorHAnsi"/>
        </w:rPr>
        <w:t>an active role on the front lines of the war, King George III</w:t>
      </w:r>
      <w:r w:rsidR="00E83335" w:rsidRPr="008D1879">
        <w:rPr>
          <w:rFonts w:cstheme="minorHAnsi"/>
        </w:rPr>
        <w:t xml:space="preserve"> supported the government’s decision to go to war and used his </w:t>
      </w:r>
      <w:r w:rsidR="009F0D98" w:rsidRPr="008D1879">
        <w:rPr>
          <w:rFonts w:cstheme="minorHAnsi"/>
        </w:rPr>
        <w:t xml:space="preserve">Germanic </w:t>
      </w:r>
      <w:r w:rsidR="00E83335" w:rsidRPr="008D1879">
        <w:rPr>
          <w:rFonts w:cstheme="minorHAnsi"/>
        </w:rPr>
        <w:t>connections to secure troops for the army</w:t>
      </w:r>
      <w:r w:rsidR="00E83335" w:rsidRPr="008D1879">
        <w:rPr>
          <w:rStyle w:val="FootnoteReference"/>
          <w:rFonts w:cstheme="minorHAnsi"/>
        </w:rPr>
        <w:footnoteReference w:id="6"/>
      </w:r>
      <w:r w:rsidR="00E83335" w:rsidRPr="008D1879">
        <w:rPr>
          <w:rFonts w:cstheme="minorHAnsi"/>
        </w:rPr>
        <w:t xml:space="preserve">. </w:t>
      </w:r>
      <w:r w:rsidR="009F0D98" w:rsidRPr="008D1879">
        <w:rPr>
          <w:rFonts w:cstheme="minorHAnsi"/>
        </w:rPr>
        <w:t>One of the books that the king is trampling over is aptly named ‘The Magna Charta’, a charter written in 1215 which began the process of limiting the powers of the Royal leaders Britain</w:t>
      </w:r>
      <w:r w:rsidR="009F0D98" w:rsidRPr="008D1879">
        <w:rPr>
          <w:rStyle w:val="FootnoteReference"/>
          <w:rFonts w:cstheme="minorHAnsi"/>
        </w:rPr>
        <w:footnoteReference w:id="7"/>
      </w:r>
      <w:r w:rsidR="009F0D98" w:rsidRPr="008D1879">
        <w:rPr>
          <w:rFonts w:cstheme="minorHAnsi"/>
        </w:rPr>
        <w:t xml:space="preserve">. </w:t>
      </w:r>
      <w:r w:rsidR="009B4BD9" w:rsidRPr="008D1879">
        <w:rPr>
          <w:rFonts w:cstheme="minorHAnsi"/>
        </w:rPr>
        <w:t>The other book labelled ‘Constitution’ is an allusion to the 1689 Claim of Right Act which sought to finalise the control of the government over the monarchy</w:t>
      </w:r>
      <w:r w:rsidR="009C5D00" w:rsidRPr="008D1879">
        <w:rPr>
          <w:rFonts w:cstheme="minorHAnsi"/>
        </w:rPr>
        <w:t>, becoming known as the English Bill of Rights</w:t>
      </w:r>
      <w:r w:rsidR="009B4BD9" w:rsidRPr="008D1879">
        <w:rPr>
          <w:rStyle w:val="FootnoteReference"/>
          <w:rFonts w:cstheme="minorHAnsi"/>
        </w:rPr>
        <w:footnoteReference w:id="8"/>
      </w:r>
      <w:r w:rsidR="009B4BD9" w:rsidRPr="008D1879">
        <w:rPr>
          <w:rFonts w:cstheme="minorHAnsi"/>
        </w:rPr>
        <w:t xml:space="preserve">. </w:t>
      </w:r>
      <w:r w:rsidR="009F0D98" w:rsidRPr="008D1879">
        <w:rPr>
          <w:rFonts w:cstheme="minorHAnsi"/>
        </w:rPr>
        <w:t>The imagery of the King riding over the Magna Carta</w:t>
      </w:r>
      <w:r w:rsidR="009B4BD9" w:rsidRPr="008D1879">
        <w:rPr>
          <w:rFonts w:cstheme="minorHAnsi"/>
        </w:rPr>
        <w:t xml:space="preserve"> and the ‘Constitution’ </w:t>
      </w:r>
      <w:r w:rsidR="009F0D98" w:rsidRPr="008D1879">
        <w:rPr>
          <w:rFonts w:cstheme="minorHAnsi"/>
        </w:rPr>
        <w:t xml:space="preserve"> gives historians great insight into the opinions of the source’s author and its publication. This image shows how the </w:t>
      </w:r>
      <w:r w:rsidR="00CB77E9" w:rsidRPr="008D1879">
        <w:rPr>
          <w:rFonts w:cstheme="minorHAnsi"/>
        </w:rPr>
        <w:t>king’s</w:t>
      </w:r>
      <w:r w:rsidR="009F0D98" w:rsidRPr="008D1879">
        <w:rPr>
          <w:rFonts w:cstheme="minorHAnsi"/>
        </w:rPr>
        <w:t xml:space="preserve"> intervention in the potential of going to war is considered unlawful </w:t>
      </w:r>
      <w:r w:rsidR="009B4BD9" w:rsidRPr="008D1879">
        <w:rPr>
          <w:rFonts w:cstheme="minorHAnsi"/>
        </w:rPr>
        <w:t>and against century</w:t>
      </w:r>
      <w:r w:rsidR="00CD383C">
        <w:rPr>
          <w:rFonts w:cstheme="minorHAnsi"/>
        </w:rPr>
        <w:t>-</w:t>
      </w:r>
      <w:r w:rsidR="009B4BD9" w:rsidRPr="008D1879">
        <w:rPr>
          <w:rFonts w:cstheme="minorHAnsi"/>
        </w:rPr>
        <w:t>old laws. The publication of this view suggests</w:t>
      </w:r>
      <w:r w:rsidR="009F0D98" w:rsidRPr="008D1879">
        <w:rPr>
          <w:rFonts w:cstheme="minorHAnsi"/>
        </w:rPr>
        <w:t xml:space="preserve"> that the publication </w:t>
      </w:r>
      <w:r w:rsidR="009F0D98" w:rsidRPr="008D1879">
        <w:rPr>
          <w:rFonts w:cstheme="minorHAnsi"/>
          <w:i/>
          <w:iCs/>
        </w:rPr>
        <w:t>The Westminster Magazine</w:t>
      </w:r>
      <w:r w:rsidR="009F0D98" w:rsidRPr="008D1879">
        <w:rPr>
          <w:rFonts w:cstheme="minorHAnsi"/>
        </w:rPr>
        <w:t xml:space="preserve"> and its editorial team </w:t>
      </w:r>
      <w:r w:rsidR="009B4BD9" w:rsidRPr="008D1879">
        <w:rPr>
          <w:rFonts w:cstheme="minorHAnsi"/>
        </w:rPr>
        <w:t>were</w:t>
      </w:r>
      <w:r w:rsidR="009F0D98" w:rsidRPr="008D1879">
        <w:rPr>
          <w:rFonts w:cstheme="minorHAnsi"/>
        </w:rPr>
        <w:t xml:space="preserve"> against the idea of war with America</w:t>
      </w:r>
      <w:r w:rsidR="00CB77E9" w:rsidRPr="008D1879">
        <w:rPr>
          <w:rFonts w:cstheme="minorHAnsi"/>
        </w:rPr>
        <w:t xml:space="preserve">. This anti-war feeling was common amongst the British public with many believing the colonies should be given their freedom, with huge numbers of citizens signing petitions to the </w:t>
      </w:r>
      <w:r w:rsidR="006B19EC" w:rsidRPr="008D1879">
        <w:rPr>
          <w:rFonts w:cstheme="minorHAnsi"/>
        </w:rPr>
        <w:t>K</w:t>
      </w:r>
      <w:r w:rsidR="00CB77E9" w:rsidRPr="008D1879">
        <w:rPr>
          <w:rFonts w:cstheme="minorHAnsi"/>
        </w:rPr>
        <w:t>ing</w:t>
      </w:r>
      <w:r w:rsidR="009C5D00" w:rsidRPr="008D1879">
        <w:rPr>
          <w:rFonts w:cstheme="minorHAnsi"/>
        </w:rPr>
        <w:t xml:space="preserve"> </w:t>
      </w:r>
      <w:r w:rsidR="009C5D00" w:rsidRPr="008D1879">
        <w:rPr>
          <w:rFonts w:cstheme="minorHAnsi"/>
        </w:rPr>
        <w:lastRenderedPageBreak/>
        <w:t xml:space="preserve">asking him to cease </w:t>
      </w:r>
      <w:r w:rsidR="00163CE8" w:rsidRPr="008D1879">
        <w:rPr>
          <w:rFonts w:cstheme="minorHAnsi"/>
        </w:rPr>
        <w:t>aggression</w:t>
      </w:r>
      <w:r w:rsidR="00360315" w:rsidRPr="008D1879">
        <w:rPr>
          <w:rStyle w:val="FootnoteReference"/>
          <w:rFonts w:cstheme="minorHAnsi"/>
        </w:rPr>
        <w:footnoteReference w:id="9"/>
      </w:r>
      <w:r w:rsidR="00CB77E9" w:rsidRPr="008D1879">
        <w:rPr>
          <w:rFonts w:cstheme="minorHAnsi"/>
        </w:rPr>
        <w:t>.</w:t>
      </w:r>
      <w:r w:rsidR="00163CE8" w:rsidRPr="008D1879">
        <w:rPr>
          <w:rFonts w:cstheme="minorHAnsi"/>
        </w:rPr>
        <w:t xml:space="preserve"> This anti-war narrative is wrought throughout this cartoon and shows the cultural context of the authors writing at this time. </w:t>
      </w:r>
    </w:p>
    <w:p w14:paraId="4904E2DC" w14:textId="73E01C0C" w:rsidR="008D1879" w:rsidRDefault="00163CE8" w:rsidP="00E83335">
      <w:pPr>
        <w:spacing w:line="480" w:lineRule="auto"/>
        <w:jc w:val="both"/>
        <w:rPr>
          <w:rFonts w:cstheme="minorHAnsi"/>
        </w:rPr>
      </w:pPr>
      <w:r w:rsidRPr="008D1879">
        <w:rPr>
          <w:rFonts w:cstheme="minorHAnsi"/>
        </w:rPr>
        <w:t>Sat beside King George III is Lord Mansfield</w:t>
      </w:r>
      <w:r w:rsidR="00FF57AA" w:rsidRPr="008D1879">
        <w:rPr>
          <w:rFonts w:cstheme="minorHAnsi"/>
        </w:rPr>
        <w:t>, recognisable by his judge’s habit and</w:t>
      </w:r>
      <w:r w:rsidR="00126C41" w:rsidRPr="008D1879">
        <w:rPr>
          <w:rFonts w:cstheme="minorHAnsi"/>
        </w:rPr>
        <w:t xml:space="preserve"> famous for ushering anti-slave sentiments into British society and arguing the </w:t>
      </w:r>
      <w:r w:rsidR="00475888" w:rsidRPr="008D1879">
        <w:rPr>
          <w:rFonts w:cstheme="minorHAnsi"/>
        </w:rPr>
        <w:t xml:space="preserve">end the recognition of slavery in </w:t>
      </w:r>
      <w:r w:rsidR="00126C41" w:rsidRPr="008D1879">
        <w:rPr>
          <w:rFonts w:cstheme="minorHAnsi"/>
        </w:rPr>
        <w:t xml:space="preserve"> British common law. Lord Mansfield was very active in the world of commerce and modernised the British law system</w:t>
      </w:r>
      <w:r w:rsidR="00E711D7">
        <w:rPr>
          <w:rFonts w:cstheme="minorHAnsi"/>
        </w:rPr>
        <w:t xml:space="preserve"> and is regarded as one of the </w:t>
      </w:r>
      <w:r w:rsidR="00851A4E">
        <w:rPr>
          <w:rFonts w:cstheme="minorHAnsi"/>
        </w:rPr>
        <w:t xml:space="preserve">Enlightened who led to the way to Era of </w:t>
      </w:r>
      <w:proofErr w:type="spellStart"/>
      <w:r w:rsidR="00851A4E">
        <w:rPr>
          <w:rFonts w:cstheme="minorHAnsi"/>
        </w:rPr>
        <w:t>Enlightenemnt</w:t>
      </w:r>
      <w:proofErr w:type="spellEnd"/>
      <w:r w:rsidR="00851A4E">
        <w:rPr>
          <w:rFonts w:cstheme="minorHAnsi"/>
        </w:rPr>
        <w:t>.</w:t>
      </w:r>
      <w:r w:rsidR="00126C41" w:rsidRPr="008D1879">
        <w:rPr>
          <w:rFonts w:cstheme="minorHAnsi"/>
        </w:rPr>
        <w:t>.  Mansfield was also seen as an aggressive parental figure in terms of trade and restrictions with the colonies and believed that Britain should take an active role in American commerce as to “centre in the bosom of that country from whence they [the colonists] took their original”</w:t>
      </w:r>
      <w:r w:rsidR="00126C41" w:rsidRPr="008D1879">
        <w:rPr>
          <w:rStyle w:val="FootnoteReference"/>
          <w:rFonts w:cstheme="minorHAnsi"/>
        </w:rPr>
        <w:footnoteReference w:id="10"/>
      </w:r>
      <w:r w:rsidR="00126C41" w:rsidRPr="008D1879">
        <w:rPr>
          <w:rFonts w:cstheme="minorHAnsi"/>
        </w:rPr>
        <w:t>. This intervention into the American economy became a foundation of protest for the Americans, manifested by the popularised revolutionary rallying cry “no taxation without representation”</w:t>
      </w:r>
      <w:r w:rsidR="00FF57AA" w:rsidRPr="008D1879">
        <w:rPr>
          <w:rStyle w:val="FootnoteReference"/>
          <w:rFonts w:cstheme="minorHAnsi"/>
        </w:rPr>
        <w:footnoteReference w:id="11"/>
      </w:r>
      <w:r w:rsidR="00126C41" w:rsidRPr="008D1879">
        <w:rPr>
          <w:rFonts w:cstheme="minorHAnsi"/>
        </w:rPr>
        <w:t xml:space="preserve">. </w:t>
      </w:r>
      <w:r w:rsidR="00FF57AA" w:rsidRPr="008D1879">
        <w:rPr>
          <w:rFonts w:cstheme="minorHAnsi"/>
        </w:rPr>
        <w:t xml:space="preserve"> Mansfield appears to be taking control over the reins leading the horses named ‘Obstinacy’ and ‘Pride’, a metaphor for the pride and stubbornness of the British wanting to retain America as a British power </w:t>
      </w:r>
      <w:r w:rsidR="00CD383C">
        <w:rPr>
          <w:rFonts w:cstheme="minorHAnsi"/>
        </w:rPr>
        <w:t>is</w:t>
      </w:r>
      <w:r w:rsidR="00FF57AA" w:rsidRPr="008D1879">
        <w:rPr>
          <w:rFonts w:cstheme="minorHAnsi"/>
        </w:rPr>
        <w:t xml:space="preserve"> the driving force of the American Revolutionary War. </w:t>
      </w:r>
      <w:r w:rsidR="00851A4E">
        <w:rPr>
          <w:rFonts w:cstheme="minorHAnsi"/>
        </w:rPr>
        <w:t xml:space="preserve">Mansfield is leading the cart directly into a chasm, a metaphor for the expected outcome of going to war with America. </w:t>
      </w:r>
      <w:r w:rsidR="00C32AC4" w:rsidRPr="008D1879">
        <w:rPr>
          <w:rFonts w:cstheme="minorHAnsi"/>
        </w:rPr>
        <w:t>With many calling for the government to not enter into war with America and give the colonies freedom, this image is evidence that the beliefs of war critics, were that the retention of America as a colony by Britain was a ply for pride amongst a dwindling British Empire</w:t>
      </w:r>
      <w:r w:rsidR="008C68C8" w:rsidRPr="008D1879">
        <w:rPr>
          <w:rFonts w:cstheme="minorHAnsi"/>
        </w:rPr>
        <w:t>.</w:t>
      </w:r>
    </w:p>
    <w:p w14:paraId="0B42ABFD" w14:textId="3852A334" w:rsidR="00793DA6" w:rsidRPr="008D1879" w:rsidRDefault="00521545" w:rsidP="00E83335">
      <w:pPr>
        <w:spacing w:line="480" w:lineRule="auto"/>
        <w:jc w:val="both"/>
        <w:rPr>
          <w:rFonts w:cstheme="minorHAnsi"/>
        </w:rPr>
      </w:pPr>
      <w:r w:rsidRPr="008D1879">
        <w:rPr>
          <w:rFonts w:cstheme="minorHAnsi"/>
        </w:rPr>
        <w:t>In the bottom right corner of the image</w:t>
      </w:r>
      <w:r w:rsidR="00CD383C">
        <w:rPr>
          <w:rFonts w:cstheme="minorHAnsi"/>
        </w:rPr>
        <w:t>,</w:t>
      </w:r>
      <w:r w:rsidRPr="008D1879">
        <w:rPr>
          <w:rFonts w:cstheme="minorHAnsi"/>
        </w:rPr>
        <w:t xml:space="preserve"> there is a gathering of people watching the action unfold. These people are dressed very elegantly and, in comparison to the rest of the image’s cast are stationary in their portrayal. These people are portrayals of the British public, and from a publication whose audience comprises of such people, are portrayals in a positive light. The men and women are </w:t>
      </w:r>
      <w:r w:rsidRPr="008D1879">
        <w:rPr>
          <w:rFonts w:cstheme="minorHAnsi"/>
        </w:rPr>
        <w:lastRenderedPageBreak/>
        <w:t>well dressed, but not dressed as flamboyantly as  King George or Lord Mansfield. This is in line with contemporary British fashion standards in which the correct way to dress was to dress down in relation to others, as not to be seen as the better dressed, or the colloquial ‘fop’</w:t>
      </w:r>
      <w:r w:rsidRPr="008D1879">
        <w:rPr>
          <w:rStyle w:val="FootnoteReference"/>
          <w:rFonts w:cstheme="minorHAnsi"/>
        </w:rPr>
        <w:footnoteReference w:id="12"/>
      </w:r>
      <w:r w:rsidRPr="008D1879">
        <w:rPr>
          <w:rFonts w:cstheme="minorHAnsi"/>
        </w:rPr>
        <w:t>.</w:t>
      </w:r>
      <w:r w:rsidR="00C32AC4" w:rsidRPr="008D1879">
        <w:rPr>
          <w:rFonts w:cstheme="minorHAnsi"/>
        </w:rPr>
        <w:t xml:space="preserve"> The author here is attempting to display how the good British public is left watching while their leaders plunge them into war.</w:t>
      </w:r>
      <w:r w:rsidR="00793DA6" w:rsidRPr="008D1879">
        <w:rPr>
          <w:rFonts w:cstheme="minorHAnsi"/>
        </w:rPr>
        <w:t xml:space="preserve"> </w:t>
      </w:r>
    </w:p>
    <w:p w14:paraId="22308CFD" w14:textId="77777777" w:rsidR="00793DA6" w:rsidRPr="008D1879" w:rsidRDefault="00793DA6" w:rsidP="00E83335">
      <w:pPr>
        <w:spacing w:line="480" w:lineRule="auto"/>
        <w:jc w:val="both"/>
        <w:rPr>
          <w:rFonts w:cstheme="minorHAnsi"/>
        </w:rPr>
      </w:pPr>
    </w:p>
    <w:p w14:paraId="54B75991" w14:textId="40F86F3B" w:rsidR="001403E6" w:rsidRPr="008D1879" w:rsidRDefault="001403E6" w:rsidP="00E83335">
      <w:pPr>
        <w:spacing w:line="480" w:lineRule="auto"/>
        <w:jc w:val="both"/>
        <w:rPr>
          <w:rFonts w:cstheme="minorHAnsi"/>
        </w:rPr>
      </w:pPr>
      <w:r w:rsidRPr="008D1879">
        <w:rPr>
          <w:rFonts w:cstheme="minorHAnsi"/>
        </w:rPr>
        <w:t xml:space="preserve">The demon carrying the bag with ‘National Credit’ written on it and flying off to America is an excellent display of the simplicity of political cartoon creating a representation that can be easily understood. </w:t>
      </w:r>
      <w:r w:rsidR="00CB1711">
        <w:rPr>
          <w:rFonts w:cstheme="minorHAnsi"/>
        </w:rPr>
        <w:t xml:space="preserve">The devil here represents the evil aspects of colonial rule on America and implies a wicked streak running through the economic descions of the war. </w:t>
      </w:r>
      <w:r w:rsidRPr="008D1879">
        <w:rPr>
          <w:rFonts w:cstheme="minorHAnsi"/>
        </w:rPr>
        <w:t>From the end of the Napoleonic Wars, Britain’s national credit began expanding to never before seen h</w:t>
      </w:r>
      <w:r w:rsidR="00CD383C">
        <w:rPr>
          <w:rFonts w:cstheme="minorHAnsi"/>
        </w:rPr>
        <w:t>e</w:t>
      </w:r>
      <w:r w:rsidRPr="008D1879">
        <w:rPr>
          <w:rFonts w:cstheme="minorHAnsi"/>
        </w:rPr>
        <w:t xml:space="preserve">ights. National Debt </w:t>
      </w:r>
      <w:r w:rsidR="00793DA6" w:rsidRPr="008D1879">
        <w:rPr>
          <w:rFonts w:cstheme="minorHAnsi"/>
        </w:rPr>
        <w:t>increased during the American Revolutionary War with all the money going towards fighting the war, in which Britain spent a total of £80 million, the National debt accumulated interest</w:t>
      </w:r>
      <w:r w:rsidRPr="008D1879">
        <w:rPr>
          <w:rStyle w:val="FootnoteReference"/>
          <w:rFonts w:cstheme="minorHAnsi"/>
        </w:rPr>
        <w:footnoteReference w:id="13"/>
      </w:r>
      <w:r w:rsidRPr="008D1879">
        <w:rPr>
          <w:rFonts w:cstheme="minorHAnsi"/>
        </w:rPr>
        <w:t>.</w:t>
      </w:r>
      <w:r w:rsidR="00793DA6" w:rsidRPr="008D1879">
        <w:rPr>
          <w:rFonts w:cstheme="minorHAnsi"/>
        </w:rPr>
        <w:t xml:space="preserve"> In conjunction with debt accumulated from the Seven Years War, the National Debt figure rose “to such a figure as not only to make complete redemption appear almost impossible but also to create the fears of public bankruptcy”</w:t>
      </w:r>
      <w:r w:rsidR="00793DA6" w:rsidRPr="008D1879">
        <w:rPr>
          <w:rStyle w:val="FootnoteReference"/>
          <w:rFonts w:cstheme="minorHAnsi"/>
        </w:rPr>
        <w:footnoteReference w:id="14"/>
      </w:r>
      <w:r w:rsidR="00793DA6" w:rsidRPr="008D1879">
        <w:rPr>
          <w:rFonts w:cstheme="minorHAnsi"/>
        </w:rPr>
        <w:t>.</w:t>
      </w:r>
      <w:r w:rsidR="00985001" w:rsidRPr="008D1879">
        <w:rPr>
          <w:rFonts w:cstheme="minorHAnsi"/>
        </w:rPr>
        <w:t xml:space="preserve"> The inclusion of the demon holding the National Debt is significant to historians as the predictions made by war critics were correct, lending credence to the belief that the American Revolutionary war, on part of the British was fought for pride and out of a sense of stubbornness. </w:t>
      </w:r>
    </w:p>
    <w:p w14:paraId="4AC9D560" w14:textId="3C0BAE59" w:rsidR="001A49A0" w:rsidRPr="008D1879" w:rsidRDefault="001A49A0" w:rsidP="00E83335">
      <w:pPr>
        <w:spacing w:line="480" w:lineRule="auto"/>
        <w:rPr>
          <w:rFonts w:cstheme="minorHAnsi"/>
        </w:rPr>
      </w:pPr>
    </w:p>
    <w:p w14:paraId="5F01A629" w14:textId="05BBDF21" w:rsidR="001A49A0" w:rsidRDefault="00CD383C" w:rsidP="00E711D7">
      <w:pPr>
        <w:spacing w:line="480" w:lineRule="auto"/>
        <w:jc w:val="both"/>
        <w:rPr>
          <w:rFonts w:cstheme="minorHAnsi"/>
        </w:rPr>
      </w:pPr>
      <w:r>
        <w:rPr>
          <w:rFonts w:cstheme="minorHAnsi"/>
        </w:rPr>
        <w:t xml:space="preserve">In conclusion, </w:t>
      </w:r>
      <w:r>
        <w:rPr>
          <w:rFonts w:cstheme="minorHAnsi"/>
          <w:i/>
          <w:iCs/>
        </w:rPr>
        <w:t>The Political Cartoon for the year 1775</w:t>
      </w:r>
      <w:r>
        <w:rPr>
          <w:rFonts w:cstheme="minorHAnsi"/>
        </w:rPr>
        <w:t xml:space="preserve"> is significant to historians looking to understand the contemporary viewpoints of anti-war critics leading up to the American Revolutionary War.</w:t>
      </w:r>
      <w:r w:rsidR="00CB1711">
        <w:rPr>
          <w:rFonts w:cstheme="minorHAnsi"/>
        </w:rPr>
        <w:t xml:space="preserve"> The </w:t>
      </w:r>
      <w:r w:rsidR="00CB1711">
        <w:rPr>
          <w:rFonts w:cstheme="minorHAnsi"/>
        </w:rPr>
        <w:lastRenderedPageBreak/>
        <w:t>depictions and portrayals of those characters in the image are sublime examples of the tools that can be made of political cartoons to determine historical context of an image from the beginnings of the wa</w:t>
      </w:r>
      <w:r w:rsidR="00E711D7">
        <w:rPr>
          <w:rFonts w:cstheme="minorHAnsi"/>
        </w:rPr>
        <w:t>r. T</w:t>
      </w:r>
      <w:r w:rsidR="00DE0245">
        <w:rPr>
          <w:rFonts w:cstheme="minorHAnsi"/>
        </w:rPr>
        <w:t xml:space="preserve">he potential for historians to learn more about the historical and cultural contexts </w:t>
      </w:r>
      <w:r w:rsidR="00E711D7">
        <w:rPr>
          <w:rFonts w:cstheme="minorHAnsi"/>
        </w:rPr>
        <w:t xml:space="preserve">of images and their significance becomes clearer the further the image is analysed despite theories of subjective readings.  </w:t>
      </w:r>
    </w:p>
    <w:p w14:paraId="136BA180" w14:textId="69F075B5" w:rsidR="00E711D7" w:rsidRPr="008D1879" w:rsidRDefault="00E711D7" w:rsidP="00E711D7">
      <w:pPr>
        <w:spacing w:line="480" w:lineRule="auto"/>
        <w:jc w:val="both"/>
        <w:rPr>
          <w:rFonts w:cstheme="minorHAnsi"/>
        </w:rPr>
      </w:pPr>
      <w:r>
        <w:rPr>
          <w:rFonts w:cstheme="minorHAnsi"/>
        </w:rPr>
        <w:t xml:space="preserve">Deep in National Debt from the Seven Years War and the intervention of Lord Mansfield in the economy of America led to the British into a war fuelled by their own stubbornness and false pride in a self-conceived mirage of colonialism. King George III wielded increasing executive power as he influenced the war despite proposed relaxed powers for royalty coming from the Magna Carta and the English Bill of Rights. The historical context of the American Revolutionary War must be appreciated if any understanding or significance is to come through analysis of this political cartoon. </w:t>
      </w:r>
    </w:p>
    <w:p w14:paraId="7198E08C" w14:textId="10EB3FF1" w:rsidR="001A49A0" w:rsidRPr="008D1879" w:rsidRDefault="001A49A0" w:rsidP="00E83335">
      <w:pPr>
        <w:spacing w:line="480" w:lineRule="auto"/>
        <w:rPr>
          <w:rFonts w:cstheme="minorHAnsi"/>
        </w:rPr>
      </w:pPr>
    </w:p>
    <w:p w14:paraId="2C00B560" w14:textId="323AFFE3" w:rsidR="001A49A0" w:rsidRPr="008D1879" w:rsidRDefault="001A49A0" w:rsidP="00E83335">
      <w:pPr>
        <w:spacing w:line="480" w:lineRule="auto"/>
        <w:rPr>
          <w:rFonts w:cstheme="minorHAnsi"/>
        </w:rPr>
      </w:pPr>
    </w:p>
    <w:p w14:paraId="1C778368" w14:textId="50F7CCAE" w:rsidR="001A49A0" w:rsidRPr="008D1879" w:rsidRDefault="001A49A0" w:rsidP="00E83335">
      <w:pPr>
        <w:spacing w:line="480" w:lineRule="auto"/>
        <w:rPr>
          <w:rFonts w:cstheme="minorHAnsi"/>
        </w:rPr>
      </w:pPr>
    </w:p>
    <w:p w14:paraId="4D740261" w14:textId="768C34E7" w:rsidR="009C5D00" w:rsidRPr="008D1879" w:rsidRDefault="009C5D00" w:rsidP="00E83335">
      <w:pPr>
        <w:spacing w:line="480" w:lineRule="auto"/>
        <w:rPr>
          <w:rFonts w:cstheme="minorHAnsi"/>
        </w:rPr>
      </w:pPr>
    </w:p>
    <w:p w14:paraId="1DE90D8C" w14:textId="19B5D49C" w:rsidR="009C5D00" w:rsidRPr="008D1879" w:rsidRDefault="009C5D00" w:rsidP="009C5D00">
      <w:pPr>
        <w:spacing w:line="480" w:lineRule="auto"/>
        <w:jc w:val="center"/>
        <w:rPr>
          <w:rFonts w:cstheme="minorHAnsi"/>
          <w:b/>
          <w:bCs/>
          <w:u w:val="single"/>
        </w:rPr>
      </w:pPr>
    </w:p>
    <w:p w14:paraId="14829773" w14:textId="7D32DEE1" w:rsidR="00FF57AA" w:rsidRDefault="00FF57AA" w:rsidP="008B54EF">
      <w:pPr>
        <w:spacing w:line="480" w:lineRule="auto"/>
        <w:rPr>
          <w:rFonts w:cstheme="minorHAnsi"/>
          <w:b/>
          <w:bCs/>
          <w:u w:val="single"/>
        </w:rPr>
      </w:pPr>
    </w:p>
    <w:p w14:paraId="239D6057" w14:textId="77777777" w:rsidR="008B54EF" w:rsidRPr="008D1879" w:rsidRDefault="008B54EF" w:rsidP="008B54EF">
      <w:pPr>
        <w:spacing w:line="480" w:lineRule="auto"/>
        <w:rPr>
          <w:rFonts w:cstheme="minorHAnsi"/>
          <w:b/>
          <w:bCs/>
          <w:u w:val="single"/>
        </w:rPr>
      </w:pPr>
    </w:p>
    <w:p w14:paraId="15F7D452" w14:textId="5F98FE91" w:rsidR="00FF57AA" w:rsidRPr="008D1879" w:rsidRDefault="00FF57AA" w:rsidP="009C5D00">
      <w:pPr>
        <w:spacing w:line="480" w:lineRule="auto"/>
        <w:jc w:val="center"/>
        <w:rPr>
          <w:rFonts w:cstheme="minorHAnsi"/>
          <w:b/>
          <w:bCs/>
          <w:u w:val="single"/>
        </w:rPr>
      </w:pPr>
    </w:p>
    <w:p w14:paraId="65870A28" w14:textId="0F419763" w:rsidR="00633EFC" w:rsidRDefault="00633EFC" w:rsidP="00ED3500">
      <w:pPr>
        <w:spacing w:line="480" w:lineRule="auto"/>
        <w:rPr>
          <w:rFonts w:cstheme="minorHAnsi"/>
          <w:b/>
          <w:bCs/>
          <w:u w:val="single"/>
        </w:rPr>
      </w:pPr>
    </w:p>
    <w:p w14:paraId="62596A65" w14:textId="77777777" w:rsidR="00ED3500" w:rsidRPr="008D1879" w:rsidRDefault="00ED3500" w:rsidP="00ED3500">
      <w:pPr>
        <w:spacing w:line="480" w:lineRule="auto"/>
        <w:rPr>
          <w:rFonts w:cstheme="minorHAnsi"/>
          <w:b/>
          <w:bCs/>
          <w:u w:val="single"/>
        </w:rPr>
      </w:pPr>
    </w:p>
    <w:p w14:paraId="38677FFA" w14:textId="77777777" w:rsidR="0078573E" w:rsidRPr="008D1879" w:rsidRDefault="0078573E" w:rsidP="008D1879">
      <w:pPr>
        <w:spacing w:line="480" w:lineRule="auto"/>
        <w:rPr>
          <w:rFonts w:cstheme="minorHAnsi"/>
          <w:b/>
          <w:bCs/>
          <w:u w:val="single"/>
        </w:rPr>
      </w:pPr>
    </w:p>
    <w:p w14:paraId="6FE83A36" w14:textId="3DCD3CAA" w:rsidR="001A49A0" w:rsidRPr="008D1879" w:rsidRDefault="001A49A0" w:rsidP="009C5D00">
      <w:pPr>
        <w:spacing w:line="480" w:lineRule="auto"/>
        <w:jc w:val="center"/>
        <w:rPr>
          <w:rFonts w:cstheme="minorHAnsi"/>
          <w:b/>
          <w:bCs/>
          <w:u w:val="single"/>
        </w:rPr>
      </w:pPr>
      <w:r w:rsidRPr="008D1879">
        <w:rPr>
          <w:rFonts w:cstheme="minorHAnsi"/>
          <w:b/>
          <w:bCs/>
          <w:u w:val="single"/>
        </w:rPr>
        <w:lastRenderedPageBreak/>
        <w:t>Reference List</w:t>
      </w:r>
    </w:p>
    <w:p w14:paraId="76AFAF50" w14:textId="77777777" w:rsidR="009C5D00" w:rsidRPr="008D1879" w:rsidRDefault="009C5D00" w:rsidP="009C5D00">
      <w:pPr>
        <w:spacing w:line="240" w:lineRule="auto"/>
        <w:rPr>
          <w:rFonts w:cstheme="minorHAnsi"/>
          <w:b/>
          <w:bCs/>
          <w:u w:val="single"/>
        </w:rPr>
      </w:pPr>
      <w:r w:rsidRPr="008D1879">
        <w:rPr>
          <w:rFonts w:cstheme="minorHAnsi"/>
          <w:b/>
          <w:bCs/>
          <w:u w:val="single"/>
        </w:rPr>
        <w:t>Archived Material</w:t>
      </w:r>
    </w:p>
    <w:p w14:paraId="4CE58A0C" w14:textId="7870E54C" w:rsidR="009C5D00" w:rsidRPr="008D1879" w:rsidRDefault="00FF57AA" w:rsidP="009C5D00">
      <w:pPr>
        <w:spacing w:line="240" w:lineRule="auto"/>
        <w:rPr>
          <w:rFonts w:cstheme="minorHAnsi"/>
          <w:color w:val="000000"/>
          <w:sz w:val="20"/>
          <w:szCs w:val="20"/>
          <w:shd w:val="clear" w:color="auto" w:fill="FFFFFF"/>
        </w:rPr>
      </w:pPr>
      <w:r w:rsidRPr="008D1879">
        <w:rPr>
          <w:rFonts w:cstheme="minorHAnsi"/>
          <w:color w:val="000000"/>
          <w:sz w:val="20"/>
          <w:szCs w:val="20"/>
          <w:shd w:val="clear" w:color="auto" w:fill="FFFFFF"/>
        </w:rPr>
        <w:t>Dickinson, John, "Petition To George III, King Of Great Britain", 1775, The New York Public Library Digital Collections, Manuscripts and Archives Division</w:t>
      </w:r>
    </w:p>
    <w:p w14:paraId="1CEDBD1D" w14:textId="77777777" w:rsidR="009C5D00" w:rsidRPr="008D1879" w:rsidRDefault="009C5D00" w:rsidP="009C5D00">
      <w:pPr>
        <w:spacing w:line="240" w:lineRule="auto"/>
        <w:rPr>
          <w:rFonts w:cstheme="minorHAnsi"/>
          <w:color w:val="000000"/>
          <w:sz w:val="20"/>
          <w:szCs w:val="20"/>
          <w:shd w:val="clear" w:color="auto" w:fill="FFFFFF"/>
        </w:rPr>
      </w:pPr>
      <w:r w:rsidRPr="008D1879">
        <w:rPr>
          <w:rFonts w:cstheme="minorHAnsi"/>
          <w:color w:val="000000"/>
          <w:sz w:val="20"/>
          <w:szCs w:val="20"/>
          <w:shd w:val="clear" w:color="auto" w:fill="FFFFFF"/>
        </w:rPr>
        <w:t>"The Political Cartoon For The Year 1775" (Washington D.C., 1775), Library of Congress, British Cartoon Prints Collection</w:t>
      </w:r>
    </w:p>
    <w:p w14:paraId="677CB156" w14:textId="77777777" w:rsidR="009C5D00" w:rsidRPr="008D1879" w:rsidRDefault="009C5D00" w:rsidP="009C5D00">
      <w:pPr>
        <w:spacing w:line="240" w:lineRule="auto"/>
        <w:rPr>
          <w:rFonts w:cstheme="minorHAnsi"/>
          <w:color w:val="000000"/>
          <w:sz w:val="20"/>
          <w:szCs w:val="20"/>
          <w:shd w:val="clear" w:color="auto" w:fill="FFFFFF"/>
        </w:rPr>
      </w:pPr>
      <w:r w:rsidRPr="008D1879">
        <w:rPr>
          <w:rFonts w:cstheme="minorHAnsi"/>
          <w:color w:val="000000"/>
          <w:sz w:val="20"/>
          <w:szCs w:val="20"/>
          <w:shd w:val="clear" w:color="auto" w:fill="FFFFFF"/>
        </w:rPr>
        <w:t>"The Westminster Magazine, Or, The Pantheon Of Taste Vol. 3" (Los Angeles, 1775), Library of the University of California</w:t>
      </w:r>
    </w:p>
    <w:p w14:paraId="059D1808" w14:textId="77777777" w:rsidR="009C5D00" w:rsidRPr="008D1879" w:rsidRDefault="009C5D00" w:rsidP="009C5D00">
      <w:pPr>
        <w:spacing w:line="480" w:lineRule="auto"/>
        <w:jc w:val="center"/>
        <w:rPr>
          <w:rFonts w:cstheme="minorHAnsi"/>
          <w:b/>
          <w:bCs/>
          <w:u w:val="single"/>
        </w:rPr>
      </w:pPr>
    </w:p>
    <w:p w14:paraId="2964E8E8" w14:textId="67FCC3B4" w:rsidR="00E83335" w:rsidRPr="008D1879" w:rsidRDefault="00E83335" w:rsidP="00E83335">
      <w:pPr>
        <w:spacing w:line="240" w:lineRule="auto"/>
        <w:rPr>
          <w:rFonts w:cstheme="minorHAnsi"/>
          <w:b/>
          <w:bCs/>
          <w:u w:val="single"/>
        </w:rPr>
      </w:pPr>
      <w:r w:rsidRPr="008D1879">
        <w:rPr>
          <w:rFonts w:cstheme="minorHAnsi"/>
          <w:b/>
          <w:bCs/>
          <w:u w:val="single"/>
        </w:rPr>
        <w:t>Books</w:t>
      </w:r>
    </w:p>
    <w:p w14:paraId="660BCE20" w14:textId="77777777" w:rsidR="00FF57AA" w:rsidRPr="008D1879" w:rsidRDefault="00FF57AA" w:rsidP="00E83335">
      <w:pPr>
        <w:spacing w:line="240" w:lineRule="auto"/>
        <w:rPr>
          <w:rFonts w:cstheme="minorHAnsi"/>
          <w:color w:val="000000"/>
          <w:sz w:val="20"/>
          <w:szCs w:val="20"/>
          <w:shd w:val="clear" w:color="auto" w:fill="FFFFFF"/>
        </w:rPr>
      </w:pPr>
      <w:r w:rsidRPr="008D1879">
        <w:rPr>
          <w:rFonts w:cstheme="minorHAnsi"/>
          <w:color w:val="000000"/>
          <w:sz w:val="20"/>
          <w:szCs w:val="20"/>
          <w:shd w:val="clear" w:color="auto" w:fill="FFFFFF"/>
        </w:rPr>
        <w:t>Carpenter, David, "Magna Carta 1215: Its Social And Political Context", in </w:t>
      </w:r>
      <w:r w:rsidRPr="008D1879">
        <w:rPr>
          <w:rFonts w:cstheme="minorHAnsi"/>
          <w:i/>
          <w:iCs/>
          <w:color w:val="000000"/>
          <w:sz w:val="20"/>
          <w:szCs w:val="20"/>
          <w:shd w:val="clear" w:color="auto" w:fill="FFFFFF"/>
        </w:rPr>
        <w:t>Magna Carta: History, Context And Influence</w:t>
      </w:r>
      <w:r w:rsidRPr="008D1879">
        <w:rPr>
          <w:rFonts w:cstheme="minorHAnsi"/>
          <w:color w:val="000000"/>
          <w:sz w:val="20"/>
          <w:szCs w:val="20"/>
          <w:shd w:val="clear" w:color="auto" w:fill="FFFFFF"/>
        </w:rPr>
        <w:t> (London: University of London Press, 2018), pp. 17-24</w:t>
      </w:r>
    </w:p>
    <w:p w14:paraId="6DEF9430" w14:textId="77777777" w:rsidR="00FF57AA" w:rsidRPr="008D1879" w:rsidRDefault="00FF57AA" w:rsidP="00E83335">
      <w:pPr>
        <w:spacing w:line="240" w:lineRule="auto"/>
        <w:rPr>
          <w:rFonts w:cstheme="minorHAnsi"/>
          <w:color w:val="000000"/>
          <w:sz w:val="20"/>
          <w:szCs w:val="20"/>
          <w:shd w:val="clear" w:color="auto" w:fill="FFFFFF"/>
        </w:rPr>
      </w:pPr>
      <w:r w:rsidRPr="008D1879">
        <w:rPr>
          <w:rFonts w:cstheme="minorHAnsi"/>
          <w:color w:val="000000"/>
          <w:sz w:val="20"/>
          <w:szCs w:val="20"/>
          <w:shd w:val="clear" w:color="auto" w:fill="FFFFFF"/>
        </w:rPr>
        <w:t>Conway, Stephen, </w:t>
      </w:r>
      <w:r w:rsidRPr="008D1879">
        <w:rPr>
          <w:rFonts w:cstheme="minorHAnsi"/>
          <w:i/>
          <w:iCs/>
          <w:color w:val="000000"/>
          <w:sz w:val="20"/>
          <w:szCs w:val="20"/>
          <w:shd w:val="clear" w:color="auto" w:fill="FFFFFF"/>
        </w:rPr>
        <w:t>A Short History Of The American Revolutionary War</w:t>
      </w:r>
      <w:r w:rsidRPr="008D1879">
        <w:rPr>
          <w:rFonts w:cstheme="minorHAnsi"/>
          <w:color w:val="000000"/>
          <w:sz w:val="20"/>
          <w:szCs w:val="20"/>
          <w:shd w:val="clear" w:color="auto" w:fill="FFFFFF"/>
        </w:rPr>
        <w:t> (London: I.B. Tauris, 2013)</w:t>
      </w:r>
    </w:p>
    <w:p w14:paraId="1B14EB3A" w14:textId="34253053" w:rsidR="00FF57AA" w:rsidRPr="008D1879" w:rsidRDefault="00FF57AA" w:rsidP="00E83335">
      <w:pPr>
        <w:spacing w:line="240" w:lineRule="auto"/>
        <w:rPr>
          <w:rFonts w:cstheme="minorHAnsi"/>
          <w:color w:val="000000"/>
          <w:sz w:val="20"/>
          <w:szCs w:val="20"/>
          <w:shd w:val="clear" w:color="auto" w:fill="FFFFFF"/>
        </w:rPr>
      </w:pPr>
      <w:r w:rsidRPr="008D1879">
        <w:rPr>
          <w:rFonts w:cstheme="minorHAnsi"/>
          <w:color w:val="000000"/>
          <w:sz w:val="20"/>
          <w:szCs w:val="20"/>
          <w:shd w:val="clear" w:color="auto" w:fill="FFFFFF"/>
        </w:rPr>
        <w:t>Gladney, Henry M, </w:t>
      </w:r>
      <w:r w:rsidRPr="008D1879">
        <w:rPr>
          <w:rFonts w:cstheme="minorHAnsi"/>
          <w:i/>
          <w:iCs/>
          <w:color w:val="000000"/>
          <w:sz w:val="20"/>
          <w:szCs w:val="20"/>
          <w:shd w:val="clear" w:color="auto" w:fill="FFFFFF"/>
        </w:rPr>
        <w:t>No Taxation Without Representation</w:t>
      </w:r>
      <w:r w:rsidRPr="008D1879">
        <w:rPr>
          <w:rFonts w:cstheme="minorHAnsi"/>
          <w:color w:val="000000"/>
          <w:sz w:val="20"/>
          <w:szCs w:val="20"/>
          <w:shd w:val="clear" w:color="auto" w:fill="FFFFFF"/>
        </w:rPr>
        <w:t> (United States: Xlibris, 2014)</w:t>
      </w:r>
    </w:p>
    <w:p w14:paraId="11BBB26D" w14:textId="4C8C9802" w:rsidR="0078573E" w:rsidRPr="008D1879" w:rsidRDefault="0078573E" w:rsidP="00E83335">
      <w:pPr>
        <w:spacing w:line="240" w:lineRule="auto"/>
        <w:rPr>
          <w:rFonts w:cstheme="minorHAnsi"/>
          <w:color w:val="000000"/>
          <w:sz w:val="20"/>
          <w:szCs w:val="20"/>
          <w:shd w:val="clear" w:color="auto" w:fill="FFFFFF"/>
        </w:rPr>
      </w:pPr>
      <w:r w:rsidRPr="008D1879">
        <w:rPr>
          <w:rFonts w:cstheme="minorHAnsi"/>
          <w:color w:val="000000"/>
          <w:sz w:val="20"/>
          <w:szCs w:val="20"/>
          <w:shd w:val="clear" w:color="auto" w:fill="FFFFFF"/>
        </w:rPr>
        <w:t>Hargreaves, Eric L., </w:t>
      </w:r>
      <w:r w:rsidRPr="008D1879">
        <w:rPr>
          <w:rFonts w:cstheme="minorHAnsi"/>
          <w:i/>
          <w:iCs/>
          <w:color w:val="000000"/>
          <w:sz w:val="20"/>
          <w:szCs w:val="20"/>
          <w:shd w:val="clear" w:color="auto" w:fill="FFFFFF"/>
        </w:rPr>
        <w:t>The National Debt</w:t>
      </w:r>
      <w:r w:rsidRPr="008D1879">
        <w:rPr>
          <w:rFonts w:cstheme="minorHAnsi"/>
          <w:color w:val="000000"/>
          <w:sz w:val="20"/>
          <w:szCs w:val="20"/>
          <w:shd w:val="clear" w:color="auto" w:fill="FFFFFF"/>
        </w:rPr>
        <w:t> (New York: Routledge, 2013), p. 60</w:t>
      </w:r>
    </w:p>
    <w:p w14:paraId="55A4F973" w14:textId="0747F129" w:rsidR="005223F5" w:rsidRPr="008D1879" w:rsidRDefault="005223F5" w:rsidP="00E83335">
      <w:pPr>
        <w:spacing w:line="240" w:lineRule="auto"/>
        <w:rPr>
          <w:rFonts w:cstheme="minorHAnsi"/>
          <w:b/>
          <w:bCs/>
          <w:u w:val="single"/>
        </w:rPr>
      </w:pPr>
      <w:proofErr w:type="spellStart"/>
      <w:r w:rsidRPr="008D1879">
        <w:rPr>
          <w:rFonts w:cstheme="minorHAnsi"/>
          <w:color w:val="000000"/>
          <w:sz w:val="20"/>
          <w:szCs w:val="20"/>
          <w:shd w:val="clear" w:color="auto" w:fill="FFFFFF"/>
        </w:rPr>
        <w:t>Navasky</w:t>
      </w:r>
      <w:proofErr w:type="spellEnd"/>
      <w:r w:rsidRPr="008D1879">
        <w:rPr>
          <w:rFonts w:cstheme="minorHAnsi"/>
          <w:color w:val="000000"/>
          <w:sz w:val="20"/>
          <w:szCs w:val="20"/>
          <w:shd w:val="clear" w:color="auto" w:fill="FFFFFF"/>
        </w:rPr>
        <w:t>, Victor S, </w:t>
      </w:r>
      <w:r w:rsidRPr="008D1879">
        <w:rPr>
          <w:rFonts w:cstheme="minorHAnsi"/>
          <w:i/>
          <w:iCs/>
          <w:color w:val="000000"/>
          <w:sz w:val="20"/>
          <w:szCs w:val="20"/>
          <w:shd w:val="clear" w:color="auto" w:fill="FFFFFF"/>
        </w:rPr>
        <w:t>The Art Of Controversy: Political Cartoons And Their Enduring Power</w:t>
      </w:r>
      <w:r w:rsidRPr="008D1879">
        <w:rPr>
          <w:rFonts w:cstheme="minorHAnsi"/>
          <w:color w:val="000000"/>
          <w:sz w:val="20"/>
          <w:szCs w:val="20"/>
          <w:shd w:val="clear" w:color="auto" w:fill="FFFFFF"/>
        </w:rPr>
        <w:t> (New York: Alfred A. Knopf, 2013)</w:t>
      </w:r>
    </w:p>
    <w:p w14:paraId="710E9BD2" w14:textId="587CC671" w:rsidR="001A49A0" w:rsidRPr="008D1879" w:rsidRDefault="001A49A0" w:rsidP="00E83335">
      <w:pPr>
        <w:spacing w:line="240" w:lineRule="auto"/>
        <w:rPr>
          <w:rFonts w:cstheme="minorHAnsi"/>
        </w:rPr>
      </w:pPr>
    </w:p>
    <w:p w14:paraId="3755F688" w14:textId="77DF8A68" w:rsidR="009C5D00" w:rsidRPr="008D1879" w:rsidRDefault="009C5D00" w:rsidP="00E83335">
      <w:pPr>
        <w:spacing w:line="240" w:lineRule="auto"/>
        <w:rPr>
          <w:rFonts w:cstheme="minorHAnsi"/>
          <w:color w:val="000000"/>
          <w:sz w:val="20"/>
          <w:szCs w:val="20"/>
          <w:shd w:val="clear" w:color="auto" w:fill="FFFFFF"/>
        </w:rPr>
      </w:pPr>
    </w:p>
    <w:p w14:paraId="55CDB12A" w14:textId="265CFA97" w:rsidR="009C5D00" w:rsidRPr="008D1879" w:rsidRDefault="009C5D00" w:rsidP="00E83335">
      <w:pPr>
        <w:spacing w:line="240" w:lineRule="auto"/>
        <w:rPr>
          <w:rFonts w:cstheme="minorHAnsi"/>
          <w:b/>
          <w:bCs/>
          <w:color w:val="000000"/>
          <w:sz w:val="20"/>
          <w:szCs w:val="20"/>
          <w:u w:val="single"/>
          <w:shd w:val="clear" w:color="auto" w:fill="FFFFFF"/>
        </w:rPr>
      </w:pPr>
      <w:r w:rsidRPr="008D1879">
        <w:rPr>
          <w:rFonts w:cstheme="minorHAnsi"/>
          <w:b/>
          <w:bCs/>
          <w:color w:val="000000"/>
          <w:sz w:val="20"/>
          <w:szCs w:val="20"/>
          <w:u w:val="single"/>
          <w:shd w:val="clear" w:color="auto" w:fill="FFFFFF"/>
        </w:rPr>
        <w:t>Journal</w:t>
      </w:r>
      <w:r w:rsidR="00633EFC" w:rsidRPr="008D1879">
        <w:rPr>
          <w:rFonts w:cstheme="minorHAnsi"/>
          <w:b/>
          <w:bCs/>
          <w:color w:val="000000"/>
          <w:sz w:val="20"/>
          <w:szCs w:val="20"/>
          <w:u w:val="single"/>
          <w:shd w:val="clear" w:color="auto" w:fill="FFFFFF"/>
        </w:rPr>
        <w:t>s</w:t>
      </w:r>
    </w:p>
    <w:p w14:paraId="0C89666B" w14:textId="71806C31" w:rsidR="00FF57AA" w:rsidRPr="008D1879" w:rsidRDefault="00FF57AA" w:rsidP="00E83335">
      <w:pPr>
        <w:spacing w:line="240" w:lineRule="auto"/>
        <w:rPr>
          <w:rFonts w:cstheme="minorHAnsi"/>
          <w:color w:val="000000"/>
          <w:sz w:val="20"/>
          <w:szCs w:val="20"/>
          <w:shd w:val="clear" w:color="auto" w:fill="FFFFFF"/>
        </w:rPr>
      </w:pPr>
      <w:r w:rsidRPr="008D1879">
        <w:rPr>
          <w:rFonts w:cstheme="minorHAnsi"/>
          <w:color w:val="000000"/>
          <w:sz w:val="20"/>
          <w:szCs w:val="20"/>
          <w:shd w:val="clear" w:color="auto" w:fill="FFFFFF"/>
        </w:rPr>
        <w:t>Jensen, J. Vernon, "British Voices On The Eve Of The American Revolution: Trapped By The Family Metaphor", </w:t>
      </w:r>
      <w:r w:rsidRPr="008D1879">
        <w:rPr>
          <w:rFonts w:cstheme="minorHAnsi"/>
          <w:i/>
          <w:iCs/>
          <w:color w:val="000000"/>
          <w:sz w:val="20"/>
          <w:szCs w:val="20"/>
          <w:shd w:val="clear" w:color="auto" w:fill="FFFFFF"/>
        </w:rPr>
        <w:t>Quarterly Journal Of Speech</w:t>
      </w:r>
      <w:r w:rsidRPr="008D1879">
        <w:rPr>
          <w:rFonts w:cstheme="minorHAnsi"/>
          <w:color w:val="000000"/>
          <w:sz w:val="20"/>
          <w:szCs w:val="20"/>
          <w:shd w:val="clear" w:color="auto" w:fill="FFFFFF"/>
        </w:rPr>
        <w:t>, 63 (1977), 43-50</w:t>
      </w:r>
    </w:p>
    <w:p w14:paraId="66C37E7F" w14:textId="55663F3B" w:rsidR="001A31C4" w:rsidRPr="008D1879" w:rsidRDefault="001A31C4" w:rsidP="00E83335">
      <w:pPr>
        <w:spacing w:line="240" w:lineRule="auto"/>
        <w:rPr>
          <w:rFonts w:cstheme="minorHAnsi"/>
          <w:color w:val="000000"/>
          <w:sz w:val="20"/>
          <w:szCs w:val="20"/>
          <w:shd w:val="clear" w:color="auto" w:fill="FFFFFF"/>
        </w:rPr>
      </w:pPr>
      <w:r w:rsidRPr="008D1879">
        <w:rPr>
          <w:rFonts w:cstheme="minorHAnsi"/>
          <w:sz w:val="20"/>
          <w:szCs w:val="20"/>
        </w:rPr>
        <w:t xml:space="preserve">Johns, Sarah, "The Personification of the Perfect Citizen: The English Political Cartoon, Colonial Anxiety, and Identity During the American Revolution" (2020). History Summer Fellows. 12. </w:t>
      </w:r>
      <w:hyperlink r:id="rId8" w:history="1">
        <w:r w:rsidRPr="008D1879">
          <w:rPr>
            <w:rStyle w:val="Hyperlink"/>
            <w:rFonts w:cstheme="minorHAnsi"/>
            <w:sz w:val="20"/>
            <w:szCs w:val="20"/>
          </w:rPr>
          <w:t>https://digitalcommons.ursinus.edu/history_sum/12</w:t>
        </w:r>
      </w:hyperlink>
      <w:r w:rsidRPr="008D1879">
        <w:rPr>
          <w:rFonts w:cstheme="minorHAnsi"/>
          <w:sz w:val="20"/>
          <w:szCs w:val="20"/>
        </w:rPr>
        <w:t xml:space="preserve"> </w:t>
      </w:r>
      <w:r w:rsidRPr="008D1879">
        <w:rPr>
          <w:rFonts w:cstheme="minorHAnsi"/>
        </w:rPr>
        <w:t>&lt;Accessed 14</w:t>
      </w:r>
      <w:r w:rsidRPr="008D1879">
        <w:rPr>
          <w:rFonts w:cstheme="minorHAnsi"/>
        </w:rPr>
        <w:t>th</w:t>
      </w:r>
      <w:r w:rsidRPr="008D1879">
        <w:rPr>
          <w:rFonts w:cstheme="minorHAnsi"/>
        </w:rPr>
        <w:t xml:space="preserve"> Dec 2020&gt;</w:t>
      </w:r>
    </w:p>
    <w:p w14:paraId="0CA45685" w14:textId="4A394BF7" w:rsidR="00633EFC" w:rsidRPr="008D1879" w:rsidRDefault="00633EFC" w:rsidP="00E83335">
      <w:pPr>
        <w:spacing w:line="240" w:lineRule="auto"/>
        <w:rPr>
          <w:rFonts w:cstheme="minorHAnsi"/>
        </w:rPr>
      </w:pPr>
      <w:r w:rsidRPr="008D1879">
        <w:rPr>
          <w:rFonts w:cstheme="minorHAnsi"/>
          <w:color w:val="000000"/>
          <w:sz w:val="20"/>
          <w:szCs w:val="20"/>
          <w:shd w:val="clear" w:color="auto" w:fill="FFFFFF"/>
        </w:rPr>
        <w:t>Lemire, Devon, "A Historiographical Survey Of Literacy In Britain Between 1780 And 1830", </w:t>
      </w:r>
      <w:r w:rsidRPr="008D1879">
        <w:rPr>
          <w:rFonts w:cstheme="minorHAnsi"/>
          <w:i/>
          <w:iCs/>
          <w:color w:val="000000"/>
          <w:sz w:val="20"/>
          <w:szCs w:val="20"/>
          <w:shd w:val="clear" w:color="auto" w:fill="FFFFFF"/>
        </w:rPr>
        <w:t>Constellations</w:t>
      </w:r>
      <w:r w:rsidRPr="008D1879">
        <w:rPr>
          <w:rFonts w:cstheme="minorHAnsi"/>
          <w:color w:val="000000"/>
          <w:sz w:val="20"/>
          <w:szCs w:val="20"/>
          <w:shd w:val="clear" w:color="auto" w:fill="FFFFFF"/>
        </w:rPr>
        <w:t>, 4 (2013)</w:t>
      </w:r>
    </w:p>
    <w:p w14:paraId="0E2AC435" w14:textId="6E7141FA" w:rsidR="00FF57AA" w:rsidRPr="008D1879" w:rsidRDefault="00FF57AA" w:rsidP="00E83335">
      <w:pPr>
        <w:spacing w:line="240" w:lineRule="auto"/>
        <w:rPr>
          <w:rFonts w:cstheme="minorHAnsi"/>
          <w:color w:val="000000"/>
          <w:sz w:val="20"/>
          <w:szCs w:val="20"/>
          <w:shd w:val="clear" w:color="auto" w:fill="FFFFFF"/>
        </w:rPr>
      </w:pPr>
      <w:r w:rsidRPr="008D1879">
        <w:rPr>
          <w:rFonts w:cstheme="minorHAnsi"/>
          <w:color w:val="000000"/>
          <w:sz w:val="20"/>
          <w:szCs w:val="20"/>
          <w:shd w:val="clear" w:color="auto" w:fill="FFFFFF"/>
        </w:rPr>
        <w:t>Lock, Geoffrey, "The 1689 Bill Of Rights", </w:t>
      </w:r>
      <w:r w:rsidRPr="008D1879">
        <w:rPr>
          <w:rFonts w:cstheme="minorHAnsi"/>
          <w:i/>
          <w:iCs/>
          <w:color w:val="000000"/>
          <w:sz w:val="20"/>
          <w:szCs w:val="20"/>
          <w:shd w:val="clear" w:color="auto" w:fill="FFFFFF"/>
        </w:rPr>
        <w:t>Political Studies</w:t>
      </w:r>
      <w:r w:rsidRPr="008D1879">
        <w:rPr>
          <w:rFonts w:cstheme="minorHAnsi"/>
          <w:color w:val="000000"/>
          <w:sz w:val="20"/>
          <w:szCs w:val="20"/>
          <w:shd w:val="clear" w:color="auto" w:fill="FFFFFF"/>
        </w:rPr>
        <w:t>, 37 (1989), 540-561</w:t>
      </w:r>
    </w:p>
    <w:p w14:paraId="09FD09C3" w14:textId="327F4693" w:rsidR="00317DB6" w:rsidRPr="008D1879" w:rsidRDefault="00317DB6" w:rsidP="00E83335">
      <w:pPr>
        <w:spacing w:line="240" w:lineRule="auto"/>
        <w:rPr>
          <w:rFonts w:cstheme="minorHAnsi"/>
          <w:color w:val="000000"/>
          <w:sz w:val="20"/>
          <w:szCs w:val="20"/>
          <w:shd w:val="clear" w:color="auto" w:fill="FFFFFF"/>
        </w:rPr>
      </w:pPr>
      <w:r w:rsidRPr="008D1879">
        <w:rPr>
          <w:rFonts w:cstheme="minorHAnsi"/>
          <w:color w:val="000000"/>
          <w:sz w:val="20"/>
          <w:szCs w:val="20"/>
          <w:shd w:val="clear" w:color="auto" w:fill="FFFFFF"/>
        </w:rPr>
        <w:t>Marín‐</w:t>
      </w:r>
      <w:proofErr w:type="spellStart"/>
      <w:r w:rsidRPr="008D1879">
        <w:rPr>
          <w:rFonts w:cstheme="minorHAnsi"/>
          <w:color w:val="000000"/>
          <w:sz w:val="20"/>
          <w:szCs w:val="20"/>
          <w:shd w:val="clear" w:color="auto" w:fill="FFFFFF"/>
        </w:rPr>
        <w:t>Arrese</w:t>
      </w:r>
      <w:proofErr w:type="spellEnd"/>
      <w:r w:rsidRPr="008D1879">
        <w:rPr>
          <w:rFonts w:cstheme="minorHAnsi"/>
          <w:color w:val="000000"/>
          <w:sz w:val="20"/>
          <w:szCs w:val="20"/>
          <w:shd w:val="clear" w:color="auto" w:fill="FFFFFF"/>
        </w:rPr>
        <w:t>, Juana I., "Political Cartoon Discourse", </w:t>
      </w:r>
      <w:r w:rsidRPr="008D1879">
        <w:rPr>
          <w:rFonts w:cstheme="minorHAnsi"/>
          <w:i/>
          <w:iCs/>
          <w:color w:val="000000"/>
          <w:sz w:val="20"/>
          <w:szCs w:val="20"/>
          <w:shd w:val="clear" w:color="auto" w:fill="FFFFFF"/>
        </w:rPr>
        <w:t xml:space="preserve">The International </w:t>
      </w:r>
      <w:r w:rsidR="005223F5" w:rsidRPr="008D1879">
        <w:rPr>
          <w:rFonts w:cstheme="minorHAnsi"/>
          <w:i/>
          <w:iCs/>
          <w:color w:val="000000"/>
          <w:sz w:val="20"/>
          <w:szCs w:val="20"/>
          <w:shd w:val="clear" w:color="auto" w:fill="FFFFFF"/>
        </w:rPr>
        <w:t>Encyclopaedia</w:t>
      </w:r>
      <w:r w:rsidRPr="008D1879">
        <w:rPr>
          <w:rFonts w:cstheme="minorHAnsi"/>
          <w:i/>
          <w:iCs/>
          <w:color w:val="000000"/>
          <w:sz w:val="20"/>
          <w:szCs w:val="20"/>
          <w:shd w:val="clear" w:color="auto" w:fill="FFFFFF"/>
        </w:rPr>
        <w:t xml:space="preserve"> Of Language And Social Interaction</w:t>
      </w:r>
      <w:r w:rsidRPr="008D1879">
        <w:rPr>
          <w:rFonts w:cstheme="minorHAnsi"/>
          <w:color w:val="000000"/>
          <w:sz w:val="20"/>
          <w:szCs w:val="20"/>
          <w:shd w:val="clear" w:color="auto" w:fill="FFFFFF"/>
        </w:rPr>
        <w:t>, 2015, 1-6</w:t>
      </w:r>
    </w:p>
    <w:p w14:paraId="57C33251" w14:textId="1C8F2897" w:rsidR="001D495C" w:rsidRPr="008D1879" w:rsidRDefault="001D495C" w:rsidP="00E83335">
      <w:pPr>
        <w:spacing w:line="240" w:lineRule="auto"/>
        <w:rPr>
          <w:rFonts w:cstheme="minorHAnsi"/>
          <w:i/>
          <w:iCs/>
        </w:rPr>
      </w:pPr>
      <w:r w:rsidRPr="008D1879">
        <w:rPr>
          <w:rFonts w:cstheme="minorHAnsi"/>
        </w:rPr>
        <w:t>O’Brien,</w:t>
      </w:r>
      <w:r w:rsidRPr="008D1879">
        <w:rPr>
          <w:rFonts w:cstheme="minorHAnsi"/>
        </w:rPr>
        <w:t xml:space="preserve"> </w:t>
      </w:r>
      <w:r w:rsidRPr="008D1879">
        <w:rPr>
          <w:rFonts w:cstheme="minorHAnsi"/>
        </w:rPr>
        <w:t xml:space="preserve">Patrick Karl “Mercantilist Institutions for the Pursuit Of Power with Profit. The Management Of Britain’s National Debt, 1756-1815” </w:t>
      </w:r>
      <w:r w:rsidRPr="008D1879">
        <w:rPr>
          <w:rFonts w:cstheme="minorHAnsi"/>
          <w:i/>
          <w:iCs/>
        </w:rPr>
        <w:t xml:space="preserve">Working Papers, 95, </w:t>
      </w:r>
      <w:hyperlink r:id="rId9" w:history="1">
        <w:r w:rsidRPr="008D1879">
          <w:rPr>
            <w:rStyle w:val="Hyperlink"/>
            <w:rFonts w:cstheme="minorHAnsi"/>
            <w:i/>
            <w:iCs/>
          </w:rPr>
          <w:t>http://eprints.lse.ac.uk/22322/1/wp95.pdf</w:t>
        </w:r>
      </w:hyperlink>
      <w:r w:rsidRPr="008D1879">
        <w:rPr>
          <w:rFonts w:cstheme="minorHAnsi"/>
          <w:i/>
          <w:iCs/>
        </w:rPr>
        <w:t xml:space="preserve"> ,&lt;Accessed 14 Dec 2020&gt;</w:t>
      </w:r>
    </w:p>
    <w:p w14:paraId="3B14E540" w14:textId="51BA446F" w:rsidR="008D1879" w:rsidRPr="008D1879" w:rsidRDefault="008D1879" w:rsidP="00E83335">
      <w:pPr>
        <w:spacing w:line="240" w:lineRule="auto"/>
        <w:rPr>
          <w:rFonts w:cstheme="minorHAnsi"/>
          <w:color w:val="000000"/>
          <w:sz w:val="20"/>
          <w:szCs w:val="20"/>
          <w:shd w:val="clear" w:color="auto" w:fill="FFFFFF"/>
        </w:rPr>
      </w:pPr>
      <w:r w:rsidRPr="008D1879">
        <w:rPr>
          <w:rFonts w:cstheme="minorHAnsi"/>
          <w:color w:val="000000"/>
          <w:sz w:val="20"/>
          <w:szCs w:val="20"/>
          <w:shd w:val="clear" w:color="auto" w:fill="FFFFFF"/>
        </w:rPr>
        <w:t>Werner, Walt, "On Political Cartoons And Social Studies Textbooks: Visual Analogies, Intertextuality, And Cultural Memory", </w:t>
      </w:r>
      <w:r w:rsidRPr="008D1879">
        <w:rPr>
          <w:rFonts w:cstheme="minorHAnsi"/>
          <w:i/>
          <w:iCs/>
          <w:color w:val="000000"/>
          <w:sz w:val="20"/>
          <w:szCs w:val="20"/>
          <w:shd w:val="clear" w:color="auto" w:fill="FFFFFF"/>
        </w:rPr>
        <w:t>Canadian Social Studies</w:t>
      </w:r>
      <w:r w:rsidRPr="008D1879">
        <w:rPr>
          <w:rFonts w:cstheme="minorHAnsi"/>
          <w:color w:val="000000"/>
          <w:sz w:val="20"/>
          <w:szCs w:val="20"/>
          <w:shd w:val="clear" w:color="auto" w:fill="FFFFFF"/>
        </w:rPr>
        <w:t>, 38 (2004)</w:t>
      </w:r>
    </w:p>
    <w:sectPr w:rsidR="008D1879" w:rsidRPr="008D18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CABD58" w14:textId="77777777" w:rsidR="004007B8" w:rsidRDefault="004007B8" w:rsidP="00940E6E">
      <w:pPr>
        <w:spacing w:after="0" w:line="240" w:lineRule="auto"/>
      </w:pPr>
      <w:r>
        <w:separator/>
      </w:r>
    </w:p>
  </w:endnote>
  <w:endnote w:type="continuationSeparator" w:id="0">
    <w:p w14:paraId="2C4A67EE" w14:textId="77777777" w:rsidR="004007B8" w:rsidRDefault="004007B8" w:rsidP="00940E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609EDF" w14:textId="77777777" w:rsidR="004007B8" w:rsidRDefault="004007B8" w:rsidP="00940E6E">
      <w:pPr>
        <w:spacing w:after="0" w:line="240" w:lineRule="auto"/>
      </w:pPr>
      <w:r>
        <w:separator/>
      </w:r>
    </w:p>
  </w:footnote>
  <w:footnote w:type="continuationSeparator" w:id="0">
    <w:p w14:paraId="3CADC05D" w14:textId="77777777" w:rsidR="004007B8" w:rsidRDefault="004007B8" w:rsidP="00940E6E">
      <w:pPr>
        <w:spacing w:after="0" w:line="240" w:lineRule="auto"/>
      </w:pPr>
      <w:r>
        <w:continuationSeparator/>
      </w:r>
    </w:p>
  </w:footnote>
  <w:footnote w:id="1">
    <w:p w14:paraId="60DA4E1F" w14:textId="41F1C836" w:rsidR="00940E6E" w:rsidRDefault="00940E6E">
      <w:pPr>
        <w:pStyle w:val="FootnoteText"/>
      </w:pPr>
      <w:r>
        <w:rPr>
          <w:rStyle w:val="FootnoteReference"/>
        </w:rPr>
        <w:footnoteRef/>
      </w:r>
      <w:r>
        <w:t xml:space="preserve"> </w:t>
      </w:r>
      <w:r w:rsidR="00E32213">
        <w:rPr>
          <w:rFonts w:ascii="Arial" w:hAnsi="Arial" w:cs="Arial"/>
          <w:color w:val="000000"/>
          <w:shd w:val="clear" w:color="auto" w:fill="FFFFFF"/>
        </w:rPr>
        <w:t>"The Westminster Magazine, Or, The Pantheon Of Taste Vol. 3" (Los Angeles, 1775), Library of the University of California.</w:t>
      </w:r>
    </w:p>
  </w:footnote>
  <w:footnote w:id="2">
    <w:p w14:paraId="53BEC603" w14:textId="6451A82F" w:rsidR="00317DB6" w:rsidRDefault="00317DB6">
      <w:pPr>
        <w:pStyle w:val="FootnoteText"/>
      </w:pPr>
      <w:r>
        <w:rPr>
          <w:rStyle w:val="FootnoteReference"/>
        </w:rPr>
        <w:footnoteRef/>
      </w:r>
      <w:r>
        <w:t xml:space="preserve"> </w:t>
      </w:r>
      <w:r>
        <w:rPr>
          <w:rFonts w:ascii="Arial" w:hAnsi="Arial" w:cs="Arial"/>
          <w:color w:val="000000"/>
          <w:shd w:val="clear" w:color="auto" w:fill="FFFFFF"/>
        </w:rPr>
        <w:t>Juana I. Marín</w:t>
      </w:r>
      <w:r>
        <w:rPr>
          <w:rFonts w:ascii="Cambria Math" w:hAnsi="Cambria Math" w:cs="Cambria Math"/>
          <w:color w:val="000000"/>
          <w:shd w:val="clear" w:color="auto" w:fill="FFFFFF"/>
        </w:rPr>
        <w:t>‐</w:t>
      </w:r>
      <w:proofErr w:type="spellStart"/>
      <w:r>
        <w:rPr>
          <w:rFonts w:ascii="Arial" w:hAnsi="Arial" w:cs="Arial"/>
          <w:color w:val="000000"/>
          <w:shd w:val="clear" w:color="auto" w:fill="FFFFFF"/>
        </w:rPr>
        <w:t>Arrese</w:t>
      </w:r>
      <w:proofErr w:type="spellEnd"/>
      <w:r>
        <w:rPr>
          <w:rFonts w:ascii="Arial" w:hAnsi="Arial" w:cs="Arial"/>
          <w:color w:val="000000"/>
          <w:shd w:val="clear" w:color="auto" w:fill="FFFFFF"/>
        </w:rPr>
        <w:t>, "Political Cartoon Discourse", </w:t>
      </w:r>
      <w:r>
        <w:rPr>
          <w:rFonts w:ascii="Arial" w:hAnsi="Arial" w:cs="Arial"/>
          <w:i/>
          <w:iCs/>
          <w:color w:val="000000"/>
          <w:shd w:val="clear" w:color="auto" w:fill="FFFFFF"/>
        </w:rPr>
        <w:t xml:space="preserve">The International </w:t>
      </w:r>
      <w:r w:rsidR="005223F5">
        <w:rPr>
          <w:rFonts w:ascii="Arial" w:hAnsi="Arial" w:cs="Arial"/>
          <w:i/>
          <w:iCs/>
          <w:color w:val="000000"/>
          <w:shd w:val="clear" w:color="auto" w:fill="FFFFFF"/>
        </w:rPr>
        <w:t>Encyclopaedia</w:t>
      </w:r>
      <w:r>
        <w:rPr>
          <w:rFonts w:ascii="Arial" w:hAnsi="Arial" w:cs="Arial"/>
          <w:i/>
          <w:iCs/>
          <w:color w:val="000000"/>
          <w:shd w:val="clear" w:color="auto" w:fill="FFFFFF"/>
        </w:rPr>
        <w:t xml:space="preserve"> Of Language And Social Interaction</w:t>
      </w:r>
      <w:r>
        <w:rPr>
          <w:rFonts w:ascii="Arial" w:hAnsi="Arial" w:cs="Arial"/>
          <w:color w:val="000000"/>
          <w:shd w:val="clear" w:color="auto" w:fill="FFFFFF"/>
        </w:rPr>
        <w:t>, 2015, 1-6.</w:t>
      </w:r>
    </w:p>
  </w:footnote>
  <w:footnote w:id="3">
    <w:p w14:paraId="464EF16A" w14:textId="3E008134" w:rsidR="005223F5" w:rsidRDefault="005223F5">
      <w:pPr>
        <w:pStyle w:val="FootnoteText"/>
      </w:pPr>
      <w:r>
        <w:rPr>
          <w:rStyle w:val="FootnoteReference"/>
        </w:rPr>
        <w:footnoteRef/>
      </w:r>
      <w:r>
        <w:t xml:space="preserve"> </w:t>
      </w:r>
      <w:r>
        <w:rPr>
          <w:rFonts w:ascii="Arial" w:hAnsi="Arial" w:cs="Arial"/>
          <w:color w:val="000000"/>
          <w:shd w:val="clear" w:color="auto" w:fill="FFFFFF"/>
        </w:rPr>
        <w:t xml:space="preserve">Victor S </w:t>
      </w:r>
      <w:proofErr w:type="spellStart"/>
      <w:r>
        <w:rPr>
          <w:rFonts w:ascii="Arial" w:hAnsi="Arial" w:cs="Arial"/>
          <w:color w:val="000000"/>
          <w:shd w:val="clear" w:color="auto" w:fill="FFFFFF"/>
        </w:rPr>
        <w:t>Navasky</w:t>
      </w:r>
      <w:proofErr w:type="spellEnd"/>
      <w:r>
        <w:rPr>
          <w:rFonts w:ascii="Arial" w:hAnsi="Arial" w:cs="Arial"/>
          <w:color w:val="000000"/>
          <w:shd w:val="clear" w:color="auto" w:fill="FFFFFF"/>
        </w:rPr>
        <w:t>, </w:t>
      </w:r>
      <w:r>
        <w:rPr>
          <w:rFonts w:ascii="Arial" w:hAnsi="Arial" w:cs="Arial"/>
          <w:i/>
          <w:iCs/>
          <w:color w:val="000000"/>
          <w:shd w:val="clear" w:color="auto" w:fill="FFFFFF"/>
        </w:rPr>
        <w:t>The Art Of Controversy: Political Cartoons And Their Enduring Power</w:t>
      </w:r>
      <w:r>
        <w:rPr>
          <w:rFonts w:ascii="Arial" w:hAnsi="Arial" w:cs="Arial"/>
          <w:color w:val="000000"/>
          <w:shd w:val="clear" w:color="auto" w:fill="FFFFFF"/>
        </w:rPr>
        <w:t> (New York: Alfred A. Knopf, 2013), p. 18.</w:t>
      </w:r>
    </w:p>
  </w:footnote>
  <w:footnote w:id="4">
    <w:p w14:paraId="79433ED8" w14:textId="015BA3B6" w:rsidR="00633EFC" w:rsidRDefault="00633EFC">
      <w:pPr>
        <w:pStyle w:val="FootnoteText"/>
      </w:pPr>
      <w:r>
        <w:rPr>
          <w:rStyle w:val="FootnoteReference"/>
        </w:rPr>
        <w:footnoteRef/>
      </w:r>
      <w:r>
        <w:t xml:space="preserve"> </w:t>
      </w:r>
      <w:r>
        <w:rPr>
          <w:rFonts w:ascii="Arial" w:hAnsi="Arial" w:cs="Arial"/>
          <w:color w:val="000000"/>
          <w:shd w:val="clear" w:color="auto" w:fill="FFFFFF"/>
        </w:rPr>
        <w:t>Devon Lemire, "A Historiographical Survey Of Literacy In Britain Between 1780 And 1830", </w:t>
      </w:r>
      <w:r>
        <w:rPr>
          <w:rFonts w:ascii="Arial" w:hAnsi="Arial" w:cs="Arial"/>
          <w:i/>
          <w:iCs/>
          <w:color w:val="000000"/>
          <w:shd w:val="clear" w:color="auto" w:fill="FFFFFF"/>
        </w:rPr>
        <w:t>Constellations</w:t>
      </w:r>
      <w:r>
        <w:rPr>
          <w:rFonts w:ascii="Arial" w:hAnsi="Arial" w:cs="Arial"/>
          <w:color w:val="000000"/>
          <w:shd w:val="clear" w:color="auto" w:fill="FFFFFF"/>
        </w:rPr>
        <w:t>, 4.1 (2013).</w:t>
      </w:r>
    </w:p>
  </w:footnote>
  <w:footnote w:id="5">
    <w:p w14:paraId="147AE938" w14:textId="1669254D" w:rsidR="008D1879" w:rsidRDefault="008D1879">
      <w:pPr>
        <w:pStyle w:val="FootnoteText"/>
      </w:pPr>
      <w:r>
        <w:rPr>
          <w:rStyle w:val="FootnoteReference"/>
        </w:rPr>
        <w:footnoteRef/>
      </w:r>
      <w:r>
        <w:t xml:space="preserve"> </w:t>
      </w:r>
      <w:r>
        <w:rPr>
          <w:rFonts w:ascii="Arial" w:hAnsi="Arial" w:cs="Arial"/>
          <w:color w:val="000000"/>
          <w:shd w:val="clear" w:color="auto" w:fill="FFFFFF"/>
        </w:rPr>
        <w:t>Walt Werner, "On Political Cartoons And Social Studies Textbooks: Visual Analogies, Intertextuality, And Cultural Memory", </w:t>
      </w:r>
      <w:r>
        <w:rPr>
          <w:rFonts w:ascii="Arial" w:hAnsi="Arial" w:cs="Arial"/>
          <w:i/>
          <w:iCs/>
          <w:color w:val="000000"/>
          <w:shd w:val="clear" w:color="auto" w:fill="FFFFFF"/>
        </w:rPr>
        <w:t>Canadian Social Studies</w:t>
      </w:r>
      <w:r>
        <w:rPr>
          <w:rFonts w:ascii="Arial" w:hAnsi="Arial" w:cs="Arial"/>
          <w:color w:val="000000"/>
          <w:shd w:val="clear" w:color="auto" w:fill="FFFFFF"/>
        </w:rPr>
        <w:t>, 38.2 (2004).</w:t>
      </w:r>
    </w:p>
  </w:footnote>
  <w:footnote w:id="6">
    <w:p w14:paraId="3F549CBF" w14:textId="6974FBFA" w:rsidR="00E83335" w:rsidRDefault="00E83335">
      <w:pPr>
        <w:pStyle w:val="FootnoteText"/>
      </w:pPr>
      <w:r>
        <w:rPr>
          <w:rStyle w:val="FootnoteReference"/>
        </w:rPr>
        <w:footnoteRef/>
      </w:r>
      <w:r>
        <w:t xml:space="preserve"> </w:t>
      </w:r>
      <w:r>
        <w:rPr>
          <w:rFonts w:ascii="Arial" w:hAnsi="Arial" w:cs="Arial"/>
          <w:color w:val="000000"/>
          <w:shd w:val="clear" w:color="auto" w:fill="FFFFFF"/>
        </w:rPr>
        <w:t>Stephen Conway, </w:t>
      </w:r>
      <w:r>
        <w:rPr>
          <w:rFonts w:ascii="Arial" w:hAnsi="Arial" w:cs="Arial"/>
          <w:i/>
          <w:iCs/>
          <w:color w:val="000000"/>
          <w:shd w:val="clear" w:color="auto" w:fill="FFFFFF"/>
        </w:rPr>
        <w:t>A Short History Of The American Revolutionary War</w:t>
      </w:r>
      <w:r>
        <w:rPr>
          <w:rFonts w:ascii="Arial" w:hAnsi="Arial" w:cs="Arial"/>
          <w:color w:val="000000"/>
          <w:shd w:val="clear" w:color="auto" w:fill="FFFFFF"/>
        </w:rPr>
        <w:t> (London: I.B. Tauris, 2013).</w:t>
      </w:r>
    </w:p>
  </w:footnote>
  <w:footnote w:id="7">
    <w:p w14:paraId="4068B8B7" w14:textId="0F809685" w:rsidR="009F0D98" w:rsidRDefault="009F0D98">
      <w:pPr>
        <w:pStyle w:val="FootnoteText"/>
      </w:pPr>
      <w:r>
        <w:rPr>
          <w:rStyle w:val="FootnoteReference"/>
        </w:rPr>
        <w:footnoteRef/>
      </w:r>
      <w:r>
        <w:t xml:space="preserve"> </w:t>
      </w:r>
      <w:r>
        <w:rPr>
          <w:rFonts w:ascii="Arial" w:hAnsi="Arial" w:cs="Arial"/>
          <w:color w:val="000000"/>
          <w:shd w:val="clear" w:color="auto" w:fill="FFFFFF"/>
        </w:rPr>
        <w:t>David Carpenter, "Magna Carta 1215: Its Social And Political Context", in </w:t>
      </w:r>
      <w:r>
        <w:rPr>
          <w:rFonts w:ascii="Arial" w:hAnsi="Arial" w:cs="Arial"/>
          <w:i/>
          <w:iCs/>
          <w:color w:val="000000"/>
          <w:shd w:val="clear" w:color="auto" w:fill="FFFFFF"/>
        </w:rPr>
        <w:t>Magna Carta: History, Context And Influence</w:t>
      </w:r>
      <w:r>
        <w:rPr>
          <w:rFonts w:ascii="Arial" w:hAnsi="Arial" w:cs="Arial"/>
          <w:color w:val="000000"/>
          <w:shd w:val="clear" w:color="auto" w:fill="FFFFFF"/>
        </w:rPr>
        <w:t> (London: University of London Press, 2018), pp. 17-24.</w:t>
      </w:r>
    </w:p>
  </w:footnote>
  <w:footnote w:id="8">
    <w:p w14:paraId="6B24ADD9" w14:textId="0C10A71C" w:rsidR="009B4BD9" w:rsidRDefault="009B4BD9">
      <w:pPr>
        <w:pStyle w:val="FootnoteText"/>
      </w:pPr>
      <w:r>
        <w:rPr>
          <w:rStyle w:val="FootnoteReference"/>
        </w:rPr>
        <w:footnoteRef/>
      </w:r>
      <w:r>
        <w:t xml:space="preserve"> </w:t>
      </w:r>
      <w:r w:rsidR="009C5D00">
        <w:rPr>
          <w:rFonts w:ascii="Arial" w:hAnsi="Arial" w:cs="Arial"/>
          <w:color w:val="000000"/>
          <w:shd w:val="clear" w:color="auto" w:fill="FFFFFF"/>
        </w:rPr>
        <w:t>Geoffrey Lock, "The 1689 Bill Of Rights", </w:t>
      </w:r>
      <w:r w:rsidR="009C5D00">
        <w:rPr>
          <w:rFonts w:ascii="Arial" w:hAnsi="Arial" w:cs="Arial"/>
          <w:i/>
          <w:iCs/>
          <w:color w:val="000000"/>
          <w:shd w:val="clear" w:color="auto" w:fill="FFFFFF"/>
        </w:rPr>
        <w:t>Political Studies</w:t>
      </w:r>
      <w:r w:rsidR="009C5D00">
        <w:rPr>
          <w:rFonts w:ascii="Arial" w:hAnsi="Arial" w:cs="Arial"/>
          <w:color w:val="000000"/>
          <w:shd w:val="clear" w:color="auto" w:fill="FFFFFF"/>
        </w:rPr>
        <w:t>, 37.4 (1989), 540-561.</w:t>
      </w:r>
    </w:p>
  </w:footnote>
  <w:footnote w:id="9">
    <w:p w14:paraId="7AB47F25" w14:textId="4F65A7C0" w:rsidR="00360315" w:rsidRDefault="00360315">
      <w:pPr>
        <w:pStyle w:val="FootnoteText"/>
      </w:pPr>
      <w:r>
        <w:rPr>
          <w:rStyle w:val="FootnoteReference"/>
        </w:rPr>
        <w:footnoteRef/>
      </w:r>
      <w:r>
        <w:t xml:space="preserve"> </w:t>
      </w:r>
      <w:r>
        <w:rPr>
          <w:rFonts w:ascii="Arial" w:hAnsi="Arial" w:cs="Arial"/>
          <w:color w:val="000000"/>
          <w:shd w:val="clear" w:color="auto" w:fill="FFFFFF"/>
        </w:rPr>
        <w:t>John Dickinson, "Petition To George III, King Of Great Britain", 1775, The New York Public Library Digital Collections, Manuscripts and Archives Division.</w:t>
      </w:r>
    </w:p>
  </w:footnote>
  <w:footnote w:id="10">
    <w:p w14:paraId="23A92207" w14:textId="4D64240E" w:rsidR="00126C41" w:rsidRPr="008D1879" w:rsidRDefault="00126C41">
      <w:pPr>
        <w:pStyle w:val="FootnoteText"/>
        <w:rPr>
          <w:rFonts w:ascii="Arial" w:hAnsi="Arial" w:cs="Arial"/>
        </w:rPr>
      </w:pPr>
      <w:r w:rsidRPr="008D1879">
        <w:rPr>
          <w:rStyle w:val="FootnoteReference"/>
          <w:rFonts w:ascii="Arial" w:hAnsi="Arial" w:cs="Arial"/>
        </w:rPr>
        <w:footnoteRef/>
      </w:r>
      <w:r w:rsidRPr="008D1879">
        <w:rPr>
          <w:rFonts w:ascii="Arial" w:hAnsi="Arial" w:cs="Arial"/>
        </w:rPr>
        <w:t xml:space="preserve"> </w:t>
      </w:r>
      <w:r w:rsidRPr="008D1879">
        <w:rPr>
          <w:rFonts w:ascii="Arial" w:hAnsi="Arial" w:cs="Arial"/>
          <w:color w:val="000000"/>
          <w:shd w:val="clear" w:color="auto" w:fill="FFFFFF"/>
        </w:rPr>
        <w:t>J. Vernon Jensen, "British Voices On The Eve Of The American Revolution: Trapped By The Family Metaphor", </w:t>
      </w:r>
      <w:r w:rsidRPr="008D1879">
        <w:rPr>
          <w:rFonts w:ascii="Arial" w:hAnsi="Arial" w:cs="Arial"/>
          <w:i/>
          <w:iCs/>
          <w:color w:val="000000"/>
          <w:shd w:val="clear" w:color="auto" w:fill="FFFFFF"/>
        </w:rPr>
        <w:t>Quarterly Journal Of Speech</w:t>
      </w:r>
      <w:r w:rsidRPr="008D1879">
        <w:rPr>
          <w:rFonts w:ascii="Arial" w:hAnsi="Arial" w:cs="Arial"/>
          <w:color w:val="000000"/>
          <w:shd w:val="clear" w:color="auto" w:fill="FFFFFF"/>
        </w:rPr>
        <w:t>, 63.1 (1977), 43-50.</w:t>
      </w:r>
    </w:p>
  </w:footnote>
  <w:footnote w:id="11">
    <w:p w14:paraId="7FD0C7A6" w14:textId="45C6D09E" w:rsidR="00FF57AA" w:rsidRPr="008D1879" w:rsidRDefault="00FF57AA">
      <w:pPr>
        <w:pStyle w:val="FootnoteText"/>
        <w:rPr>
          <w:rFonts w:ascii="Arial" w:hAnsi="Arial" w:cs="Arial"/>
        </w:rPr>
      </w:pPr>
      <w:r w:rsidRPr="008D1879">
        <w:rPr>
          <w:rStyle w:val="FootnoteReference"/>
          <w:rFonts w:ascii="Arial" w:hAnsi="Arial" w:cs="Arial"/>
        </w:rPr>
        <w:footnoteRef/>
      </w:r>
      <w:r w:rsidRPr="008D1879">
        <w:rPr>
          <w:rFonts w:ascii="Arial" w:hAnsi="Arial" w:cs="Arial"/>
        </w:rPr>
        <w:t xml:space="preserve"> </w:t>
      </w:r>
      <w:r w:rsidRPr="008D1879">
        <w:rPr>
          <w:rFonts w:ascii="Arial" w:hAnsi="Arial" w:cs="Arial"/>
          <w:color w:val="000000"/>
          <w:shd w:val="clear" w:color="auto" w:fill="FFFFFF"/>
        </w:rPr>
        <w:t>Henry M Gladney, </w:t>
      </w:r>
      <w:r w:rsidRPr="008D1879">
        <w:rPr>
          <w:rFonts w:ascii="Arial" w:hAnsi="Arial" w:cs="Arial"/>
          <w:i/>
          <w:iCs/>
          <w:color w:val="000000"/>
          <w:shd w:val="clear" w:color="auto" w:fill="FFFFFF"/>
        </w:rPr>
        <w:t>No Taxation Without Representation</w:t>
      </w:r>
      <w:r w:rsidRPr="008D1879">
        <w:rPr>
          <w:rFonts w:ascii="Arial" w:hAnsi="Arial" w:cs="Arial"/>
          <w:color w:val="000000"/>
          <w:shd w:val="clear" w:color="auto" w:fill="FFFFFF"/>
        </w:rPr>
        <w:t> (United States: Xlibris, 2014).</w:t>
      </w:r>
    </w:p>
  </w:footnote>
  <w:footnote w:id="12">
    <w:p w14:paraId="711B0C42" w14:textId="3417306C" w:rsidR="00521545" w:rsidRDefault="00521545">
      <w:pPr>
        <w:pStyle w:val="FootnoteText"/>
      </w:pPr>
      <w:r w:rsidRPr="008D1879">
        <w:rPr>
          <w:rStyle w:val="FootnoteReference"/>
          <w:rFonts w:ascii="Arial" w:hAnsi="Arial" w:cs="Arial"/>
        </w:rPr>
        <w:footnoteRef/>
      </w:r>
      <w:r w:rsidRPr="008D1879">
        <w:rPr>
          <w:rFonts w:ascii="Arial" w:hAnsi="Arial" w:cs="Arial"/>
        </w:rPr>
        <w:t xml:space="preserve"> </w:t>
      </w:r>
      <w:r w:rsidR="001A31C4" w:rsidRPr="008D1879">
        <w:rPr>
          <w:rFonts w:ascii="Arial" w:hAnsi="Arial" w:cs="Arial"/>
        </w:rPr>
        <w:t>Sarah Johns</w:t>
      </w:r>
      <w:r w:rsidR="001A31C4" w:rsidRPr="008D1879">
        <w:rPr>
          <w:rFonts w:ascii="Arial" w:hAnsi="Arial" w:cs="Arial"/>
        </w:rPr>
        <w:t xml:space="preserve">, "The Personification of the Perfect Citizen: The English Political Cartoon, Colonial Anxiety, and Identity During the American Revolution" (2020). History Summer Fellows. 12. </w:t>
      </w:r>
      <w:hyperlink r:id="rId1" w:history="1">
        <w:r w:rsidR="001A31C4" w:rsidRPr="008D1879">
          <w:rPr>
            <w:rStyle w:val="Hyperlink"/>
            <w:rFonts w:ascii="Arial" w:hAnsi="Arial" w:cs="Arial"/>
          </w:rPr>
          <w:t>https://digitalcommons.ursinus.edu/history_sum/12</w:t>
        </w:r>
      </w:hyperlink>
      <w:r w:rsidR="001A31C4" w:rsidRPr="008D1879">
        <w:rPr>
          <w:rFonts w:ascii="Arial" w:hAnsi="Arial" w:cs="Arial"/>
        </w:rPr>
        <w:t xml:space="preserve"> , &lt;Accessed 14 Dec 2020&gt;</w:t>
      </w:r>
    </w:p>
  </w:footnote>
  <w:footnote w:id="13">
    <w:p w14:paraId="1850BAC3" w14:textId="1D24FE4A" w:rsidR="001403E6" w:rsidRPr="008D1879" w:rsidRDefault="001403E6">
      <w:pPr>
        <w:pStyle w:val="FootnoteText"/>
        <w:rPr>
          <w:rFonts w:ascii="Arial" w:hAnsi="Arial" w:cs="Arial"/>
          <w:i/>
          <w:iCs/>
        </w:rPr>
      </w:pPr>
      <w:r w:rsidRPr="008D1879">
        <w:rPr>
          <w:rStyle w:val="FootnoteReference"/>
          <w:rFonts w:ascii="Arial" w:hAnsi="Arial" w:cs="Arial"/>
        </w:rPr>
        <w:footnoteRef/>
      </w:r>
      <w:r w:rsidRPr="008D1879">
        <w:rPr>
          <w:rFonts w:ascii="Arial" w:hAnsi="Arial" w:cs="Arial"/>
        </w:rPr>
        <w:t xml:space="preserve"> </w:t>
      </w:r>
      <w:r w:rsidR="001D495C" w:rsidRPr="008D1879">
        <w:rPr>
          <w:rFonts w:ascii="Arial" w:hAnsi="Arial" w:cs="Arial"/>
        </w:rPr>
        <w:t>Patrick Karl O’Brien, “</w:t>
      </w:r>
      <w:r w:rsidR="001D495C" w:rsidRPr="008D1879">
        <w:rPr>
          <w:rFonts w:ascii="Arial" w:hAnsi="Arial" w:cs="Arial"/>
        </w:rPr>
        <w:t>Mercantilist Institutions for the Pursuit Of Power with Profit. The Management Of Britain’s National Debt, 1756-1815</w:t>
      </w:r>
      <w:r w:rsidR="001D495C" w:rsidRPr="008D1879">
        <w:rPr>
          <w:rFonts w:ascii="Arial" w:hAnsi="Arial" w:cs="Arial"/>
        </w:rPr>
        <w:t xml:space="preserve">” </w:t>
      </w:r>
      <w:r w:rsidR="001D495C" w:rsidRPr="008D1879">
        <w:rPr>
          <w:rFonts w:ascii="Arial" w:hAnsi="Arial" w:cs="Arial"/>
          <w:i/>
          <w:iCs/>
        </w:rPr>
        <w:t xml:space="preserve">Working Papers, 95, </w:t>
      </w:r>
      <w:hyperlink r:id="rId2" w:history="1">
        <w:r w:rsidR="001D495C" w:rsidRPr="008D1879">
          <w:rPr>
            <w:rStyle w:val="Hyperlink"/>
            <w:rFonts w:ascii="Arial" w:hAnsi="Arial" w:cs="Arial"/>
            <w:i/>
            <w:iCs/>
          </w:rPr>
          <w:t>http://eprints.lse.ac.uk/22322/1/wp95.pdf</w:t>
        </w:r>
      </w:hyperlink>
      <w:r w:rsidR="001D495C" w:rsidRPr="008D1879">
        <w:rPr>
          <w:rFonts w:ascii="Arial" w:hAnsi="Arial" w:cs="Arial"/>
          <w:i/>
          <w:iCs/>
        </w:rPr>
        <w:t xml:space="preserve"> ,&lt;Accessed 14 Dec 2020&gt;</w:t>
      </w:r>
    </w:p>
  </w:footnote>
  <w:footnote w:id="14">
    <w:p w14:paraId="559D3952" w14:textId="4EFF4111" w:rsidR="00793DA6" w:rsidRDefault="00793DA6">
      <w:pPr>
        <w:pStyle w:val="FootnoteText"/>
      </w:pPr>
      <w:r w:rsidRPr="008D1879">
        <w:rPr>
          <w:rStyle w:val="FootnoteReference"/>
          <w:rFonts w:ascii="Arial" w:hAnsi="Arial" w:cs="Arial"/>
        </w:rPr>
        <w:footnoteRef/>
      </w:r>
      <w:r w:rsidRPr="008D1879">
        <w:rPr>
          <w:rFonts w:ascii="Arial" w:hAnsi="Arial" w:cs="Arial"/>
        </w:rPr>
        <w:t xml:space="preserve"> </w:t>
      </w:r>
      <w:r w:rsidRPr="008D1879">
        <w:rPr>
          <w:rFonts w:ascii="Arial" w:hAnsi="Arial" w:cs="Arial"/>
          <w:color w:val="000000"/>
          <w:shd w:val="clear" w:color="auto" w:fill="FFFFFF"/>
        </w:rPr>
        <w:t>Eric L. Hargreaves, </w:t>
      </w:r>
      <w:r w:rsidRPr="008D1879">
        <w:rPr>
          <w:rFonts w:ascii="Arial" w:hAnsi="Arial" w:cs="Arial"/>
          <w:i/>
          <w:iCs/>
          <w:color w:val="000000"/>
          <w:shd w:val="clear" w:color="auto" w:fill="FFFFFF"/>
        </w:rPr>
        <w:t>The National Debt</w:t>
      </w:r>
      <w:r w:rsidRPr="008D1879">
        <w:rPr>
          <w:rFonts w:ascii="Arial" w:hAnsi="Arial" w:cs="Arial"/>
          <w:color w:val="000000"/>
          <w:shd w:val="clear" w:color="auto" w:fill="FFFFFF"/>
        </w:rPr>
        <w:t> (New York: Routledge, 2013), p. 60.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I3NzEwMrE0MLewNDFS0lEKTi0uzszPAykwrAUAVr6VhiwAAAA="/>
  </w:docVars>
  <w:rsids>
    <w:rsidRoot w:val="001A49A0"/>
    <w:rsid w:val="000A1D95"/>
    <w:rsid w:val="00126C41"/>
    <w:rsid w:val="001403E6"/>
    <w:rsid w:val="00145911"/>
    <w:rsid w:val="00153A07"/>
    <w:rsid w:val="00163CE8"/>
    <w:rsid w:val="001A31C4"/>
    <w:rsid w:val="001A49A0"/>
    <w:rsid w:val="001D495C"/>
    <w:rsid w:val="00317DB6"/>
    <w:rsid w:val="00360315"/>
    <w:rsid w:val="003F5F6F"/>
    <w:rsid w:val="004007B8"/>
    <w:rsid w:val="00475888"/>
    <w:rsid w:val="004A08FC"/>
    <w:rsid w:val="00521545"/>
    <w:rsid w:val="005223F5"/>
    <w:rsid w:val="00633EFC"/>
    <w:rsid w:val="00692844"/>
    <w:rsid w:val="006B19EC"/>
    <w:rsid w:val="0078573E"/>
    <w:rsid w:val="00793DA6"/>
    <w:rsid w:val="00836B06"/>
    <w:rsid w:val="00851A4E"/>
    <w:rsid w:val="00862F69"/>
    <w:rsid w:val="008B54EF"/>
    <w:rsid w:val="008C68C8"/>
    <w:rsid w:val="008D1879"/>
    <w:rsid w:val="008E028D"/>
    <w:rsid w:val="00940E6E"/>
    <w:rsid w:val="00985001"/>
    <w:rsid w:val="009B4BD9"/>
    <w:rsid w:val="009C5D00"/>
    <w:rsid w:val="009F0D98"/>
    <w:rsid w:val="00B74A32"/>
    <w:rsid w:val="00C32AC4"/>
    <w:rsid w:val="00CB1711"/>
    <w:rsid w:val="00CB77E9"/>
    <w:rsid w:val="00CD383C"/>
    <w:rsid w:val="00CE756C"/>
    <w:rsid w:val="00D458FC"/>
    <w:rsid w:val="00DE0245"/>
    <w:rsid w:val="00E32213"/>
    <w:rsid w:val="00E711D7"/>
    <w:rsid w:val="00E83335"/>
    <w:rsid w:val="00ED3500"/>
    <w:rsid w:val="00FF5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66A86"/>
  <w15:chartTrackingRefBased/>
  <w15:docId w15:val="{A259DA8F-939F-4C5C-B462-C8638E02F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A49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A49A0"/>
    <w:rPr>
      <w:b/>
      <w:bCs/>
    </w:rPr>
  </w:style>
  <w:style w:type="paragraph" w:styleId="Caption">
    <w:name w:val="caption"/>
    <w:basedOn w:val="Normal"/>
    <w:next w:val="Normal"/>
    <w:uiPriority w:val="35"/>
    <w:unhideWhenUsed/>
    <w:qFormat/>
    <w:rsid w:val="001A49A0"/>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940E6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E6E"/>
    <w:rPr>
      <w:sz w:val="20"/>
      <w:szCs w:val="20"/>
    </w:rPr>
  </w:style>
  <w:style w:type="character" w:styleId="FootnoteReference">
    <w:name w:val="footnote reference"/>
    <w:basedOn w:val="DefaultParagraphFont"/>
    <w:uiPriority w:val="99"/>
    <w:semiHidden/>
    <w:unhideWhenUsed/>
    <w:rsid w:val="00940E6E"/>
    <w:rPr>
      <w:vertAlign w:val="superscript"/>
    </w:rPr>
  </w:style>
  <w:style w:type="character" w:styleId="Hyperlink">
    <w:name w:val="Hyperlink"/>
    <w:basedOn w:val="DefaultParagraphFont"/>
    <w:uiPriority w:val="99"/>
    <w:unhideWhenUsed/>
    <w:rsid w:val="001A31C4"/>
    <w:rPr>
      <w:color w:val="0563C1" w:themeColor="hyperlink"/>
      <w:u w:val="single"/>
    </w:rPr>
  </w:style>
  <w:style w:type="character" w:styleId="UnresolvedMention">
    <w:name w:val="Unresolved Mention"/>
    <w:basedOn w:val="DefaultParagraphFont"/>
    <w:uiPriority w:val="99"/>
    <w:semiHidden/>
    <w:unhideWhenUsed/>
    <w:rsid w:val="001A31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98548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commons.ursinus.edu/history_sum/12"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eprints.lse.ac.uk/22322/1/wp95.pdf"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eprints.lse.ac.uk/22322/1/wp95.pdf" TargetMode="External"/><Relationship Id="rId1" Type="http://schemas.openxmlformats.org/officeDocument/2006/relationships/hyperlink" Target="https://digitalcommons.ursinus.edu/history_sum/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8833086-F170-47F8-85DF-1F5116F616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499</TotalTime>
  <Pages>7</Pages>
  <Words>1748</Words>
  <Characters>9965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Smith</dc:creator>
  <cp:keywords/>
  <dc:description/>
  <cp:lastModifiedBy>Scott Smith</cp:lastModifiedBy>
  <cp:revision>15</cp:revision>
  <dcterms:created xsi:type="dcterms:W3CDTF">2020-12-18T14:06:00Z</dcterms:created>
  <dcterms:modified xsi:type="dcterms:W3CDTF">2020-12-18T22:25:00Z</dcterms:modified>
</cp:coreProperties>
</file>