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324715D" w14:textId="77777777" w:rsidR="00591C75" w:rsidRDefault="00732952" w:rsidP="005B5C1C">
      <w:r>
        <w:t>Portfolio Exercise – Death and Dying and the Macabre in Medieval Society</w:t>
      </w:r>
    </w:p>
    <w:p w14:paraId="279DB964" w14:textId="77777777" w:rsidR="00595860" w:rsidRDefault="00595860" w:rsidP="005B5C1C">
      <w:bookmarkStart w:id="0" w:name="_GoBack"/>
      <w:bookmarkEnd w:id="0"/>
    </w:p>
    <w:p w14:paraId="68DDF8E2" w14:textId="77777777" w:rsidR="004F1578" w:rsidRDefault="00732952" w:rsidP="005B5C1C">
      <w:r>
        <w:t>Secondary Article</w:t>
      </w:r>
      <w:r w:rsidR="004F1578">
        <w:t xml:space="preserve"> – </w:t>
      </w:r>
    </w:p>
    <w:p w14:paraId="26A1E1DA" w14:textId="77777777" w:rsidR="004F1578" w:rsidRPr="004F1578" w:rsidRDefault="004F1578" w:rsidP="005B5C1C">
      <w:pPr>
        <w:rPr>
          <w:i/>
        </w:rPr>
      </w:pPr>
      <w:r>
        <w:rPr>
          <w:i/>
        </w:rPr>
        <w:t>Rome’s Happiest Inspiration?</w:t>
      </w:r>
      <w:r>
        <w:rPr>
          <w:i/>
        </w:rPr>
        <w:br/>
      </w:r>
    </w:p>
    <w:p w14:paraId="2B622351" w14:textId="77777777" w:rsidR="00F5679F" w:rsidRDefault="009738CA" w:rsidP="005B5C1C">
      <w:r>
        <w:t xml:space="preserve">The predominant argument of John Casey’s ‘Rome’s Happiest Inspiration’ chapter generally outlines the </w:t>
      </w:r>
      <w:r w:rsidR="00044DD2">
        <w:t xml:space="preserve">supposed </w:t>
      </w:r>
      <w:r>
        <w:t>perverseness in which the concept of purgatory had been invented by the Roman Church.</w:t>
      </w:r>
      <w:r w:rsidR="00044DD2">
        <w:t xml:space="preserve"> One of the main factors that underlines the entire chapter is the response Protestants had towards the newly designed model of purgatory, consisting mostly of contempt and disapproval.</w:t>
      </w:r>
      <w:r>
        <w:t xml:space="preserve"> It is of Casey’s opinion that since there was little and vague scriptural evidence to support its doctrine, purgatory was a means to which the Roman Church could increase the spiritual power and authority they wielded, </w:t>
      </w:r>
      <w:r w:rsidR="001B500F">
        <w:t>as well as “give rise to many abuses”</w:t>
      </w:r>
      <w:r w:rsidR="001B500F">
        <w:rPr>
          <w:rStyle w:val="FootnoteReference"/>
        </w:rPr>
        <w:footnoteReference w:id="1"/>
      </w:r>
      <w:r w:rsidR="001B500F">
        <w:t xml:space="preserve"> such as the granting of indulgences for profit. Despite these arguments, it is also noted by Casey that the benefits of purgatory’s existence did not only apply to the Church itself, but also to the medieval people as it granted a sense of comfort in the reassurance that a soul could still achi</w:t>
      </w:r>
      <w:r w:rsidR="00044DD2">
        <w:t>eve salvation even after death.</w:t>
      </w:r>
    </w:p>
    <w:p w14:paraId="6EF199F6" w14:textId="77777777" w:rsidR="000504BE" w:rsidRDefault="000504BE" w:rsidP="005B5C1C">
      <w:r>
        <w:t>Purgatory is viewed to be the place in which souls are sent to be purified, with Roman Catholic doctrine supports that the prayers of the living are beneficial to the souls of those in the purification process.</w:t>
      </w:r>
      <w:r>
        <w:rPr>
          <w:rStyle w:val="FootnoteReference"/>
        </w:rPr>
        <w:footnoteReference w:id="2"/>
      </w:r>
      <w:r>
        <w:t xml:space="preserve"> </w:t>
      </w:r>
      <w:r w:rsidR="007F1930">
        <w:t>In popular belief which emerged in Western Europe at the end of the twelfth century, according to Jacques Le Goff, it is speculated that purification in purgatory is achieved chiefly through the use of fire</w:t>
      </w:r>
      <w:r w:rsidR="007F1930">
        <w:rPr>
          <w:rStyle w:val="FootnoteReference"/>
        </w:rPr>
        <w:footnoteReference w:id="3"/>
      </w:r>
      <w:r w:rsidR="007F1930">
        <w:t xml:space="preserve">, however this belief is not universal or official. </w:t>
      </w:r>
      <w:r w:rsidR="002220D7">
        <w:t>According to the definition of the Second Council of Lyon in 1274, purgatory was seen as a place where souls are purified after death, and these souls benefitted from the prayers of the living.</w:t>
      </w:r>
      <w:r w:rsidR="002220D7">
        <w:rPr>
          <w:rStyle w:val="FootnoteReference"/>
        </w:rPr>
        <w:footnoteReference w:id="4"/>
      </w:r>
      <w:r w:rsidR="002220D7">
        <w:t xml:space="preserve"> </w:t>
      </w:r>
      <w:r w:rsidR="006D4796">
        <w:t>With this in mind, Purgatory was viewed as a place where those who had died in repentance, but still had mortal sins they had not yet atoned for, could be purged with the assurance of their salvation in order to attain the right to enter heaven.</w:t>
      </w:r>
    </w:p>
    <w:p w14:paraId="45AC73C5" w14:textId="77777777" w:rsidR="00001C3C" w:rsidRDefault="006D4796" w:rsidP="005B5C1C">
      <w:r>
        <w:t xml:space="preserve">Casey underlines the fact that </w:t>
      </w:r>
      <w:r w:rsidR="003F1FB6">
        <w:t>Protestants do not agree with the concept of purgatory, and it is suggested that the varying differences in views concerning “works over faith”</w:t>
      </w:r>
      <w:r w:rsidR="003F1FB6">
        <w:rPr>
          <w:rStyle w:val="FootnoteReference"/>
        </w:rPr>
        <w:footnoteReference w:id="5"/>
      </w:r>
      <w:r w:rsidR="003F1FB6">
        <w:t xml:space="preserve"> caused a rupture between the Protestants and Catholics.</w:t>
      </w:r>
      <w:r>
        <w:t xml:space="preserve"> Since purgatory was a Roman Catholic invention, it is understandable why other faiths, including the Eastern Orthodox Church, took issue with its introduction into traditional teachings.</w:t>
      </w:r>
      <w:r w:rsidR="00F43366">
        <w:t xml:space="preserve"> This notion is not dwelled on, however, and</w:t>
      </w:r>
      <w:r w:rsidR="00001C3C">
        <w:t xml:space="preserve"> the</w:t>
      </w:r>
      <w:r w:rsidR="00F43366">
        <w:t xml:space="preserve"> chapter very quickly moves forwards to speculate upon the increased popularity of indulgences. </w:t>
      </w:r>
      <w:r w:rsidR="00001C3C">
        <w:t xml:space="preserve">This sudden shift in focus appears rather fragmented, causing Casey’s argument to become somewhat vague as the lack of depth allows little understanding to the broad aspect of Protestant opinion towards purgatory. The issue of indulgences, however, does in fact effectively connect to the church’s use of purgatory. </w:t>
      </w:r>
    </w:p>
    <w:p w14:paraId="03E21AB8" w14:textId="77777777" w:rsidR="00F5679F" w:rsidRDefault="00F43366" w:rsidP="005B5C1C">
      <w:r>
        <w:lastRenderedPageBreak/>
        <w:t>Indulgences are canonical penances granted by the Roman Church in remission of sins.</w:t>
      </w:r>
      <w:r>
        <w:rPr>
          <w:rStyle w:val="FootnoteReference"/>
        </w:rPr>
        <w:footnoteReference w:id="6"/>
      </w:r>
      <w:r w:rsidR="001C1F21">
        <w:t xml:space="preserve"> </w:t>
      </w:r>
      <w:r w:rsidR="00C21B8A">
        <w:t>Through the increase of popularity in giving indulgence to those who had committed sin, the medieval view of repentance and forgiveness began to appear far more feasible. With the ability to impose temporal penalties for mortal sins, the church claimed to have the power to absolve a person, therefore granting the church a greater jurisdiction over the religious aspect of medieval society.</w:t>
      </w:r>
      <w:r w:rsidR="00E8685E">
        <w:rPr>
          <w:rStyle w:val="FootnoteReference"/>
        </w:rPr>
        <w:footnoteReference w:id="7"/>
      </w:r>
      <w:r w:rsidR="00E8685E">
        <w:t xml:space="preserve"> Concerning purgatory, the practice of indulgences was a means in which the church enhanced their authority, which then increased the doctrine of purgatory itself, and thus promoted society’s want for more indulgences in order to avoid eternal torment in hell, creating an endless cycle in which purgatory and indulgences complimented one another.</w:t>
      </w:r>
    </w:p>
    <w:p w14:paraId="1427C9A2" w14:textId="77777777" w:rsidR="001C1F21" w:rsidRDefault="00997E74" w:rsidP="005B5C1C">
      <w:r>
        <w:t>The appeal of purgatory in comparison to hell was, as Casey describes, the fact that hell was a place of perpetual suffering and torment, whereas purgatory was only a temporary state of purification. Purgatory was a medieval concept, developed as a means in which to offer comfort and hope for the salvation of the soul after death.</w:t>
      </w:r>
      <w:r>
        <w:rPr>
          <w:rStyle w:val="FootnoteReference"/>
        </w:rPr>
        <w:footnoteReference w:id="8"/>
      </w:r>
      <w:r>
        <w:t xml:space="preserve"> Here now, the argument returns to the concept that purgatory was merely an invention of Rome, and therefore lacking in spiritual and scriptural foundation. </w:t>
      </w:r>
      <w:r w:rsidR="003D4E80">
        <w:t xml:space="preserve">Once more it is agreed that purgatory was an innovation in which the church and its priesthood could exert their own authority and increase </w:t>
      </w:r>
      <w:r w:rsidR="003A45F7">
        <w:t>its power</w:t>
      </w:r>
      <w:r w:rsidR="003D4E80">
        <w:t xml:space="preserve"> as well as accumulate profits</w:t>
      </w:r>
      <w:r w:rsidR="003A45F7">
        <w:t>, a belief which the Protestants held against the Roman Catholic Church.</w:t>
      </w:r>
      <w:r w:rsidR="003A45F7">
        <w:rPr>
          <w:rStyle w:val="FootnoteReference"/>
        </w:rPr>
        <w:footnoteReference w:id="9"/>
      </w:r>
      <w:r w:rsidR="003A45F7">
        <w:t xml:space="preserve"> Any individual with wealth could secure themselves enough prayers, masses and indulgences to secure themselves an easy passage to heaven through this method, and this is evidenced through medieval wills which dictate the amount of services to be given after the individual’s death, as well as payment for prayers and arrangements for future masses to be given in commemoration of their soul. Furthermore, it is a well-known fact that Pope </w:t>
      </w:r>
      <w:r w:rsidR="002C5760">
        <w:t xml:space="preserve">Urban </w:t>
      </w:r>
      <w:r w:rsidR="003A45F7">
        <w:t xml:space="preserve">II granted indulgences to all those who participated in the </w:t>
      </w:r>
      <w:r w:rsidR="00A213AB">
        <w:t>Crusade, again promoting the use of indulgences for the benefit of the Church.</w:t>
      </w:r>
    </w:p>
    <w:p w14:paraId="556EF596" w14:textId="77777777" w:rsidR="00A213AB" w:rsidRDefault="00A213AB" w:rsidP="005B5C1C">
      <w:r>
        <w:t>With these factors in mind, it is understandable that Casey’s tone concerning purgatory and indulgences in particular, is somewhat sceptical and heavily indicates the belief that the church’s aims in promoting the doctrine of purgatory was completely self-serving.</w:t>
      </w:r>
      <w:r w:rsidR="003C4BF1">
        <w:t xml:space="preserve"> Despite this, it is clear that the concept of purgatory was far more agreeable to the medieval mind than that of there only being one hell.</w:t>
      </w:r>
      <w:r w:rsidR="00BF7AFC">
        <w:t xml:space="preserve"> Copious amount of effort was placed in the commemoration and prayers for the dead in the belief that the ongoing prayers of the living assisted the progress of those being punished for their sins.</w:t>
      </w:r>
      <w:r w:rsidR="00BF7AFC">
        <w:rPr>
          <w:rStyle w:val="FootnoteReference"/>
        </w:rPr>
        <w:footnoteReference w:id="10"/>
      </w:r>
      <w:r w:rsidR="00316027">
        <w:t xml:space="preserve"> Although a preferable notion, the fact still remained that there was very little scriptural evidence to support this tradition. Purgatory was the manufacturer of ecclesiastical abuses as well as “responsible for a vast extension of clerical power”</w:t>
      </w:r>
      <w:r w:rsidR="00316027">
        <w:rPr>
          <w:rStyle w:val="FootnoteReference"/>
        </w:rPr>
        <w:footnoteReference w:id="11"/>
      </w:r>
      <w:r w:rsidR="00316027">
        <w:t xml:space="preserve">, such </w:t>
      </w:r>
      <w:r w:rsidR="00DB252E">
        <w:t>words indicate Casey’s strong opinions towards the Roman Catholic Church’s exploitation of their authority.</w:t>
      </w:r>
    </w:p>
    <w:p w14:paraId="1CD05C01" w14:textId="77777777" w:rsidR="002E1A3A" w:rsidRDefault="00F46F94" w:rsidP="005B5C1C">
      <w:r>
        <w:t>The lack if scriptural evidence is another issue taken with the concept of purgatory, the little evidence provided being unhelpfully vague, yet through this analysis Casey once more agrees with the Protestant view that the arguments made by the medieval Roman Catholic Church were, at best, unscrupulous.</w:t>
      </w:r>
      <w:r>
        <w:rPr>
          <w:rStyle w:val="FootnoteReference"/>
        </w:rPr>
        <w:footnoteReference w:id="12"/>
      </w:r>
      <w:r w:rsidR="000073A8">
        <w:t xml:space="preserve"> This lack of evidence once more points towards the notion of church authority being misused, yet Casey then describes the usefulness and need for the concept of purgatory. Through the promise of eventual salvation, the previously medieval fear of God and judgement was reduced, </w:t>
      </w:r>
      <w:r w:rsidR="000073A8">
        <w:lastRenderedPageBreak/>
        <w:t>despite the fact that it had been a previously central aspect of Christian teachings and tradition.</w:t>
      </w:r>
      <w:r w:rsidR="000073A8">
        <w:rPr>
          <w:rStyle w:val="FootnoteReference"/>
        </w:rPr>
        <w:footnoteReference w:id="13"/>
      </w:r>
      <w:r w:rsidR="0034157B">
        <w:t xml:space="preserve"> This argument is problematic, however, as Casey does not dedicate the same amount of enthusiasm or effort to the benefits of purgatory, even if it is a Roman invention. </w:t>
      </w:r>
      <w:r w:rsidR="001E7AEB">
        <w:t xml:space="preserve">Of course, there are </w:t>
      </w:r>
      <w:r w:rsidR="002E1A3A">
        <w:t xml:space="preserve">fewer arguments which </w:t>
      </w:r>
      <w:r w:rsidR="001E7AEB">
        <w:t>indicate that purgatory was not the problematic existence it was, however there were benefits which did suggest that purgatory was a welcomed innovation.</w:t>
      </w:r>
    </w:p>
    <w:p w14:paraId="0066440C" w14:textId="77777777" w:rsidR="001E7AEB" w:rsidRDefault="001E7AEB" w:rsidP="005B5C1C">
      <w:r>
        <w:t>Through the doctrine of purgatory, the previous soul fearing aspect of hell was replaced with the hope of a lesser amount of suffering, with the possibility of achieving ascension into the heaven at the end.</w:t>
      </w:r>
      <w:r w:rsidR="00847990">
        <w:t xml:space="preserve"> </w:t>
      </w:r>
      <w:r>
        <w:t xml:space="preserve">For the medieval mind, this hope would have built up an increasing amount of faith and piety throughout an individual’s life, </w:t>
      </w:r>
      <w:r w:rsidR="00847990">
        <w:t>where one could inevitably be purged in purgatory of all venial sins and eventually move forwards instead of remaining trapped in hell.</w:t>
      </w:r>
      <w:r w:rsidR="002E1A3A">
        <w:t xml:space="preserve"> In addition to this, purgatory encouraged a development of repentance and highlighted its importance.</w:t>
      </w:r>
      <w:r w:rsidR="002E1A3A">
        <w:rPr>
          <w:rStyle w:val="FootnoteReference"/>
        </w:rPr>
        <w:footnoteReference w:id="14"/>
      </w:r>
      <w:r w:rsidR="002E1A3A">
        <w:t xml:space="preserve"> By</w:t>
      </w:r>
      <w:r w:rsidR="00ED1C15">
        <w:t xml:space="preserve"> reassuring an individual that the boundary between eternal punishment and salvation was increased through the existence of another place in which one could properly atone for their misdeeds,</w:t>
      </w:r>
      <w:r w:rsidR="00DF757D">
        <w:t xml:space="preserve"> the fear of judgement was greatly decreased and allowed the medieval society to progress towards properly obtaining the chance to enter heaven as a purified soul.</w:t>
      </w:r>
      <w:r w:rsidR="00DF757D">
        <w:rPr>
          <w:rStyle w:val="FootnoteReference"/>
        </w:rPr>
        <w:footnoteReference w:id="15"/>
      </w:r>
    </w:p>
    <w:p w14:paraId="6E4D1DE1" w14:textId="77777777" w:rsidR="001C1F21" w:rsidRDefault="00DD192D" w:rsidP="005B5C1C">
      <w:r>
        <w:t>The co</w:t>
      </w:r>
      <w:r w:rsidR="0080680C">
        <w:t xml:space="preserve">ncept of purgatory may have been a creation to serve the Roman Catholic Church’s own interests, as according to Casey’s speculations, however it also served a purpose in creating a comforting reassurance for medieval society inasmuch that they did not have to fear judgement after death, as they could receive absolution through indulgences in life and through purgatory after death. </w:t>
      </w:r>
      <w:r w:rsidR="00412A38">
        <w:t>Since the doctrine of purgatory served the purposes of both the church as well as the medieval people, then the claim that purgatory is ‘Rome’s Happiest Inspiration’ can be argued to be both reasonable and justifiable.</w:t>
      </w:r>
    </w:p>
    <w:p w14:paraId="1F80304F" w14:textId="77777777" w:rsidR="00E42467" w:rsidRDefault="00E42467" w:rsidP="005B5C1C"/>
    <w:p w14:paraId="13CA1A66" w14:textId="77777777" w:rsidR="001C1F21" w:rsidRDefault="001C1F21" w:rsidP="005B5C1C"/>
    <w:p w14:paraId="4B636A69" w14:textId="77777777" w:rsidR="001C1F21" w:rsidRDefault="001C1F21" w:rsidP="005B5C1C"/>
    <w:p w14:paraId="3FF61031" w14:textId="77777777" w:rsidR="001C1F21" w:rsidRDefault="001C1F21" w:rsidP="005B5C1C"/>
    <w:p w14:paraId="5DD7FDAB" w14:textId="77777777" w:rsidR="001C1F21" w:rsidRDefault="001C1F21" w:rsidP="005B5C1C"/>
    <w:p w14:paraId="422B691B" w14:textId="77777777" w:rsidR="001C1F21" w:rsidRDefault="001C1F21" w:rsidP="005B5C1C"/>
    <w:p w14:paraId="166BFE70" w14:textId="77777777" w:rsidR="001C1F21" w:rsidRDefault="001C1F21" w:rsidP="005B5C1C"/>
    <w:p w14:paraId="480CC90E" w14:textId="77777777" w:rsidR="00F5679F" w:rsidRDefault="00F5679F" w:rsidP="005B5C1C"/>
    <w:p w14:paraId="2D8A0B08" w14:textId="77777777" w:rsidR="00F5679F" w:rsidRDefault="00F5679F" w:rsidP="005B5C1C"/>
    <w:p w14:paraId="23D60FCB" w14:textId="77777777" w:rsidR="00F5679F" w:rsidRDefault="00F5679F" w:rsidP="005B5C1C"/>
    <w:p w14:paraId="6628A913" w14:textId="77777777" w:rsidR="00F5679F" w:rsidRDefault="00F5679F" w:rsidP="005B5C1C"/>
    <w:p w14:paraId="40EB1EEF" w14:textId="77777777" w:rsidR="000073A8" w:rsidRDefault="000073A8" w:rsidP="005B5C1C"/>
    <w:p w14:paraId="261B2C8F" w14:textId="77777777" w:rsidR="00732952" w:rsidRDefault="00732952" w:rsidP="005B5C1C">
      <w:r>
        <w:t>Key Theme</w:t>
      </w:r>
      <w:r w:rsidR="000A2325">
        <w:t xml:space="preserve"> – Resurrection</w:t>
      </w:r>
    </w:p>
    <w:p w14:paraId="7B8935C6" w14:textId="4877D4B1" w:rsidR="00866340" w:rsidRDefault="00F5679F" w:rsidP="005B5C1C">
      <w:r>
        <w:lastRenderedPageBreak/>
        <w:t>The concept of resurrection is coming back to life after death with a whole and perfected body</w:t>
      </w:r>
      <w:r w:rsidR="001254C0">
        <w:t>, and was considered to be the fundamental belief of all early Christians</w:t>
      </w:r>
      <w:r>
        <w:t>.</w:t>
      </w:r>
      <w:r w:rsidR="001254C0">
        <w:rPr>
          <w:rStyle w:val="FootnoteReference"/>
        </w:rPr>
        <w:footnoteReference w:id="16"/>
      </w:r>
      <w:r>
        <w:t xml:space="preserve"> Resurrection and its connotations derive predominantly in Christian religions, but is not the same as rebirth</w:t>
      </w:r>
      <w:r w:rsidR="00866340">
        <w:t xml:space="preserve"> or reincarnation</w:t>
      </w:r>
      <w:r>
        <w:t xml:space="preserve">. Through resurrection, it is believed that the deceased will return to life within the same body whereas the ideology of rebirth </w:t>
      </w:r>
      <w:r w:rsidR="00866340">
        <w:t xml:space="preserve">and reincarnation </w:t>
      </w:r>
      <w:r>
        <w:t>indicates a renewal of life within an entirely new body but with the same soul.</w:t>
      </w:r>
      <w:r w:rsidR="00866340">
        <w:t xml:space="preserve"> Resurrection is a strong and reoccurring theme within Christian religion, with the most important resurrection being that of the Passion of the Christ, due to the religious belief that by dying for the sins of humanity, it became possible for all to be resurrected at the Last Judgement.</w:t>
      </w:r>
    </w:p>
    <w:p w14:paraId="59E0E63D" w14:textId="2C31C4C2" w:rsidR="00F5679F" w:rsidRDefault="000A35A7" w:rsidP="005B5C1C">
      <w:r>
        <w:t xml:space="preserve">This example of resurrection </w:t>
      </w:r>
      <w:r w:rsidR="00EE30AC">
        <w:t>comprises</w:t>
      </w:r>
      <w:r>
        <w:t xml:space="preserve"> the centre point</w:t>
      </w:r>
      <w:r w:rsidR="00D65AA8">
        <w:t xml:space="preserve"> of all Christian teachings</w:t>
      </w:r>
      <w:r w:rsidR="00695515">
        <w:rPr>
          <w:rStyle w:val="FootnoteReference"/>
        </w:rPr>
        <w:footnoteReference w:id="17"/>
      </w:r>
      <w:r w:rsidR="00D65AA8">
        <w:t>, however it was debated throughout medieval history and is still argued today on whether resurrection referred to a spiritual resurrection, or a resurrection of the mortal body.</w:t>
      </w:r>
      <w:r w:rsidR="00D65AA8">
        <w:rPr>
          <w:rStyle w:val="FootnoteReference"/>
        </w:rPr>
        <w:footnoteReference w:id="18"/>
      </w:r>
      <w:r w:rsidR="00576521">
        <w:t xml:space="preserve"> Resurrection was a vastly important aspect of religious life in the medieval period, and was widely popular in both teachings and through the representation of art.</w:t>
      </w:r>
      <w:r w:rsidR="0063794A">
        <w:t xml:space="preserve"> </w:t>
      </w:r>
      <w:r w:rsidR="001254C0">
        <w:t>Its popularity derived from the medieval concept of the salvation of the soul and the promise of eternal life.</w:t>
      </w:r>
      <w:r w:rsidR="001254C0">
        <w:rPr>
          <w:rStyle w:val="FootnoteReference"/>
        </w:rPr>
        <w:footnoteReference w:id="19"/>
      </w:r>
      <w:r w:rsidR="00071CB8">
        <w:t xml:space="preserve"> To summarise the medieval Christian belief concerning resurrection, a sermon on the resurrection given by </w:t>
      </w:r>
      <w:r w:rsidR="00071CB8" w:rsidRPr="00071CB8">
        <w:t>Roberto Caracciolo da Lecce</w:t>
      </w:r>
      <w:r w:rsidR="00071CB8">
        <w:t>, a Franciscan perfectly encapsulates medieval Christian view:</w:t>
      </w:r>
    </w:p>
    <w:p w14:paraId="23ED8F00" w14:textId="77777777" w:rsidR="00071CB8" w:rsidRDefault="00071CB8" w:rsidP="005B5C1C">
      <w:pPr>
        <w:ind w:firstLine="720"/>
      </w:pPr>
      <w:r>
        <w:rPr>
          <w:i/>
        </w:rPr>
        <w:t>“</w:t>
      </w:r>
      <w:r w:rsidRPr="00071CB8">
        <w:rPr>
          <w:i/>
        </w:rPr>
        <w:t>Jesus has been raised; hope that you will rise. He is blessed; believe also that you are blessed. He is immortal; believe that you will be immortal. He is luminous and clear; and you also are illuminated of the glory (next to Christ) and the</w:t>
      </w:r>
      <w:r>
        <w:rPr>
          <w:i/>
        </w:rPr>
        <w:t xml:space="preserve"> right of the Father.”</w:t>
      </w:r>
      <w:r w:rsidR="00721C52">
        <w:rPr>
          <w:rStyle w:val="FootnoteReference"/>
          <w:i/>
        </w:rPr>
        <w:footnoteReference w:id="20"/>
      </w:r>
    </w:p>
    <w:p w14:paraId="6B93A87F" w14:textId="77777777" w:rsidR="00071CB8" w:rsidRDefault="00721C52" w:rsidP="005B5C1C">
      <w:r>
        <w:t>Here it is encouraged for the medieval</w:t>
      </w:r>
      <w:r w:rsidR="00F0405B">
        <w:t xml:space="preserve"> person to view themselves as having the potential to be Christ-like, and therefore possess an immortal soul. This concept of resurrection encouraged individuals to develop a pious and spiritual attitude towards all things, promoting good works and charity in order to safeguard the soul in preparation for death and the inevitable resurrection upon the Last Judgement.</w:t>
      </w:r>
      <w:r w:rsidR="00B47EB0">
        <w:t xml:space="preserve"> </w:t>
      </w:r>
      <w:r w:rsidR="005037E9">
        <w:t>Having faith in the resurrection of Christ created the foundation in which medieval society believed in the salvation of the soul and achieve a state in which individuals would be able to enter Heaven and live a blessed life.</w:t>
      </w:r>
      <w:r w:rsidR="005037E9">
        <w:rPr>
          <w:rStyle w:val="FootnoteReference"/>
        </w:rPr>
        <w:footnoteReference w:id="21"/>
      </w:r>
    </w:p>
    <w:p w14:paraId="1AB40481" w14:textId="77777777" w:rsidR="00A81B39" w:rsidRDefault="00A81B39" w:rsidP="005B5C1C">
      <w:r>
        <w:t xml:space="preserve">In art, the representation of resurrection usually depicts the rising of bodies from their graves or from the ground. Often, these scenes portrays either Jesus’s resurrection or the Last Judgement Day, which is found to be </w:t>
      </w:r>
      <w:r w:rsidRPr="00C2798E">
        <w:t xml:space="preserve">one of the most </w:t>
      </w:r>
      <w:r>
        <w:t>widely represented scenes</w:t>
      </w:r>
      <w:r w:rsidRPr="00C2798E">
        <w:t xml:space="preserve"> of the Middle Ages, </w:t>
      </w:r>
      <w:r>
        <w:t xml:space="preserve">being symbolic in its iconography </w:t>
      </w:r>
      <w:r w:rsidRPr="00C2798E">
        <w:t xml:space="preserve">and </w:t>
      </w:r>
      <w:r>
        <w:t>having been depicted in many mediums of art.</w:t>
      </w:r>
      <w:r>
        <w:rPr>
          <w:rStyle w:val="FootnoteReference"/>
        </w:rPr>
        <w:footnoteReference w:id="22"/>
      </w:r>
      <w:r>
        <w:t xml:space="preserve"> One such example is the </w:t>
      </w:r>
      <w:r>
        <w:lastRenderedPageBreak/>
        <w:t>stained glass window of Chartres Cathedral in France. At the centre, Jesus is passing judgement whilst surrounded by numerous characters and figures, including those that he is passing judgement upon, the damned and the elect.</w:t>
      </w:r>
      <w:r>
        <w:rPr>
          <w:rStyle w:val="FootnoteReference"/>
        </w:rPr>
        <w:footnoteReference w:id="23"/>
      </w:r>
      <w:r>
        <w:t xml:space="preserve"> This image creates a powerful scene in which the contemplation of an individual’s own resurrection is encouraged. Art was the most useful tool in which messages could be conveyed, especially in the medieval period when not all people would be literate, as symbols, images and scenes which were popular were recognisable through the portrayal of visual </w:t>
      </w:r>
      <w:r w:rsidRPr="00A81B39">
        <w:t xml:space="preserve">representation. </w:t>
      </w:r>
      <w:r>
        <w:t>O</w:t>
      </w:r>
      <w:r w:rsidRPr="00A81B39">
        <w:t>ther</w:t>
      </w:r>
      <w:r>
        <w:t xml:space="preserve"> mediums included mosaics, frescos, paintings and manuscripts.</w:t>
      </w:r>
      <w:r>
        <w:rPr>
          <w:rStyle w:val="FootnoteReference"/>
        </w:rPr>
        <w:footnoteReference w:id="24"/>
      </w:r>
      <w:r>
        <w:t xml:space="preserve"> The continual representation and numerous examples of the bodies being resurrected therefore suggest the importance of the resurrection in Christian doctrine.</w:t>
      </w:r>
    </w:p>
    <w:p w14:paraId="071D7FCA" w14:textId="77777777" w:rsidR="00A81B39" w:rsidRPr="00071CB8" w:rsidRDefault="00A81B39" w:rsidP="005B5C1C">
      <w:r>
        <w:t xml:space="preserve">As a widely considered topic in the medieval period, resurrection of the body held a powerful position in the teachings and central beliefs of the Church. Its relation to the Last Judgement, where all dead would return to life and </w:t>
      </w:r>
      <w:r w:rsidRPr="00FF77FB">
        <w:t xml:space="preserve">be reconstructed </w:t>
      </w:r>
      <w:r>
        <w:t>to a full and perfected form,</w:t>
      </w:r>
      <w:r>
        <w:rPr>
          <w:rStyle w:val="FootnoteReference"/>
        </w:rPr>
        <w:footnoteReference w:id="25"/>
      </w:r>
      <w:r>
        <w:t xml:space="preserve"> constituted the medieval perspective of the ending of the world and the role which Jesus was to play as the one who passed judgement.</w:t>
      </w:r>
      <w:r>
        <w:rPr>
          <w:rStyle w:val="FootnoteReference"/>
        </w:rPr>
        <w:footnoteReference w:id="26"/>
      </w:r>
      <w:r>
        <w:t xml:space="preserve"> With all this in mind, it can be said that resurrection was a belief from which an individual of the medieval period could draw comfort and be reassured that even after death, they shall return to their body as perfected human beings, and that eternal salvation was achievable depending upon their actions in life, and the final judgement made upon them.</w:t>
      </w:r>
      <w:r>
        <w:rPr>
          <w:rStyle w:val="FootnoteReference"/>
        </w:rPr>
        <w:footnoteReference w:id="27"/>
      </w:r>
    </w:p>
    <w:p w14:paraId="11BC2155" w14:textId="77777777" w:rsidR="004005A6" w:rsidRPr="00071CB8" w:rsidRDefault="004005A6" w:rsidP="005B5C1C"/>
    <w:p w14:paraId="79576F26" w14:textId="77777777" w:rsidR="006234D4" w:rsidRDefault="006234D4" w:rsidP="005B5C1C"/>
    <w:p w14:paraId="2A500AA1" w14:textId="77777777" w:rsidR="00595860" w:rsidRDefault="00595860" w:rsidP="005B5C1C"/>
    <w:p w14:paraId="5BB485D9" w14:textId="77777777" w:rsidR="00595860" w:rsidRDefault="00595860" w:rsidP="005B5C1C"/>
    <w:p w14:paraId="377FBAFC" w14:textId="77777777" w:rsidR="00FE635D" w:rsidRDefault="00FE635D" w:rsidP="005B5C1C"/>
    <w:p w14:paraId="3A3537A1" w14:textId="77777777" w:rsidR="00FE635D" w:rsidRDefault="00FE635D" w:rsidP="005B5C1C"/>
    <w:p w14:paraId="26A3EC6A" w14:textId="77777777" w:rsidR="00FE635D" w:rsidRDefault="00FE635D" w:rsidP="005B5C1C"/>
    <w:p w14:paraId="79B15893" w14:textId="77777777" w:rsidR="00FE635D" w:rsidRDefault="00FE635D" w:rsidP="005B5C1C"/>
    <w:p w14:paraId="239FF6D7" w14:textId="77777777" w:rsidR="00FE635D" w:rsidRDefault="00FE635D" w:rsidP="005B5C1C"/>
    <w:p w14:paraId="4CC83FF1" w14:textId="77777777" w:rsidR="00A84ECF" w:rsidRDefault="00A84ECF" w:rsidP="005B5C1C"/>
    <w:p w14:paraId="4ACD5E43" w14:textId="77777777" w:rsidR="00FE635D" w:rsidRDefault="00FE635D" w:rsidP="005B5C1C"/>
    <w:p w14:paraId="43A6071B" w14:textId="77777777" w:rsidR="00FE635D" w:rsidRDefault="00FE635D" w:rsidP="005B5C1C"/>
    <w:p w14:paraId="536B7DAF" w14:textId="77777777" w:rsidR="00FE635D" w:rsidRDefault="00FE635D" w:rsidP="005B5C1C"/>
    <w:p w14:paraId="6AE2A067" w14:textId="77777777" w:rsidR="00FE635D" w:rsidRDefault="00FE635D" w:rsidP="005B5C1C"/>
    <w:p w14:paraId="472B2DB8" w14:textId="77777777" w:rsidR="00732952" w:rsidRDefault="00732952" w:rsidP="005B5C1C">
      <w:r>
        <w:t>Image</w:t>
      </w:r>
      <w:r w:rsidR="00A12E24">
        <w:t xml:space="preserve"> – Reliquary of St Eustace</w:t>
      </w:r>
    </w:p>
    <w:p w14:paraId="5E85BD84" w14:textId="77777777" w:rsidR="00595860" w:rsidRDefault="00595860" w:rsidP="005B5C1C">
      <w:pPr>
        <w:rPr>
          <w:rFonts w:eastAsia="Times New Roman" w:cs="Times New Roman"/>
        </w:rPr>
      </w:pPr>
      <w:r w:rsidRPr="00595860">
        <w:rPr>
          <w:rFonts w:eastAsia="Times New Roman" w:cs="Times New Roman"/>
        </w:rPr>
        <w:lastRenderedPageBreak/>
        <w:t>Reliquary of St. Eustace, c.1210</w:t>
      </w:r>
      <w:r>
        <w:rPr>
          <w:rFonts w:eastAsia="Times New Roman" w:cs="Times New Roman"/>
        </w:rPr>
        <w:br/>
      </w:r>
      <w:r w:rsidRPr="00595860">
        <w:rPr>
          <w:rFonts w:eastAsia="Times New Roman" w:cs="Times New Roman"/>
        </w:rPr>
        <w:t>Silver gilt over wood with rock crystal, chalcedony, amethyst, carnelian, pearl, and glass</w:t>
      </w:r>
      <w:r>
        <w:rPr>
          <w:rFonts w:eastAsia="Times New Roman" w:cs="Times New Roman"/>
        </w:rPr>
        <w:br/>
      </w:r>
      <w:r w:rsidRPr="00595860">
        <w:rPr>
          <w:rFonts w:eastAsia="Times New Roman" w:cs="Times New Roman"/>
        </w:rPr>
        <w:t>London, The British Museum</w:t>
      </w:r>
    </w:p>
    <w:p w14:paraId="4BC44A58" w14:textId="62FF952A" w:rsidR="00A81B39" w:rsidRDefault="00A81B39" w:rsidP="005B5C1C">
      <w:pPr>
        <w:rPr>
          <w:rFonts w:eastAsia="Times New Roman" w:cs="Times New Roman"/>
        </w:rPr>
      </w:pPr>
      <w:r>
        <w:rPr>
          <w:rFonts w:eastAsia="Times New Roman" w:cs="Times New Roman"/>
        </w:rPr>
        <w:t xml:space="preserve">This reliquary is consistent in its design with </w:t>
      </w:r>
      <w:r w:rsidR="004845F4">
        <w:rPr>
          <w:rFonts w:eastAsia="Times New Roman" w:cs="Times New Roman"/>
        </w:rPr>
        <w:t>other reliquaries of relic produced t</w:t>
      </w:r>
      <w:r>
        <w:rPr>
          <w:rFonts w:eastAsia="Times New Roman" w:cs="Times New Roman"/>
        </w:rPr>
        <w:t>hroughout medieval history. A reliquary’s purpose was to hold and contain a relic or relics of a canonised saint or religious figure which could either be a part of their body, such as their bones, or personal items that belonged to them: clothing, shoes etc. or items which were associated with the saint.</w:t>
      </w:r>
    </w:p>
    <w:p w14:paraId="4464E032" w14:textId="77777777" w:rsidR="00A81B39" w:rsidRDefault="00A81B39" w:rsidP="005B5C1C">
      <w:pPr>
        <w:rPr>
          <w:rFonts w:eastAsia="Times New Roman" w:cs="Times New Roman"/>
        </w:rPr>
      </w:pPr>
      <w:r>
        <w:t>The relic of St Eustace is a beautifully designed image of his head, which has been crowned with a coronet of nine quartz stones (</w:t>
      </w:r>
      <w:r w:rsidRPr="00595860">
        <w:rPr>
          <w:rFonts w:eastAsia="Times New Roman" w:cs="Times New Roman"/>
        </w:rPr>
        <w:t>rock crystal, chalcedony, amethyst, ca</w:t>
      </w:r>
      <w:r>
        <w:rPr>
          <w:rFonts w:eastAsia="Times New Roman" w:cs="Times New Roman"/>
        </w:rPr>
        <w:t>rnelian), two of aragonite (pearl, mother of</w:t>
      </w:r>
      <w:r w:rsidRPr="00595860">
        <w:rPr>
          <w:rFonts w:eastAsia="Times New Roman" w:cs="Times New Roman"/>
        </w:rPr>
        <w:t xml:space="preserve"> pearl</w:t>
      </w:r>
      <w:r>
        <w:rPr>
          <w:rFonts w:eastAsia="Times New Roman" w:cs="Times New Roman"/>
        </w:rPr>
        <w:t>)</w:t>
      </w:r>
      <w:r w:rsidRPr="00595860">
        <w:rPr>
          <w:rFonts w:eastAsia="Times New Roman" w:cs="Times New Roman"/>
        </w:rPr>
        <w:t>,</w:t>
      </w:r>
      <w:r>
        <w:rPr>
          <w:rFonts w:eastAsia="Times New Roman" w:cs="Times New Roman"/>
        </w:rPr>
        <w:t xml:space="preserve"> one of obsidian and six of </w:t>
      </w:r>
      <w:r w:rsidRPr="00595860">
        <w:rPr>
          <w:rFonts w:eastAsia="Times New Roman" w:cs="Times New Roman"/>
        </w:rPr>
        <w:t>glass</w:t>
      </w:r>
      <w:r>
        <w:rPr>
          <w:rFonts w:eastAsia="Times New Roman" w:cs="Times New Roman"/>
        </w:rPr>
        <w:t>.</w:t>
      </w:r>
      <w:r>
        <w:rPr>
          <w:rStyle w:val="FootnoteReference"/>
          <w:rFonts w:eastAsia="Times New Roman" w:cs="Times New Roman"/>
        </w:rPr>
        <w:footnoteReference w:id="28"/>
      </w:r>
      <w:r>
        <w:rPr>
          <w:rFonts w:eastAsia="Times New Roman" w:cs="Times New Roman"/>
        </w:rPr>
        <w:t xml:space="preserve"> With a core carved from sycamore wood also in the shape of a head, the hollow compartment is where the relics are stored. A lot can be discerned from the particulars of the design of a reliquary, including a greater understanding of the importance of the relics themselves. This reliquary has been adorned with the twelve Apostles around the base, each one standing within trefoil-headed arcades, or archways.</w:t>
      </w:r>
      <w:r>
        <w:rPr>
          <w:rStyle w:val="FootnoteReference"/>
          <w:rFonts w:eastAsia="Times New Roman" w:cs="Times New Roman"/>
        </w:rPr>
        <w:footnoteReference w:id="29"/>
      </w:r>
      <w:r>
        <w:rPr>
          <w:rFonts w:eastAsia="Times New Roman" w:cs="Times New Roman"/>
        </w:rPr>
        <w:t xml:space="preserve"> Firstly, the trefoil is said to represent the sign of the Holy Trinity due to it being a three lobed plant, which is a carefully implemented design to connote its religious significance. The presence of the Apostles could be argued as a means to encourage viewers to consider the importance and sacredness of this saint.</w:t>
      </w:r>
    </w:p>
    <w:p w14:paraId="6CF9A9EA" w14:textId="77777777" w:rsidR="00A81B39" w:rsidRDefault="00A81B39" w:rsidP="005B5C1C">
      <w:pPr>
        <w:rPr>
          <w:rFonts w:eastAsia="Times New Roman" w:cs="Times New Roman"/>
        </w:rPr>
      </w:pPr>
      <w:r>
        <w:rPr>
          <w:rFonts w:eastAsia="Times New Roman" w:cs="Times New Roman"/>
        </w:rPr>
        <w:t>In life St Eustace was a converted Roman military officer, and was a revered Christian martyr and Patron Saint of fire, hunters and trappers</w:t>
      </w:r>
      <w:r>
        <w:rPr>
          <w:rStyle w:val="FootnoteReference"/>
          <w:rFonts w:eastAsia="Times New Roman" w:cs="Times New Roman"/>
        </w:rPr>
        <w:footnoteReference w:id="30"/>
      </w:r>
      <w:r>
        <w:rPr>
          <w:rFonts w:eastAsia="Times New Roman" w:cs="Times New Roman"/>
        </w:rPr>
        <w:t>. Often represented carrying a lance or a horn, St Eustace was canonised as a saint for all the trials he endured during his life as a means to test his faith, which he successfully overcame. Considering the fantastical contents of his supposed life story, there is no evidence to suggest that St Eustace was a real person</w:t>
      </w:r>
      <w:r>
        <w:rPr>
          <w:rStyle w:val="FootnoteReference"/>
          <w:rFonts w:eastAsia="Times New Roman" w:cs="Times New Roman"/>
        </w:rPr>
        <w:footnoteReference w:id="31"/>
      </w:r>
      <w:r>
        <w:rPr>
          <w:rFonts w:eastAsia="Times New Roman" w:cs="Times New Roman"/>
        </w:rPr>
        <w:t>, however his role and purpose served as a means by which to encourage the pious people of Medieval Europe to be strong in their faith. The purposes of saints were usually to give moral messages and even incite deeper veneration. Relics were one of the main tools used in order to inspire greater faith.</w:t>
      </w:r>
      <w:r w:rsidRPr="00CE51BE">
        <w:t xml:space="preserve"> </w:t>
      </w:r>
    </w:p>
    <w:p w14:paraId="40F86859" w14:textId="7F377F0D" w:rsidR="00A81B39" w:rsidRDefault="00A81B39" w:rsidP="005B5C1C">
      <w:pPr>
        <w:rPr>
          <w:rFonts w:eastAsia="Times New Roman" w:cs="Times New Roman"/>
        </w:rPr>
      </w:pPr>
      <w:r>
        <w:rPr>
          <w:rFonts w:eastAsia="Times New Roman" w:cs="Times New Roman"/>
        </w:rPr>
        <w:t xml:space="preserve">Relics, being the possessions and physical remains of canonised saints, were said to have the power to perform certain miracles such as healing the sick, granting visions and other extraordinary deeds that could only occur through divine intervention. </w:t>
      </w:r>
      <w:r>
        <w:t xml:space="preserve">Despite being unable to find any records of miracles performed and attributed to the relic of St Eustace, the reliquary itself was clearly designed to be portable and displayed because of its detailed design and use of valuable stones and metals. </w:t>
      </w:r>
      <w:r>
        <w:rPr>
          <w:rFonts w:eastAsia="Times New Roman" w:cs="Times New Roman"/>
        </w:rPr>
        <w:t xml:space="preserve">The portability and incredible reliquaries in which they were contained made relics very popular and thus, </w:t>
      </w:r>
      <w:r w:rsidR="00CE7F8C">
        <w:rPr>
          <w:rFonts w:eastAsia="Times New Roman" w:cs="Times New Roman"/>
        </w:rPr>
        <w:t xml:space="preserve">the </w:t>
      </w:r>
      <w:r>
        <w:rPr>
          <w:rFonts w:eastAsia="Times New Roman" w:cs="Times New Roman"/>
        </w:rPr>
        <w:t>reliquaries were made to contain these relics as a means to protect and also display them. The use of valuable materials to create incredible housing agents for medieval relics became a popular standard; as relics were considered to be “more valuable than precious stones”</w:t>
      </w:r>
      <w:r>
        <w:rPr>
          <w:rStyle w:val="FootnoteReference"/>
          <w:rFonts w:eastAsia="Times New Roman" w:cs="Times New Roman"/>
        </w:rPr>
        <w:footnoteReference w:id="32"/>
      </w:r>
      <w:r>
        <w:rPr>
          <w:rFonts w:eastAsia="Times New Roman" w:cs="Times New Roman"/>
        </w:rPr>
        <w:t xml:space="preserve">, some took </w:t>
      </w:r>
      <w:r>
        <w:rPr>
          <w:rFonts w:eastAsia="Times New Roman" w:cs="Times New Roman"/>
        </w:rPr>
        <w:lastRenderedPageBreak/>
        <w:t>several years to complete. The authenticity of a relic was almost always a debatable fact, since some relics were in such numerous quantities that it was impossible to tell what was genuine, however to medieval society, it appears that it was not the relic itself that was important but its representation of something divine.</w:t>
      </w:r>
    </w:p>
    <w:p w14:paraId="14C7FF5E" w14:textId="77777777" w:rsidR="00A81B39" w:rsidRDefault="00A81B39" w:rsidP="005B5C1C">
      <w:r>
        <w:rPr>
          <w:rFonts w:eastAsia="Times New Roman" w:cs="Times New Roman"/>
        </w:rPr>
        <w:t>For instance, there are a number of records detailing the existence of many ‘Thorns of the Crown of Christ’, as well as splinters from His holy cross, however their authenticity was questionable at best since there was no way in which their origin could be proven, and it was likely that none were genuine despite there being so many in circulation. Some reformers such as sixteenth century Martin Luther quite clearly opposed the use of relics altogether due to their lack of proven authenticity, as well as objecting to the practice of worshipping saints.</w:t>
      </w:r>
    </w:p>
    <w:p w14:paraId="579C753D" w14:textId="77777777" w:rsidR="00A81B39" w:rsidRDefault="00A81B39" w:rsidP="005B5C1C">
      <w:r>
        <w:t>Despite this, the use of relics and reliquaries exists to this day and it remains a major part of the Roman Catholic, Eastern Orthodox and Anglican Churches. Although relics do not have the same meaning and significance in most of contemporary society, they still retain their value as historical objects. Due to the cultural importance of the relics, the reliquaries in which they are contained are also viewed as a vital insight into the medieval mind and the major role religion played in medieval society.</w:t>
      </w:r>
    </w:p>
    <w:p w14:paraId="284A98ED" w14:textId="77777777" w:rsidR="00887E23" w:rsidRPr="00FA65D2" w:rsidRDefault="00887E23" w:rsidP="005B5C1C"/>
    <w:p w14:paraId="50D987ED" w14:textId="77777777" w:rsidR="0021406D" w:rsidRDefault="0021406D" w:rsidP="005B5C1C"/>
    <w:p w14:paraId="4440620B" w14:textId="77777777" w:rsidR="00595860" w:rsidRDefault="00595860" w:rsidP="005B5C1C"/>
    <w:p w14:paraId="74FE1CC1" w14:textId="77777777" w:rsidR="00FE635D" w:rsidRDefault="00FE635D" w:rsidP="005B5C1C"/>
    <w:p w14:paraId="53A2135F" w14:textId="77777777" w:rsidR="00FE635D" w:rsidRDefault="00FE635D" w:rsidP="005B5C1C"/>
    <w:p w14:paraId="0BCDF5B6" w14:textId="77777777" w:rsidR="00FE635D" w:rsidRDefault="00FE635D" w:rsidP="005B5C1C"/>
    <w:p w14:paraId="7758048E" w14:textId="77777777" w:rsidR="00FE635D" w:rsidRDefault="00FE635D" w:rsidP="005B5C1C"/>
    <w:p w14:paraId="06B3B9B2" w14:textId="77777777" w:rsidR="00FE635D" w:rsidRDefault="00FE635D" w:rsidP="005B5C1C"/>
    <w:p w14:paraId="37E789C0" w14:textId="77777777" w:rsidR="00FE635D" w:rsidRDefault="00FE635D" w:rsidP="005B5C1C"/>
    <w:p w14:paraId="489C6B68" w14:textId="77777777" w:rsidR="00FE635D" w:rsidRDefault="00FE635D" w:rsidP="005B5C1C"/>
    <w:p w14:paraId="33D15AC2" w14:textId="77777777" w:rsidR="00FE635D" w:rsidRDefault="00FE635D" w:rsidP="005B5C1C"/>
    <w:p w14:paraId="0193A67D" w14:textId="77777777" w:rsidR="00FE635D" w:rsidRDefault="00FE635D" w:rsidP="005B5C1C"/>
    <w:p w14:paraId="1866AD01" w14:textId="77777777" w:rsidR="00FE635D" w:rsidRDefault="00FE635D" w:rsidP="005B5C1C"/>
    <w:p w14:paraId="3607BD8E" w14:textId="77777777" w:rsidR="00FE635D" w:rsidRDefault="00FE635D" w:rsidP="005B5C1C"/>
    <w:p w14:paraId="61FFCCC9" w14:textId="77777777" w:rsidR="00FE635D" w:rsidRDefault="00FE635D" w:rsidP="005B5C1C"/>
    <w:p w14:paraId="2D60153C" w14:textId="77777777" w:rsidR="00FE635D" w:rsidRDefault="00FE635D" w:rsidP="005B5C1C"/>
    <w:p w14:paraId="27E841BC" w14:textId="77777777" w:rsidR="00732952" w:rsidRDefault="00732952" w:rsidP="005B5C1C">
      <w:r>
        <w:t>Written Source Extract</w:t>
      </w:r>
    </w:p>
    <w:p w14:paraId="142E9E6B" w14:textId="77777777" w:rsidR="00A82338" w:rsidRDefault="00A82338" w:rsidP="005B5C1C">
      <w:pPr>
        <w:rPr>
          <w:noProof/>
          <w:u w:val="single"/>
        </w:rPr>
      </w:pPr>
      <w:r>
        <w:rPr>
          <w:noProof/>
          <w:u w:val="single"/>
        </w:rPr>
        <w:t>Will of Cecily, Duchess of York, dated 1495</w:t>
      </w:r>
    </w:p>
    <w:p w14:paraId="4B901665" w14:textId="77777777" w:rsidR="00CE7F8C" w:rsidRDefault="00CE7F8C" w:rsidP="005B5C1C">
      <w:r>
        <w:t>An interesting aspect of medieval wills which can be often</w:t>
      </w:r>
      <w:r w:rsidRPr="00CE51BE">
        <w:t xml:space="preserve"> </w:t>
      </w:r>
      <w:r>
        <w:t xml:space="preserve">found, is the fact that they all have very deep religious presentations. In the case of Cecily, Duchess of York, her will begins by honouring the </w:t>
      </w:r>
      <w:r>
        <w:lastRenderedPageBreak/>
        <w:t>Holy Trinity: God the Father, the son and the Holy Ghost, as well as St Mary, St John the Baptist and all other saints</w:t>
      </w:r>
      <w:r>
        <w:rPr>
          <w:rStyle w:val="FootnoteReference"/>
        </w:rPr>
        <w:footnoteReference w:id="33"/>
      </w:r>
      <w:r>
        <w:t xml:space="preserve"> before even mentioning her own name. Afterwards, it then becomes almost essential not only to name herself, but her important connections such as her husband, Richard Duke of York, and King Edward IV.</w:t>
      </w:r>
      <w:r>
        <w:rPr>
          <w:rStyle w:val="FootnoteReference"/>
        </w:rPr>
        <w:footnoteReference w:id="34"/>
      </w:r>
      <w:r>
        <w:t xml:space="preserve"> This is commonplace in medieval wills, arguably because it is the last documentation to be left behind on earth after the soul has departed from the body, therefore it is a vital record to arrange affairs and distinguish oneself.</w:t>
      </w:r>
    </w:p>
    <w:p w14:paraId="71B7F7FB" w14:textId="56E7FCB6" w:rsidR="00CE7F8C" w:rsidRDefault="00CE7F8C" w:rsidP="005B5C1C">
      <w:r>
        <w:t>Most importantly, the last will and testament allowed a person to arrange their own funeral, and in medieval society, such a thing was strictly personal and could be very specific. In Cecily’s will she states that she wanted her body to be laid to rest beside her husband, Duke Richard. The placement of the body is thought to have been important, especially for the bones of the body to all be buried in one place, however, this is not always what occurred. The imperative of the collective burying of the bones derives from the belief that, when the body is resurrected, all the parts of the body need to be reassembled together to be remade whole. In some cases this did not always happen, for example there is evidence all across Europe of the bodies of saints appearing in different states of bodily completion, but it was still preferable for a person in medieval society to be buried all in one place. Another fact that contributed to the importance of placement when being buried was that it could also constitute a statement regarding an individual’s position in life. If a wealthy and charitable benefactor contributed to a particular church or monastery, either with funds or developments, it was more common for these benefactors to then be buried there, where it would be expected for the monks to pray for their souls. It was also common for wills to specify that commemorative masses be given upon the anniversary of an individual’s death.</w:t>
      </w:r>
    </w:p>
    <w:p w14:paraId="39B1497A" w14:textId="46132C78" w:rsidR="00CE7F8C" w:rsidRDefault="00CE7F8C" w:rsidP="005B5C1C">
      <w:r>
        <w:t xml:space="preserve">Returning to the will of the Duchess of York, another rather prominent feature which appears is money. Since the deceased no longer had any need for material wealth, it was often shared and given to an heir and family members, however almost every will contained a sizeable donation to a monastery or church. Another arrangement was to pay for the funeral expenses. Many funerals paid coins to all those who were present, encouraging the poor as well as children to attend in exchange for praying for the deceased. This was done to contribute to the deceased person’s acts of charity and help them enter Heaven. The seven acts of charity were a standard by which one could do good works for others and therefore, </w:t>
      </w:r>
      <w:r w:rsidR="00035DA6">
        <w:t xml:space="preserve">benefit one’s own soul. </w:t>
      </w:r>
      <w:r>
        <w:t>The reason why children were encouraged to attend was because they were seen to be more innocent than adults, meaning that their prayers would have a greater effect and benefit for the deceased.</w:t>
      </w:r>
    </w:p>
    <w:p w14:paraId="615C995F" w14:textId="7C2B185E" w:rsidR="00CE7F8C" w:rsidRDefault="00CE7F8C" w:rsidP="005B5C1C">
      <w:r>
        <w:t>From reading Cecily’s will, it can also be used to discern the type of woman she was in life. Although she begins with a rather pious attitude, referring to God and the saints, it is then written that she wishes all of her debts to be handled and cleared by her executors on her behalf, suggesting that there may have been a number of them to have been referenced in her last will. In addition, there are a large number of gifts which she gives to close family members such as a cross of diamonds</w:t>
      </w:r>
      <w:r>
        <w:rPr>
          <w:rStyle w:val="FootnoteReference"/>
        </w:rPr>
        <w:footnoteReference w:id="35"/>
      </w:r>
      <w:r>
        <w:t xml:space="preserve"> and other objects of distinct value. This suggests that the Duchess of York was a very</w:t>
      </w:r>
      <w:r w:rsidR="00035DA6">
        <w:t xml:space="preserve"> wealthy wo</w:t>
      </w:r>
      <w:r>
        <w:t xml:space="preserve">man, which of course is acceptable considering her station, however there </w:t>
      </w:r>
      <w:r w:rsidR="00035DA6">
        <w:t>was little evidence of</w:t>
      </w:r>
      <w:r>
        <w:t xml:space="preserve"> humility on her part in having so many expensive possessions</w:t>
      </w:r>
      <w:r w:rsidR="00035DA6">
        <w:t>, as seen within her will</w:t>
      </w:r>
      <w:r>
        <w:t>.</w:t>
      </w:r>
    </w:p>
    <w:p w14:paraId="3874B95D" w14:textId="77777777" w:rsidR="00CE7F8C" w:rsidRDefault="00CE7F8C" w:rsidP="005B5C1C">
      <w:r>
        <w:lastRenderedPageBreak/>
        <w:t>To conclude this commentary, it can be viewed that medieval wills held the singular purpose of arranging and dispensing the material possessions after their original owner has passed away. The most prominent factor in all wills concerns the distribution of money, almost always being used to pay for the funeral itself and also provide for special arrangements for prayers and masses during the service. From this we can learn that there was a high value on religious concerns, evidenced by the financial donations given to monastic and religious houses, as well as the personal priorities of the individual. Despite the fact that material possessions had a significant presence within medieval wills, the emphasis remained prominently upon the arrangement of the funeral and therefore the security of the immortal soul.</w:t>
      </w:r>
    </w:p>
    <w:p w14:paraId="7A559306" w14:textId="48F71FE9" w:rsidR="00211984" w:rsidRDefault="00211984" w:rsidP="005B5C1C"/>
    <w:p w14:paraId="3FF6394D" w14:textId="77777777" w:rsidR="005218A8" w:rsidRDefault="005218A8" w:rsidP="005B5C1C"/>
    <w:p w14:paraId="64011D01" w14:textId="77777777" w:rsidR="00211984" w:rsidRDefault="00211984" w:rsidP="005B5C1C"/>
    <w:p w14:paraId="19C2ADFF" w14:textId="77777777" w:rsidR="00211984" w:rsidRDefault="00211984" w:rsidP="005B5C1C"/>
    <w:p w14:paraId="5C99C210" w14:textId="77777777" w:rsidR="00C635CF" w:rsidRDefault="00C635CF" w:rsidP="005B5C1C"/>
    <w:p w14:paraId="11B6C305" w14:textId="77777777" w:rsidR="00C635CF" w:rsidRDefault="00C635CF" w:rsidP="005B5C1C"/>
    <w:p w14:paraId="2B645D2D" w14:textId="77777777" w:rsidR="00C635CF" w:rsidRDefault="00C635CF" w:rsidP="005B5C1C"/>
    <w:p w14:paraId="44575054" w14:textId="77777777" w:rsidR="00C635CF" w:rsidRDefault="00C635CF" w:rsidP="005B5C1C"/>
    <w:p w14:paraId="64B17D35" w14:textId="77777777" w:rsidR="00C635CF" w:rsidRDefault="00C635CF" w:rsidP="005B5C1C"/>
    <w:p w14:paraId="081D3A2A" w14:textId="77777777" w:rsidR="00C635CF" w:rsidRDefault="00C635CF" w:rsidP="005B5C1C"/>
    <w:p w14:paraId="644D23EA" w14:textId="77777777" w:rsidR="00211984" w:rsidRDefault="00211984" w:rsidP="005B5C1C"/>
    <w:p w14:paraId="7E67ACDC" w14:textId="77777777" w:rsidR="00FE635D" w:rsidRDefault="00FE635D" w:rsidP="005B5C1C"/>
    <w:p w14:paraId="6A5F607E" w14:textId="77777777" w:rsidR="00FE635D" w:rsidRDefault="00FE635D" w:rsidP="005B5C1C"/>
    <w:p w14:paraId="6805A341" w14:textId="77777777" w:rsidR="00FE635D" w:rsidRDefault="00FE635D" w:rsidP="005B5C1C"/>
    <w:p w14:paraId="7E939F06" w14:textId="77777777" w:rsidR="004845F4" w:rsidRDefault="004845F4" w:rsidP="005B5C1C"/>
    <w:p w14:paraId="0048AC75" w14:textId="77777777" w:rsidR="004845F4" w:rsidRDefault="004845F4" w:rsidP="005B5C1C"/>
    <w:p w14:paraId="7F0CC0F8" w14:textId="77777777" w:rsidR="004845F4" w:rsidRDefault="004845F4" w:rsidP="005B5C1C"/>
    <w:p w14:paraId="3F8F4442" w14:textId="77777777" w:rsidR="00591C75" w:rsidRDefault="00591C75" w:rsidP="005B5C1C"/>
    <w:p w14:paraId="5AEA3955" w14:textId="77777777" w:rsidR="00FE5EC8" w:rsidRDefault="00FE5EC8" w:rsidP="005B5C1C"/>
    <w:p w14:paraId="66A64A4B" w14:textId="77777777" w:rsidR="00FE5EC8" w:rsidRDefault="00FE5EC8" w:rsidP="005B5C1C"/>
    <w:p w14:paraId="2753DA57" w14:textId="77777777" w:rsidR="004845F4" w:rsidRDefault="004845F4" w:rsidP="005B5C1C"/>
    <w:p w14:paraId="56EC0136" w14:textId="77777777" w:rsidR="004845F4" w:rsidRDefault="004845F4" w:rsidP="005B5C1C"/>
    <w:p w14:paraId="4348F9CF" w14:textId="7B35400C" w:rsidR="00FE635D" w:rsidRDefault="004845F4" w:rsidP="005B5C1C">
      <w:r>
        <w:t>Bibliography –</w:t>
      </w:r>
    </w:p>
    <w:p w14:paraId="6DEF91DD" w14:textId="77777777" w:rsidR="004845F4" w:rsidRDefault="004845F4" w:rsidP="005B5C1C"/>
    <w:p w14:paraId="36F76B01" w14:textId="2D4F8924" w:rsidR="004845F4" w:rsidRDefault="004845F4" w:rsidP="005B5C1C">
      <w:r>
        <w:t>Modern Scholarship:</w:t>
      </w:r>
    </w:p>
    <w:p w14:paraId="1B84A4F8" w14:textId="4AB97F35" w:rsidR="002D3CAD" w:rsidRDefault="005B5C1C" w:rsidP="005B5C1C">
      <w:r>
        <w:lastRenderedPageBreak/>
        <w:t xml:space="preserve">Casey, </w:t>
      </w:r>
      <w:r w:rsidR="004845F4">
        <w:t xml:space="preserve">J. </w:t>
      </w:r>
      <w:r>
        <w:t>(2009)</w:t>
      </w:r>
      <w:r w:rsidR="004845F4">
        <w:t xml:space="preserve"> </w:t>
      </w:r>
      <w:r w:rsidR="004845F4" w:rsidRPr="004845F4">
        <w:rPr>
          <w:i/>
        </w:rPr>
        <w:t>Afterlives: A Guide to Heaven, Hell and Purgatory</w:t>
      </w:r>
      <w:r>
        <w:rPr>
          <w:i/>
        </w:rPr>
        <w:t xml:space="preserve">. </w:t>
      </w:r>
      <w:r w:rsidR="004845F4">
        <w:t xml:space="preserve">Oxford: </w:t>
      </w:r>
      <w:r>
        <w:t>Oxford University Press.</w:t>
      </w:r>
    </w:p>
    <w:p w14:paraId="4CD0DEE7" w14:textId="392B04EC" w:rsidR="004845F4" w:rsidRDefault="004845F4" w:rsidP="005B5C1C">
      <w:r w:rsidRPr="004845F4">
        <w:t>Hibbard</w:t>
      </w:r>
      <w:r w:rsidR="001D4775">
        <w:t>, L. A. (1963)</w:t>
      </w:r>
      <w:r w:rsidRPr="004845F4">
        <w:t> </w:t>
      </w:r>
      <w:r w:rsidRPr="001D4775">
        <w:rPr>
          <w:i/>
        </w:rPr>
        <w:t>Medieval Romance in England</w:t>
      </w:r>
      <w:r w:rsidR="002A00B9">
        <w:t>.</w:t>
      </w:r>
      <w:r w:rsidR="001D4775">
        <w:rPr>
          <w:i/>
        </w:rPr>
        <w:t xml:space="preserve"> </w:t>
      </w:r>
      <w:r w:rsidRPr="004845F4">
        <w:t>New York: Burt Franklin</w:t>
      </w:r>
      <w:r w:rsidR="002D3CAD">
        <w:t>.</w:t>
      </w:r>
    </w:p>
    <w:p w14:paraId="4951E82C" w14:textId="4EB95DE6" w:rsidR="002D3CAD" w:rsidRPr="002D3CAD" w:rsidRDefault="002A00B9" w:rsidP="002D3CAD">
      <w:r>
        <w:t>LeGoff, J</w:t>
      </w:r>
      <w:r w:rsidR="002D3CAD" w:rsidRPr="002D3CAD">
        <w:t>. </w:t>
      </w:r>
      <w:r>
        <w:t xml:space="preserve">(1986), </w:t>
      </w:r>
      <w:r w:rsidR="002D3CAD" w:rsidRPr="002A00B9">
        <w:rPr>
          <w:i/>
        </w:rPr>
        <w:t>The Birth of Purgatory</w:t>
      </w:r>
      <w:r>
        <w:t>. Trans.</w:t>
      </w:r>
      <w:r w:rsidR="002D3CAD" w:rsidRPr="002D3CAD">
        <w:t xml:space="preserve"> Goldhammer</w:t>
      </w:r>
      <w:r>
        <w:t>, A</w:t>
      </w:r>
      <w:r w:rsidR="002D3CAD" w:rsidRPr="002D3CAD">
        <w:t>. Chicago: U</w:t>
      </w:r>
      <w:r>
        <w:t>niversity</w:t>
      </w:r>
      <w:r w:rsidR="002D3CAD" w:rsidRPr="002D3CAD">
        <w:t xml:space="preserve"> of Chicago P</w:t>
      </w:r>
      <w:r>
        <w:t>ress.</w:t>
      </w:r>
    </w:p>
    <w:p w14:paraId="1C96B33E" w14:textId="77777777" w:rsidR="001D4775" w:rsidRDefault="001D4775" w:rsidP="005B5C1C"/>
    <w:p w14:paraId="44E6F5A2" w14:textId="62CC0743" w:rsidR="004845F4" w:rsidRDefault="004845F4" w:rsidP="005B5C1C">
      <w:r>
        <w:t>Online Websites:</w:t>
      </w:r>
    </w:p>
    <w:p w14:paraId="148663BB" w14:textId="72AF3B6D" w:rsidR="001D4775" w:rsidRDefault="001D4775" w:rsidP="005B5C1C">
      <w:r>
        <w:t>Archive.org, Will of Cecily, 2019</w:t>
      </w:r>
      <w:r>
        <w:br/>
      </w:r>
      <w:hyperlink r:id="rId8" w:history="1">
        <w:r w:rsidRPr="00A90615">
          <w:rPr>
            <w:rStyle w:val="Hyperlink"/>
          </w:rPr>
          <w:t>https://archive.org/details/willsfromdoctors00churrich/page/n15</w:t>
        </w:r>
      </w:hyperlink>
      <w:r>
        <w:rPr>
          <w:rStyle w:val="Hyperlink"/>
        </w:rPr>
        <w:br/>
      </w:r>
      <w:r>
        <w:t>[Accessed: 17/01/2019]</w:t>
      </w:r>
    </w:p>
    <w:p w14:paraId="5299BB20" w14:textId="104B2EBD" w:rsidR="004845F4" w:rsidRPr="004845F4" w:rsidRDefault="004845F4" w:rsidP="005B5C1C">
      <w:pPr>
        <w:rPr>
          <w:color w:val="0000FF"/>
          <w:u w:val="single"/>
        </w:rPr>
      </w:pPr>
      <w:r>
        <w:t>British Library, The St Eustace Head Reliquary, 2019</w:t>
      </w:r>
      <w:r>
        <w:br/>
      </w:r>
      <w:hyperlink r:id="rId9" w:history="1">
        <w:r w:rsidRPr="00361434">
          <w:rPr>
            <w:rStyle w:val="Hyperlink"/>
          </w:rPr>
          <w:t>https://www.britishmuseum.org/research/collection_online/collection_object_details.aspx?objectId=47715&amp;partId=1</w:t>
        </w:r>
      </w:hyperlink>
      <w:r>
        <w:br/>
        <w:t>[Accessed: 14/01/2019]</w:t>
      </w:r>
    </w:p>
    <w:p w14:paraId="363DBEA9" w14:textId="26209FCF" w:rsidR="001D4775" w:rsidRDefault="001D4775" w:rsidP="001D4775">
      <w:r>
        <w:t>Denzinger, Second Council of Lyon, 2019</w:t>
      </w:r>
      <w:r>
        <w:br/>
      </w:r>
      <w:hyperlink r:id="rId10" w:history="1">
        <w:r w:rsidRPr="00361434">
          <w:rPr>
            <w:rStyle w:val="Hyperlink"/>
          </w:rPr>
          <w:t>http://catho.org/9.php?d=bxx#bqn</w:t>
        </w:r>
      </w:hyperlink>
      <w:r>
        <w:br/>
        <w:t>[Accessed: 31/01/2019]</w:t>
      </w:r>
    </w:p>
    <w:p w14:paraId="349564AC" w14:textId="5F23EBF0" w:rsidR="00A84ECF" w:rsidRDefault="00A84ECF" w:rsidP="001D4775">
      <w:r>
        <w:t>Eternal World Television Network, Fourth Lateran Council (1215), 2019</w:t>
      </w:r>
      <w:r>
        <w:br/>
      </w:r>
      <w:hyperlink r:id="rId11" w:history="1">
        <w:r w:rsidRPr="00361434">
          <w:rPr>
            <w:rStyle w:val="Hyperlink"/>
          </w:rPr>
          <w:t>http://www.ewtn.com/library/councils/lateran4.htm</w:t>
        </w:r>
      </w:hyperlink>
      <w:r>
        <w:br/>
        <w:t>[Accessed: 31/01/2019]</w:t>
      </w:r>
    </w:p>
    <w:p w14:paraId="4787C480" w14:textId="6ACD4FF5" w:rsidR="001D4775" w:rsidRDefault="001D4775" w:rsidP="005B5C1C">
      <w:r>
        <w:t>Glencairn Museum, Medieval Depictions of the Last Judgement: The Resurrection of the Body, 2018</w:t>
      </w:r>
      <w:r>
        <w:br/>
      </w:r>
      <w:hyperlink r:id="rId12" w:history="1">
        <w:r w:rsidRPr="00316FDC">
          <w:rPr>
            <w:rStyle w:val="Hyperlink"/>
          </w:rPr>
          <w:t>https://glencairnmuseum.org/newsletter/2018/3/8/medieval-depictions-of-the-last-judgment-the-resurrection-of-the-body</w:t>
        </w:r>
      </w:hyperlink>
      <w:r>
        <w:rPr>
          <w:rStyle w:val="Hyperlink"/>
        </w:rPr>
        <w:br/>
      </w:r>
      <w:r>
        <w:t>[Accessed: 18/01/2019]</w:t>
      </w:r>
    </w:p>
    <w:p w14:paraId="527B76ED" w14:textId="1A5C1234" w:rsidR="00CB2F2A" w:rsidRPr="00A45E6A" w:rsidRDefault="00A45E6A" w:rsidP="005B5C1C">
      <w:r>
        <w:t xml:space="preserve">Medievalists.net, </w:t>
      </w:r>
      <w:r w:rsidR="00CB2F2A">
        <w:t xml:space="preserve">Resurrection </w:t>
      </w:r>
      <w:r>
        <w:t xml:space="preserve">of Jesus and Human Beings in Medieval Christian and Jewish Theology and Polemical Literature, 2019 </w:t>
      </w:r>
      <w:r w:rsidR="00CB2F2A">
        <w:br/>
      </w:r>
      <w:hyperlink r:id="rId13" w:history="1">
        <w:r w:rsidR="00CB2F2A" w:rsidRPr="00B60182">
          <w:rPr>
            <w:rStyle w:val="Hyperlink"/>
          </w:rPr>
          <w:t>http://www.medievalists.net/2017/04/resurrection-jesus-human-beings-medieval-christian-jewish-theology-polemical-literature/</w:t>
        </w:r>
      </w:hyperlink>
      <w:r>
        <w:rPr>
          <w:rStyle w:val="Hyperlink"/>
        </w:rPr>
        <w:br/>
      </w:r>
      <w:r>
        <w:t>[Accessed: 18/01/2019]</w:t>
      </w:r>
    </w:p>
    <w:p w14:paraId="5FB9826C" w14:textId="77777777" w:rsidR="001D4775" w:rsidRDefault="001D4775" w:rsidP="001D4775">
      <w:r>
        <w:t xml:space="preserve">The Saint Pachomius Orthodox Library, </w:t>
      </w:r>
      <w:r w:rsidRPr="000A117F">
        <w:t>Martyrdom of St Polycarp</w:t>
      </w:r>
      <w:r>
        <w:t>, 1994</w:t>
      </w:r>
      <w:r>
        <w:rPr>
          <w:rFonts w:ascii="Arial" w:hAnsi="Arial" w:cs="Arial"/>
          <w:color w:val="222222"/>
          <w:sz w:val="19"/>
          <w:szCs w:val="19"/>
          <w:shd w:val="clear" w:color="auto" w:fill="FFFFFF"/>
        </w:rPr>
        <w:br/>
      </w:r>
      <w:hyperlink r:id="rId14" w:history="1">
        <w:r w:rsidRPr="000E0C65">
          <w:rPr>
            <w:rStyle w:val="Hyperlink"/>
          </w:rPr>
          <w:t>http://www.voskrese.info/spl/polycarp.martyr.html</w:t>
        </w:r>
      </w:hyperlink>
      <w:r>
        <w:br/>
        <w:t>[Accessed: 14/01/2019]</w:t>
      </w:r>
    </w:p>
    <w:p w14:paraId="1AC0E2A7" w14:textId="7CF048D0" w:rsidR="001058E5" w:rsidRDefault="00A91C4E" w:rsidP="005B5C1C">
      <w:r>
        <w:t>Newton, W. ‘St Eustace’, Victoria and Albert Museum Blog, 20</w:t>
      </w:r>
      <w:r w:rsidRPr="00A91C4E">
        <w:rPr>
          <w:vertAlign w:val="superscript"/>
        </w:rPr>
        <w:t>th</w:t>
      </w:r>
      <w:r>
        <w:t xml:space="preserve"> September 2014</w:t>
      </w:r>
      <w:r>
        <w:br/>
      </w:r>
      <w:hyperlink r:id="rId15" w:history="1">
        <w:r w:rsidRPr="00361434">
          <w:rPr>
            <w:rStyle w:val="Hyperlink"/>
          </w:rPr>
          <w:t>https://www.vam.ac.uk/blog/sanctus-ignotum/st-eustace</w:t>
        </w:r>
      </w:hyperlink>
      <w:r>
        <w:br/>
        <w:t>[Accessed: 31/01/2019]</w:t>
      </w:r>
    </w:p>
    <w:p w14:paraId="086083B6" w14:textId="77777777" w:rsidR="00A91C4E" w:rsidRDefault="00A91C4E" w:rsidP="005B5C1C"/>
    <w:p w14:paraId="74C3E945" w14:textId="544CA181" w:rsidR="001058E5" w:rsidRDefault="001058E5" w:rsidP="005B5C1C">
      <w:r>
        <w:t>Primary Sources:</w:t>
      </w:r>
    </w:p>
    <w:p w14:paraId="00BBB86C" w14:textId="1B5AFC6C" w:rsidR="001058E5" w:rsidRDefault="001058E5" w:rsidP="005B5C1C">
      <w:r>
        <w:t>1 Corinthians</w:t>
      </w:r>
      <w:r w:rsidR="007C0677">
        <w:t>,</w:t>
      </w:r>
      <w:r w:rsidR="00FE5EC8">
        <w:t xml:space="preserve"> 15:14</w:t>
      </w:r>
    </w:p>
    <w:sectPr w:rsidR="001058E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37BF9C2" w14:textId="77777777" w:rsidR="00CA06DC" w:rsidRDefault="00CA06DC" w:rsidP="00211984">
      <w:pPr>
        <w:spacing w:after="0" w:line="240" w:lineRule="auto"/>
      </w:pPr>
      <w:r>
        <w:separator/>
      </w:r>
    </w:p>
  </w:endnote>
  <w:endnote w:type="continuationSeparator" w:id="0">
    <w:p w14:paraId="7D9565F0" w14:textId="77777777" w:rsidR="00CA06DC" w:rsidRDefault="00CA06DC" w:rsidP="002119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72AB0B0" w14:textId="77777777" w:rsidR="00CA06DC" w:rsidRDefault="00CA06DC" w:rsidP="00211984">
      <w:pPr>
        <w:spacing w:after="0" w:line="240" w:lineRule="auto"/>
      </w:pPr>
      <w:r>
        <w:separator/>
      </w:r>
    </w:p>
  </w:footnote>
  <w:footnote w:type="continuationSeparator" w:id="0">
    <w:p w14:paraId="224B66D3" w14:textId="77777777" w:rsidR="00CA06DC" w:rsidRDefault="00CA06DC" w:rsidP="00211984">
      <w:pPr>
        <w:spacing w:after="0" w:line="240" w:lineRule="auto"/>
      </w:pPr>
      <w:r>
        <w:continuationSeparator/>
      </w:r>
    </w:p>
  </w:footnote>
  <w:footnote w:id="1">
    <w:p w14:paraId="69EA5BBA" w14:textId="64B05812" w:rsidR="00591C75" w:rsidRDefault="00591C75">
      <w:pPr>
        <w:pStyle w:val="FootnoteText"/>
      </w:pPr>
      <w:r>
        <w:rPr>
          <w:rStyle w:val="FootnoteReference"/>
        </w:rPr>
        <w:footnoteRef/>
      </w:r>
      <w:r>
        <w:t xml:space="preserve"> J. Casey, </w:t>
      </w:r>
      <w:r w:rsidRPr="004845F4">
        <w:rPr>
          <w:i/>
        </w:rPr>
        <w:t>Afterlives: A Guide to Heaven, Hell and Purgatory</w:t>
      </w:r>
      <w:r>
        <w:rPr>
          <w:i/>
        </w:rPr>
        <w:t xml:space="preserve">. </w:t>
      </w:r>
      <w:r>
        <w:t>(Oxford: Oxford University Press, 2009) p. 1.</w:t>
      </w:r>
    </w:p>
  </w:footnote>
  <w:footnote w:id="2">
    <w:p w14:paraId="5ECDE7E1" w14:textId="03A6E5CA" w:rsidR="00591C75" w:rsidRPr="002D3CAD" w:rsidRDefault="00591C75" w:rsidP="002D3CAD">
      <w:pPr>
        <w:rPr>
          <w:sz w:val="20"/>
        </w:rPr>
      </w:pPr>
      <w:r>
        <w:rPr>
          <w:rStyle w:val="FootnoteReference"/>
        </w:rPr>
        <w:footnoteRef/>
      </w:r>
      <w:r>
        <w:t xml:space="preserve"> </w:t>
      </w:r>
      <w:r w:rsidRPr="002D3CAD">
        <w:rPr>
          <w:sz w:val="20"/>
        </w:rPr>
        <w:t>Denzinger, Second Council of Lyon, 2019</w:t>
      </w:r>
      <w:r>
        <w:rPr>
          <w:sz w:val="20"/>
        </w:rPr>
        <w:t>.</w:t>
      </w:r>
      <w:r w:rsidRPr="002D3CAD">
        <w:rPr>
          <w:sz w:val="20"/>
        </w:rPr>
        <w:br/>
      </w:r>
      <w:hyperlink r:id="rId1" w:history="1">
        <w:r w:rsidRPr="002D3CAD">
          <w:rPr>
            <w:rStyle w:val="Hyperlink"/>
            <w:sz w:val="20"/>
          </w:rPr>
          <w:t>http://catho.org/9.php?d=bxx#bqn</w:t>
        </w:r>
      </w:hyperlink>
      <w:r w:rsidRPr="002D3CAD">
        <w:rPr>
          <w:sz w:val="20"/>
        </w:rPr>
        <w:br/>
        <w:t>[Accessed: 31/01/2019]</w:t>
      </w:r>
      <w:r>
        <w:rPr>
          <w:sz w:val="20"/>
        </w:rPr>
        <w:t>.</w:t>
      </w:r>
    </w:p>
  </w:footnote>
  <w:footnote w:id="3">
    <w:p w14:paraId="1C457F81" w14:textId="21D37F90" w:rsidR="00591C75" w:rsidRDefault="00591C75">
      <w:pPr>
        <w:pStyle w:val="FootnoteText"/>
      </w:pPr>
      <w:r>
        <w:rPr>
          <w:rStyle w:val="FootnoteReference"/>
        </w:rPr>
        <w:footnoteRef/>
      </w:r>
      <w:r>
        <w:t xml:space="preserve"> J. LeGoff,</w:t>
      </w:r>
      <w:r w:rsidRPr="002A00B9">
        <w:rPr>
          <w:i/>
        </w:rPr>
        <w:t xml:space="preserve"> The Birth of Purgatory</w:t>
      </w:r>
      <w:r>
        <w:t>. Trans.</w:t>
      </w:r>
      <w:r w:rsidRPr="002D3CAD">
        <w:t xml:space="preserve"> Goldhammer</w:t>
      </w:r>
      <w:r>
        <w:t>, A</w:t>
      </w:r>
      <w:r w:rsidRPr="002D3CAD">
        <w:t xml:space="preserve">. </w:t>
      </w:r>
      <w:r>
        <w:t>(</w:t>
      </w:r>
      <w:r w:rsidRPr="002D3CAD">
        <w:t>Chicago: U</w:t>
      </w:r>
      <w:r>
        <w:t>niversity</w:t>
      </w:r>
      <w:r w:rsidRPr="002D3CAD">
        <w:t xml:space="preserve"> of Chicago P</w:t>
      </w:r>
      <w:r>
        <w:t>ress, 1986)</w:t>
      </w:r>
      <w:r w:rsidRPr="007F1930">
        <w:rPr>
          <w:rFonts w:cs="Arial"/>
          <w:color w:val="000000"/>
          <w:shd w:val="clear" w:color="auto" w:fill="FFFFFF"/>
        </w:rPr>
        <w:t xml:space="preserve"> </w:t>
      </w:r>
      <w:r>
        <w:rPr>
          <w:rFonts w:cs="Arial"/>
          <w:color w:val="000000"/>
          <w:shd w:val="clear" w:color="auto" w:fill="FFFFFF"/>
        </w:rPr>
        <w:t>p.</w:t>
      </w:r>
      <w:r w:rsidRPr="007F1930">
        <w:rPr>
          <w:rFonts w:cs="Arial"/>
          <w:color w:val="000000"/>
          <w:shd w:val="clear" w:color="auto" w:fill="FFFFFF"/>
        </w:rPr>
        <w:t xml:space="preserve"> 362–66</w:t>
      </w:r>
      <w:r>
        <w:rPr>
          <w:rFonts w:cs="Arial"/>
          <w:color w:val="000000"/>
          <w:shd w:val="clear" w:color="auto" w:fill="FFFFFF"/>
        </w:rPr>
        <w:t>.</w:t>
      </w:r>
    </w:p>
  </w:footnote>
  <w:footnote w:id="4">
    <w:p w14:paraId="31392665" w14:textId="1581FBA2" w:rsidR="00591C75" w:rsidRDefault="00591C75">
      <w:pPr>
        <w:pStyle w:val="FootnoteText"/>
      </w:pPr>
      <w:r>
        <w:rPr>
          <w:rStyle w:val="FootnoteReference"/>
        </w:rPr>
        <w:footnoteRef/>
      </w:r>
      <w:r>
        <w:t xml:space="preserve"> </w:t>
      </w:r>
      <w:r w:rsidRPr="002D3CAD">
        <w:t>Denzinger, 2019</w:t>
      </w:r>
      <w:r>
        <w:t>.</w:t>
      </w:r>
    </w:p>
  </w:footnote>
  <w:footnote w:id="5">
    <w:p w14:paraId="7882C2CF" w14:textId="5B76BBC3" w:rsidR="00591C75" w:rsidRDefault="00591C75">
      <w:pPr>
        <w:pStyle w:val="FootnoteText"/>
      </w:pPr>
      <w:r>
        <w:rPr>
          <w:rStyle w:val="FootnoteReference"/>
        </w:rPr>
        <w:footnoteRef/>
      </w:r>
      <w:r>
        <w:t xml:space="preserve"> J. LeGoff, </w:t>
      </w:r>
      <w:r w:rsidRPr="002A00B9">
        <w:rPr>
          <w:i/>
        </w:rPr>
        <w:t>The Birth of Purgatory</w:t>
      </w:r>
      <w:r>
        <w:t xml:space="preserve">, </w:t>
      </w:r>
      <w:r>
        <w:rPr>
          <w:rFonts w:cs="Arial"/>
          <w:color w:val="000000"/>
          <w:shd w:val="clear" w:color="auto" w:fill="FFFFFF"/>
        </w:rPr>
        <w:t>p.</w:t>
      </w:r>
      <w:r w:rsidRPr="007F1930">
        <w:rPr>
          <w:rFonts w:cs="Arial"/>
          <w:color w:val="000000"/>
          <w:shd w:val="clear" w:color="auto" w:fill="FFFFFF"/>
        </w:rPr>
        <w:t xml:space="preserve"> 362–66</w:t>
      </w:r>
      <w:r>
        <w:rPr>
          <w:rFonts w:cs="Arial"/>
          <w:color w:val="000000"/>
          <w:shd w:val="clear" w:color="auto" w:fill="FFFFFF"/>
        </w:rPr>
        <w:t>.</w:t>
      </w:r>
    </w:p>
  </w:footnote>
  <w:footnote w:id="6">
    <w:p w14:paraId="4B788266" w14:textId="081CFF31" w:rsidR="00591C75" w:rsidRDefault="00591C75">
      <w:pPr>
        <w:pStyle w:val="FootnoteText"/>
      </w:pPr>
      <w:r>
        <w:rPr>
          <w:rStyle w:val="FootnoteReference"/>
        </w:rPr>
        <w:footnoteRef/>
      </w:r>
      <w:r>
        <w:t xml:space="preserve"> J. LeGoff, </w:t>
      </w:r>
      <w:r w:rsidRPr="002A00B9">
        <w:rPr>
          <w:i/>
        </w:rPr>
        <w:t>The Birth of Purgatory</w:t>
      </w:r>
      <w:r>
        <w:t xml:space="preserve">, </w:t>
      </w:r>
      <w:r>
        <w:rPr>
          <w:rFonts w:cs="Arial"/>
          <w:color w:val="000000"/>
          <w:shd w:val="clear" w:color="auto" w:fill="FFFFFF"/>
        </w:rPr>
        <w:t>p.</w:t>
      </w:r>
      <w:r w:rsidRPr="007F1930">
        <w:rPr>
          <w:rFonts w:cs="Arial"/>
          <w:color w:val="000000"/>
          <w:shd w:val="clear" w:color="auto" w:fill="FFFFFF"/>
        </w:rPr>
        <w:t xml:space="preserve"> 362–66</w:t>
      </w:r>
      <w:r>
        <w:rPr>
          <w:rFonts w:cs="Arial"/>
          <w:color w:val="000000"/>
          <w:shd w:val="clear" w:color="auto" w:fill="FFFFFF"/>
        </w:rPr>
        <w:t>.</w:t>
      </w:r>
    </w:p>
  </w:footnote>
  <w:footnote w:id="7">
    <w:p w14:paraId="692F5EFD" w14:textId="6AEFAF17" w:rsidR="00591C75" w:rsidRPr="00573B8C" w:rsidRDefault="00591C75">
      <w:pPr>
        <w:pStyle w:val="FootnoteText"/>
      </w:pPr>
      <w:r>
        <w:rPr>
          <w:rStyle w:val="FootnoteReference"/>
        </w:rPr>
        <w:footnoteRef/>
      </w:r>
      <w:r>
        <w:t xml:space="preserve"> J. Casey, </w:t>
      </w:r>
      <w:r>
        <w:rPr>
          <w:i/>
        </w:rPr>
        <w:t>Rome’s Happiest Inspiration</w:t>
      </w:r>
      <w:r>
        <w:t>, p. 2.</w:t>
      </w:r>
    </w:p>
  </w:footnote>
  <w:footnote w:id="8">
    <w:p w14:paraId="595C0B3E" w14:textId="35E9B9A2" w:rsidR="00591C75" w:rsidRDefault="00591C75">
      <w:pPr>
        <w:pStyle w:val="FootnoteText"/>
      </w:pPr>
      <w:r>
        <w:rPr>
          <w:rStyle w:val="FootnoteReference"/>
        </w:rPr>
        <w:footnoteRef/>
      </w:r>
      <w:r>
        <w:t xml:space="preserve"> J. Casey, </w:t>
      </w:r>
      <w:r>
        <w:rPr>
          <w:i/>
        </w:rPr>
        <w:t>Rome’s Happiest Inspiration</w:t>
      </w:r>
      <w:r>
        <w:t>, p. 2.</w:t>
      </w:r>
    </w:p>
  </w:footnote>
  <w:footnote w:id="9">
    <w:p w14:paraId="3B28229D" w14:textId="541FF0DC" w:rsidR="00591C75" w:rsidRDefault="00591C75">
      <w:pPr>
        <w:pStyle w:val="FootnoteText"/>
      </w:pPr>
      <w:r>
        <w:rPr>
          <w:rStyle w:val="FootnoteReference"/>
        </w:rPr>
        <w:footnoteRef/>
      </w:r>
      <w:r>
        <w:t xml:space="preserve"> J. Casey, </w:t>
      </w:r>
      <w:r>
        <w:rPr>
          <w:i/>
        </w:rPr>
        <w:t>Rome’s Happiest Inspiration</w:t>
      </w:r>
      <w:r>
        <w:t>, p. 3.</w:t>
      </w:r>
    </w:p>
  </w:footnote>
  <w:footnote w:id="10">
    <w:p w14:paraId="0DC4B9C1" w14:textId="255BCF1A" w:rsidR="00591C75" w:rsidRDefault="00591C75">
      <w:pPr>
        <w:pStyle w:val="FootnoteText"/>
      </w:pPr>
      <w:r>
        <w:rPr>
          <w:rStyle w:val="FootnoteReference"/>
        </w:rPr>
        <w:footnoteRef/>
      </w:r>
      <w:r>
        <w:t xml:space="preserve"> J. Casey, </w:t>
      </w:r>
      <w:r>
        <w:rPr>
          <w:i/>
        </w:rPr>
        <w:t>Rome’s Happiest Inspiration</w:t>
      </w:r>
      <w:r>
        <w:t>, p. 5.</w:t>
      </w:r>
    </w:p>
  </w:footnote>
  <w:footnote w:id="11">
    <w:p w14:paraId="4F16D6FC" w14:textId="10A903BD" w:rsidR="00591C75" w:rsidRDefault="00591C75">
      <w:pPr>
        <w:pStyle w:val="FootnoteText"/>
      </w:pPr>
      <w:r>
        <w:rPr>
          <w:rStyle w:val="FootnoteReference"/>
        </w:rPr>
        <w:footnoteRef/>
      </w:r>
      <w:r>
        <w:t xml:space="preserve"> J. Casey, </w:t>
      </w:r>
      <w:r>
        <w:rPr>
          <w:i/>
        </w:rPr>
        <w:t>Rome’s Happiest Inspiration</w:t>
      </w:r>
      <w:r>
        <w:t>, p. 6.</w:t>
      </w:r>
    </w:p>
  </w:footnote>
  <w:footnote w:id="12">
    <w:p w14:paraId="3A427264" w14:textId="7FA4EC3E" w:rsidR="00591C75" w:rsidRDefault="00591C75">
      <w:pPr>
        <w:pStyle w:val="FootnoteText"/>
      </w:pPr>
      <w:r>
        <w:rPr>
          <w:rStyle w:val="FootnoteReference"/>
        </w:rPr>
        <w:footnoteRef/>
      </w:r>
      <w:r>
        <w:t xml:space="preserve"> J. Casey, </w:t>
      </w:r>
      <w:r>
        <w:rPr>
          <w:i/>
        </w:rPr>
        <w:t>Rome’s Happiest Inspiration</w:t>
      </w:r>
      <w:r>
        <w:t>, p. 7.</w:t>
      </w:r>
    </w:p>
  </w:footnote>
  <w:footnote w:id="13">
    <w:p w14:paraId="222B2EF0" w14:textId="2B7FA8BD" w:rsidR="00591C75" w:rsidRDefault="00591C75">
      <w:pPr>
        <w:pStyle w:val="FootnoteText"/>
      </w:pPr>
      <w:r>
        <w:rPr>
          <w:rStyle w:val="FootnoteReference"/>
        </w:rPr>
        <w:footnoteRef/>
      </w:r>
      <w:r>
        <w:t xml:space="preserve"> J. Casey, </w:t>
      </w:r>
      <w:r>
        <w:rPr>
          <w:i/>
        </w:rPr>
        <w:t>Rome’s Happiest Inspiration</w:t>
      </w:r>
      <w:r>
        <w:t>, p. 7.</w:t>
      </w:r>
    </w:p>
  </w:footnote>
  <w:footnote w:id="14">
    <w:p w14:paraId="6DB46109" w14:textId="2645A9BA" w:rsidR="00591C75" w:rsidRDefault="00591C75">
      <w:pPr>
        <w:pStyle w:val="FootnoteText"/>
      </w:pPr>
      <w:r>
        <w:rPr>
          <w:rStyle w:val="FootnoteReference"/>
        </w:rPr>
        <w:footnoteRef/>
      </w:r>
      <w:r>
        <w:t xml:space="preserve"> J. Casey, </w:t>
      </w:r>
      <w:r>
        <w:rPr>
          <w:i/>
        </w:rPr>
        <w:t>Rome’s Happiest Inspiration</w:t>
      </w:r>
      <w:r>
        <w:t>, p. 21.</w:t>
      </w:r>
    </w:p>
  </w:footnote>
  <w:footnote w:id="15">
    <w:p w14:paraId="3BFB8AC9" w14:textId="4DD80E72" w:rsidR="00591C75" w:rsidRDefault="00591C75">
      <w:pPr>
        <w:pStyle w:val="FootnoteText"/>
      </w:pPr>
      <w:r>
        <w:rPr>
          <w:rStyle w:val="FootnoteReference"/>
        </w:rPr>
        <w:footnoteRef/>
      </w:r>
      <w:r>
        <w:t xml:space="preserve"> J. Casey, </w:t>
      </w:r>
      <w:r>
        <w:rPr>
          <w:i/>
        </w:rPr>
        <w:t>Rome’s Happiest Inspiration</w:t>
      </w:r>
      <w:r>
        <w:t>, p. 21.</w:t>
      </w:r>
    </w:p>
  </w:footnote>
  <w:footnote w:id="16">
    <w:p w14:paraId="3C0805E1" w14:textId="05EAF2AB" w:rsidR="00591C75" w:rsidRDefault="00591C75">
      <w:pPr>
        <w:pStyle w:val="FootnoteText"/>
      </w:pPr>
      <w:r>
        <w:rPr>
          <w:rStyle w:val="FootnoteReference"/>
        </w:rPr>
        <w:footnoteRef/>
      </w:r>
      <w:r>
        <w:t xml:space="preserve"> 1 Corinthians 15:14.</w:t>
      </w:r>
    </w:p>
  </w:footnote>
  <w:footnote w:id="17">
    <w:p w14:paraId="2F2DE920" w14:textId="2FC72533" w:rsidR="00591C75" w:rsidRDefault="00591C75">
      <w:pPr>
        <w:pStyle w:val="FootnoteText"/>
      </w:pPr>
      <w:r>
        <w:rPr>
          <w:rStyle w:val="FootnoteReference"/>
        </w:rPr>
        <w:footnoteRef/>
      </w:r>
      <w:r>
        <w:t xml:space="preserve"> Medievalists.net, Resurrection of Jesus and Human Beings in Medieval Christian and Jewish Theology and Polemical Literature, 2019.</w:t>
      </w:r>
      <w:r>
        <w:br/>
      </w:r>
      <w:hyperlink r:id="rId2" w:history="1">
        <w:r w:rsidRPr="00B60182">
          <w:rPr>
            <w:rStyle w:val="Hyperlink"/>
          </w:rPr>
          <w:t>http://www.medievalists.net/2017/04/resurrection-jesus-human-beings-medieval-christian-jewish-theology-polemical-literature/</w:t>
        </w:r>
      </w:hyperlink>
      <w:r>
        <w:rPr>
          <w:rStyle w:val="Hyperlink"/>
        </w:rPr>
        <w:br/>
      </w:r>
      <w:r>
        <w:t>[Accessed: 18/01/2019.</w:t>
      </w:r>
    </w:p>
  </w:footnote>
  <w:footnote w:id="18">
    <w:p w14:paraId="0F5530FE" w14:textId="06E3BEEE" w:rsidR="00591C75" w:rsidRDefault="00591C75">
      <w:pPr>
        <w:pStyle w:val="FootnoteText"/>
      </w:pPr>
      <w:r>
        <w:rPr>
          <w:rStyle w:val="FootnoteReference"/>
        </w:rPr>
        <w:footnoteRef/>
      </w:r>
      <w:r>
        <w:t xml:space="preserve"> Eternal World Television Network, Fourth Lateran Council (1215), 2019</w:t>
      </w:r>
      <w:r>
        <w:br/>
      </w:r>
      <w:hyperlink r:id="rId3" w:history="1">
        <w:r w:rsidRPr="00361434">
          <w:rPr>
            <w:rStyle w:val="Hyperlink"/>
          </w:rPr>
          <w:t>http://www.ewtn.com/library/councils/lateran4.htm</w:t>
        </w:r>
      </w:hyperlink>
      <w:r>
        <w:br/>
        <w:t>[Accessed: 31/01/2019].</w:t>
      </w:r>
    </w:p>
  </w:footnote>
  <w:footnote w:id="19">
    <w:p w14:paraId="440A3C7B" w14:textId="044C8700" w:rsidR="00591C75" w:rsidRDefault="00591C75">
      <w:pPr>
        <w:pStyle w:val="FootnoteText"/>
      </w:pPr>
      <w:r>
        <w:rPr>
          <w:rStyle w:val="FootnoteReference"/>
        </w:rPr>
        <w:footnoteRef/>
      </w:r>
      <w:r>
        <w:t xml:space="preserve"> Medievalists.net, 2019.</w:t>
      </w:r>
    </w:p>
  </w:footnote>
  <w:footnote w:id="20">
    <w:p w14:paraId="57BF22FC" w14:textId="266B7AA3" w:rsidR="00591C75" w:rsidRDefault="00591C75">
      <w:pPr>
        <w:pStyle w:val="FootnoteText"/>
      </w:pPr>
      <w:r>
        <w:rPr>
          <w:rStyle w:val="FootnoteReference"/>
        </w:rPr>
        <w:footnoteRef/>
      </w:r>
      <w:r>
        <w:t xml:space="preserve"> Medievalists.net, 2019.</w:t>
      </w:r>
    </w:p>
  </w:footnote>
  <w:footnote w:id="21">
    <w:p w14:paraId="5AADF164" w14:textId="680BC402" w:rsidR="00591C75" w:rsidRDefault="00591C75">
      <w:pPr>
        <w:pStyle w:val="FootnoteText"/>
      </w:pPr>
      <w:r>
        <w:rPr>
          <w:rStyle w:val="FootnoteReference"/>
        </w:rPr>
        <w:footnoteRef/>
      </w:r>
      <w:r>
        <w:t xml:space="preserve"> Medievalists.net, 2019.</w:t>
      </w:r>
    </w:p>
  </w:footnote>
  <w:footnote w:id="22">
    <w:p w14:paraId="5E126CFB" w14:textId="77B6F742" w:rsidR="00591C75" w:rsidRDefault="00591C75" w:rsidP="00A81B39">
      <w:pPr>
        <w:pStyle w:val="FootnoteText"/>
      </w:pPr>
      <w:r>
        <w:rPr>
          <w:rStyle w:val="FootnoteReference"/>
        </w:rPr>
        <w:footnoteRef/>
      </w:r>
      <w:r>
        <w:t xml:space="preserve"> Glencairn Museum, Medieval Depictions of the Last Judgement: The Resurrection of the Body, 2018</w:t>
      </w:r>
      <w:r>
        <w:br/>
      </w:r>
      <w:hyperlink r:id="rId4" w:history="1">
        <w:r w:rsidRPr="00316FDC">
          <w:rPr>
            <w:rStyle w:val="Hyperlink"/>
          </w:rPr>
          <w:t>https://glencairnmuseum.org/newsletter/2018/3/8/medieval-depictions-of-the-last-judgment-the-resurrection-of-the-body</w:t>
        </w:r>
      </w:hyperlink>
      <w:r>
        <w:rPr>
          <w:rStyle w:val="Hyperlink"/>
        </w:rPr>
        <w:br/>
      </w:r>
      <w:r>
        <w:t>[Accessed: 18/01/2019].</w:t>
      </w:r>
    </w:p>
  </w:footnote>
  <w:footnote w:id="23">
    <w:p w14:paraId="03EBC95B" w14:textId="39BE4FE7" w:rsidR="00591C75" w:rsidRDefault="00591C75" w:rsidP="00A81B39">
      <w:pPr>
        <w:pStyle w:val="FootnoteText"/>
      </w:pPr>
      <w:r>
        <w:rPr>
          <w:rStyle w:val="FootnoteReference"/>
        </w:rPr>
        <w:footnoteRef/>
      </w:r>
      <w:r>
        <w:t xml:space="preserve"> Glencairn.net, 2019.</w:t>
      </w:r>
    </w:p>
  </w:footnote>
  <w:footnote w:id="24">
    <w:p w14:paraId="07985851" w14:textId="56E2DA0D" w:rsidR="00591C75" w:rsidRDefault="00591C75" w:rsidP="00A81B39">
      <w:pPr>
        <w:pStyle w:val="FootnoteText"/>
      </w:pPr>
      <w:r>
        <w:rPr>
          <w:rStyle w:val="FootnoteReference"/>
        </w:rPr>
        <w:footnoteRef/>
      </w:r>
      <w:r>
        <w:t xml:space="preserve"> Glencairn.net, 2019.</w:t>
      </w:r>
    </w:p>
  </w:footnote>
  <w:footnote w:id="25">
    <w:p w14:paraId="7A80CE00" w14:textId="7D634EC1" w:rsidR="00591C75" w:rsidRDefault="00591C75" w:rsidP="00A81B39">
      <w:pPr>
        <w:pStyle w:val="FootnoteText"/>
      </w:pPr>
      <w:r>
        <w:rPr>
          <w:rStyle w:val="FootnoteReference"/>
        </w:rPr>
        <w:footnoteRef/>
      </w:r>
      <w:r>
        <w:t xml:space="preserve"> Glencairn.net, 2019.</w:t>
      </w:r>
    </w:p>
  </w:footnote>
  <w:footnote w:id="26">
    <w:p w14:paraId="3A6BC724" w14:textId="26408251" w:rsidR="00591C75" w:rsidRDefault="00591C75" w:rsidP="00A81B39">
      <w:pPr>
        <w:pStyle w:val="FootnoteText"/>
      </w:pPr>
      <w:r>
        <w:rPr>
          <w:rStyle w:val="FootnoteReference"/>
        </w:rPr>
        <w:footnoteRef/>
      </w:r>
      <w:r>
        <w:t xml:space="preserve"> Medievalists.net, 2019.</w:t>
      </w:r>
    </w:p>
  </w:footnote>
  <w:footnote w:id="27">
    <w:p w14:paraId="53C394B5" w14:textId="02AEB8A1" w:rsidR="00591C75" w:rsidRDefault="00591C75" w:rsidP="00A81B39">
      <w:pPr>
        <w:pStyle w:val="FootnoteText"/>
      </w:pPr>
      <w:r>
        <w:rPr>
          <w:rStyle w:val="FootnoteReference"/>
        </w:rPr>
        <w:footnoteRef/>
      </w:r>
      <w:r>
        <w:t xml:space="preserve"> Glencairn.net, 2019.</w:t>
      </w:r>
    </w:p>
  </w:footnote>
  <w:footnote w:id="28">
    <w:p w14:paraId="112CBB6C" w14:textId="0148B49E" w:rsidR="00591C75" w:rsidRPr="004845F4" w:rsidRDefault="00591C75" w:rsidP="004845F4">
      <w:pPr>
        <w:spacing w:line="240" w:lineRule="auto"/>
        <w:rPr>
          <w:color w:val="0000FF"/>
          <w:u w:val="single"/>
        </w:rPr>
      </w:pPr>
      <w:r>
        <w:rPr>
          <w:rStyle w:val="FootnoteReference"/>
        </w:rPr>
        <w:footnoteRef/>
      </w:r>
      <w:r>
        <w:t xml:space="preserve"> </w:t>
      </w:r>
      <w:r w:rsidRPr="004845F4">
        <w:rPr>
          <w:sz w:val="20"/>
        </w:rPr>
        <w:t>British Library, The St Eustace Head Reliquary, 2019</w:t>
      </w:r>
      <w:r>
        <w:rPr>
          <w:sz w:val="20"/>
        </w:rPr>
        <w:t>.</w:t>
      </w:r>
      <w:r w:rsidRPr="004845F4">
        <w:rPr>
          <w:sz w:val="20"/>
        </w:rPr>
        <w:br/>
      </w:r>
      <w:hyperlink r:id="rId5" w:history="1">
        <w:r w:rsidRPr="004845F4">
          <w:rPr>
            <w:rStyle w:val="Hyperlink"/>
            <w:sz w:val="20"/>
          </w:rPr>
          <w:t>https://www.britishmuseum.org/research/collection_online/collection_object_details.aspx?objectId=47715&amp;partId=1</w:t>
        </w:r>
      </w:hyperlink>
      <w:r w:rsidRPr="004845F4">
        <w:rPr>
          <w:sz w:val="20"/>
        </w:rPr>
        <w:br/>
        <w:t>[Accessed: 14/01/2019]</w:t>
      </w:r>
      <w:r>
        <w:rPr>
          <w:sz w:val="20"/>
        </w:rPr>
        <w:t>.</w:t>
      </w:r>
    </w:p>
  </w:footnote>
  <w:footnote w:id="29">
    <w:p w14:paraId="7C1EE5A3" w14:textId="55823AA1" w:rsidR="00591C75" w:rsidRDefault="00591C75" w:rsidP="004845F4">
      <w:pPr>
        <w:pStyle w:val="FootnoteText"/>
      </w:pPr>
      <w:r>
        <w:rPr>
          <w:rStyle w:val="FootnoteReference"/>
        </w:rPr>
        <w:footnoteRef/>
      </w:r>
      <w:r>
        <w:t xml:space="preserve"> British Museum, 2019.</w:t>
      </w:r>
    </w:p>
  </w:footnote>
  <w:footnote w:id="30">
    <w:p w14:paraId="485CA263" w14:textId="5D7B1284" w:rsidR="00591C75" w:rsidRDefault="00591C75" w:rsidP="004845F4">
      <w:pPr>
        <w:pStyle w:val="FootnoteText"/>
      </w:pPr>
      <w:r>
        <w:rPr>
          <w:rStyle w:val="FootnoteReference"/>
        </w:rPr>
        <w:footnoteRef/>
      </w:r>
      <w:r>
        <w:t xml:space="preserve"> W.</w:t>
      </w:r>
      <w:r w:rsidRPr="00DF613F">
        <w:t xml:space="preserve"> </w:t>
      </w:r>
      <w:r>
        <w:t>Newton, ‘St Eustace’, Victoria and Albert Museum Blog, 20</w:t>
      </w:r>
      <w:r w:rsidRPr="00A91C4E">
        <w:rPr>
          <w:vertAlign w:val="superscript"/>
        </w:rPr>
        <w:t>th</w:t>
      </w:r>
      <w:r>
        <w:t xml:space="preserve"> September 2014</w:t>
      </w:r>
      <w:r>
        <w:br/>
      </w:r>
      <w:hyperlink r:id="rId6" w:history="1">
        <w:r w:rsidRPr="00361434">
          <w:rPr>
            <w:rStyle w:val="Hyperlink"/>
          </w:rPr>
          <w:t>https://www.vam.ac.uk/blog/sanctus-ignotum/st-eustace</w:t>
        </w:r>
      </w:hyperlink>
      <w:r>
        <w:br/>
        <w:t>[Accessed: 31/01/2019].</w:t>
      </w:r>
    </w:p>
  </w:footnote>
  <w:footnote w:id="31">
    <w:p w14:paraId="24CE99B1" w14:textId="4CC28527" w:rsidR="00591C75" w:rsidRDefault="00591C75" w:rsidP="00A81B39">
      <w:pPr>
        <w:pStyle w:val="FootnoteText"/>
      </w:pPr>
      <w:r>
        <w:rPr>
          <w:rStyle w:val="FootnoteReference"/>
        </w:rPr>
        <w:footnoteRef/>
      </w:r>
      <w:r>
        <w:t xml:space="preserve"> L. A.</w:t>
      </w:r>
      <w:r w:rsidRPr="00DF613F">
        <w:t xml:space="preserve"> </w:t>
      </w:r>
      <w:r w:rsidRPr="004845F4">
        <w:t>Hibbard</w:t>
      </w:r>
      <w:r>
        <w:t>, (1963)</w:t>
      </w:r>
      <w:r w:rsidRPr="004845F4">
        <w:t> </w:t>
      </w:r>
      <w:r w:rsidRPr="001D4775">
        <w:rPr>
          <w:i/>
        </w:rPr>
        <w:t>Medieval Romance in England</w:t>
      </w:r>
      <w:r>
        <w:t>.</w:t>
      </w:r>
      <w:r>
        <w:rPr>
          <w:i/>
        </w:rPr>
        <w:t xml:space="preserve"> </w:t>
      </w:r>
      <w:r w:rsidRPr="004845F4">
        <w:t>New York: Burt Franklin</w:t>
      </w:r>
      <w:r>
        <w:t>. P. 4.</w:t>
      </w:r>
    </w:p>
  </w:footnote>
  <w:footnote w:id="32">
    <w:p w14:paraId="24EADA18" w14:textId="5D45B6B6" w:rsidR="00591C75" w:rsidRPr="0064413B" w:rsidRDefault="00591C75" w:rsidP="00A81B39">
      <w:pPr>
        <w:pStyle w:val="FootnoteText"/>
      </w:pPr>
      <w:r>
        <w:rPr>
          <w:rStyle w:val="FootnoteReference"/>
        </w:rPr>
        <w:footnoteRef/>
      </w:r>
      <w:r>
        <w:t xml:space="preserve"> The Saint Pachomius Orthodox Library, </w:t>
      </w:r>
      <w:r w:rsidRPr="000A117F">
        <w:t>Martyrdom of St Polycarp</w:t>
      </w:r>
      <w:r>
        <w:t>, 1994</w:t>
      </w:r>
      <w:r>
        <w:rPr>
          <w:rFonts w:ascii="Arial" w:hAnsi="Arial" w:cs="Arial"/>
          <w:color w:val="222222"/>
          <w:sz w:val="19"/>
          <w:szCs w:val="19"/>
          <w:shd w:val="clear" w:color="auto" w:fill="FFFFFF"/>
        </w:rPr>
        <w:br/>
      </w:r>
      <w:hyperlink r:id="rId7" w:history="1">
        <w:r w:rsidRPr="000E0C65">
          <w:rPr>
            <w:rStyle w:val="Hyperlink"/>
          </w:rPr>
          <w:t>http://www.voskrese.info/spl/polycarp.martyr.html</w:t>
        </w:r>
      </w:hyperlink>
      <w:r>
        <w:br/>
        <w:t>[Accessed: 14/01/2019].</w:t>
      </w:r>
    </w:p>
  </w:footnote>
  <w:footnote w:id="33">
    <w:p w14:paraId="723F7A46" w14:textId="567F5D25" w:rsidR="00591C75" w:rsidRDefault="00591C75" w:rsidP="00CE7F8C">
      <w:pPr>
        <w:pStyle w:val="FootnoteText"/>
      </w:pPr>
      <w:r>
        <w:rPr>
          <w:rStyle w:val="FootnoteReference"/>
        </w:rPr>
        <w:footnoteRef/>
      </w:r>
      <w:r>
        <w:t xml:space="preserve"> Archive.org, Will of Cecily, 2019</w:t>
      </w:r>
      <w:r>
        <w:br/>
      </w:r>
      <w:hyperlink r:id="rId8" w:history="1">
        <w:r w:rsidRPr="00A90615">
          <w:rPr>
            <w:rStyle w:val="Hyperlink"/>
          </w:rPr>
          <w:t>https://archive.org/details/willsfromdoctors00churrich/page/n15</w:t>
        </w:r>
      </w:hyperlink>
      <w:r>
        <w:rPr>
          <w:rStyle w:val="Hyperlink"/>
        </w:rPr>
        <w:br/>
      </w:r>
      <w:r>
        <w:t>[Accessed: 17/01/2019].</w:t>
      </w:r>
    </w:p>
  </w:footnote>
  <w:footnote w:id="34">
    <w:p w14:paraId="0842BB41" w14:textId="763A79C1" w:rsidR="00591C75" w:rsidRDefault="00591C75" w:rsidP="00CE7F8C">
      <w:pPr>
        <w:pStyle w:val="FootnoteText"/>
      </w:pPr>
      <w:r>
        <w:rPr>
          <w:rStyle w:val="FootnoteReference"/>
        </w:rPr>
        <w:footnoteRef/>
      </w:r>
      <w:r>
        <w:t xml:space="preserve"> Archive.org, 2019.</w:t>
      </w:r>
    </w:p>
  </w:footnote>
  <w:footnote w:id="35">
    <w:p w14:paraId="0EA48AAF" w14:textId="47F2901B" w:rsidR="00591C75" w:rsidRDefault="00591C75" w:rsidP="00CE7F8C">
      <w:pPr>
        <w:pStyle w:val="FootnoteText"/>
      </w:pPr>
      <w:r>
        <w:rPr>
          <w:rStyle w:val="FootnoteReference"/>
        </w:rPr>
        <w:footnoteRef/>
      </w:r>
      <w:r>
        <w:t xml:space="preserve"> Archive.org, 2019.</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F290584"/>
    <w:multiLevelType w:val="hybridMultilevel"/>
    <w:tmpl w:val="9BC69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32952"/>
    <w:rsid w:val="00001C3C"/>
    <w:rsid w:val="000073A8"/>
    <w:rsid w:val="00007787"/>
    <w:rsid w:val="00021FA5"/>
    <w:rsid w:val="00035DA6"/>
    <w:rsid w:val="00044DD2"/>
    <w:rsid w:val="000504BE"/>
    <w:rsid w:val="00071CB8"/>
    <w:rsid w:val="000A117F"/>
    <w:rsid w:val="000A2325"/>
    <w:rsid w:val="000A35A7"/>
    <w:rsid w:val="001058E5"/>
    <w:rsid w:val="001120C9"/>
    <w:rsid w:val="001254C0"/>
    <w:rsid w:val="001461D8"/>
    <w:rsid w:val="001868BB"/>
    <w:rsid w:val="001A3C2F"/>
    <w:rsid w:val="001B500F"/>
    <w:rsid w:val="001C1F21"/>
    <w:rsid w:val="001D4775"/>
    <w:rsid w:val="001E7AEB"/>
    <w:rsid w:val="00211984"/>
    <w:rsid w:val="002135A2"/>
    <w:rsid w:val="0021406D"/>
    <w:rsid w:val="002220D7"/>
    <w:rsid w:val="00291A1B"/>
    <w:rsid w:val="002A00B9"/>
    <w:rsid w:val="002C5760"/>
    <w:rsid w:val="002D3CAD"/>
    <w:rsid w:val="002E1A3A"/>
    <w:rsid w:val="003049D4"/>
    <w:rsid w:val="00316027"/>
    <w:rsid w:val="00331AD8"/>
    <w:rsid w:val="0034157B"/>
    <w:rsid w:val="00377B5C"/>
    <w:rsid w:val="003A45F7"/>
    <w:rsid w:val="003B5331"/>
    <w:rsid w:val="003C1A4C"/>
    <w:rsid w:val="003C4BF1"/>
    <w:rsid w:val="003D4E80"/>
    <w:rsid w:val="003F1FB6"/>
    <w:rsid w:val="004005A6"/>
    <w:rsid w:val="00412A38"/>
    <w:rsid w:val="00477111"/>
    <w:rsid w:val="004845F4"/>
    <w:rsid w:val="004F1578"/>
    <w:rsid w:val="005037E9"/>
    <w:rsid w:val="005218A8"/>
    <w:rsid w:val="00573B8C"/>
    <w:rsid w:val="00576521"/>
    <w:rsid w:val="00591C75"/>
    <w:rsid w:val="00595860"/>
    <w:rsid w:val="005B5C1C"/>
    <w:rsid w:val="005D78D5"/>
    <w:rsid w:val="005E26BB"/>
    <w:rsid w:val="005F7B88"/>
    <w:rsid w:val="00622509"/>
    <w:rsid w:val="006234D4"/>
    <w:rsid w:val="0063794A"/>
    <w:rsid w:val="0064413B"/>
    <w:rsid w:val="00695515"/>
    <w:rsid w:val="006D4796"/>
    <w:rsid w:val="00721C52"/>
    <w:rsid w:val="00724ED6"/>
    <w:rsid w:val="00732952"/>
    <w:rsid w:val="007C0677"/>
    <w:rsid w:val="007D5B75"/>
    <w:rsid w:val="007F1930"/>
    <w:rsid w:val="0080680C"/>
    <w:rsid w:val="00847990"/>
    <w:rsid w:val="00847DBE"/>
    <w:rsid w:val="00866340"/>
    <w:rsid w:val="00887E23"/>
    <w:rsid w:val="008E16A1"/>
    <w:rsid w:val="009738CA"/>
    <w:rsid w:val="00997E74"/>
    <w:rsid w:val="009F0707"/>
    <w:rsid w:val="00A12E24"/>
    <w:rsid w:val="00A213AB"/>
    <w:rsid w:val="00A45E6A"/>
    <w:rsid w:val="00A537A5"/>
    <w:rsid w:val="00A81B39"/>
    <w:rsid w:val="00A82338"/>
    <w:rsid w:val="00A84ECF"/>
    <w:rsid w:val="00A91C4E"/>
    <w:rsid w:val="00A9380F"/>
    <w:rsid w:val="00A94DD1"/>
    <w:rsid w:val="00AC72C6"/>
    <w:rsid w:val="00B44598"/>
    <w:rsid w:val="00B46B8C"/>
    <w:rsid w:val="00B47EB0"/>
    <w:rsid w:val="00B911FF"/>
    <w:rsid w:val="00BD7915"/>
    <w:rsid w:val="00BE4D03"/>
    <w:rsid w:val="00BF7AFC"/>
    <w:rsid w:val="00C16CB8"/>
    <w:rsid w:val="00C21B8A"/>
    <w:rsid w:val="00C635CF"/>
    <w:rsid w:val="00CA06DC"/>
    <w:rsid w:val="00CB2F2A"/>
    <w:rsid w:val="00CD1581"/>
    <w:rsid w:val="00CE7F8C"/>
    <w:rsid w:val="00D4290E"/>
    <w:rsid w:val="00D65AA8"/>
    <w:rsid w:val="00DB252E"/>
    <w:rsid w:val="00DB7B71"/>
    <w:rsid w:val="00DD192D"/>
    <w:rsid w:val="00DF613F"/>
    <w:rsid w:val="00DF757D"/>
    <w:rsid w:val="00E07065"/>
    <w:rsid w:val="00E276C8"/>
    <w:rsid w:val="00E42467"/>
    <w:rsid w:val="00E551D0"/>
    <w:rsid w:val="00E73217"/>
    <w:rsid w:val="00E83843"/>
    <w:rsid w:val="00E8685E"/>
    <w:rsid w:val="00EC0B6D"/>
    <w:rsid w:val="00ED1C15"/>
    <w:rsid w:val="00EE30AC"/>
    <w:rsid w:val="00F0405B"/>
    <w:rsid w:val="00F43366"/>
    <w:rsid w:val="00F46F94"/>
    <w:rsid w:val="00F5679F"/>
    <w:rsid w:val="00FA318D"/>
    <w:rsid w:val="00FA65D2"/>
    <w:rsid w:val="00FB4C53"/>
    <w:rsid w:val="00FE5EC8"/>
    <w:rsid w:val="00FE635D"/>
    <w:rsid w:val="00FE64D5"/>
    <w:rsid w:val="00FF66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6D0D78"/>
  <w15:chartTrackingRefBased/>
  <w15:docId w15:val="{9C5A58AD-9891-479D-8F25-4E70CED980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E4D03"/>
    <w:rPr>
      <w:color w:val="0000FF"/>
      <w:u w:val="single"/>
    </w:rPr>
  </w:style>
  <w:style w:type="paragraph" w:styleId="FootnoteText">
    <w:name w:val="footnote text"/>
    <w:basedOn w:val="Normal"/>
    <w:link w:val="FootnoteTextChar"/>
    <w:uiPriority w:val="99"/>
    <w:semiHidden/>
    <w:unhideWhenUsed/>
    <w:rsid w:val="0021198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11984"/>
    <w:rPr>
      <w:sz w:val="20"/>
      <w:szCs w:val="20"/>
    </w:rPr>
  </w:style>
  <w:style w:type="character" w:styleId="FootnoteReference">
    <w:name w:val="footnote reference"/>
    <w:basedOn w:val="DefaultParagraphFont"/>
    <w:uiPriority w:val="99"/>
    <w:semiHidden/>
    <w:unhideWhenUsed/>
    <w:rsid w:val="00211984"/>
    <w:rPr>
      <w:vertAlign w:val="superscript"/>
    </w:rPr>
  </w:style>
  <w:style w:type="paragraph" w:styleId="NormalWeb">
    <w:name w:val="Normal (Web)"/>
    <w:basedOn w:val="Normal"/>
    <w:uiPriority w:val="99"/>
    <w:semiHidden/>
    <w:unhideWhenUsed/>
    <w:rsid w:val="00F5679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A81B39"/>
    <w:rPr>
      <w:sz w:val="16"/>
      <w:szCs w:val="16"/>
    </w:rPr>
  </w:style>
  <w:style w:type="paragraph" w:styleId="CommentText">
    <w:name w:val="annotation text"/>
    <w:basedOn w:val="Normal"/>
    <w:link w:val="CommentTextChar"/>
    <w:uiPriority w:val="99"/>
    <w:semiHidden/>
    <w:unhideWhenUsed/>
    <w:rsid w:val="00A81B39"/>
    <w:pPr>
      <w:spacing w:line="240" w:lineRule="auto"/>
    </w:pPr>
    <w:rPr>
      <w:sz w:val="20"/>
      <w:szCs w:val="20"/>
    </w:rPr>
  </w:style>
  <w:style w:type="character" w:customStyle="1" w:styleId="CommentTextChar">
    <w:name w:val="Comment Text Char"/>
    <w:basedOn w:val="DefaultParagraphFont"/>
    <w:link w:val="CommentText"/>
    <w:uiPriority w:val="99"/>
    <w:semiHidden/>
    <w:rsid w:val="00A81B39"/>
    <w:rPr>
      <w:sz w:val="20"/>
      <w:szCs w:val="20"/>
    </w:rPr>
  </w:style>
  <w:style w:type="paragraph" w:styleId="BalloonText">
    <w:name w:val="Balloon Text"/>
    <w:basedOn w:val="Normal"/>
    <w:link w:val="BalloonTextChar"/>
    <w:uiPriority w:val="99"/>
    <w:semiHidden/>
    <w:unhideWhenUsed/>
    <w:rsid w:val="00A81B3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81B39"/>
    <w:rPr>
      <w:rFonts w:ascii="Segoe UI" w:hAnsi="Segoe UI" w:cs="Segoe UI"/>
      <w:sz w:val="18"/>
      <w:szCs w:val="18"/>
    </w:rPr>
  </w:style>
  <w:style w:type="paragraph" w:styleId="ListParagraph">
    <w:name w:val="List Paragraph"/>
    <w:basedOn w:val="Normal"/>
    <w:uiPriority w:val="34"/>
    <w:qFormat/>
    <w:rsid w:val="004845F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7812558">
      <w:bodyDiv w:val="1"/>
      <w:marLeft w:val="0"/>
      <w:marRight w:val="0"/>
      <w:marTop w:val="0"/>
      <w:marBottom w:val="0"/>
      <w:divBdr>
        <w:top w:val="none" w:sz="0" w:space="0" w:color="auto"/>
        <w:left w:val="none" w:sz="0" w:space="0" w:color="auto"/>
        <w:bottom w:val="none" w:sz="0" w:space="0" w:color="auto"/>
        <w:right w:val="none" w:sz="0" w:space="0" w:color="auto"/>
      </w:divBdr>
    </w:div>
    <w:div w:id="1501701464">
      <w:bodyDiv w:val="1"/>
      <w:marLeft w:val="0"/>
      <w:marRight w:val="0"/>
      <w:marTop w:val="0"/>
      <w:marBottom w:val="0"/>
      <w:divBdr>
        <w:top w:val="none" w:sz="0" w:space="0" w:color="auto"/>
        <w:left w:val="none" w:sz="0" w:space="0" w:color="auto"/>
        <w:bottom w:val="none" w:sz="0" w:space="0" w:color="auto"/>
        <w:right w:val="none" w:sz="0" w:space="0" w:color="auto"/>
      </w:divBdr>
    </w:div>
    <w:div w:id="21305129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chive.org/details/willsfromdoctors00churrich/page/n15" TargetMode="External"/><Relationship Id="rId13" Type="http://schemas.openxmlformats.org/officeDocument/2006/relationships/hyperlink" Target="http://www.medievalists.net/2017/04/resurrection-jesus-human-beings-medieval-christian-jewish-theology-polemical-literatur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glencairnmuseum.org/newsletter/2018/3/8/medieval-depictions-of-the-last-judgment-the-resurrection-of-the-body"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ewtn.com/library/councils/lateran4.htm" TargetMode="External"/><Relationship Id="rId5" Type="http://schemas.openxmlformats.org/officeDocument/2006/relationships/webSettings" Target="webSettings.xml"/><Relationship Id="rId15" Type="http://schemas.openxmlformats.org/officeDocument/2006/relationships/hyperlink" Target="https://www.vam.ac.uk/blog/sanctus-ignotum/st-eustace" TargetMode="External"/><Relationship Id="rId10" Type="http://schemas.openxmlformats.org/officeDocument/2006/relationships/hyperlink" Target="http://catho.org/9.php?d=bxx#bqn" TargetMode="External"/><Relationship Id="rId4" Type="http://schemas.openxmlformats.org/officeDocument/2006/relationships/settings" Target="settings.xml"/><Relationship Id="rId9" Type="http://schemas.openxmlformats.org/officeDocument/2006/relationships/hyperlink" Target="https://www.britishmuseum.org/research/collection_online/collection_object_details.aspx?objectId=47715&amp;partId=1" TargetMode="External"/><Relationship Id="rId14" Type="http://schemas.openxmlformats.org/officeDocument/2006/relationships/hyperlink" Target="http://www.voskrese.info/spl/polycarp.martyr.html"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archive.org/details/willsfromdoctors00churrich/page/n15" TargetMode="External"/><Relationship Id="rId3" Type="http://schemas.openxmlformats.org/officeDocument/2006/relationships/hyperlink" Target="http://www.ewtn.com/library/councils/lateran4.htm" TargetMode="External"/><Relationship Id="rId7" Type="http://schemas.openxmlformats.org/officeDocument/2006/relationships/hyperlink" Target="http://www.voskrese.info/spl/polycarp.martyr.html" TargetMode="External"/><Relationship Id="rId2" Type="http://schemas.openxmlformats.org/officeDocument/2006/relationships/hyperlink" Target="http://www.medievalists.net/2017/04/resurrection-jesus-human-beings-medieval-christian-jewish-theology-polemical-literature/" TargetMode="External"/><Relationship Id="rId1" Type="http://schemas.openxmlformats.org/officeDocument/2006/relationships/hyperlink" Target="http://catho.org/9.php?d=bxx#bqn" TargetMode="External"/><Relationship Id="rId6" Type="http://schemas.openxmlformats.org/officeDocument/2006/relationships/hyperlink" Target="https://www.vam.ac.uk/blog/sanctus-ignotum/st-eustace" TargetMode="External"/><Relationship Id="rId5" Type="http://schemas.openxmlformats.org/officeDocument/2006/relationships/hyperlink" Target="https://www.britishmuseum.org/research/collection_online/collection_object_details.aspx?objectId=47715&amp;partId=1" TargetMode="External"/><Relationship Id="rId4" Type="http://schemas.openxmlformats.org/officeDocument/2006/relationships/hyperlink" Target="https://glencairnmuseum.org/newsletter/2018/3/8/medieval-depictions-of-the-last-judgment-the-resurrection-of-the-bod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FBEAF5-903D-4F2D-8530-FE0BF158CB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481</TotalTime>
  <Pages>10</Pages>
  <Words>3734</Words>
  <Characters>21285</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dc:creator>
  <cp:keywords/>
  <dc:description/>
  <cp:lastModifiedBy>Angharad</cp:lastModifiedBy>
  <cp:revision>74</cp:revision>
  <dcterms:created xsi:type="dcterms:W3CDTF">2019-01-17T14:06:00Z</dcterms:created>
  <dcterms:modified xsi:type="dcterms:W3CDTF">2019-01-31T21:55:00Z</dcterms:modified>
</cp:coreProperties>
</file>