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721AA6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12664D">
              <w:rPr>
                <w:b/>
                <w:color w:val="auto"/>
                <w:sz w:val="32"/>
              </w:rPr>
              <w:t>Ryan Leeke</w:t>
            </w:r>
            <w:r>
              <w:rPr>
                <w:b/>
                <w:color w:val="auto"/>
                <w:sz w:val="32"/>
              </w:rPr>
              <w:t>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2768BD8" w:rsidR="00575A8F" w:rsidRDefault="00575A8F" w:rsidP="00E6298B">
            <w:pPr>
              <w:overflowPunct/>
              <w:autoSpaceDE/>
              <w:autoSpaceDN/>
              <w:adjustRightInd/>
              <w:ind w:right="107"/>
              <w:textAlignment w:val="auto"/>
              <w:rPr>
                <w:b/>
                <w:color w:val="auto"/>
                <w:sz w:val="32"/>
              </w:rPr>
            </w:pPr>
            <w:r>
              <w:rPr>
                <w:b/>
                <w:color w:val="auto"/>
                <w:sz w:val="32"/>
              </w:rPr>
              <w:t>___</w:t>
            </w:r>
            <w:r w:rsidR="0012664D">
              <w:rPr>
                <w:b/>
                <w:color w:val="auto"/>
                <w:sz w:val="32"/>
              </w:rPr>
              <w:t>2236120</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2664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C7907D9" w14:textId="77777777" w:rsidR="008709D1" w:rsidRDefault="008709D1" w:rsidP="008709D1">
      <w:pPr>
        <w:pStyle w:val="NormalWeb"/>
        <w:spacing w:before="0" w:beforeAutospacing="0" w:after="0" w:afterAutospacing="0"/>
      </w:pPr>
      <w:r>
        <w:rPr>
          <w:rFonts w:ascii="Arial" w:hAnsi="Arial" w:cs="Arial"/>
          <w:color w:val="000000"/>
        </w:rPr>
        <w:t xml:space="preserve">The initial 6 months of learning following on from attestation was a stressful </w:t>
      </w:r>
      <w:proofErr w:type="gramStart"/>
      <w:r>
        <w:rPr>
          <w:rFonts w:ascii="Arial" w:hAnsi="Arial" w:cs="Arial"/>
          <w:color w:val="000000"/>
        </w:rPr>
        <w:t>period of time</w:t>
      </w:r>
      <w:proofErr w:type="gramEnd"/>
      <w:r>
        <w:rPr>
          <w:rFonts w:ascii="Arial" w:hAnsi="Arial" w:cs="Arial"/>
          <w:color w:val="000000"/>
        </w:rPr>
        <w:t>, not only due to the sheer volume of learning that was required from us as students but also due to the financial burdens placed upon those entering the force on the then low levels of pay. In addition to this, increasingly widespread criticism of police both in mainstream news outlets and social media added an increased level of mental strain which had a negative impact on my resilience.</w:t>
      </w:r>
    </w:p>
    <w:p w14:paraId="7A2EF6B5" w14:textId="77777777" w:rsidR="008709D1" w:rsidRDefault="008709D1" w:rsidP="008709D1"/>
    <w:p w14:paraId="76BB66BA" w14:textId="77777777" w:rsidR="008709D1" w:rsidRDefault="008709D1" w:rsidP="008709D1">
      <w:pPr>
        <w:pStyle w:val="NormalWeb"/>
        <w:spacing w:before="0" w:beforeAutospacing="0" w:after="0" w:afterAutospacing="0"/>
      </w:pPr>
      <w:r>
        <w:rPr>
          <w:rFonts w:ascii="Arial" w:hAnsi="Arial" w:cs="Arial"/>
          <w:color w:val="000000"/>
        </w:rPr>
        <w:t xml:space="preserve">Resilience can be defined as the ability to “bounce back” from stressful experiences quickly and </w:t>
      </w:r>
      <w:proofErr w:type="gramStart"/>
      <w:r>
        <w:rPr>
          <w:rFonts w:ascii="Arial" w:hAnsi="Arial" w:cs="Arial"/>
          <w:color w:val="000000"/>
        </w:rPr>
        <w:t>effectively .</w:t>
      </w:r>
      <w:proofErr w:type="gramEnd"/>
      <w:r>
        <w:rPr>
          <w:rFonts w:ascii="Arial" w:hAnsi="Arial" w:cs="Arial"/>
          <w:color w:val="000000"/>
        </w:rPr>
        <w:t xml:space="preserve"> In their work, Resilience and Positive emotions, Tugade and Frederickson state that positive emotions contribute to the ability for resilient individuals to physiologically recover from negative emotional arousal. (Tugade and Frederickson 2004), or, more colloquially: having a positive mental attitude.</w:t>
      </w:r>
    </w:p>
    <w:p w14:paraId="0E60D9D8" w14:textId="77777777" w:rsidR="008709D1" w:rsidRDefault="008709D1" w:rsidP="008709D1"/>
    <w:p w14:paraId="3491F914" w14:textId="77777777" w:rsidR="008709D1" w:rsidRDefault="008709D1" w:rsidP="008709D1">
      <w:pPr>
        <w:pStyle w:val="NormalWeb"/>
        <w:spacing w:before="0" w:beforeAutospacing="0" w:after="0" w:afterAutospacing="0"/>
      </w:pPr>
      <w:r>
        <w:rPr>
          <w:rFonts w:ascii="Arial" w:hAnsi="Arial" w:cs="Arial"/>
          <w:color w:val="000000"/>
        </w:rPr>
        <w:t xml:space="preserve">Personally, I focused on a few different approaches to managing my wellbeing. First of all, I removed myself from social </w:t>
      </w:r>
      <w:proofErr w:type="gramStart"/>
      <w:r>
        <w:rPr>
          <w:rFonts w:ascii="Arial" w:hAnsi="Arial" w:cs="Arial"/>
          <w:color w:val="000000"/>
        </w:rPr>
        <w:t>media .</w:t>
      </w:r>
      <w:proofErr w:type="gramEnd"/>
      <w:r>
        <w:rPr>
          <w:rFonts w:ascii="Arial" w:hAnsi="Arial" w:cs="Arial"/>
          <w:color w:val="000000"/>
        </w:rPr>
        <w:t xml:space="preserve"> A study carried out in the American Economic Review found that the introduction of Facebook at a college had a negative effect on student mental health (</w:t>
      </w:r>
      <w:proofErr w:type="spellStart"/>
      <w:r>
        <w:rPr>
          <w:rFonts w:ascii="Arial" w:hAnsi="Arial" w:cs="Arial"/>
          <w:color w:val="000000"/>
        </w:rPr>
        <w:t>Braghieri</w:t>
      </w:r>
      <w:proofErr w:type="spellEnd"/>
      <w:r>
        <w:rPr>
          <w:rFonts w:ascii="Arial" w:hAnsi="Arial" w:cs="Arial"/>
          <w:color w:val="000000"/>
        </w:rPr>
        <w:t xml:space="preserve"> et al 2022). My anecdotal experience aligned with their findings regarding unfavourable comparisons between myself and others in online spaces, as such the first thing I did was to delete my social media profiles.</w:t>
      </w:r>
    </w:p>
    <w:p w14:paraId="5F0D444A" w14:textId="77777777" w:rsidR="008709D1" w:rsidRDefault="008709D1" w:rsidP="008709D1"/>
    <w:p w14:paraId="1B01A46D" w14:textId="77777777" w:rsidR="008709D1" w:rsidRDefault="008709D1" w:rsidP="008709D1">
      <w:pPr>
        <w:pStyle w:val="NormalWeb"/>
        <w:spacing w:before="0" w:beforeAutospacing="0" w:after="0" w:afterAutospacing="0"/>
      </w:pPr>
      <w:r>
        <w:rPr>
          <w:rFonts w:ascii="Arial" w:hAnsi="Arial" w:cs="Arial"/>
          <w:color w:val="000000"/>
        </w:rPr>
        <w:t xml:space="preserve">In addition to deleting social media, I made sure that I kept firm boundaries between my home and work life balance. </w:t>
      </w:r>
      <w:proofErr w:type="gramStart"/>
      <w:r>
        <w:rPr>
          <w:rFonts w:ascii="Arial" w:hAnsi="Arial" w:cs="Arial"/>
          <w:color w:val="000000"/>
        </w:rPr>
        <w:t>With the exception of</w:t>
      </w:r>
      <w:proofErr w:type="gramEnd"/>
      <w:r>
        <w:rPr>
          <w:rFonts w:ascii="Arial" w:hAnsi="Arial" w:cs="Arial"/>
          <w:color w:val="000000"/>
        </w:rPr>
        <w:t xml:space="preserve"> the run up to exams, I would only do work within the confines of the learning centre, staying late on a daily basis but ensuring that my home life was spent on things done for enjoyment only. Interestingly, studies show that when work demands make it impossible to meet personal demands (</w:t>
      </w:r>
      <w:proofErr w:type="gramStart"/>
      <w:r>
        <w:rPr>
          <w:rFonts w:ascii="Arial" w:hAnsi="Arial" w:cs="Arial"/>
          <w:color w:val="000000"/>
        </w:rPr>
        <w:t>i.e.</w:t>
      </w:r>
      <w:proofErr w:type="gramEnd"/>
      <w:r>
        <w:rPr>
          <w:rFonts w:ascii="Arial" w:hAnsi="Arial" w:cs="Arial"/>
          <w:color w:val="000000"/>
        </w:rPr>
        <w:t xml:space="preserve"> household chores) participants experience</w:t>
      </w:r>
    </w:p>
    <w:p w14:paraId="290D9F66" w14:textId="77777777" w:rsidR="008709D1" w:rsidRDefault="008709D1" w:rsidP="008709D1">
      <w:pPr>
        <w:pStyle w:val="NormalWeb"/>
        <w:spacing w:before="0" w:beforeAutospacing="0" w:after="0" w:afterAutospacing="0"/>
      </w:pPr>
      <w:r>
        <w:rPr>
          <w:rFonts w:ascii="Arial" w:hAnsi="Arial" w:cs="Arial"/>
          <w:color w:val="000000"/>
        </w:rPr>
        <w:t xml:space="preserve">lower levels of psychological well-being, and that gender was a factor in how participants managed that balance, with men being more likely to take the same approach that I did of not speaking about work at home (Wilkinson, M. 2013). </w:t>
      </w:r>
      <w:r>
        <w:rPr>
          <w:rFonts w:ascii="Arial" w:hAnsi="Arial" w:cs="Arial"/>
          <w:color w:val="000000"/>
        </w:rPr>
        <w:br/>
      </w:r>
      <w:r>
        <w:rPr>
          <w:rFonts w:ascii="Arial" w:hAnsi="Arial" w:cs="Arial"/>
          <w:color w:val="000000"/>
        </w:rPr>
        <w:br/>
        <w:t xml:space="preserve">Whilst outside of work, I spent </w:t>
      </w:r>
      <w:proofErr w:type="gramStart"/>
      <w:r>
        <w:rPr>
          <w:rFonts w:ascii="Arial" w:hAnsi="Arial" w:cs="Arial"/>
          <w:color w:val="000000"/>
        </w:rPr>
        <w:t>the majority of</w:t>
      </w:r>
      <w:proofErr w:type="gramEnd"/>
      <w:r>
        <w:rPr>
          <w:rFonts w:ascii="Arial" w:hAnsi="Arial" w:cs="Arial"/>
          <w:color w:val="000000"/>
        </w:rPr>
        <w:t xml:space="preserve"> my time on one of two activities, practising karate, or playing computer games.</w:t>
      </w:r>
    </w:p>
    <w:p w14:paraId="0AA8CF92" w14:textId="77777777" w:rsidR="008709D1" w:rsidRDefault="008709D1" w:rsidP="008709D1"/>
    <w:p w14:paraId="092FBA68" w14:textId="77777777" w:rsidR="008709D1" w:rsidRDefault="008709D1" w:rsidP="008709D1">
      <w:pPr>
        <w:pStyle w:val="NormalWeb"/>
        <w:spacing w:before="0" w:beforeAutospacing="0" w:after="0" w:afterAutospacing="0"/>
      </w:pPr>
      <w:r>
        <w:rPr>
          <w:rFonts w:ascii="Arial" w:hAnsi="Arial" w:cs="Arial"/>
          <w:color w:val="000000"/>
        </w:rPr>
        <w:t xml:space="preserve">Gaming is something that I have always enjoyed as an activity as it allows me to practise escapism. I have found that when I am engrossed in playing a computer game, many of the stresses or difficulties I am facing at that time fade into the background while I am playing. I have also found that it can be a social activity as I will often play with friends online. Not only that, but it is relatively cheap to do and as such does not place a particular financial burden on me, for example, one game </w:t>
      </w:r>
      <w:r>
        <w:rPr>
          <w:rFonts w:ascii="Arial" w:hAnsi="Arial" w:cs="Arial"/>
          <w:color w:val="000000"/>
        </w:rPr>
        <w:lastRenderedPageBreak/>
        <w:t>in particular cost me £49.99 and it has entertained me for over 200 hours, working out at approximately 25p per hour, which is significantly cheaper than many other social activities. This allows me to save money and thus reduce my worries about my personal finances. </w:t>
      </w:r>
    </w:p>
    <w:p w14:paraId="070EDB43" w14:textId="77777777" w:rsidR="008709D1" w:rsidRDefault="008709D1" w:rsidP="008709D1"/>
    <w:p w14:paraId="5FFE44A6" w14:textId="77777777" w:rsidR="008709D1" w:rsidRDefault="008709D1" w:rsidP="008709D1">
      <w:pPr>
        <w:pStyle w:val="NormalWeb"/>
        <w:spacing w:before="0" w:beforeAutospacing="0" w:after="0" w:afterAutospacing="0"/>
      </w:pPr>
      <w:r>
        <w:rPr>
          <w:rFonts w:ascii="Arial" w:hAnsi="Arial" w:cs="Arial"/>
          <w:color w:val="000000"/>
        </w:rPr>
        <w:t xml:space="preserve">Martial arts </w:t>
      </w:r>
      <w:proofErr w:type="gramStart"/>
      <w:r>
        <w:rPr>
          <w:rFonts w:ascii="Arial" w:hAnsi="Arial" w:cs="Arial"/>
          <w:color w:val="000000"/>
        </w:rPr>
        <w:t>is</w:t>
      </w:r>
      <w:proofErr w:type="gramEnd"/>
      <w:r>
        <w:rPr>
          <w:rFonts w:ascii="Arial" w:hAnsi="Arial" w:cs="Arial"/>
          <w:color w:val="000000"/>
        </w:rPr>
        <w:t xml:space="preserve"> an activity I chose to do as I wanted to do more exercise to improve my physical and mental health. It is something I had done as a child and having recently stopped playing rugby I found I suddenly had time in my schedule for another sport. The benefits that I found were many. I lost approximately </w:t>
      </w:r>
      <w:proofErr w:type="gramStart"/>
      <w:r>
        <w:rPr>
          <w:rFonts w:ascii="Arial" w:hAnsi="Arial" w:cs="Arial"/>
          <w:color w:val="000000"/>
        </w:rPr>
        <w:t>14kg, and</w:t>
      </w:r>
      <w:proofErr w:type="gramEnd"/>
      <w:r>
        <w:rPr>
          <w:rFonts w:ascii="Arial" w:hAnsi="Arial" w:cs="Arial"/>
          <w:color w:val="000000"/>
        </w:rPr>
        <w:t xml:space="preserve"> felt healthier in general. I also noticed that my mood improved after most classes (although on some occasions I found that my mood worsened). I found that I was </w:t>
      </w:r>
      <w:proofErr w:type="gramStart"/>
      <w:r>
        <w:rPr>
          <w:rFonts w:ascii="Arial" w:hAnsi="Arial" w:cs="Arial"/>
          <w:color w:val="000000"/>
        </w:rPr>
        <w:t>more  motivated</w:t>
      </w:r>
      <w:proofErr w:type="gramEnd"/>
      <w:r>
        <w:rPr>
          <w:rFonts w:ascii="Arial" w:hAnsi="Arial" w:cs="Arial"/>
          <w:color w:val="000000"/>
        </w:rPr>
        <w:t xml:space="preserve"> to complete work tasks or tasks at home in order to make sure that I did not miss the class. </w:t>
      </w:r>
    </w:p>
    <w:p w14:paraId="389C6DB2" w14:textId="77777777" w:rsidR="008709D1" w:rsidRDefault="008709D1" w:rsidP="008709D1"/>
    <w:p w14:paraId="642913E3" w14:textId="77777777" w:rsidR="008709D1" w:rsidRDefault="008709D1" w:rsidP="008709D1">
      <w:pPr>
        <w:pStyle w:val="NormalWeb"/>
        <w:spacing w:before="0" w:beforeAutospacing="0" w:after="0" w:afterAutospacing="0"/>
      </w:pPr>
      <w:r>
        <w:rPr>
          <w:rFonts w:ascii="Arial" w:hAnsi="Arial" w:cs="Arial"/>
          <w:color w:val="000000"/>
        </w:rPr>
        <w:t xml:space="preserve">Studies have repeatedly shown that exercising is an excellent way to improve your mental health, and by extension, build resilience.  A study on martial arts and </w:t>
      </w:r>
      <w:proofErr w:type="spellStart"/>
      <w:r>
        <w:rPr>
          <w:rFonts w:ascii="Arial" w:hAnsi="Arial" w:cs="Arial"/>
          <w:color w:val="000000"/>
        </w:rPr>
        <w:t>well being</w:t>
      </w:r>
      <w:proofErr w:type="spellEnd"/>
      <w:r>
        <w:rPr>
          <w:rFonts w:ascii="Arial" w:hAnsi="Arial" w:cs="Arial"/>
          <w:color w:val="000000"/>
        </w:rPr>
        <w:t xml:space="preserve"> showed that </w:t>
      </w:r>
      <w:proofErr w:type="gramStart"/>
      <w:r>
        <w:rPr>
          <w:rFonts w:ascii="Arial" w:hAnsi="Arial" w:cs="Arial"/>
          <w:color w:val="000000"/>
        </w:rPr>
        <w:t>participants  overwhelmingly</w:t>
      </w:r>
      <w:proofErr w:type="gramEnd"/>
      <w:r>
        <w:rPr>
          <w:rFonts w:ascii="Arial" w:hAnsi="Arial" w:cs="Arial"/>
          <w:color w:val="000000"/>
        </w:rPr>
        <w:t xml:space="preserve">  believed  that  since  beginning  their  martial  arts  practice,  they  felt  happier,  more  satisfied  with  life  as  well  as  less  anxious (Fuller, C. Lloyd, 2020). I found </w:t>
      </w:r>
      <w:proofErr w:type="gramStart"/>
      <w:r>
        <w:rPr>
          <w:rFonts w:ascii="Arial" w:hAnsi="Arial" w:cs="Arial"/>
          <w:color w:val="000000"/>
        </w:rPr>
        <w:t>particular enjoyment</w:t>
      </w:r>
      <w:proofErr w:type="gramEnd"/>
      <w:r>
        <w:rPr>
          <w:rFonts w:ascii="Arial" w:hAnsi="Arial" w:cs="Arial"/>
          <w:color w:val="000000"/>
        </w:rPr>
        <w:t xml:space="preserve"> in practising Kata (a choreographed series of moves designed to defend against an imaginary attacker). I found that repetition of kata allowed me to focus my mind and served as an effective form of meditation for me. In his book, </w:t>
      </w:r>
      <w:r>
        <w:rPr>
          <w:rFonts w:ascii="Arial" w:hAnsi="Arial" w:cs="Arial"/>
          <w:i/>
          <w:iCs/>
          <w:color w:val="000000"/>
        </w:rPr>
        <w:t>Traditional Asian Martial Arts Training: A Review</w:t>
      </w:r>
      <w:r>
        <w:rPr>
          <w:rFonts w:ascii="Arial" w:hAnsi="Arial" w:cs="Arial"/>
          <w:color w:val="000000"/>
        </w:rPr>
        <w:t xml:space="preserve">, John Cox, references SOO’s </w:t>
      </w:r>
      <w:proofErr w:type="gramStart"/>
      <w:r>
        <w:rPr>
          <w:rFonts w:ascii="Arial" w:hAnsi="Arial" w:cs="Arial"/>
          <w:color w:val="000000"/>
        </w:rPr>
        <w:t xml:space="preserve">work, </w:t>
      </w:r>
      <w:r>
        <w:rPr>
          <w:rFonts w:ascii="Arial" w:hAnsi="Arial" w:cs="Arial"/>
          <w:i/>
          <w:iCs/>
          <w:color w:val="000000"/>
        </w:rPr>
        <w:t> </w:t>
      </w:r>
      <w:proofErr w:type="spellStart"/>
      <w:r>
        <w:rPr>
          <w:rFonts w:ascii="Arial" w:hAnsi="Arial" w:cs="Arial"/>
          <w:i/>
          <w:iCs/>
          <w:color w:val="000000"/>
        </w:rPr>
        <w:t>Palgue</w:t>
      </w:r>
      <w:proofErr w:type="spellEnd"/>
      <w:proofErr w:type="gramEnd"/>
      <w:r>
        <w:rPr>
          <w:rFonts w:ascii="Arial" w:hAnsi="Arial" w:cs="Arial"/>
          <w:i/>
          <w:iCs/>
          <w:color w:val="000000"/>
        </w:rPr>
        <w:t xml:space="preserve"> 7.8 of </w:t>
      </w:r>
      <w:proofErr w:type="spellStart"/>
      <w:r>
        <w:rPr>
          <w:rFonts w:ascii="Arial" w:hAnsi="Arial" w:cs="Arial"/>
          <w:i/>
          <w:iCs/>
          <w:color w:val="000000"/>
        </w:rPr>
        <w:t>tae</w:t>
      </w:r>
      <w:proofErr w:type="spellEnd"/>
      <w:r>
        <w:rPr>
          <w:rFonts w:ascii="Arial" w:hAnsi="Arial" w:cs="Arial"/>
          <w:i/>
          <w:iCs/>
          <w:color w:val="000000"/>
        </w:rPr>
        <w:t xml:space="preserve"> kwon do </w:t>
      </w:r>
      <w:proofErr w:type="spellStart"/>
      <w:r>
        <w:rPr>
          <w:rFonts w:ascii="Arial" w:hAnsi="Arial" w:cs="Arial"/>
          <w:i/>
          <w:iCs/>
          <w:color w:val="000000"/>
        </w:rPr>
        <w:t>hyung</w:t>
      </w:r>
      <w:proofErr w:type="spellEnd"/>
      <w:r>
        <w:rPr>
          <w:rFonts w:ascii="Arial" w:hAnsi="Arial" w:cs="Arial"/>
          <w:i/>
          <w:iCs/>
          <w:color w:val="000000"/>
        </w:rPr>
        <w:t>: Black belt requirement</w:t>
      </w:r>
      <w:r>
        <w:rPr>
          <w:rFonts w:ascii="Arial" w:hAnsi="Arial" w:cs="Arial"/>
          <w:color w:val="000000"/>
        </w:rPr>
        <w:t xml:space="preserve">. He states that the form serves as a moving meditation to develop harmony of body and mind (COX 1981). The effectiveness of martial arts as a method of improving </w:t>
      </w:r>
      <w:proofErr w:type="spellStart"/>
      <w:r>
        <w:rPr>
          <w:rFonts w:ascii="Arial" w:hAnsi="Arial" w:cs="Arial"/>
          <w:color w:val="000000"/>
        </w:rPr>
        <w:t>well being</w:t>
      </w:r>
      <w:proofErr w:type="spellEnd"/>
      <w:r>
        <w:rPr>
          <w:rFonts w:ascii="Arial" w:hAnsi="Arial" w:cs="Arial"/>
          <w:color w:val="000000"/>
        </w:rPr>
        <w:t xml:space="preserve"> is relatively well researched, to the point that in a study was carried out in Australia which suggested that martial arts based psychosocial interventions are an effective method of improving wellbeing outcomes by helping individuals develop strengths and to cope more effectively with daily challenges (Moore et al. 2018), which although less relevant to the learning environment becomes invaluable within the scope of policing. </w:t>
      </w:r>
    </w:p>
    <w:p w14:paraId="16ECDD95" w14:textId="77777777" w:rsidR="008709D1" w:rsidRDefault="008709D1" w:rsidP="008709D1"/>
    <w:p w14:paraId="17FD691C" w14:textId="77777777" w:rsidR="008709D1" w:rsidRDefault="008709D1" w:rsidP="008709D1">
      <w:pPr>
        <w:pStyle w:val="NormalWeb"/>
        <w:spacing w:before="0" w:beforeAutospacing="0" w:after="0" w:afterAutospacing="0"/>
      </w:pPr>
      <w:r>
        <w:rPr>
          <w:rFonts w:ascii="Arial" w:hAnsi="Arial" w:cs="Arial"/>
          <w:color w:val="000000"/>
        </w:rPr>
        <w:t xml:space="preserve">Gaming and its impact on those who engage in it as a hobby is also relatively well studied, however a number of these studies have focused on the negative aspects of gaming such as the issue of addiction which can affect those who are struggling with depression, loneliness or low </w:t>
      </w:r>
      <w:proofErr w:type="spellStart"/>
      <w:r>
        <w:rPr>
          <w:rFonts w:ascii="Arial" w:hAnsi="Arial" w:cs="Arial"/>
          <w:color w:val="000000"/>
        </w:rPr>
        <w:t>self esteem</w:t>
      </w:r>
      <w:proofErr w:type="spellEnd"/>
      <w:r>
        <w:rPr>
          <w:rFonts w:ascii="Arial" w:hAnsi="Arial" w:cs="Arial"/>
          <w:color w:val="000000"/>
        </w:rPr>
        <w:t xml:space="preserve"> </w:t>
      </w:r>
      <w:proofErr w:type="gramStart"/>
      <w:r>
        <w:rPr>
          <w:rFonts w:ascii="Arial" w:hAnsi="Arial" w:cs="Arial"/>
          <w:color w:val="000000"/>
        </w:rPr>
        <w:t>( Scerri</w:t>
      </w:r>
      <w:proofErr w:type="gramEnd"/>
      <w:r>
        <w:rPr>
          <w:rFonts w:ascii="Arial" w:hAnsi="Arial" w:cs="Arial"/>
          <w:color w:val="000000"/>
        </w:rPr>
        <w:t xml:space="preserve"> et al 2018). </w:t>
      </w:r>
      <w:proofErr w:type="gramStart"/>
      <w:r>
        <w:rPr>
          <w:rFonts w:ascii="Arial" w:hAnsi="Arial" w:cs="Arial"/>
          <w:color w:val="000000"/>
        </w:rPr>
        <w:t>However</w:t>
      </w:r>
      <w:proofErr w:type="gramEnd"/>
      <w:r>
        <w:rPr>
          <w:rFonts w:ascii="Arial" w:hAnsi="Arial" w:cs="Arial"/>
          <w:color w:val="000000"/>
        </w:rPr>
        <w:t xml:space="preserve"> the article </w:t>
      </w:r>
      <w:r>
        <w:rPr>
          <w:rFonts w:ascii="Arial" w:hAnsi="Arial" w:cs="Arial"/>
          <w:i/>
          <w:iCs/>
          <w:color w:val="000000"/>
        </w:rPr>
        <w:t xml:space="preserve">Health and Digital Gaming: The benefits of a Community Practice, </w:t>
      </w:r>
      <w:r>
        <w:rPr>
          <w:rFonts w:ascii="Arial" w:hAnsi="Arial" w:cs="Arial"/>
          <w:color w:val="000000"/>
        </w:rPr>
        <w:t>it was outlined that gaming can have benefits in a number of areas including problem solving skills, communication skills and hand eye coordination (Schott, G. Hodgetts, D 2006).</w:t>
      </w:r>
    </w:p>
    <w:p w14:paraId="6FB611B0" w14:textId="77777777" w:rsidR="008709D1" w:rsidRDefault="008709D1" w:rsidP="008709D1"/>
    <w:p w14:paraId="36D187D2" w14:textId="77777777" w:rsidR="008709D1" w:rsidRDefault="008709D1" w:rsidP="008709D1">
      <w:pPr>
        <w:pStyle w:val="NormalWeb"/>
        <w:spacing w:before="0" w:beforeAutospacing="0" w:after="0" w:afterAutospacing="0"/>
      </w:pPr>
      <w:r>
        <w:rPr>
          <w:rFonts w:ascii="Arial" w:hAnsi="Arial" w:cs="Arial"/>
          <w:color w:val="000000"/>
        </w:rPr>
        <w:t xml:space="preserve">It is difficult to </w:t>
      </w:r>
      <w:proofErr w:type="gramStart"/>
      <w:r>
        <w:rPr>
          <w:rFonts w:ascii="Arial" w:hAnsi="Arial" w:cs="Arial"/>
          <w:color w:val="000000"/>
        </w:rPr>
        <w:t>compare and contrast</w:t>
      </w:r>
      <w:proofErr w:type="gramEnd"/>
      <w:r>
        <w:rPr>
          <w:rFonts w:ascii="Arial" w:hAnsi="Arial" w:cs="Arial"/>
          <w:color w:val="000000"/>
        </w:rPr>
        <w:t xml:space="preserve"> the two activities in terms of how effective they were at building resilience, as I have engaged with both of them at the same time. Reading into the topics suggests that martial arts </w:t>
      </w:r>
      <w:proofErr w:type="gramStart"/>
      <w:r>
        <w:rPr>
          <w:rFonts w:ascii="Arial" w:hAnsi="Arial" w:cs="Arial"/>
          <w:color w:val="000000"/>
        </w:rPr>
        <w:t>has</w:t>
      </w:r>
      <w:proofErr w:type="gramEnd"/>
      <w:r>
        <w:rPr>
          <w:rFonts w:ascii="Arial" w:hAnsi="Arial" w:cs="Arial"/>
          <w:color w:val="000000"/>
        </w:rPr>
        <w:t xml:space="preserve"> a better ratio of positive to negative outcome as there was little evidence pointing towards negative aspects of martial arts training. My personal experience also matches this. In comparison, gaming, although a consistently pleasurable experience for me, is often associated with issues such as the issue of </w:t>
      </w:r>
      <w:proofErr w:type="spellStart"/>
      <w:proofErr w:type="gramStart"/>
      <w:r>
        <w:rPr>
          <w:rFonts w:ascii="Arial" w:hAnsi="Arial" w:cs="Arial"/>
          <w:color w:val="000000"/>
        </w:rPr>
        <w:t>addiction.Games</w:t>
      </w:r>
      <w:proofErr w:type="spellEnd"/>
      <w:proofErr w:type="gramEnd"/>
      <w:r>
        <w:rPr>
          <w:rFonts w:ascii="Arial" w:hAnsi="Arial" w:cs="Arial"/>
          <w:color w:val="000000"/>
        </w:rPr>
        <w:t xml:space="preserve"> can be so engrossing that I struggle to complete basic tasks which has a knock on effect on my </w:t>
      </w:r>
      <w:proofErr w:type="spellStart"/>
      <w:r>
        <w:rPr>
          <w:rFonts w:ascii="Arial" w:hAnsi="Arial" w:cs="Arial"/>
          <w:color w:val="000000"/>
        </w:rPr>
        <w:t>self esteem</w:t>
      </w:r>
      <w:proofErr w:type="spellEnd"/>
      <w:r>
        <w:rPr>
          <w:rFonts w:ascii="Arial" w:hAnsi="Arial" w:cs="Arial"/>
          <w:color w:val="000000"/>
        </w:rPr>
        <w:t xml:space="preserve"> and mental health and resilience. I have found that the positive aspects of practising martial arts directly counteract this by boosting physical and mental </w:t>
      </w:r>
      <w:proofErr w:type="spellStart"/>
      <w:r>
        <w:rPr>
          <w:rFonts w:ascii="Arial" w:hAnsi="Arial" w:cs="Arial"/>
          <w:color w:val="000000"/>
        </w:rPr>
        <w:t>well being</w:t>
      </w:r>
      <w:proofErr w:type="spellEnd"/>
      <w:r>
        <w:rPr>
          <w:rFonts w:ascii="Arial" w:hAnsi="Arial" w:cs="Arial"/>
          <w:color w:val="000000"/>
        </w:rPr>
        <w:t xml:space="preserve"> and </w:t>
      </w:r>
      <w:proofErr w:type="spellStart"/>
      <w:r>
        <w:rPr>
          <w:rFonts w:ascii="Arial" w:hAnsi="Arial" w:cs="Arial"/>
          <w:color w:val="000000"/>
        </w:rPr>
        <w:t>self esteem</w:t>
      </w:r>
      <w:proofErr w:type="spellEnd"/>
      <w:r>
        <w:rPr>
          <w:rFonts w:ascii="Arial" w:hAnsi="Arial" w:cs="Arial"/>
          <w:color w:val="000000"/>
        </w:rPr>
        <w:t>, thus allowing me better to enjoy my spare time which contributes to a feeling of a better work-life balance. </w:t>
      </w:r>
    </w:p>
    <w:p w14:paraId="1F5458EF" w14:textId="77777777" w:rsidR="008709D1" w:rsidRDefault="008709D1" w:rsidP="008709D1"/>
    <w:p w14:paraId="01E493E8" w14:textId="77777777" w:rsidR="008709D1" w:rsidRDefault="008709D1" w:rsidP="008709D1">
      <w:pPr>
        <w:pStyle w:val="NormalWeb"/>
        <w:spacing w:before="0" w:beforeAutospacing="0" w:after="0" w:afterAutospacing="0"/>
      </w:pPr>
      <w:r>
        <w:rPr>
          <w:rFonts w:ascii="Arial" w:hAnsi="Arial" w:cs="Arial"/>
          <w:color w:val="000000"/>
        </w:rPr>
        <w:t>Word Count: 1095</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550EC62" w14:textId="77777777" w:rsidR="003F117F" w:rsidRPr="0042061E" w:rsidRDefault="003F117F" w:rsidP="003F117F">
      <w:pPr>
        <w:ind w:right="107"/>
        <w:rPr>
          <w:sz w:val="24"/>
          <w:szCs w:val="24"/>
        </w:rPr>
      </w:pPr>
      <w:r w:rsidRPr="0042061E">
        <w:rPr>
          <w:sz w:val="24"/>
          <w:szCs w:val="24"/>
        </w:rPr>
        <w:t>In the course of my duties as an officer I had reason to attend police custody with a prisoner who had been arrested on suspicion of common assault and causing minor criminal damage. The conflict in the scenario arose between me and a second prisoner also at custody at the time. The second prisoner had been brought into custody because of a domestic violence incident where it was alleged that he had assaulted his partner.</w:t>
      </w:r>
      <w:r w:rsidRPr="0042061E">
        <w:rPr>
          <w:sz w:val="24"/>
          <w:szCs w:val="24"/>
        </w:rPr>
        <w:br/>
      </w:r>
      <w:r w:rsidRPr="0042061E">
        <w:rPr>
          <w:sz w:val="24"/>
          <w:szCs w:val="24"/>
        </w:rPr>
        <w:br/>
        <w:t xml:space="preserve">The prisoner I arrived at custody with (Prisoner 1 – white male, 20ys, slight build, entirely compliant, low-level assault) had been handcuffed prior to arriving at custody. He was complaint at all stages of conveyance and remained compliant in the holding cell. </w:t>
      </w:r>
      <w:r>
        <w:rPr>
          <w:sz w:val="24"/>
          <w:szCs w:val="24"/>
        </w:rPr>
        <w:t xml:space="preserve">During the waiting period of almost 3 </w:t>
      </w:r>
      <w:proofErr w:type="gramStart"/>
      <w:r>
        <w:rPr>
          <w:sz w:val="24"/>
          <w:szCs w:val="24"/>
        </w:rPr>
        <w:t>hours</w:t>
      </w:r>
      <w:proofErr w:type="gramEnd"/>
      <w:r>
        <w:rPr>
          <w:sz w:val="24"/>
          <w:szCs w:val="24"/>
        </w:rPr>
        <w:t xml:space="preserve"> I was given authorisation to remove him from the holding cell and take him into the custody detention suite, where I removed his handcuffs in order to allow him to urinate. Following this, I went to return him to the holding cells deciding that there was no justification for the reapplication of handcuffs given the situation, his compliance levels, and the low level of threat and risk he posed at that time.</w:t>
      </w:r>
      <w:r w:rsidRPr="0042061E">
        <w:rPr>
          <w:sz w:val="24"/>
          <w:szCs w:val="24"/>
        </w:rPr>
        <w:br/>
      </w:r>
    </w:p>
    <w:p w14:paraId="1C895F38" w14:textId="77777777" w:rsidR="003F117F" w:rsidRPr="0042061E" w:rsidRDefault="003F117F" w:rsidP="003F117F">
      <w:pPr>
        <w:rPr>
          <w:sz w:val="24"/>
          <w:szCs w:val="24"/>
        </w:rPr>
      </w:pPr>
      <w:r w:rsidRPr="0042061E">
        <w:rPr>
          <w:sz w:val="24"/>
          <w:szCs w:val="24"/>
        </w:rPr>
        <w:t xml:space="preserve">Prisoner 1 was returned to the holding cells of a second wing directly from the suite however another prisoner (Prisoner 2 – black male, 30s, muscular build, domestic assault) was waiting in these cells. Prisoner 2 has seen prisoner 1 being brought to a cell without handcuffs, which was the trigger for a dispute between Prisoner 2 and the officers present in the holding area. Prisoner 2 has then become verbally aggressive, noting that he was being treated differently, stating that he was being treated differently due to his Ethnicity. Understandably, given his misconception, his compliance levels </w:t>
      </w:r>
      <w:proofErr w:type="gramStart"/>
      <w:r w:rsidRPr="0042061E">
        <w:rPr>
          <w:sz w:val="24"/>
          <w:szCs w:val="24"/>
        </w:rPr>
        <w:t>dropped</w:t>
      </w:r>
      <w:proofErr w:type="gramEnd"/>
      <w:r w:rsidRPr="0042061E">
        <w:rPr>
          <w:sz w:val="24"/>
          <w:szCs w:val="24"/>
        </w:rPr>
        <w:t xml:space="preserve"> and he became antagonistic and verbally aggressive. He became difficult, initially calling all the officers present racist for their actions, repeatedly making demands of them. He then asked for </w:t>
      </w:r>
      <w:proofErr w:type="gramStart"/>
      <w:r w:rsidRPr="0042061E">
        <w:rPr>
          <w:sz w:val="24"/>
          <w:szCs w:val="24"/>
        </w:rPr>
        <w:t>water, but</w:t>
      </w:r>
      <w:proofErr w:type="gramEnd"/>
      <w:r w:rsidRPr="0042061E">
        <w:rPr>
          <w:sz w:val="24"/>
          <w:szCs w:val="24"/>
        </w:rPr>
        <w:t xml:space="preserve"> refused to be given water by the officers responsible for his welfare, accusing </w:t>
      </w:r>
      <w:r w:rsidRPr="0042061E">
        <w:rPr>
          <w:sz w:val="24"/>
          <w:szCs w:val="24"/>
        </w:rPr>
        <w:lastRenderedPageBreak/>
        <w:t xml:space="preserve">him of spitting in his water. The two cups he had filled with water were cups Prisoner 2 had already drank from earlier, prisoner 1 then asked to have the water instead, and he was told he would have to have a different cup. This then caused prisoner 2 to wrongly determine that he was correct and that his cup had indeed been spat in, when in fact, it was simply for hygiene reasons that his used cups were not passed to Prisoner 1. </w:t>
      </w:r>
    </w:p>
    <w:p w14:paraId="5D16A53C" w14:textId="77777777" w:rsidR="003F117F" w:rsidRPr="0042061E" w:rsidRDefault="003F117F" w:rsidP="003F117F">
      <w:pPr>
        <w:rPr>
          <w:rFonts w:cstheme="minorHAnsi"/>
          <w:sz w:val="24"/>
          <w:szCs w:val="24"/>
          <w:shd w:val="clear" w:color="auto" w:fill="FFFFFF"/>
        </w:rPr>
      </w:pPr>
      <w:r w:rsidRPr="0042061E">
        <w:rPr>
          <w:sz w:val="24"/>
          <w:szCs w:val="24"/>
        </w:rPr>
        <w:t xml:space="preserve">I consider there to have been three points of note within the discussion between Prisoner 2 and the officers involved in which I have contributed to a positive outcome. The first came about when I challenged him on a statement in which he himself suggested that racism ‘wasn’t real’. The second was when I acquiesced to his request for water to be fetched by someone other than the officer who had initially bought it to him. The third </w:t>
      </w:r>
      <w:r>
        <w:rPr>
          <w:sz w:val="24"/>
          <w:szCs w:val="24"/>
        </w:rPr>
        <w:t xml:space="preserve">was when I left the holding area, leaving him with only the other officers and no other prisoners. </w:t>
      </w:r>
      <w:r w:rsidRPr="0042061E">
        <w:rPr>
          <w:sz w:val="24"/>
          <w:szCs w:val="24"/>
        </w:rPr>
        <w:br/>
      </w:r>
      <w:r w:rsidRPr="0042061E">
        <w:rPr>
          <w:sz w:val="24"/>
          <w:szCs w:val="24"/>
        </w:rPr>
        <w:br/>
      </w:r>
      <w:r w:rsidRPr="0042061E">
        <w:rPr>
          <w:rFonts w:cstheme="minorHAnsi"/>
          <w:sz w:val="24"/>
          <w:szCs w:val="24"/>
          <w:shd w:val="clear" w:color="auto" w:fill="FFFFFF"/>
        </w:rPr>
        <w:t>One of the tools used to analyse conflict within a wide variety of contexts is Karpman’s Drama triangle. His model assigns three roles, that of persecutor, victim, and rescuer, and asserts that drama (or in our case, conflict) can be analysed as switches  in role and location on a time continuum, and whilst Karpman initially uses this method to analyse fairy tales and script to illustrate the effectiveness or intensity of drama within the context of velocity (excitement and boredom), he then applies the broader concept to the context of therapy. (Karpman, S 1968). Extrapolating this, the drama triangle in the context of policing can be used to guide police officers in ongoing conflict situations, or to reflect on an instance of conflict.</w:t>
      </w:r>
    </w:p>
    <w:p w14:paraId="48CDC9FC" w14:textId="77777777" w:rsidR="003F117F" w:rsidRDefault="003F117F" w:rsidP="003F117F">
      <w:pPr>
        <w:rPr>
          <w:rFonts w:cstheme="minorHAnsi"/>
          <w:sz w:val="24"/>
          <w:szCs w:val="24"/>
          <w:shd w:val="clear" w:color="auto" w:fill="FFFFFF"/>
        </w:rPr>
      </w:pPr>
      <w:r w:rsidRPr="0042061E">
        <w:rPr>
          <w:rFonts w:cstheme="minorHAnsi"/>
          <w:sz w:val="24"/>
          <w:szCs w:val="24"/>
          <w:shd w:val="clear" w:color="auto" w:fill="FFFFFF"/>
        </w:rPr>
        <w:t xml:space="preserve">The drama triangle is particularly useful in situations where two or more officers are dealing with one prisoner. Anecdotally, the prisoner will often take the role of victim as their perception is that they are being persecuted regardless of any allegations of wrongdoing. Within this framework, Prisoner 2 has the perception that he is being treated differently due to his ethnicity. The officers who were detaining him were seen as persecutors, and I was seen as a potential rescuer. What followed was straightforward in terms of roles within the triangle. </w:t>
      </w:r>
      <w:r>
        <w:rPr>
          <w:rFonts w:cstheme="minorHAnsi"/>
          <w:sz w:val="24"/>
          <w:szCs w:val="24"/>
          <w:shd w:val="clear" w:color="auto" w:fill="FFFFFF"/>
        </w:rPr>
        <w:t xml:space="preserve">It may that the tendency for people to slip into these roles is responsible for the </w:t>
      </w:r>
      <w:proofErr w:type="spellStart"/>
      <w:r>
        <w:rPr>
          <w:rFonts w:cstheme="minorHAnsi"/>
          <w:sz w:val="24"/>
          <w:szCs w:val="24"/>
          <w:shd w:val="clear" w:color="auto" w:fill="FFFFFF"/>
        </w:rPr>
        <w:t>well known</w:t>
      </w:r>
      <w:proofErr w:type="spellEnd"/>
      <w:r>
        <w:rPr>
          <w:rFonts w:cstheme="minorHAnsi"/>
          <w:sz w:val="24"/>
          <w:szCs w:val="24"/>
          <w:shd w:val="clear" w:color="auto" w:fill="FFFFFF"/>
        </w:rPr>
        <w:t xml:space="preserve"> ‘good cop, bad cop’ trope often seen in media representations of police. </w:t>
      </w:r>
    </w:p>
    <w:p w14:paraId="19CAA490" w14:textId="77777777" w:rsidR="003F117F" w:rsidRDefault="003F117F" w:rsidP="003F117F">
      <w:pPr>
        <w:rPr>
          <w:rFonts w:cstheme="minorHAnsi"/>
          <w:sz w:val="24"/>
          <w:szCs w:val="24"/>
          <w:shd w:val="clear" w:color="auto" w:fill="FFFFFF"/>
        </w:rPr>
      </w:pPr>
      <w:r w:rsidRPr="0042061E">
        <w:rPr>
          <w:rFonts w:cstheme="minorHAnsi"/>
          <w:sz w:val="24"/>
          <w:szCs w:val="24"/>
          <w:shd w:val="clear" w:color="auto" w:fill="FFFFFF"/>
        </w:rPr>
        <w:br/>
        <w:t xml:space="preserve">The first turning point in the discussion come when Prisoner 2 spoke of issues of race within policing. He stated his belief that until that moment he did not believe that true racism was an issue within society, continuing to state that his treatment by officers within custody was beginning to change his opinion. I have disagreed with him, stating that sadly, racism is indeed an issue within society, and that we as officers often deal with instances where people have been the victim of racist abuse. I continued to explain that sadly, there are several instances that have been made public where people have been mistreated by police officers </w:t>
      </w:r>
      <w:proofErr w:type="gramStart"/>
      <w:r w:rsidRPr="0042061E">
        <w:rPr>
          <w:rFonts w:cstheme="minorHAnsi"/>
          <w:sz w:val="24"/>
          <w:szCs w:val="24"/>
          <w:shd w:val="clear" w:color="auto" w:fill="FFFFFF"/>
        </w:rPr>
        <w:t>as a result of</w:t>
      </w:r>
      <w:proofErr w:type="gramEnd"/>
      <w:r w:rsidRPr="0042061E">
        <w:rPr>
          <w:rFonts w:cstheme="minorHAnsi"/>
          <w:sz w:val="24"/>
          <w:szCs w:val="24"/>
          <w:shd w:val="clear" w:color="auto" w:fill="FFFFFF"/>
        </w:rPr>
        <w:t xml:space="preserve"> unintentional or intentional bias. Relating to this scenario I did not believe that his being in cuffs was because of my colleagues acting on any bias. They gave the prisoner sound reasoning as to why he was kept in handcuffs, and why Prisoner 1 was not handcuffed. Interestingly, this was the moment where my role within the triangle was fixed as a ‘rescuer’. Perhaps he had been expecting me to deny the existence of racism within policing, or to defend </w:t>
      </w:r>
      <w:proofErr w:type="gramStart"/>
      <w:r w:rsidRPr="0042061E">
        <w:rPr>
          <w:rFonts w:cstheme="minorHAnsi"/>
          <w:sz w:val="24"/>
          <w:szCs w:val="24"/>
          <w:shd w:val="clear" w:color="auto" w:fill="FFFFFF"/>
        </w:rPr>
        <w:t>policing as a whole, but</w:t>
      </w:r>
      <w:proofErr w:type="gramEnd"/>
      <w:r w:rsidRPr="0042061E">
        <w:rPr>
          <w:rFonts w:cstheme="minorHAnsi"/>
          <w:sz w:val="24"/>
          <w:szCs w:val="24"/>
          <w:shd w:val="clear" w:color="auto" w:fill="FFFFFF"/>
        </w:rPr>
        <w:t xml:space="preserve"> certainly, acknowledgement of the issue seemed to be the point at which his opinion regarding me as an officer changed. </w:t>
      </w:r>
      <w:r w:rsidRPr="0042061E">
        <w:rPr>
          <w:rFonts w:cstheme="minorHAnsi"/>
          <w:sz w:val="24"/>
          <w:szCs w:val="24"/>
          <w:shd w:val="clear" w:color="auto" w:fill="FFFFFF"/>
        </w:rPr>
        <w:br/>
      </w:r>
      <w:r w:rsidRPr="0042061E">
        <w:rPr>
          <w:rFonts w:cstheme="minorHAnsi"/>
          <w:sz w:val="24"/>
          <w:szCs w:val="24"/>
          <w:shd w:val="clear" w:color="auto" w:fill="FFFFFF"/>
        </w:rPr>
        <w:br/>
        <w:t xml:space="preserve">Awareness of the drama triangle and the interchangeable roles within it allowed me to better understand the shift in dynamic and as such tailor my approach to the situation offering a more sympathetic ear which he was keen to engage with, which helped build rapport and de-escalate the situation.  Interestingly, when I have left the location with Prisoner 1, Prisoner 2 has then been left without a person acting in the ‘rescuer’ role, and </w:t>
      </w:r>
      <w:r w:rsidRPr="0042061E">
        <w:rPr>
          <w:rFonts w:cstheme="minorHAnsi"/>
          <w:sz w:val="24"/>
          <w:szCs w:val="24"/>
          <w:shd w:val="clear" w:color="auto" w:fill="FFFFFF"/>
        </w:rPr>
        <w:lastRenderedPageBreak/>
        <w:t xml:space="preserve">the dynamic has shifted in a way which allowed one of the other officers to take up that role maintaining a more personable discussion. </w:t>
      </w:r>
      <w:proofErr w:type="gramStart"/>
      <w:r w:rsidRPr="0042061E">
        <w:rPr>
          <w:rFonts w:cstheme="minorHAnsi"/>
          <w:sz w:val="24"/>
          <w:szCs w:val="24"/>
          <w:shd w:val="clear" w:color="auto" w:fill="FFFFFF"/>
        </w:rPr>
        <w:t>That being said, the</w:t>
      </w:r>
      <w:proofErr w:type="gramEnd"/>
      <w:r w:rsidRPr="0042061E">
        <w:rPr>
          <w:rFonts w:cstheme="minorHAnsi"/>
          <w:sz w:val="24"/>
          <w:szCs w:val="24"/>
          <w:shd w:val="clear" w:color="auto" w:fill="FFFFFF"/>
        </w:rPr>
        <w:t xml:space="preserve"> drama triangle focuses more on behavioural roles and shifting dynamics within a conflict situation rather than other model’s for example Thomas Kilmann’s</w:t>
      </w:r>
      <w:r>
        <w:rPr>
          <w:rFonts w:cstheme="minorHAnsi"/>
          <w:sz w:val="24"/>
          <w:szCs w:val="24"/>
          <w:shd w:val="clear" w:color="auto" w:fill="FFFFFF"/>
        </w:rPr>
        <w:t xml:space="preserve"> Conflict Mode instrument which looks more on behavioural styles within such a situation. </w:t>
      </w:r>
    </w:p>
    <w:p w14:paraId="0E17DDE4" w14:textId="77777777" w:rsidR="003F117F" w:rsidRDefault="003F117F" w:rsidP="003F117F">
      <w:pPr>
        <w:rPr>
          <w:rFonts w:cstheme="minorHAnsi"/>
          <w:sz w:val="24"/>
          <w:szCs w:val="24"/>
          <w:shd w:val="clear" w:color="auto" w:fill="FFFFFF"/>
        </w:rPr>
      </w:pPr>
      <w:r>
        <w:rPr>
          <w:rFonts w:cstheme="minorHAnsi"/>
          <w:sz w:val="24"/>
          <w:szCs w:val="24"/>
          <w:shd w:val="clear" w:color="auto" w:fill="FFFFFF"/>
        </w:rPr>
        <w:t xml:space="preserve">Developed by Ralph Kilmann and Kenneth Thomas in 1977, the Thomas-Kilmann instrument is a tool used to assess behavioural modes between parties and is most often used in business environments. There are two primary attributes in the model, Assertiveness and Cooperativeness. Within that there are 5 behaviours. Compromise, Competition, Collaboration, Avoidance and Accommodation. They are intended to describe 5 behaviours which make up the different approaches to conflict within a business capacity, and as such is only somewhat applicable to the context of conflict within policing. These </w:t>
      </w:r>
      <w:r w:rsidRPr="001A22BE">
        <w:rPr>
          <w:rFonts w:cstheme="minorHAnsi"/>
          <w:sz w:val="24"/>
          <w:szCs w:val="24"/>
          <w:shd w:val="clear" w:color="auto" w:fill="FFFFFF"/>
        </w:rPr>
        <w:t>are more accurately described as “negotiating” or</w:t>
      </w:r>
      <w:r>
        <w:rPr>
          <w:rFonts w:cstheme="minorHAnsi"/>
          <w:sz w:val="24"/>
          <w:szCs w:val="24"/>
          <w:shd w:val="clear" w:color="auto" w:fill="FFFFFF"/>
        </w:rPr>
        <w:t xml:space="preserve"> </w:t>
      </w:r>
      <w:r w:rsidRPr="001A22BE">
        <w:rPr>
          <w:rFonts w:cstheme="minorHAnsi"/>
          <w:sz w:val="24"/>
          <w:szCs w:val="24"/>
          <w:shd w:val="clear" w:color="auto" w:fill="FFFFFF"/>
        </w:rPr>
        <w:t>“decision-making” styles</w:t>
      </w:r>
      <w:r>
        <w:rPr>
          <w:rFonts w:cstheme="minorHAnsi"/>
          <w:sz w:val="24"/>
          <w:szCs w:val="24"/>
          <w:shd w:val="clear" w:color="auto" w:fill="FFFFFF"/>
        </w:rPr>
        <w:t xml:space="preserve"> (Trippe, B. </w:t>
      </w:r>
      <w:proofErr w:type="spellStart"/>
      <w:r>
        <w:rPr>
          <w:rFonts w:cstheme="minorHAnsi"/>
          <w:sz w:val="24"/>
          <w:szCs w:val="24"/>
          <w:shd w:val="clear" w:color="auto" w:fill="FFFFFF"/>
        </w:rPr>
        <w:t>Baumoel</w:t>
      </w:r>
      <w:proofErr w:type="spellEnd"/>
      <w:r>
        <w:rPr>
          <w:rFonts w:cstheme="minorHAnsi"/>
          <w:sz w:val="24"/>
          <w:szCs w:val="24"/>
          <w:shd w:val="clear" w:color="auto" w:fill="FFFFFF"/>
        </w:rPr>
        <w:t xml:space="preserve">, D (2015)), and designed an extension to the Thomas-Kilmann model by adding further behaviour styles of Sabotaging, Excluding and Blocking, which they conclude are adversarial, whereas the original 5 are either indifferent or harmonious in nature. The extended model is somewhat more relevant to policing specifically because of the nature of conflict within the role. Behaviours shown by prisoners will frequently match that of the adversarial or Indifferent styles. Police officers must switch between indifferent and harmonious styles, occasionally adopting adversarial styles when necessary. The styles however are still somewhat restrictive in describing the behavioural approach within the context of the incident we are discussing. If asked to select the specific behaviour I adopted within the scenario It would be difficult to settle on </w:t>
      </w:r>
      <w:proofErr w:type="gramStart"/>
      <w:r>
        <w:rPr>
          <w:rFonts w:cstheme="minorHAnsi"/>
          <w:sz w:val="24"/>
          <w:szCs w:val="24"/>
          <w:shd w:val="clear" w:color="auto" w:fill="FFFFFF"/>
        </w:rPr>
        <w:t>any one</w:t>
      </w:r>
      <w:proofErr w:type="gramEnd"/>
      <w:r>
        <w:rPr>
          <w:rFonts w:cstheme="minorHAnsi"/>
          <w:sz w:val="24"/>
          <w:szCs w:val="24"/>
          <w:shd w:val="clear" w:color="auto" w:fill="FFFFFF"/>
        </w:rPr>
        <w:t xml:space="preserve">, and It feels less usable as a tool for managing conflict within policing. </w:t>
      </w:r>
      <w:r>
        <w:rPr>
          <w:rFonts w:cstheme="minorHAnsi"/>
          <w:sz w:val="24"/>
          <w:szCs w:val="24"/>
          <w:shd w:val="clear" w:color="auto" w:fill="FFFFFF"/>
        </w:rPr>
        <w:br/>
      </w:r>
      <w:r>
        <w:rPr>
          <w:rFonts w:cstheme="minorHAnsi"/>
          <w:sz w:val="24"/>
          <w:szCs w:val="24"/>
          <w:shd w:val="clear" w:color="auto" w:fill="FFFFFF"/>
        </w:rPr>
        <w:br/>
        <w:t xml:space="preserve">Personally, I feel that the most useful conflict management model available to officers is the concept of </w:t>
      </w:r>
      <w:proofErr w:type="spellStart"/>
      <w:r>
        <w:rPr>
          <w:rFonts w:cstheme="minorHAnsi"/>
          <w:sz w:val="24"/>
          <w:szCs w:val="24"/>
          <w:shd w:val="clear" w:color="auto" w:fill="FFFFFF"/>
        </w:rPr>
        <w:t>Betari’s</w:t>
      </w:r>
      <w:proofErr w:type="spellEnd"/>
      <w:r>
        <w:rPr>
          <w:rFonts w:cstheme="minorHAnsi"/>
          <w:sz w:val="24"/>
          <w:szCs w:val="24"/>
          <w:shd w:val="clear" w:color="auto" w:fill="FFFFFF"/>
        </w:rPr>
        <w:t xml:space="preserve"> Box model. Noted by the College of Policing, </w:t>
      </w:r>
      <w:proofErr w:type="spellStart"/>
      <w:r>
        <w:rPr>
          <w:rFonts w:cstheme="minorHAnsi"/>
          <w:sz w:val="24"/>
          <w:szCs w:val="24"/>
          <w:shd w:val="clear" w:color="auto" w:fill="FFFFFF"/>
        </w:rPr>
        <w:t>Betari’s</w:t>
      </w:r>
      <w:proofErr w:type="spellEnd"/>
      <w:r>
        <w:rPr>
          <w:rFonts w:cstheme="minorHAnsi"/>
          <w:sz w:val="24"/>
          <w:szCs w:val="24"/>
          <w:shd w:val="clear" w:color="auto" w:fill="FFFFFF"/>
        </w:rPr>
        <w:t xml:space="preserve"> Box describes how the attitude of a person affects the behaviour of that person, which then affects the attitude of another further affecting that person’s behaviour. Cyclical in nature, the lesson to be taken from it is that during conflict, de-escalation is about managing your own attitude and behaviours (College of Policing, 2020). Despite Prisoner 2’s voice increasing in volume and his tone becoming more argumentative, officers remained calm. When he indirectly accused my colleague of tampering with his drink, I understood that his perception of the situation would make it challenging to change his view. By replacing the water when he </w:t>
      </w:r>
      <w:proofErr w:type="gramStart"/>
      <w:r>
        <w:rPr>
          <w:rFonts w:cstheme="minorHAnsi"/>
          <w:sz w:val="24"/>
          <w:szCs w:val="24"/>
          <w:shd w:val="clear" w:color="auto" w:fill="FFFFFF"/>
        </w:rPr>
        <w:t>asked</w:t>
      </w:r>
      <w:proofErr w:type="gramEnd"/>
      <w:r>
        <w:rPr>
          <w:rFonts w:cstheme="minorHAnsi"/>
          <w:sz w:val="24"/>
          <w:szCs w:val="24"/>
          <w:shd w:val="clear" w:color="auto" w:fill="FFFFFF"/>
        </w:rPr>
        <w:t xml:space="preserve"> I was again placed in the rescuer role. I stated that there was no way my colleague would have done anything to his drink, but I understood that he did not trust it and would be happy to provide him with a fresh drink if it would help him feel more comfortable. Using soft tones and slow speech to communicate proved effective in preventing his behaviour from escalating. By listening to his complaint, and understanding and listening to his concerns, I effectively shifted myself into the Rescuer role within the drama triangle. </w:t>
      </w:r>
    </w:p>
    <w:p w14:paraId="44A8226F" w14:textId="77777777" w:rsidR="003F117F" w:rsidRDefault="003F117F" w:rsidP="003F117F">
      <w:pPr>
        <w:rPr>
          <w:rFonts w:cstheme="minorHAnsi"/>
          <w:sz w:val="24"/>
          <w:szCs w:val="24"/>
          <w:shd w:val="clear" w:color="auto" w:fill="FFFFFF"/>
        </w:rPr>
      </w:pPr>
    </w:p>
    <w:p w14:paraId="013DD56B" w14:textId="3AC65C43" w:rsidR="003F117F" w:rsidRDefault="003F117F" w:rsidP="003F117F">
      <w:pPr>
        <w:rPr>
          <w:rFonts w:cstheme="minorHAnsi"/>
          <w:i/>
          <w:iCs/>
          <w:sz w:val="24"/>
          <w:szCs w:val="24"/>
          <w:shd w:val="clear" w:color="auto" w:fill="FFFFFF"/>
        </w:rPr>
      </w:pPr>
      <w:r w:rsidRPr="0042061E">
        <w:rPr>
          <w:rFonts w:cstheme="minorHAnsi"/>
          <w:sz w:val="24"/>
          <w:szCs w:val="24"/>
          <w:shd w:val="clear" w:color="auto" w:fill="FFFFFF"/>
        </w:rPr>
        <w:t xml:space="preserve">The topic of racism within policing has been at the forefront of recent discourse, with the Black Lives Matter movement gaining traction within the UK after having gained significant influence in the United States. As a result of this, officers are increasingly conscious that their actions will be more heavily scrutinised when dealing with prisoners who of an ethnicity other than their own.  Joseph-Salisbury et al (2021) wrote an article, </w:t>
      </w:r>
      <w:r w:rsidRPr="0042061E">
        <w:rPr>
          <w:rFonts w:cstheme="minorHAnsi"/>
          <w:i/>
          <w:iCs/>
          <w:sz w:val="24"/>
          <w:szCs w:val="24"/>
          <w:shd w:val="clear" w:color="auto" w:fill="FFFFFF"/>
        </w:rPr>
        <w:t>The UK is not innocent”: Black Lives Matter, policing and abolition in the UK</w:t>
      </w:r>
      <w:r w:rsidRPr="0042061E">
        <w:rPr>
          <w:rFonts w:cstheme="minorHAnsi"/>
          <w:sz w:val="24"/>
          <w:szCs w:val="24"/>
          <w:shd w:val="clear" w:color="auto" w:fill="FFFFFF"/>
        </w:rPr>
        <w:t xml:space="preserve">; calling for the defunding and subsequent abolition of the police, citing racial disproportionalities seen in data emerging </w:t>
      </w:r>
      <w:proofErr w:type="gramStart"/>
      <w:r w:rsidRPr="0042061E">
        <w:rPr>
          <w:rFonts w:cstheme="minorHAnsi"/>
          <w:sz w:val="24"/>
          <w:szCs w:val="24"/>
          <w:shd w:val="clear" w:color="auto" w:fill="FFFFFF"/>
        </w:rPr>
        <w:t>as a consequence of</w:t>
      </w:r>
      <w:proofErr w:type="gramEnd"/>
      <w:r w:rsidRPr="0042061E">
        <w:rPr>
          <w:rFonts w:cstheme="minorHAnsi"/>
          <w:sz w:val="24"/>
          <w:szCs w:val="24"/>
          <w:shd w:val="clear" w:color="auto" w:fill="FFFFFF"/>
        </w:rPr>
        <w:t xml:space="preserve"> deep-seated and institutionally embedded ideas about race and criminality. It should be noted that the statistics cited by Joseph-Salisbury et al are noted to </w:t>
      </w:r>
      <w:r w:rsidRPr="0042061E">
        <w:rPr>
          <w:rFonts w:cstheme="minorHAnsi"/>
          <w:sz w:val="24"/>
          <w:szCs w:val="24"/>
          <w:shd w:val="clear" w:color="auto" w:fill="FFFFFF"/>
        </w:rPr>
        <w:lastRenderedPageBreak/>
        <w:t>be outdated stating that black people are 10 times more likely to be stop searched than their white counterparts, with more recent statistics citing that updated analysis the disparity rate for the black ethnic group reduces from 6.2 to 4.8 for the year ending March 2021 (</w:t>
      </w:r>
      <w:r w:rsidR="008709D1">
        <w:rPr>
          <w:rFonts w:cstheme="minorHAnsi"/>
          <w:sz w:val="24"/>
          <w:szCs w:val="24"/>
          <w:shd w:val="clear" w:color="auto" w:fill="FFFFFF"/>
        </w:rPr>
        <w:t>Gov</w:t>
      </w:r>
      <w:r w:rsidRPr="0042061E">
        <w:rPr>
          <w:rFonts w:cstheme="minorHAnsi"/>
          <w:sz w:val="24"/>
          <w:szCs w:val="24"/>
          <w:shd w:val="clear" w:color="auto" w:fill="FFFFFF"/>
        </w:rPr>
        <w:t>.</w:t>
      </w:r>
      <w:r w:rsidR="008709D1">
        <w:rPr>
          <w:rFonts w:cstheme="minorHAnsi"/>
          <w:sz w:val="24"/>
          <w:szCs w:val="24"/>
          <w:shd w:val="clear" w:color="auto" w:fill="FFFFFF"/>
        </w:rPr>
        <w:t>UK</w:t>
      </w:r>
      <w:r w:rsidRPr="0042061E">
        <w:rPr>
          <w:rFonts w:cstheme="minorHAnsi"/>
          <w:sz w:val="24"/>
          <w:szCs w:val="24"/>
          <w:shd w:val="clear" w:color="auto" w:fill="FFFFFF"/>
        </w:rPr>
        <w:t xml:space="preserve"> 2023). Despite the positive reductions in the disparity levels of stop and search powers, the importance of getting things right when utilising police powers of any kind cannot be understated, hence the need to reflect on the conflict involved in this incident. </w:t>
      </w:r>
      <w:r w:rsidRPr="0042061E">
        <w:rPr>
          <w:rFonts w:cstheme="minorHAnsi"/>
          <w:sz w:val="24"/>
          <w:szCs w:val="24"/>
          <w:shd w:val="clear" w:color="auto" w:fill="FFFFFF"/>
        </w:rPr>
        <w:br/>
      </w:r>
    </w:p>
    <w:p w14:paraId="3C311C39" w14:textId="77777777" w:rsidR="003F117F" w:rsidRPr="0042061E" w:rsidRDefault="003F117F" w:rsidP="003F117F">
      <w:pPr>
        <w:rPr>
          <w:rFonts w:cstheme="minorHAnsi"/>
          <w:sz w:val="24"/>
          <w:szCs w:val="24"/>
          <w:shd w:val="clear" w:color="auto" w:fill="FFFFFF"/>
        </w:rPr>
      </w:pPr>
      <w:r>
        <w:rPr>
          <w:rFonts w:cstheme="minorHAnsi"/>
          <w:sz w:val="24"/>
          <w:szCs w:val="24"/>
          <w:shd w:val="clear" w:color="auto" w:fill="FFFFFF"/>
        </w:rPr>
        <w:t xml:space="preserve">Further to what was argued in </w:t>
      </w:r>
      <w:r>
        <w:rPr>
          <w:rFonts w:cstheme="minorHAnsi"/>
          <w:i/>
          <w:iCs/>
          <w:sz w:val="24"/>
          <w:szCs w:val="24"/>
          <w:shd w:val="clear" w:color="auto" w:fill="FFFFFF"/>
        </w:rPr>
        <w:t>The UK is not Innocent</w:t>
      </w:r>
      <w:r>
        <w:rPr>
          <w:rFonts w:cstheme="minorHAnsi"/>
          <w:sz w:val="24"/>
          <w:szCs w:val="24"/>
          <w:shd w:val="clear" w:color="auto" w:fill="FFFFFF"/>
        </w:rPr>
        <w:t xml:space="preserve">, </w:t>
      </w:r>
      <w:proofErr w:type="gramStart"/>
      <w:r>
        <w:rPr>
          <w:rFonts w:cstheme="minorHAnsi"/>
          <w:sz w:val="24"/>
          <w:szCs w:val="24"/>
          <w:shd w:val="clear" w:color="auto" w:fill="FFFFFF"/>
        </w:rPr>
        <w:t>It</w:t>
      </w:r>
      <w:proofErr w:type="gramEnd"/>
      <w:r>
        <w:rPr>
          <w:rFonts w:cstheme="minorHAnsi"/>
          <w:sz w:val="24"/>
          <w:szCs w:val="24"/>
          <w:shd w:val="clear" w:color="auto" w:fill="FFFFFF"/>
        </w:rPr>
        <w:t xml:space="preserve"> has been argued that cognitive</w:t>
      </w:r>
      <w:r w:rsidRPr="0042061E">
        <w:rPr>
          <w:rFonts w:cstheme="minorHAnsi"/>
          <w:sz w:val="24"/>
          <w:szCs w:val="24"/>
          <w:shd w:val="clear" w:color="auto" w:fill="FFFFFF"/>
        </w:rPr>
        <w:t xml:space="preserve"> biases have been identified as the drivers of the use of excessive force</w:t>
      </w:r>
      <w:r>
        <w:rPr>
          <w:rFonts w:cstheme="minorHAnsi"/>
          <w:sz w:val="24"/>
          <w:szCs w:val="24"/>
          <w:shd w:val="clear" w:color="auto" w:fill="FFFFFF"/>
        </w:rPr>
        <w:t xml:space="preserve">. An article in the </w:t>
      </w:r>
      <w:r w:rsidRPr="00C46FC2">
        <w:rPr>
          <w:rFonts w:cstheme="minorHAnsi"/>
          <w:i/>
          <w:iCs/>
          <w:color w:val="000000" w:themeColor="text1"/>
          <w:sz w:val="24"/>
          <w:szCs w:val="24"/>
          <w14:textOutline w14:w="0" w14:cap="flat" w14:cmpd="sng" w14:algn="ctr">
            <w14:noFill/>
            <w14:prstDash w14:val="solid"/>
            <w14:round/>
          </w14:textOutline>
        </w:rPr>
        <w:t>International Journal of Police Science and</w:t>
      </w:r>
      <w:r>
        <w:rPr>
          <w:rFonts w:cstheme="minorHAnsi"/>
          <w:i/>
          <w:iCs/>
          <w:color w:val="000000" w:themeColor="text1"/>
          <w:sz w:val="24"/>
          <w:szCs w:val="24"/>
          <w14:textOutline w14:w="0" w14:cap="flat" w14:cmpd="sng" w14:algn="ctr">
            <w14:noFill/>
            <w14:prstDash w14:val="solid"/>
            <w14:round/>
          </w14:textOutline>
        </w:rPr>
        <w:t xml:space="preserve"> Management</w:t>
      </w:r>
      <w:r>
        <w:rPr>
          <w:rFonts w:cstheme="minorHAnsi"/>
          <w:color w:val="000000" w:themeColor="text1"/>
          <w:sz w:val="24"/>
          <w:szCs w:val="24"/>
          <w14:textOutline w14:w="0" w14:cap="flat" w14:cmpd="sng" w14:algn="ctr">
            <w14:noFill/>
            <w14:prstDash w14:val="solid"/>
            <w14:round/>
          </w14:textOutline>
        </w:rPr>
        <w:t>, stated that it was necessary to</w:t>
      </w:r>
      <w:r w:rsidRPr="0042061E">
        <w:rPr>
          <w:sz w:val="24"/>
          <w:szCs w:val="24"/>
        </w:rPr>
        <w:t xml:space="preserve"> enable, allow and restrict police officers to solely focus on relevant information in the police–citizen interaction, which is centred around the current behaviour of the individual</w:t>
      </w:r>
      <w:r>
        <w:rPr>
          <w:sz w:val="24"/>
          <w:szCs w:val="24"/>
        </w:rPr>
        <w:t xml:space="preserve">. </w:t>
      </w:r>
      <w:r w:rsidRPr="0042061E">
        <w:rPr>
          <w:sz w:val="24"/>
          <w:szCs w:val="24"/>
        </w:rPr>
        <w:t xml:space="preserve"> (Staller, M. 2002)</w:t>
      </w:r>
      <w:r>
        <w:rPr>
          <w:sz w:val="24"/>
          <w:szCs w:val="24"/>
        </w:rPr>
        <w:t xml:space="preserve">. </w:t>
      </w:r>
    </w:p>
    <w:p w14:paraId="431492F2" w14:textId="77777777" w:rsidR="003F117F" w:rsidRDefault="003F117F" w:rsidP="003F117F">
      <w:pPr>
        <w:rPr>
          <w:rFonts w:cstheme="minorHAnsi"/>
          <w:sz w:val="24"/>
          <w:szCs w:val="24"/>
          <w:shd w:val="clear" w:color="auto" w:fill="FFFFFF"/>
        </w:rPr>
      </w:pPr>
    </w:p>
    <w:p w14:paraId="075623DC" w14:textId="77777777" w:rsidR="003F117F" w:rsidRDefault="003F117F" w:rsidP="003F117F">
      <w:pPr>
        <w:rPr>
          <w:rFonts w:cstheme="minorHAnsi"/>
          <w:sz w:val="24"/>
          <w:szCs w:val="24"/>
          <w:shd w:val="clear" w:color="auto" w:fill="FFFFFF"/>
        </w:rPr>
      </w:pPr>
      <w:r>
        <w:rPr>
          <w:rFonts w:cstheme="minorHAnsi"/>
          <w:sz w:val="24"/>
          <w:szCs w:val="24"/>
          <w:shd w:val="clear" w:color="auto" w:fill="FFFFFF"/>
        </w:rPr>
        <w:t>Reflecting on the incident I came to the following conclusions.</w:t>
      </w:r>
    </w:p>
    <w:p w14:paraId="0EAA6F83" w14:textId="77777777" w:rsidR="003F117F" w:rsidRDefault="003F117F" w:rsidP="003F117F">
      <w:pPr>
        <w:rPr>
          <w:rFonts w:cstheme="minorHAnsi"/>
          <w:sz w:val="24"/>
          <w:szCs w:val="24"/>
          <w:shd w:val="clear" w:color="auto" w:fill="FFFFFF"/>
        </w:rPr>
      </w:pPr>
      <w:r>
        <w:rPr>
          <w:rFonts w:cstheme="minorHAnsi"/>
          <w:sz w:val="24"/>
          <w:szCs w:val="24"/>
          <w:shd w:val="clear" w:color="auto" w:fill="FFFFFF"/>
        </w:rPr>
        <w:t xml:space="preserve">Although unintentional, it was my actions which triggered the behaviour of Prisoner </w:t>
      </w:r>
      <w:proofErr w:type="gramStart"/>
      <w:r>
        <w:rPr>
          <w:rFonts w:cstheme="minorHAnsi"/>
          <w:sz w:val="24"/>
          <w:szCs w:val="24"/>
          <w:shd w:val="clear" w:color="auto" w:fill="FFFFFF"/>
        </w:rPr>
        <w:t>2</w:t>
      </w:r>
      <w:proofErr w:type="gramEnd"/>
      <w:r>
        <w:rPr>
          <w:rFonts w:cstheme="minorHAnsi"/>
          <w:sz w:val="24"/>
          <w:szCs w:val="24"/>
          <w:shd w:val="clear" w:color="auto" w:fill="FFFFFF"/>
        </w:rPr>
        <w:t xml:space="preserve"> and the situation could have been avoided with some forethought and by communicating with my colleagues. Despite this, reflecting on the incident provided an opportunity to consider my own internal biases and how they may or may not affect decision making. I was satisfied that in this scenario, my decisions were not driven by bias. I was aware that because of the societal focus on impact of racism on policing, and the claims made by the prisoner, I felt under pressure to make decisions that I would normally not make given the information available to me. The drama triangle has been a useful tool for assessing and reflecting on the incident however practically, it’s not something that I would </w:t>
      </w:r>
      <w:proofErr w:type="gramStart"/>
      <w:r>
        <w:rPr>
          <w:rFonts w:cstheme="minorHAnsi"/>
          <w:sz w:val="24"/>
          <w:szCs w:val="24"/>
          <w:shd w:val="clear" w:color="auto" w:fill="FFFFFF"/>
        </w:rPr>
        <w:t>necessary</w:t>
      </w:r>
      <w:proofErr w:type="gramEnd"/>
      <w:r>
        <w:rPr>
          <w:rFonts w:cstheme="minorHAnsi"/>
          <w:sz w:val="24"/>
          <w:szCs w:val="24"/>
          <w:shd w:val="clear" w:color="auto" w:fill="FFFFFF"/>
        </w:rPr>
        <w:t xml:space="preserve"> have at the forefront of my mind when dealing with conflict. </w:t>
      </w:r>
      <w:proofErr w:type="spellStart"/>
      <w:r>
        <w:rPr>
          <w:rFonts w:cstheme="minorHAnsi"/>
          <w:sz w:val="24"/>
          <w:szCs w:val="24"/>
          <w:shd w:val="clear" w:color="auto" w:fill="FFFFFF"/>
        </w:rPr>
        <w:t>Betari’s</w:t>
      </w:r>
      <w:proofErr w:type="spellEnd"/>
      <w:r>
        <w:rPr>
          <w:rFonts w:cstheme="minorHAnsi"/>
          <w:sz w:val="24"/>
          <w:szCs w:val="24"/>
          <w:shd w:val="clear" w:color="auto" w:fill="FFFFFF"/>
        </w:rPr>
        <w:t xml:space="preserve"> box on the other hand gives a directional approach to all incidents and teaches us that our own attitudes and behaviours will shape the interactions we have, and knowing this, I am better able to control situations by remaining calm, using slow quiet </w:t>
      </w:r>
      <w:proofErr w:type="gramStart"/>
      <w:r>
        <w:rPr>
          <w:rFonts w:cstheme="minorHAnsi"/>
          <w:sz w:val="24"/>
          <w:szCs w:val="24"/>
          <w:shd w:val="clear" w:color="auto" w:fill="FFFFFF"/>
        </w:rPr>
        <w:t>speech</w:t>
      </w:r>
      <w:proofErr w:type="gramEnd"/>
      <w:r>
        <w:rPr>
          <w:rFonts w:cstheme="minorHAnsi"/>
          <w:sz w:val="24"/>
          <w:szCs w:val="24"/>
          <w:shd w:val="clear" w:color="auto" w:fill="FFFFFF"/>
        </w:rPr>
        <w:t xml:space="preserve"> and displaying empathy and understanding to those I am dealing with. I would only rarely consider the Thomas-Kilmann / extended </w:t>
      </w:r>
      <w:proofErr w:type="gramStart"/>
      <w:r>
        <w:rPr>
          <w:rFonts w:cstheme="minorHAnsi"/>
          <w:sz w:val="24"/>
          <w:szCs w:val="24"/>
          <w:shd w:val="clear" w:color="auto" w:fill="FFFFFF"/>
        </w:rPr>
        <w:t>model  as</w:t>
      </w:r>
      <w:proofErr w:type="gramEnd"/>
      <w:r>
        <w:rPr>
          <w:rFonts w:cstheme="minorHAnsi"/>
          <w:sz w:val="24"/>
          <w:szCs w:val="24"/>
          <w:shd w:val="clear" w:color="auto" w:fill="FFFFFF"/>
        </w:rPr>
        <w:t xml:space="preserve"> I feel it is too focused on application within a business context to be relevant the types of conflict we deal with in modern day policing.</w:t>
      </w:r>
    </w:p>
    <w:p w14:paraId="51D3F9D3" w14:textId="77777777" w:rsidR="003F117F" w:rsidRPr="0042061E" w:rsidRDefault="003F117F" w:rsidP="003F117F">
      <w:pPr>
        <w:rPr>
          <w:rFonts w:cstheme="minorHAnsi"/>
          <w:sz w:val="24"/>
          <w:szCs w:val="24"/>
          <w:shd w:val="clear" w:color="auto" w:fill="FFFFFF"/>
        </w:rPr>
      </w:pPr>
    </w:p>
    <w:p w14:paraId="452E40A6" w14:textId="52F5B6AB" w:rsidR="008B28E7" w:rsidRDefault="003F117F" w:rsidP="003F117F">
      <w:pPr>
        <w:ind w:right="107"/>
        <w:jc w:val="both"/>
        <w:rPr>
          <w:sz w:val="24"/>
          <w:szCs w:val="24"/>
        </w:rPr>
      </w:pPr>
      <w:r>
        <w:rPr>
          <w:sz w:val="24"/>
          <w:szCs w:val="24"/>
        </w:rPr>
        <w:t xml:space="preserve">Word </w:t>
      </w:r>
      <w:proofErr w:type="gramStart"/>
      <w:r>
        <w:rPr>
          <w:sz w:val="24"/>
          <w:szCs w:val="24"/>
        </w:rPr>
        <w:t>Count :</w:t>
      </w:r>
      <w:proofErr w:type="gramEnd"/>
      <w:r>
        <w:rPr>
          <w:sz w:val="24"/>
          <w:szCs w:val="24"/>
        </w:rPr>
        <w:t xml:space="preserve"> 211</w:t>
      </w:r>
      <w:r w:rsidR="0012664D">
        <w:rPr>
          <w:sz w:val="24"/>
          <w:szCs w:val="24"/>
        </w:rPr>
        <w:t>8</w:t>
      </w:r>
      <w:r w:rsidR="00A07CF3">
        <w:rPr>
          <w:sz w:val="24"/>
          <w:szCs w:val="24"/>
        </w:rPr>
        <w:br/>
      </w:r>
      <w:r w:rsidR="00C847FF">
        <w:rPr>
          <w:sz w:val="24"/>
          <w:szCs w:val="24"/>
        </w:rPr>
        <w:br/>
      </w:r>
    </w:p>
    <w:p w14:paraId="636D4E5D" w14:textId="77777777" w:rsidR="00C847FF" w:rsidRPr="00270EEB" w:rsidRDefault="00C847FF"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bookmarkStart w:id="0" w:name="_Hlk147324038"/>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bookmarkEnd w:id="0"/>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1FB96E2" w14:textId="77777777" w:rsidR="008709D1" w:rsidRDefault="008709D1" w:rsidP="008709D1">
      <w:pPr>
        <w:pStyle w:val="NormalWeb"/>
        <w:spacing w:before="0" w:beforeAutospacing="0" w:after="0" w:afterAutospacing="0"/>
      </w:pPr>
      <w:r>
        <w:rPr>
          <w:rFonts w:ascii="Arial" w:hAnsi="Arial" w:cs="Arial"/>
          <w:color w:val="000000"/>
        </w:rPr>
        <w:t xml:space="preserve">This task asks the question of how I dealt with a policing incident, and how I dealt with competing issues such as legalisation, social issues, </w:t>
      </w:r>
      <w:proofErr w:type="gramStart"/>
      <w:r>
        <w:rPr>
          <w:rFonts w:ascii="Arial" w:hAnsi="Arial" w:cs="Arial"/>
          <w:color w:val="000000"/>
        </w:rPr>
        <w:t>culture</w:t>
      </w:r>
      <w:proofErr w:type="gramEnd"/>
      <w:r>
        <w:rPr>
          <w:rFonts w:ascii="Arial" w:hAnsi="Arial" w:cs="Arial"/>
          <w:color w:val="000000"/>
        </w:rPr>
        <w:t xml:space="preserve"> and language whilst reflecting on the core principles of ethics, equality, diversity and human rights.</w:t>
      </w:r>
    </w:p>
    <w:p w14:paraId="7BD8248E" w14:textId="77777777" w:rsidR="008709D1" w:rsidRDefault="008709D1" w:rsidP="008709D1"/>
    <w:p w14:paraId="2DFF4E3A" w14:textId="77777777" w:rsidR="008709D1" w:rsidRDefault="008709D1" w:rsidP="008709D1">
      <w:pPr>
        <w:pStyle w:val="NormalWeb"/>
        <w:spacing w:before="0" w:beforeAutospacing="0" w:after="0" w:afterAutospacing="0"/>
      </w:pPr>
      <w:r>
        <w:rPr>
          <w:rFonts w:ascii="Arial" w:hAnsi="Arial" w:cs="Arial"/>
          <w:color w:val="000000"/>
        </w:rPr>
        <w:t xml:space="preserve">The incident I will reflect on relates to an incident of domestic abuse and threats to kill at an address where the members of the family all spoke Urdu. The suspect, two brothers of the house who were both over 18, had been accused by the mother of making threats to kill their sister, also an adult over the age of 18. The initial call was a </w:t>
      </w:r>
      <w:proofErr w:type="gramStart"/>
      <w:r>
        <w:rPr>
          <w:rFonts w:ascii="Arial" w:hAnsi="Arial" w:cs="Arial"/>
          <w:color w:val="000000"/>
        </w:rPr>
        <w:t>third party</w:t>
      </w:r>
      <w:proofErr w:type="gramEnd"/>
      <w:r>
        <w:rPr>
          <w:rFonts w:ascii="Arial" w:hAnsi="Arial" w:cs="Arial"/>
          <w:color w:val="000000"/>
        </w:rPr>
        <w:t xml:space="preserve"> report of an ongoing disturbance in which officers attended, however the officers determined that there were no offences, and as such the parties were separated. It was after they had been separated that the brothers made a call on the telephone to their sister, during which they threatened to kill her if she returned to the address - this prompted a second call to police.  </w:t>
      </w:r>
    </w:p>
    <w:p w14:paraId="3668DD9D" w14:textId="77777777" w:rsidR="008709D1" w:rsidRDefault="008709D1" w:rsidP="008709D1"/>
    <w:p w14:paraId="700AA201" w14:textId="77777777" w:rsidR="008709D1" w:rsidRDefault="008709D1" w:rsidP="008709D1">
      <w:pPr>
        <w:pStyle w:val="NormalWeb"/>
        <w:spacing w:before="0" w:beforeAutospacing="0" w:after="0" w:afterAutospacing="0"/>
      </w:pPr>
      <w:r>
        <w:rPr>
          <w:rFonts w:ascii="Arial" w:hAnsi="Arial" w:cs="Arial"/>
          <w:color w:val="000000"/>
        </w:rPr>
        <w:t>Establishing the offence was simple. Section 16 of the Offences Against the Person Act (1861) is an indictable offence and as such granted us the power of entry to the property under Section 17 of PACE (1984) whereby a constable may enter and search any premises for the purpose of arresting a person for an indictable offence (Police and Criminal Evidence Act 1984).</w:t>
      </w:r>
    </w:p>
    <w:p w14:paraId="62F5F5A0" w14:textId="77777777" w:rsidR="008709D1" w:rsidRDefault="008709D1" w:rsidP="008709D1">
      <w:pPr>
        <w:pStyle w:val="NormalWeb"/>
        <w:spacing w:before="0" w:beforeAutospacing="0" w:after="0" w:afterAutospacing="0"/>
      </w:pPr>
      <w:r>
        <w:rPr>
          <w:rFonts w:ascii="Arial" w:hAnsi="Arial" w:cs="Arial"/>
          <w:color w:val="000000"/>
        </w:rPr>
        <w:t xml:space="preserve">Officers entered the </w:t>
      </w:r>
      <w:proofErr w:type="gramStart"/>
      <w:r>
        <w:rPr>
          <w:rFonts w:ascii="Arial" w:hAnsi="Arial" w:cs="Arial"/>
          <w:color w:val="000000"/>
        </w:rPr>
        <w:t>address, and</w:t>
      </w:r>
      <w:proofErr w:type="gramEnd"/>
      <w:r>
        <w:rPr>
          <w:rFonts w:ascii="Arial" w:hAnsi="Arial" w:cs="Arial"/>
          <w:color w:val="000000"/>
        </w:rPr>
        <w:t xml:space="preserve"> gained control of both males placing them in handcuffs. I dialled the language line and used a translator to explain to the males that they were under arrest, and cautioned them, ensuring that my body worn captured the conversation. Once the males had been escorted to </w:t>
      </w:r>
      <w:proofErr w:type="gramStart"/>
      <w:r>
        <w:rPr>
          <w:rFonts w:ascii="Arial" w:hAnsi="Arial" w:cs="Arial"/>
          <w:color w:val="000000"/>
        </w:rPr>
        <w:t>custody</w:t>
      </w:r>
      <w:proofErr w:type="gramEnd"/>
      <w:r>
        <w:rPr>
          <w:rFonts w:ascii="Arial" w:hAnsi="Arial" w:cs="Arial"/>
          <w:color w:val="000000"/>
        </w:rPr>
        <w:t xml:space="preserve"> I was then able to allow the female to return to the house and discuss her complaint with her. </w:t>
      </w:r>
    </w:p>
    <w:p w14:paraId="10DCDF4F" w14:textId="77777777" w:rsidR="008709D1" w:rsidRDefault="008709D1" w:rsidP="008709D1"/>
    <w:p w14:paraId="046F878F" w14:textId="77777777" w:rsidR="008709D1" w:rsidRDefault="008709D1" w:rsidP="008709D1">
      <w:pPr>
        <w:pStyle w:val="NormalWeb"/>
        <w:spacing w:before="0" w:beforeAutospacing="0" w:after="0" w:afterAutospacing="0"/>
      </w:pPr>
      <w:r>
        <w:rPr>
          <w:rFonts w:ascii="Arial" w:hAnsi="Arial" w:cs="Arial"/>
          <w:color w:val="000000"/>
        </w:rPr>
        <w:t xml:space="preserve">The primary concern for me was that there may have been an </w:t>
      </w:r>
      <w:proofErr w:type="gramStart"/>
      <w:r>
        <w:rPr>
          <w:rFonts w:ascii="Arial" w:hAnsi="Arial" w:cs="Arial"/>
          <w:color w:val="000000"/>
        </w:rPr>
        <w:t>honour based</w:t>
      </w:r>
      <w:proofErr w:type="gramEnd"/>
      <w:r>
        <w:rPr>
          <w:rFonts w:ascii="Arial" w:hAnsi="Arial" w:cs="Arial"/>
          <w:color w:val="000000"/>
        </w:rPr>
        <w:t xml:space="preserve"> element to the incident. Honour based violence can be described as all violence implicated against a female for the deviancy of her activities from the traditional cultural norms (</w:t>
      </w:r>
      <w:proofErr w:type="spellStart"/>
      <w:r>
        <w:rPr>
          <w:rFonts w:ascii="Arial" w:hAnsi="Arial" w:cs="Arial"/>
          <w:color w:val="000000"/>
        </w:rPr>
        <w:t>Elakkary</w:t>
      </w:r>
      <w:proofErr w:type="spellEnd"/>
      <w:r>
        <w:rPr>
          <w:rFonts w:ascii="Arial" w:hAnsi="Arial" w:cs="Arial"/>
          <w:color w:val="000000"/>
        </w:rPr>
        <w:t xml:space="preserve"> et al. 2014), however, this definition is inadequate and should be ignored in favour of a broader and more inclusive term. It was </w:t>
      </w:r>
      <w:r>
        <w:rPr>
          <w:rFonts w:ascii="Arial" w:hAnsi="Arial" w:cs="Arial"/>
          <w:color w:val="000000"/>
        </w:rPr>
        <w:lastRenderedPageBreak/>
        <w:t xml:space="preserve">noted in the Journal of Interpersonal Violence that efforts to quantifiably examine homonegative “honour”-based victimisation have </w:t>
      </w:r>
      <w:proofErr w:type="gramStart"/>
      <w:r>
        <w:rPr>
          <w:rFonts w:ascii="Arial" w:hAnsi="Arial" w:cs="Arial"/>
          <w:color w:val="000000"/>
        </w:rPr>
        <w:t>lagged behind</w:t>
      </w:r>
      <w:proofErr w:type="gramEnd"/>
      <w:r>
        <w:rPr>
          <w:rFonts w:ascii="Arial" w:hAnsi="Arial" w:cs="Arial"/>
          <w:color w:val="000000"/>
        </w:rPr>
        <w:t xml:space="preserve">. (Lowe, M. Khan, R. (2019). As such I would consider the definition to be defined as ‘all violence implicated against a female or LGBTQ+ individual for the deviance of their activities from the traditional cultural norms, and while it may not be relevant for this incident it is a distinction which must not be forgotten when dealing with </w:t>
      </w:r>
      <w:proofErr w:type="spellStart"/>
      <w:r>
        <w:rPr>
          <w:rFonts w:ascii="Arial" w:hAnsi="Arial" w:cs="Arial"/>
          <w:color w:val="000000"/>
        </w:rPr>
        <w:t>incidents.Elakkary</w:t>
      </w:r>
      <w:proofErr w:type="spellEnd"/>
      <w:r>
        <w:rPr>
          <w:rFonts w:ascii="Arial" w:hAnsi="Arial" w:cs="Arial"/>
          <w:color w:val="000000"/>
        </w:rPr>
        <w:t xml:space="preserve"> et al even notes that males, particularly homosexuals may be at risk of honour based violence, but does not go so far as to include them in the definition. When failure to recognise this may result in </w:t>
      </w:r>
      <w:proofErr w:type="gramStart"/>
      <w:r>
        <w:rPr>
          <w:rFonts w:ascii="Arial" w:hAnsi="Arial" w:cs="Arial"/>
          <w:color w:val="000000"/>
        </w:rPr>
        <w:t>honour based</w:t>
      </w:r>
      <w:proofErr w:type="gramEnd"/>
      <w:r>
        <w:rPr>
          <w:rFonts w:ascii="Arial" w:hAnsi="Arial" w:cs="Arial"/>
          <w:color w:val="000000"/>
        </w:rPr>
        <w:t xml:space="preserve"> abuse and the inherent safety risk to victims going unnoticed it seems like a dangerous oversight.</w:t>
      </w:r>
    </w:p>
    <w:p w14:paraId="45B032B8" w14:textId="77777777" w:rsidR="008709D1" w:rsidRDefault="008709D1" w:rsidP="008709D1">
      <w:pPr>
        <w:spacing w:after="240"/>
      </w:pPr>
    </w:p>
    <w:p w14:paraId="13969869" w14:textId="77777777" w:rsidR="008709D1" w:rsidRDefault="008709D1" w:rsidP="008709D1">
      <w:pPr>
        <w:pStyle w:val="NormalWeb"/>
        <w:spacing w:before="0" w:beforeAutospacing="0" w:after="0" w:afterAutospacing="0"/>
      </w:pPr>
      <w:r>
        <w:rPr>
          <w:rFonts w:ascii="Arial" w:hAnsi="Arial" w:cs="Arial"/>
          <w:color w:val="000000"/>
        </w:rPr>
        <w:t xml:space="preserve">Whilst honour based violence is something that must be considered, it is also vital that we do not discriminate against </w:t>
      </w:r>
      <w:proofErr w:type="gramStart"/>
      <w:r>
        <w:rPr>
          <w:rFonts w:ascii="Arial" w:hAnsi="Arial" w:cs="Arial"/>
          <w:color w:val="000000"/>
        </w:rPr>
        <w:t>people, or</w:t>
      </w:r>
      <w:proofErr w:type="gramEnd"/>
      <w:r>
        <w:rPr>
          <w:rFonts w:ascii="Arial" w:hAnsi="Arial" w:cs="Arial"/>
          <w:color w:val="000000"/>
        </w:rPr>
        <w:t xml:space="preserve"> come to conclusions based purely on prejudice. As such my thought process was that I needed to discuss the incident with the victim in her own language so as to meet with the requirements of the victim’s code (Ministry of Justice 2020) which states that a person has the right to understand and be understood, and to ensure that I could ask questions with a better level of understanding than of trying to make do with English. Additionally, by speaking to her in her own language and taking the time to understand her situation I was able to avoid mistakenly labelling the incident as an </w:t>
      </w:r>
      <w:proofErr w:type="gramStart"/>
      <w:r>
        <w:rPr>
          <w:rFonts w:ascii="Arial" w:hAnsi="Arial" w:cs="Arial"/>
          <w:color w:val="000000"/>
        </w:rPr>
        <w:t>honour based</w:t>
      </w:r>
      <w:proofErr w:type="gramEnd"/>
      <w:r>
        <w:rPr>
          <w:rFonts w:ascii="Arial" w:hAnsi="Arial" w:cs="Arial"/>
          <w:color w:val="000000"/>
        </w:rPr>
        <w:t xml:space="preserve"> violence incident. While reading on the subject I learned that the term “has become adopted within xenophobic narratives—becoming, in essence, viewed as an othered form of violence against women associated with othered communities. In the United Kingdom, this occurs within the context of a rise in populist anti-immigration rhetoric”. (Payton, J. 2014). Reflecting on my actions I am relieved that the approach I took did not fall into the trap of </w:t>
      </w:r>
      <w:proofErr w:type="gramStart"/>
      <w:r>
        <w:rPr>
          <w:rFonts w:ascii="Arial" w:hAnsi="Arial" w:cs="Arial"/>
          <w:color w:val="000000"/>
        </w:rPr>
        <w:t>making the assumption</w:t>
      </w:r>
      <w:proofErr w:type="gramEnd"/>
      <w:r>
        <w:rPr>
          <w:rFonts w:ascii="Arial" w:hAnsi="Arial" w:cs="Arial"/>
          <w:color w:val="000000"/>
        </w:rPr>
        <w:t xml:space="preserve"> that honour based violence was involved as it may have unintentionally led the victim to perceive that I as the officer had similarly held opinions which would have caused her to withdraw before disclosing any information. </w:t>
      </w:r>
    </w:p>
    <w:p w14:paraId="1361A646" w14:textId="77777777" w:rsidR="008709D1" w:rsidRDefault="008709D1" w:rsidP="008709D1"/>
    <w:p w14:paraId="243492C3" w14:textId="77777777" w:rsidR="008709D1" w:rsidRDefault="008709D1" w:rsidP="008709D1">
      <w:pPr>
        <w:pStyle w:val="NormalWeb"/>
        <w:spacing w:before="0" w:beforeAutospacing="0" w:after="0" w:afterAutospacing="0"/>
      </w:pPr>
      <w:r>
        <w:rPr>
          <w:rFonts w:ascii="Arial" w:hAnsi="Arial" w:cs="Arial"/>
          <w:color w:val="000000"/>
        </w:rPr>
        <w:t xml:space="preserve">Reflecting on speaking with the victim, using language-line’s accredited </w:t>
      </w:r>
      <w:proofErr w:type="gramStart"/>
      <w:r>
        <w:rPr>
          <w:rFonts w:ascii="Arial" w:hAnsi="Arial" w:cs="Arial"/>
          <w:color w:val="000000"/>
        </w:rPr>
        <w:t>translator,  I</w:t>
      </w:r>
      <w:proofErr w:type="gramEnd"/>
      <w:r>
        <w:rPr>
          <w:rFonts w:ascii="Arial" w:hAnsi="Arial" w:cs="Arial"/>
          <w:color w:val="000000"/>
        </w:rPr>
        <w:t xml:space="preserve"> asked a number of open questions, starting with  ‘Tell me what happened’. This encouraged her to give her own account in her own language. Using </w:t>
      </w:r>
      <w:proofErr w:type="spellStart"/>
      <w:proofErr w:type="gramStart"/>
      <w:r>
        <w:rPr>
          <w:rFonts w:ascii="Arial" w:hAnsi="Arial" w:cs="Arial"/>
          <w:color w:val="000000"/>
        </w:rPr>
        <w:t>non verbal</w:t>
      </w:r>
      <w:proofErr w:type="spellEnd"/>
      <w:proofErr w:type="gramEnd"/>
      <w:r>
        <w:rPr>
          <w:rFonts w:ascii="Arial" w:hAnsi="Arial" w:cs="Arial"/>
          <w:color w:val="000000"/>
        </w:rPr>
        <w:t xml:space="preserve"> cues to indicate that I was following what she was saying I was able to elicit from her the general story, before using funnelling and probing questions to gather more detail. It was by doing so that I was able to complete the DASH questionnaire (a Domestic Abuse, Staking and Harassment safeguarding form) and ensure that we put appropriate safeguarding in place for her, as well as confirm </w:t>
      </w:r>
      <w:proofErr w:type="gramStart"/>
      <w:r>
        <w:rPr>
          <w:rFonts w:ascii="Arial" w:hAnsi="Arial" w:cs="Arial"/>
          <w:color w:val="000000"/>
        </w:rPr>
        <w:t>whether or not</w:t>
      </w:r>
      <w:proofErr w:type="gramEnd"/>
      <w:r>
        <w:rPr>
          <w:rFonts w:ascii="Arial" w:hAnsi="Arial" w:cs="Arial"/>
          <w:color w:val="000000"/>
        </w:rPr>
        <w:t xml:space="preserve"> she wanted to pursue a complaint against her brothers. This satisfied the requirements of the 4th right in the victim’s code, to be referred to services that support victims and have </w:t>
      </w:r>
      <w:proofErr w:type="gramStart"/>
      <w:r>
        <w:rPr>
          <w:rFonts w:ascii="Arial" w:hAnsi="Arial" w:cs="Arial"/>
          <w:color w:val="000000"/>
        </w:rPr>
        <w:t>services</w:t>
      </w:r>
      <w:proofErr w:type="gramEnd"/>
    </w:p>
    <w:p w14:paraId="0FEF19AF" w14:textId="77777777" w:rsidR="008709D1" w:rsidRDefault="008709D1" w:rsidP="008709D1">
      <w:pPr>
        <w:pStyle w:val="NormalWeb"/>
        <w:spacing w:before="0" w:beforeAutospacing="0" w:after="0" w:afterAutospacing="0"/>
      </w:pPr>
      <w:r>
        <w:rPr>
          <w:rFonts w:ascii="Arial" w:hAnsi="Arial" w:cs="Arial"/>
          <w:color w:val="000000"/>
        </w:rPr>
        <w:t>and support tailored to her needs (Ministry of Justice 2020).</w:t>
      </w:r>
      <w:r>
        <w:rPr>
          <w:rFonts w:ascii="Arial" w:hAnsi="Arial" w:cs="Arial"/>
          <w:color w:val="000000"/>
        </w:rPr>
        <w:br/>
      </w:r>
      <w:r>
        <w:rPr>
          <w:rFonts w:ascii="Arial" w:hAnsi="Arial" w:cs="Arial"/>
          <w:color w:val="000000"/>
        </w:rPr>
        <w:br/>
        <w:t xml:space="preserve">She explained that she was worried that pursuing a complaint would make things worse. She also felt that as a Pakistani woman living in a predominantly white area that she would be isolated if she were to act against her family. Given this, I was able to then and there provide her with contact details to access 3 separate support charities, </w:t>
      </w:r>
      <w:hyperlink r:id="rId20" w:history="1">
        <w:r>
          <w:rPr>
            <w:rStyle w:val="Hyperlink"/>
            <w:rFonts w:ascii="Arial" w:hAnsi="Arial" w:cs="Arial"/>
            <w:color w:val="1155CC"/>
          </w:rPr>
          <w:t>https://www.asianwomencentre.org.uk/</w:t>
        </w:r>
      </w:hyperlink>
      <w:r>
        <w:rPr>
          <w:rFonts w:ascii="Arial" w:hAnsi="Arial" w:cs="Arial"/>
          <w:color w:val="000000"/>
        </w:rPr>
        <w:t xml:space="preserve">, the Live Fear Free Helpline, and BAWSO, two of which are specifically targeted towards women in her ethnic demographic. She was grateful for this but still declined to support a prosecution and made a negative statement. She further explained that she was nervous about any repercussions that would come her way </w:t>
      </w:r>
      <w:proofErr w:type="gramStart"/>
      <w:r>
        <w:rPr>
          <w:rFonts w:ascii="Arial" w:hAnsi="Arial" w:cs="Arial"/>
          <w:color w:val="000000"/>
        </w:rPr>
        <w:t>as a result of</w:t>
      </w:r>
      <w:proofErr w:type="gramEnd"/>
      <w:r>
        <w:rPr>
          <w:rFonts w:ascii="Arial" w:hAnsi="Arial" w:cs="Arial"/>
          <w:color w:val="000000"/>
        </w:rPr>
        <w:t xml:space="preserve"> her brothers being arrested.</w:t>
      </w:r>
    </w:p>
    <w:p w14:paraId="62B9160E" w14:textId="77777777" w:rsidR="008709D1" w:rsidRDefault="008709D1" w:rsidP="008709D1"/>
    <w:p w14:paraId="718FFBDD" w14:textId="77777777" w:rsidR="008709D1" w:rsidRDefault="008709D1" w:rsidP="008709D1">
      <w:pPr>
        <w:pStyle w:val="NormalWeb"/>
        <w:spacing w:before="0" w:beforeAutospacing="0" w:after="0" w:afterAutospacing="0"/>
      </w:pPr>
      <w:r>
        <w:rPr>
          <w:rFonts w:ascii="Arial" w:hAnsi="Arial" w:cs="Arial"/>
          <w:color w:val="000000"/>
        </w:rPr>
        <w:t xml:space="preserve"> The incident met the criteria to be considered domestic abuse under the Domestic Abuse Act because both the victim and the perpetrators were related, and the behaviour in the incident was threatening violence. (Domestic Abuse Act 2021). I had taken details for a disclosure </w:t>
      </w:r>
      <w:proofErr w:type="gramStart"/>
      <w:r>
        <w:rPr>
          <w:rFonts w:ascii="Arial" w:hAnsi="Arial" w:cs="Arial"/>
          <w:color w:val="000000"/>
        </w:rPr>
        <w:t>statement,</w:t>
      </w:r>
      <w:proofErr w:type="gramEnd"/>
      <w:r>
        <w:rPr>
          <w:rFonts w:ascii="Arial" w:hAnsi="Arial" w:cs="Arial"/>
          <w:color w:val="000000"/>
        </w:rPr>
        <w:t xml:space="preserve"> therefore it was necessary to explain to her that in line with South Wales Police policy, positive action was mandatory, and as such her brothers would likely have been arrested regardless of her being supportive of prosecution. I explained if she truly did not want to support a </w:t>
      </w:r>
      <w:proofErr w:type="gramStart"/>
      <w:r>
        <w:rPr>
          <w:rFonts w:ascii="Arial" w:hAnsi="Arial" w:cs="Arial"/>
          <w:color w:val="000000"/>
        </w:rPr>
        <w:t>complaint</w:t>
      </w:r>
      <w:proofErr w:type="gramEnd"/>
      <w:r>
        <w:rPr>
          <w:rFonts w:ascii="Arial" w:hAnsi="Arial" w:cs="Arial"/>
          <w:color w:val="000000"/>
        </w:rPr>
        <w:t xml:space="preserve"> I would take a negative statement ensuring that it captured her concerns regarding the impact prosecution </w:t>
      </w:r>
      <w:r>
        <w:rPr>
          <w:rFonts w:ascii="Arial" w:hAnsi="Arial" w:cs="Arial"/>
          <w:color w:val="000000"/>
        </w:rPr>
        <w:lastRenderedPageBreak/>
        <w:t>might have on her personal relationships within the family, however the decision to do a victimless prosecution may be made by the CPS. </w:t>
      </w:r>
    </w:p>
    <w:p w14:paraId="3BBE32E3" w14:textId="77777777" w:rsidR="008709D1" w:rsidRDefault="008709D1" w:rsidP="008709D1">
      <w:pPr>
        <w:pStyle w:val="NormalWeb"/>
        <w:spacing w:before="0" w:beforeAutospacing="0" w:after="0" w:afterAutospacing="0"/>
      </w:pPr>
      <w:r>
        <w:rPr>
          <w:rFonts w:ascii="Arial" w:hAnsi="Arial" w:cs="Arial"/>
          <w:color w:val="000000"/>
        </w:rPr>
        <w:t>Once the brothers had been seen in custody, the file was taken on by officers working at the hub, and as such, there was to be no further involvement from me in the case. It was necessary however for me to complete an update on the occurrence log explaining my thoughts and actions from dealing with the incident in a clear and concise manner so that any person reading the log would understand what I had done and why. </w:t>
      </w:r>
    </w:p>
    <w:p w14:paraId="0AB313FF" w14:textId="77777777" w:rsidR="008709D1" w:rsidRDefault="008709D1" w:rsidP="008709D1"/>
    <w:p w14:paraId="1312D5D6" w14:textId="77777777" w:rsidR="008709D1" w:rsidRDefault="008709D1" w:rsidP="008709D1">
      <w:pPr>
        <w:pStyle w:val="NormalWeb"/>
        <w:spacing w:before="0" w:beforeAutospacing="0" w:after="0" w:afterAutospacing="0"/>
      </w:pPr>
      <w:r>
        <w:rPr>
          <w:rFonts w:ascii="Arial" w:hAnsi="Arial" w:cs="Arial"/>
          <w:color w:val="000000"/>
        </w:rPr>
        <w:t xml:space="preserve">I searched </w:t>
      </w:r>
      <w:proofErr w:type="gramStart"/>
      <w:r>
        <w:rPr>
          <w:rFonts w:ascii="Arial" w:hAnsi="Arial" w:cs="Arial"/>
          <w:color w:val="000000"/>
        </w:rPr>
        <w:t>both of the brothers</w:t>
      </w:r>
      <w:proofErr w:type="gramEnd"/>
      <w:r>
        <w:rPr>
          <w:rFonts w:ascii="Arial" w:hAnsi="Arial" w:cs="Arial"/>
          <w:color w:val="000000"/>
        </w:rPr>
        <w:t xml:space="preserve"> on Niche and the Police National Database. Neither brother had a niche footprint suggesting that they had not been reported for any offences. This information which is disclosable to the CPS when building a file may have an impact on the decision as to </w:t>
      </w:r>
      <w:proofErr w:type="gramStart"/>
      <w:r>
        <w:rPr>
          <w:rFonts w:ascii="Arial" w:hAnsi="Arial" w:cs="Arial"/>
          <w:color w:val="000000"/>
        </w:rPr>
        <w:t>whether or not</w:t>
      </w:r>
      <w:proofErr w:type="gramEnd"/>
      <w:r>
        <w:rPr>
          <w:rFonts w:ascii="Arial" w:hAnsi="Arial" w:cs="Arial"/>
          <w:color w:val="000000"/>
        </w:rPr>
        <w:t xml:space="preserve"> the case is taken forward for victimless prosecution. It is however only part of the </w:t>
      </w:r>
      <w:proofErr w:type="gramStart"/>
      <w:r>
        <w:rPr>
          <w:rFonts w:ascii="Arial" w:hAnsi="Arial" w:cs="Arial"/>
          <w:color w:val="000000"/>
        </w:rPr>
        <w:t>decision making</w:t>
      </w:r>
      <w:proofErr w:type="gramEnd"/>
      <w:r>
        <w:rPr>
          <w:rFonts w:ascii="Arial" w:hAnsi="Arial" w:cs="Arial"/>
          <w:color w:val="000000"/>
        </w:rPr>
        <w:t xml:space="preserve"> process. </w:t>
      </w:r>
    </w:p>
    <w:p w14:paraId="54A22F0F" w14:textId="77777777" w:rsidR="008709D1" w:rsidRDefault="008709D1" w:rsidP="008709D1"/>
    <w:p w14:paraId="6CF434C1" w14:textId="77777777" w:rsidR="008709D1" w:rsidRDefault="008709D1" w:rsidP="008709D1">
      <w:pPr>
        <w:pStyle w:val="NormalWeb"/>
        <w:spacing w:before="0" w:beforeAutospacing="0" w:after="0" w:afterAutospacing="0"/>
      </w:pPr>
      <w:r>
        <w:rPr>
          <w:rFonts w:ascii="Arial" w:hAnsi="Arial" w:cs="Arial"/>
          <w:color w:val="000000"/>
        </w:rPr>
        <w:t xml:space="preserve">According to Safe Lives “The average length of abuse is around 2.3 years. In the last 12 months 73% of clients reported the abuse to the police and 18% attended A&amp;E </w:t>
      </w:r>
      <w:proofErr w:type="gramStart"/>
      <w:r>
        <w:rPr>
          <w:rFonts w:ascii="Arial" w:hAnsi="Arial" w:cs="Arial"/>
          <w:color w:val="000000"/>
        </w:rPr>
        <w:t>as a result of</w:t>
      </w:r>
      <w:proofErr w:type="gramEnd"/>
      <w:r>
        <w:rPr>
          <w:rFonts w:ascii="Arial" w:hAnsi="Arial" w:cs="Arial"/>
          <w:color w:val="000000"/>
        </w:rPr>
        <w:t xml:space="preserve"> the abuse. The average number of visits to the GP was 5.1; the average number of visits to the GP for the general population is 3.6 per year.” (Safe Lives 2015)</w:t>
      </w:r>
    </w:p>
    <w:p w14:paraId="6F98B5F0" w14:textId="77777777" w:rsidR="008709D1" w:rsidRDefault="008709D1" w:rsidP="008709D1"/>
    <w:p w14:paraId="5088B2B2" w14:textId="77777777" w:rsidR="008709D1" w:rsidRDefault="008709D1" w:rsidP="008709D1">
      <w:pPr>
        <w:pStyle w:val="NormalWeb"/>
        <w:spacing w:before="0" w:beforeAutospacing="0" w:after="0" w:afterAutospacing="0"/>
      </w:pPr>
      <w:r>
        <w:rPr>
          <w:rFonts w:ascii="Arial" w:hAnsi="Arial" w:cs="Arial"/>
          <w:color w:val="000000"/>
        </w:rPr>
        <w:t xml:space="preserve">This statistical data suggests that over reliance on ‘bad character’ evidence may not provide a true account of what is happening, and further to this, it highlights the importance of requesting permission from victims to gain access to their medical records, as it may paint a different picture than the one being given by the </w:t>
      </w:r>
      <w:proofErr w:type="spellStart"/>
      <w:r>
        <w:rPr>
          <w:rFonts w:ascii="Arial" w:hAnsi="Arial" w:cs="Arial"/>
          <w:color w:val="000000"/>
        </w:rPr>
        <w:t>victim,who</w:t>
      </w:r>
      <w:proofErr w:type="spellEnd"/>
      <w:r>
        <w:rPr>
          <w:rFonts w:ascii="Arial" w:hAnsi="Arial" w:cs="Arial"/>
          <w:color w:val="000000"/>
        </w:rPr>
        <w:t xml:space="preserve"> may, for various reasons (including cultural) seek to downplay the seriousness of what is happening to them. In retrospect I regret having not been able to secure this access as the victim’s reluctance to provide a statement may also have been affected by her cultural background, given that trust in the police differs by ethnic group. That being said, according to </w:t>
      </w:r>
      <w:hyperlink r:id="rId21" w:history="1">
        <w:r>
          <w:rPr>
            <w:rStyle w:val="Hyperlink"/>
            <w:rFonts w:ascii="Arial" w:hAnsi="Arial" w:cs="Arial"/>
          </w:rPr>
          <w:t>gov.uk</w:t>
        </w:r>
      </w:hyperlink>
      <w:r>
        <w:rPr>
          <w:rFonts w:ascii="Arial" w:hAnsi="Arial" w:cs="Arial"/>
          <w:color w:val="000000"/>
        </w:rPr>
        <w:t xml:space="preserve">, people from the Asian (77%), White (74%) and Other ethnic groups (75%) were more likely to have confidence in their local police than Black people (64%). Trust, or a lack of trust in the police would therefore be a consideration, particularly when dealing with people from black communities. Even so, </w:t>
      </w:r>
      <w:proofErr w:type="gramStart"/>
      <w:r>
        <w:rPr>
          <w:rFonts w:ascii="Arial" w:hAnsi="Arial" w:cs="Arial"/>
          <w:color w:val="000000"/>
        </w:rPr>
        <w:t>It</w:t>
      </w:r>
      <w:proofErr w:type="gramEnd"/>
      <w:r>
        <w:rPr>
          <w:rFonts w:ascii="Arial" w:hAnsi="Arial" w:cs="Arial"/>
          <w:color w:val="000000"/>
        </w:rPr>
        <w:t xml:space="preserve"> is difficult to say if a decision for victimless prosecution would lead to greater or worsening trust, as the variance in wants and needs will be different from person and cannot be assumed based on ethnicity or any other characteristic. </w:t>
      </w:r>
    </w:p>
    <w:p w14:paraId="273C2FE8" w14:textId="77777777" w:rsidR="008709D1" w:rsidRDefault="008709D1" w:rsidP="008709D1"/>
    <w:p w14:paraId="4B069792" w14:textId="77777777" w:rsidR="008709D1" w:rsidRDefault="008709D1" w:rsidP="008709D1">
      <w:pPr>
        <w:pStyle w:val="NormalWeb"/>
        <w:spacing w:before="0" w:beforeAutospacing="0" w:after="0" w:afterAutospacing="0"/>
      </w:pPr>
      <w:r>
        <w:rPr>
          <w:rFonts w:ascii="Arial" w:hAnsi="Arial" w:cs="Arial"/>
          <w:color w:val="000000"/>
        </w:rPr>
        <w:t>Throughout the incident I have been conscious of protecting the human rights of both the victim and suspects. The Human rights act was brought in in 1998 intending to give further effect to rights and freedoms guaranteed under the European Convention on Human Rights. It states that legislation and subordinate legislation must be read and given effect in a way which is compatible with the Convention rights (Human Rights Act 1998</w:t>
      </w:r>
      <w:proofErr w:type="gramStart"/>
      <w:r>
        <w:rPr>
          <w:rFonts w:ascii="Arial" w:hAnsi="Arial" w:cs="Arial"/>
          <w:color w:val="000000"/>
        </w:rPr>
        <w:t>)..</w:t>
      </w:r>
      <w:proofErr w:type="gramEnd"/>
      <w:r>
        <w:rPr>
          <w:rFonts w:ascii="Arial" w:hAnsi="Arial" w:cs="Arial"/>
          <w:color w:val="000000"/>
        </w:rPr>
        <w:t xml:space="preserve"> </w:t>
      </w:r>
      <w:proofErr w:type="gramStart"/>
      <w:r>
        <w:rPr>
          <w:rFonts w:ascii="Arial" w:hAnsi="Arial" w:cs="Arial"/>
          <w:color w:val="000000"/>
        </w:rPr>
        <w:t>That is to say any</w:t>
      </w:r>
      <w:proofErr w:type="gramEnd"/>
      <w:r>
        <w:rPr>
          <w:rFonts w:ascii="Arial" w:hAnsi="Arial" w:cs="Arial"/>
          <w:color w:val="000000"/>
        </w:rPr>
        <w:t xml:space="preserve"> powers I use under PACE for example must comply with the ECHR, and so must not infringe on a person’s right to respect for private and family life, right to life and right to a fair trial. As such any evidence must be gathered legally, unobtrusively and in accordance with laws and regulations, hence the need for medical consent forms for example. </w:t>
      </w:r>
    </w:p>
    <w:p w14:paraId="56F19008" w14:textId="77777777" w:rsidR="008709D1" w:rsidRDefault="008709D1" w:rsidP="008709D1">
      <w:pPr>
        <w:spacing w:after="240"/>
      </w:pPr>
    </w:p>
    <w:p w14:paraId="0C2F7480" w14:textId="77777777" w:rsidR="008709D1" w:rsidRDefault="008709D1" w:rsidP="008709D1">
      <w:pPr>
        <w:pStyle w:val="NormalWeb"/>
        <w:spacing w:before="0" w:beforeAutospacing="0" w:after="0" w:afterAutospacing="0"/>
      </w:pPr>
      <w:r>
        <w:rPr>
          <w:rFonts w:ascii="Arial" w:hAnsi="Arial" w:cs="Arial"/>
          <w:color w:val="000000"/>
        </w:rPr>
        <w:t xml:space="preserve">My overall feelings surrounding the incident are that I did the best I could do. I adhered to the </w:t>
      </w:r>
      <w:proofErr w:type="gramStart"/>
      <w:r>
        <w:rPr>
          <w:rFonts w:ascii="Arial" w:hAnsi="Arial" w:cs="Arial"/>
          <w:color w:val="000000"/>
        </w:rPr>
        <w:t>victims</w:t>
      </w:r>
      <w:proofErr w:type="gramEnd"/>
      <w:r>
        <w:rPr>
          <w:rFonts w:ascii="Arial" w:hAnsi="Arial" w:cs="Arial"/>
          <w:color w:val="000000"/>
        </w:rPr>
        <w:t xml:space="preserve"> code, and acted with the best interests of the victim at heart ensuring that I followed the police code of conduct which also ensures that I am adhering to the requirements of the ECHR and the Human rights Act. Reflecting on the incident has shown me that there will be occasions where I may doubt the actions I have taken. There may be occasions where the force’s mandatory positive action policy will feel inappropriate, however, there is strong statistical evidence to suggest that victims of domestic violence </w:t>
      </w:r>
      <w:proofErr w:type="gramStart"/>
      <w:r>
        <w:rPr>
          <w:rFonts w:ascii="Arial" w:hAnsi="Arial" w:cs="Arial"/>
          <w:color w:val="000000"/>
        </w:rPr>
        <w:t>have a tendency to</w:t>
      </w:r>
      <w:proofErr w:type="gramEnd"/>
      <w:r>
        <w:rPr>
          <w:rFonts w:ascii="Arial" w:hAnsi="Arial" w:cs="Arial"/>
          <w:color w:val="000000"/>
        </w:rPr>
        <w:t xml:space="preserve"> not report incidents to the police, and that following this policy will often be in the best interests of the person provided that sufficient safeguarding measures are put in place.</w:t>
      </w:r>
    </w:p>
    <w:p w14:paraId="13951411" w14:textId="77777777" w:rsidR="008709D1" w:rsidRDefault="008709D1" w:rsidP="008709D1"/>
    <w:p w14:paraId="592F812D" w14:textId="77777777" w:rsidR="008709D1" w:rsidRDefault="008709D1" w:rsidP="008709D1">
      <w:pPr>
        <w:pStyle w:val="NormalWeb"/>
        <w:spacing w:before="0" w:beforeAutospacing="0" w:after="0" w:afterAutospacing="0"/>
      </w:pPr>
      <w:r>
        <w:rPr>
          <w:rFonts w:ascii="Arial" w:hAnsi="Arial" w:cs="Arial"/>
          <w:color w:val="000000"/>
        </w:rPr>
        <w:t>Word Count 1866</w:t>
      </w:r>
    </w:p>
    <w:p w14:paraId="32933C98" w14:textId="18DF936B" w:rsidR="00AA666E" w:rsidRPr="000B1E96" w:rsidRDefault="00AA666E"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57B0CF63" w14:textId="77777777" w:rsidR="003F117F" w:rsidRDefault="003F117F" w:rsidP="003F117F">
      <w:pPr>
        <w:pStyle w:val="NormalWeb"/>
        <w:spacing w:before="0" w:beforeAutospacing="0" w:after="0" w:afterAutospacing="0"/>
      </w:pPr>
      <w:r>
        <w:rPr>
          <w:rFonts w:ascii="Arial" w:hAnsi="Arial" w:cs="Arial"/>
          <w:color w:val="000000"/>
        </w:rPr>
        <w:t xml:space="preserve">During my tutorship phase I responded to a call involving an elderly male who had been found lying in the road, and that there was a concern there had been a dog attack. Upon arrival at </w:t>
      </w:r>
      <w:proofErr w:type="gramStart"/>
      <w:r>
        <w:rPr>
          <w:rFonts w:ascii="Arial" w:hAnsi="Arial" w:cs="Arial"/>
          <w:color w:val="000000"/>
        </w:rPr>
        <w:t>scene</w:t>
      </w:r>
      <w:proofErr w:type="gramEnd"/>
      <w:r>
        <w:rPr>
          <w:rFonts w:ascii="Arial" w:hAnsi="Arial" w:cs="Arial"/>
          <w:color w:val="000000"/>
        </w:rPr>
        <w:t xml:space="preserve"> it was difficult to understand what had happened. The male was lying on the ground in the road with members of the public around him. In this task I will reflect on the actions I took and my involvement with the victim and suspect touching on use of the National Decision Model, and the impact of the Criminal Procedure and Investigations Act 1996 on my actions.</w:t>
      </w:r>
    </w:p>
    <w:p w14:paraId="3510EB6C" w14:textId="77777777" w:rsidR="003F117F" w:rsidRDefault="003F117F" w:rsidP="003F117F"/>
    <w:p w14:paraId="65245BA2" w14:textId="77777777" w:rsidR="003F117F" w:rsidRDefault="003F117F" w:rsidP="003F117F">
      <w:pPr>
        <w:pStyle w:val="NormalWeb"/>
        <w:spacing w:before="0" w:beforeAutospacing="0" w:after="0" w:afterAutospacing="0"/>
      </w:pPr>
      <w:r>
        <w:rPr>
          <w:rFonts w:ascii="Arial" w:hAnsi="Arial" w:cs="Arial"/>
          <w:color w:val="000000"/>
        </w:rPr>
        <w:t xml:space="preserve">The college of policing teaches the use of the NDM, or National Decision Model, for dealing with </w:t>
      </w:r>
      <w:proofErr w:type="gramStart"/>
      <w:r>
        <w:rPr>
          <w:rFonts w:ascii="Arial" w:hAnsi="Arial" w:cs="Arial"/>
          <w:color w:val="000000"/>
        </w:rPr>
        <w:t>any and all</w:t>
      </w:r>
      <w:proofErr w:type="gramEnd"/>
      <w:r>
        <w:rPr>
          <w:rFonts w:ascii="Arial" w:hAnsi="Arial" w:cs="Arial"/>
          <w:color w:val="000000"/>
        </w:rPr>
        <w:t xml:space="preserve"> incidents to guide actions and support effective decision making. The model itself is a framework that is structured around 5 key action points and the police code of ethics which is at the heart of all police decision making and is the element that binds the model together. (College of Policing 2013). I used the NDM to guide my actions and decisions throughout the incident.</w:t>
      </w:r>
    </w:p>
    <w:p w14:paraId="3EDC480B" w14:textId="77777777" w:rsidR="003F117F" w:rsidRDefault="003F117F" w:rsidP="003F117F"/>
    <w:p w14:paraId="23C4A0F2" w14:textId="77777777" w:rsidR="003F117F" w:rsidRDefault="003F117F" w:rsidP="003F117F">
      <w:pPr>
        <w:pStyle w:val="NormalWeb"/>
        <w:spacing w:before="0" w:beforeAutospacing="0" w:after="0" w:afterAutospacing="0"/>
      </w:pPr>
      <w:r>
        <w:rPr>
          <w:rFonts w:ascii="Arial" w:hAnsi="Arial" w:cs="Arial"/>
          <w:color w:val="000000"/>
        </w:rPr>
        <w:t xml:space="preserve">1.     </w:t>
      </w:r>
      <w:r>
        <w:rPr>
          <w:rStyle w:val="gmail-apple-tab-span"/>
          <w:rFonts w:ascii="Arial" w:hAnsi="Arial" w:cs="Arial"/>
          <w:color w:val="000000"/>
        </w:rPr>
        <w:tab/>
      </w:r>
      <w:r>
        <w:rPr>
          <w:rFonts w:ascii="Arial" w:hAnsi="Arial" w:cs="Arial"/>
          <w:color w:val="000000"/>
        </w:rPr>
        <w:t>Gather Information and Intelligence: I started by assessing the situation, and gathering information from witnesses and established that it was the male’s dog that had been attacked. Further down the road someone had tied up the two larger dogs, one of which had a bloodied muzzle.</w:t>
      </w:r>
    </w:p>
    <w:p w14:paraId="495F1A50" w14:textId="77777777" w:rsidR="003F117F" w:rsidRDefault="003F117F" w:rsidP="003F117F">
      <w:pPr>
        <w:pStyle w:val="NormalWeb"/>
        <w:spacing w:before="0" w:beforeAutospacing="0" w:after="0" w:afterAutospacing="0"/>
      </w:pPr>
      <w:r>
        <w:rPr>
          <w:rFonts w:ascii="Arial" w:hAnsi="Arial" w:cs="Arial"/>
          <w:color w:val="000000"/>
        </w:rPr>
        <w:t xml:space="preserve">2.     </w:t>
      </w:r>
      <w:r>
        <w:rPr>
          <w:rStyle w:val="gmail-apple-tab-span"/>
          <w:rFonts w:ascii="Arial" w:hAnsi="Arial" w:cs="Arial"/>
          <w:color w:val="000000"/>
        </w:rPr>
        <w:tab/>
      </w:r>
      <w:r>
        <w:rPr>
          <w:rFonts w:ascii="Arial" w:hAnsi="Arial" w:cs="Arial"/>
          <w:color w:val="000000"/>
        </w:rPr>
        <w:t>Assess threat and risk. There was a risk to the elderly male from traffic as he was lying in the road. There was further threat from the large dogs to anyone who approached where they were tied up. The small dog was severely injured so was taken to the vet by the elderly male’s relatives.</w:t>
      </w:r>
    </w:p>
    <w:p w14:paraId="608143F4" w14:textId="77777777" w:rsidR="003F117F" w:rsidRDefault="003F117F" w:rsidP="003F117F">
      <w:pPr>
        <w:pStyle w:val="NormalWeb"/>
        <w:spacing w:before="0" w:beforeAutospacing="0" w:after="0" w:afterAutospacing="0"/>
      </w:pPr>
      <w:r>
        <w:rPr>
          <w:rFonts w:ascii="Arial" w:hAnsi="Arial" w:cs="Arial"/>
          <w:color w:val="000000"/>
        </w:rPr>
        <w:t xml:space="preserve">3.     </w:t>
      </w:r>
      <w:r>
        <w:rPr>
          <w:rStyle w:val="gmail-apple-tab-span"/>
          <w:rFonts w:ascii="Arial" w:hAnsi="Arial" w:cs="Arial"/>
          <w:color w:val="000000"/>
        </w:rPr>
        <w:tab/>
      </w:r>
      <w:r>
        <w:rPr>
          <w:rFonts w:ascii="Arial" w:hAnsi="Arial" w:cs="Arial"/>
          <w:color w:val="000000"/>
        </w:rPr>
        <w:t xml:space="preserve">Consider powers and Policy. This was a dog attack with no owner present. There was at the time, no arrestable person, and the dangerous dog offences were not familiar to me so I established </w:t>
      </w:r>
      <w:r>
        <w:rPr>
          <w:rFonts w:ascii="Arial" w:hAnsi="Arial" w:cs="Arial"/>
          <w:color w:val="000000"/>
        </w:rPr>
        <w:lastRenderedPageBreak/>
        <w:t xml:space="preserve">which offences had been committed and what powers were available to me to deal with the offence (powers of seizure etc) knowing the responsible dogs would need to be seized. Seizing the dog would prevent them from causing further risk or </w:t>
      </w:r>
      <w:proofErr w:type="gramStart"/>
      <w:r>
        <w:rPr>
          <w:rFonts w:ascii="Arial" w:hAnsi="Arial" w:cs="Arial"/>
          <w:color w:val="000000"/>
        </w:rPr>
        <w:t>harm, and</w:t>
      </w:r>
      <w:proofErr w:type="gramEnd"/>
      <w:r>
        <w:rPr>
          <w:rFonts w:ascii="Arial" w:hAnsi="Arial" w:cs="Arial"/>
          <w:color w:val="000000"/>
        </w:rPr>
        <w:t xml:space="preserve"> allow it to be retained for the duration of the investigation. </w:t>
      </w:r>
    </w:p>
    <w:p w14:paraId="5A18E020" w14:textId="77777777" w:rsidR="003F117F" w:rsidRDefault="003F117F" w:rsidP="003F117F">
      <w:pPr>
        <w:pStyle w:val="NormalWeb"/>
        <w:spacing w:before="0" w:beforeAutospacing="0" w:after="0" w:afterAutospacing="0"/>
      </w:pPr>
      <w:r>
        <w:rPr>
          <w:rFonts w:ascii="Arial" w:hAnsi="Arial" w:cs="Arial"/>
          <w:color w:val="000000"/>
        </w:rPr>
        <w:t xml:space="preserve">4.     </w:t>
      </w:r>
      <w:r>
        <w:rPr>
          <w:rStyle w:val="gmail-apple-tab-span"/>
          <w:rFonts w:ascii="Arial" w:hAnsi="Arial" w:cs="Arial"/>
          <w:color w:val="000000"/>
        </w:rPr>
        <w:tab/>
      </w:r>
      <w:r>
        <w:rPr>
          <w:rFonts w:ascii="Arial" w:hAnsi="Arial" w:cs="Arial"/>
          <w:color w:val="000000"/>
        </w:rPr>
        <w:t xml:space="preserve">Identify options and contingencies: I evaluated the potential consequences of each option, recognizing that an arrest was not immediately possible and even were an owner present, may not be necessary and a </w:t>
      </w:r>
      <w:proofErr w:type="gramStart"/>
      <w:r>
        <w:rPr>
          <w:rFonts w:ascii="Arial" w:hAnsi="Arial" w:cs="Arial"/>
          <w:color w:val="000000"/>
        </w:rPr>
        <w:t>Voluntary</w:t>
      </w:r>
      <w:proofErr w:type="gramEnd"/>
      <w:r>
        <w:rPr>
          <w:rFonts w:ascii="Arial" w:hAnsi="Arial" w:cs="Arial"/>
          <w:color w:val="000000"/>
        </w:rPr>
        <w:t xml:space="preserve"> attendance might be more suitable</w:t>
      </w:r>
    </w:p>
    <w:p w14:paraId="075B0877" w14:textId="77777777" w:rsidR="003F117F" w:rsidRDefault="003F117F" w:rsidP="003F117F">
      <w:pPr>
        <w:pStyle w:val="NormalWeb"/>
        <w:spacing w:before="0" w:beforeAutospacing="0" w:after="0" w:afterAutospacing="0"/>
      </w:pPr>
      <w:r>
        <w:rPr>
          <w:rFonts w:ascii="Arial" w:hAnsi="Arial" w:cs="Arial"/>
          <w:color w:val="000000"/>
        </w:rPr>
        <w:t xml:space="preserve">5.     </w:t>
      </w:r>
      <w:r>
        <w:rPr>
          <w:rStyle w:val="gmail-apple-tab-span"/>
          <w:rFonts w:ascii="Arial" w:hAnsi="Arial" w:cs="Arial"/>
          <w:color w:val="000000"/>
        </w:rPr>
        <w:tab/>
      </w:r>
      <w:proofErr w:type="gramStart"/>
      <w:r>
        <w:rPr>
          <w:rFonts w:ascii="Arial" w:hAnsi="Arial" w:cs="Arial"/>
          <w:color w:val="000000"/>
        </w:rPr>
        <w:t>Make a Decision</w:t>
      </w:r>
      <w:proofErr w:type="gramEnd"/>
      <w:r>
        <w:rPr>
          <w:rFonts w:ascii="Arial" w:hAnsi="Arial" w:cs="Arial"/>
          <w:color w:val="000000"/>
        </w:rPr>
        <w:t>: I closed the road in order to protect the scene and the elderly male. Information gathered from the witnesses stated that only the dog with the bloodied muzzle was responsible for the attack. I confirmed this with a second witness and made the decision to only seize the responsible dog.  Ambulance was called to ensure the wellbeing of the victim. Witness statements were taken, house to house enquiries were completed and CCTV footage was gathered. </w:t>
      </w:r>
    </w:p>
    <w:p w14:paraId="4A6072BB" w14:textId="77777777" w:rsidR="003F117F" w:rsidRDefault="003F117F" w:rsidP="003F117F"/>
    <w:p w14:paraId="711E3DEE" w14:textId="77777777" w:rsidR="003F117F" w:rsidRDefault="003F117F" w:rsidP="003F117F">
      <w:pPr>
        <w:pStyle w:val="NormalWeb"/>
        <w:spacing w:before="0" w:beforeAutospacing="0" w:after="0" w:afterAutospacing="0"/>
      </w:pPr>
      <w:r>
        <w:rPr>
          <w:rFonts w:ascii="Arial" w:hAnsi="Arial" w:cs="Arial"/>
          <w:color w:val="000000"/>
        </w:rPr>
        <w:t xml:space="preserve">Following the initial </w:t>
      </w:r>
      <w:proofErr w:type="gramStart"/>
      <w:r>
        <w:rPr>
          <w:rFonts w:ascii="Arial" w:hAnsi="Arial" w:cs="Arial"/>
          <w:color w:val="000000"/>
        </w:rPr>
        <w:t>response</w:t>
      </w:r>
      <w:proofErr w:type="gramEnd"/>
      <w:r>
        <w:rPr>
          <w:rFonts w:ascii="Arial" w:hAnsi="Arial" w:cs="Arial"/>
          <w:color w:val="000000"/>
        </w:rPr>
        <w:t xml:space="preserve"> a member of the public approached me. She stated that the dogs belonged to her cousin and had been moved to a temporary kennel due to a wasp’s nest and it was from there that they had escaped. She was informed that the dog that was responsible for the attack needed to be seized. The dog was then taken to a kennel to be cared for during the investigation. </w:t>
      </w:r>
    </w:p>
    <w:p w14:paraId="303AD709" w14:textId="77777777" w:rsidR="003F117F" w:rsidRDefault="003F117F" w:rsidP="003F117F"/>
    <w:p w14:paraId="5C584C9C" w14:textId="77777777" w:rsidR="003F117F" w:rsidRDefault="003F117F" w:rsidP="003F117F">
      <w:pPr>
        <w:pStyle w:val="NormalWeb"/>
        <w:spacing w:before="0" w:beforeAutospacing="0" w:after="0" w:afterAutospacing="0"/>
      </w:pPr>
      <w:r>
        <w:rPr>
          <w:rFonts w:ascii="Arial" w:hAnsi="Arial" w:cs="Arial"/>
          <w:color w:val="000000"/>
        </w:rPr>
        <w:t xml:space="preserve">Further to the use of the NDM in my decision making, The CPIA, or Criminal Procedure and Investigations Act 1996 plays a crucial role in criminal investigations as it sets out </w:t>
      </w:r>
      <w:proofErr w:type="gramStart"/>
      <w:r>
        <w:rPr>
          <w:rFonts w:ascii="Arial" w:hAnsi="Arial" w:cs="Arial"/>
          <w:color w:val="000000"/>
        </w:rPr>
        <w:t>a number of</w:t>
      </w:r>
      <w:proofErr w:type="gramEnd"/>
      <w:r>
        <w:rPr>
          <w:rFonts w:ascii="Arial" w:hAnsi="Arial" w:cs="Arial"/>
          <w:color w:val="000000"/>
        </w:rPr>
        <w:t xml:space="preserve"> goals, objectives and guidelines which shapes how we as police officers must act. For the purposes of this reflection, Part 2, Section 23 becomes most relevant as it provides a code of practice for officers to follow. Particularly: </w:t>
      </w:r>
    </w:p>
    <w:p w14:paraId="427FDC6E" w14:textId="77777777" w:rsidR="003F117F" w:rsidRDefault="003F117F" w:rsidP="003F117F"/>
    <w:p w14:paraId="3E38470C" w14:textId="77777777" w:rsidR="003F117F" w:rsidRDefault="003F117F" w:rsidP="003F117F">
      <w:pPr>
        <w:pStyle w:val="NormalWeb"/>
        <w:spacing w:before="0" w:beforeAutospacing="0" w:after="0" w:afterAutospacing="0"/>
      </w:pPr>
      <w:r>
        <w:rPr>
          <w:rFonts w:ascii="Arial" w:hAnsi="Arial" w:cs="Arial"/>
          <w:color w:val="000000"/>
        </w:rPr>
        <w:t>“1 (a)that where a criminal investigation is conducted all reasonable steps are taken for the purposes of the investigation and, in particular, all reasonable lines of inquiry are pursued;”  </w:t>
      </w:r>
    </w:p>
    <w:p w14:paraId="100A5E18" w14:textId="77777777" w:rsidR="003F117F" w:rsidRDefault="003F117F" w:rsidP="003F117F"/>
    <w:p w14:paraId="78C8842D" w14:textId="77777777" w:rsidR="003F117F" w:rsidRDefault="003F117F" w:rsidP="003F117F">
      <w:pPr>
        <w:pStyle w:val="NormalWeb"/>
        <w:spacing w:before="0" w:beforeAutospacing="0" w:after="0" w:afterAutospacing="0"/>
      </w:pPr>
      <w:r>
        <w:rPr>
          <w:rFonts w:ascii="Arial" w:hAnsi="Arial" w:cs="Arial"/>
          <w:color w:val="000000"/>
        </w:rPr>
        <w:t>Additionally, sections 1 (b</w:t>
      </w:r>
      <w:proofErr w:type="gramStart"/>
      <w:r>
        <w:rPr>
          <w:rFonts w:ascii="Arial" w:hAnsi="Arial" w:cs="Arial"/>
          <w:color w:val="000000"/>
        </w:rPr>
        <w:t>),(</w:t>
      </w:r>
      <w:proofErr w:type="gramEnd"/>
      <w:r>
        <w:rPr>
          <w:rFonts w:ascii="Arial" w:hAnsi="Arial" w:cs="Arial"/>
          <w:color w:val="000000"/>
        </w:rPr>
        <w:t>c) and (d) are particularly important as they state that any information which is obtained int he hours of the investigation and may be relevant must be recorded and retained (Criminal Procedure and Investigations Act 1996).</w:t>
      </w:r>
    </w:p>
    <w:p w14:paraId="3F839ACC" w14:textId="77777777" w:rsidR="003F117F" w:rsidRDefault="003F117F" w:rsidP="003F117F"/>
    <w:p w14:paraId="36D6660B" w14:textId="77777777" w:rsidR="003F117F" w:rsidRDefault="003F117F" w:rsidP="003F117F">
      <w:pPr>
        <w:pStyle w:val="NormalWeb"/>
        <w:spacing w:before="0" w:beforeAutospacing="0" w:after="0" w:afterAutospacing="0"/>
      </w:pPr>
      <w:r>
        <w:rPr>
          <w:rFonts w:ascii="Arial" w:hAnsi="Arial" w:cs="Arial"/>
          <w:color w:val="000000"/>
        </w:rPr>
        <w:t xml:space="preserve">Thankfully the circumstances of this incident were such that the identity of the suspects were volunteered and made known to us, and as </w:t>
      </w:r>
      <w:proofErr w:type="spellStart"/>
      <w:proofErr w:type="gramStart"/>
      <w:r>
        <w:rPr>
          <w:rFonts w:ascii="Arial" w:hAnsi="Arial" w:cs="Arial"/>
          <w:color w:val="000000"/>
        </w:rPr>
        <w:t>such,their</w:t>
      </w:r>
      <w:proofErr w:type="spellEnd"/>
      <w:proofErr w:type="gramEnd"/>
      <w:r>
        <w:rPr>
          <w:rFonts w:ascii="Arial" w:hAnsi="Arial" w:cs="Arial"/>
          <w:color w:val="000000"/>
        </w:rPr>
        <w:t xml:space="preserve"> details were able to be captured immediately and confirmed using police systems. A statement was taken from witnesses to the incident, and after he had recovered, a further statement was taken from the victim. Sadly, his dog was taken to the vet where it was put down as its injuries were too severe for it to recover from. CCTV enquiries were also </w:t>
      </w:r>
      <w:proofErr w:type="gramStart"/>
      <w:r>
        <w:rPr>
          <w:rFonts w:ascii="Arial" w:hAnsi="Arial" w:cs="Arial"/>
          <w:color w:val="000000"/>
        </w:rPr>
        <w:t>completed</w:t>
      </w:r>
      <w:proofErr w:type="gramEnd"/>
      <w:r>
        <w:rPr>
          <w:rFonts w:ascii="Arial" w:hAnsi="Arial" w:cs="Arial"/>
          <w:color w:val="000000"/>
        </w:rPr>
        <w:t xml:space="preserve"> and these covered the full incident and clearly shows the dogs were dangerously out of control in a public place as per section 3 of the Dangerous Dogs Act (Dangerous Dogs Act 1991) which also confirmed that we were able to seize the dog under section 5(1)(c) of the same act.</w:t>
      </w:r>
    </w:p>
    <w:p w14:paraId="5A1576FB" w14:textId="77777777" w:rsidR="003F117F" w:rsidRDefault="003F117F" w:rsidP="003F117F"/>
    <w:p w14:paraId="048263DD" w14:textId="77777777" w:rsidR="003F117F" w:rsidRDefault="003F117F" w:rsidP="003F117F">
      <w:pPr>
        <w:pStyle w:val="NormalWeb"/>
        <w:spacing w:before="0" w:beforeAutospacing="0" w:after="0" w:afterAutospacing="0"/>
      </w:pPr>
      <w:r>
        <w:rPr>
          <w:rFonts w:ascii="Arial" w:hAnsi="Arial" w:cs="Arial"/>
          <w:color w:val="000000"/>
        </w:rPr>
        <w:t xml:space="preserve">The victim was asked what outcome they hoped for in terms of an outcome. He stated that he did not want to go to court, however his wish was that the offending dog would be destroyed </w:t>
      </w:r>
      <w:proofErr w:type="gramStart"/>
      <w:r>
        <w:rPr>
          <w:rFonts w:ascii="Arial" w:hAnsi="Arial" w:cs="Arial"/>
          <w:color w:val="000000"/>
        </w:rPr>
        <w:t>so as to</w:t>
      </w:r>
      <w:proofErr w:type="gramEnd"/>
      <w:r>
        <w:rPr>
          <w:rFonts w:ascii="Arial" w:hAnsi="Arial" w:cs="Arial"/>
          <w:color w:val="000000"/>
        </w:rPr>
        <w:t xml:space="preserve"> prevent any further incidents in future.</w:t>
      </w:r>
    </w:p>
    <w:p w14:paraId="193DBF3F" w14:textId="77777777" w:rsidR="003F117F" w:rsidRDefault="003F117F" w:rsidP="003F117F"/>
    <w:p w14:paraId="70DEA2EF" w14:textId="77777777" w:rsidR="003F117F" w:rsidRDefault="003F117F" w:rsidP="003F117F">
      <w:pPr>
        <w:pStyle w:val="NormalWeb"/>
        <w:spacing w:before="0" w:beforeAutospacing="0" w:after="0" w:afterAutospacing="0"/>
      </w:pPr>
      <w:r>
        <w:rPr>
          <w:rFonts w:ascii="Arial" w:hAnsi="Arial" w:cs="Arial"/>
          <w:color w:val="000000"/>
        </w:rPr>
        <w:t xml:space="preserve"> Considering the person’s explanation of what happened with the dogs and her willingness for us to seize the responsible dog, as well as the availability of eyewitness accounts and CCTV evidence, it did not feel that there was a necessity to arrest her under Code G of the Police and Criminal Evidence Act (Gov.uk 2012) for the offence and as such it was decided that she and the owner would be invited to attend the police station voluntarily in order to be interviewed regarding the incident. Considering the police code of ethics, I conducted myself with fairness and honesty explaining to her the gravity of the situation and advising her of her rights to a solicitor in the interview. I gave her the opportunity to say goodbye to the dog that was being seized and asked her </w:t>
      </w:r>
      <w:r>
        <w:rPr>
          <w:rFonts w:ascii="Arial" w:hAnsi="Arial" w:cs="Arial"/>
          <w:color w:val="000000"/>
        </w:rPr>
        <w:lastRenderedPageBreak/>
        <w:t>to remove the other dog from the area to ensure no further issues were caused, and to alleviate stress and pressure on the victim. </w:t>
      </w:r>
    </w:p>
    <w:p w14:paraId="281D9CDE" w14:textId="77777777" w:rsidR="003F117F" w:rsidRDefault="003F117F" w:rsidP="003F117F"/>
    <w:p w14:paraId="1317B5CF" w14:textId="77777777" w:rsidR="003F117F" w:rsidRDefault="003F117F" w:rsidP="003F117F">
      <w:pPr>
        <w:pStyle w:val="NormalWeb"/>
        <w:spacing w:before="0" w:beforeAutospacing="0" w:after="0" w:afterAutospacing="0"/>
      </w:pPr>
      <w:r>
        <w:rPr>
          <w:rFonts w:ascii="Arial" w:hAnsi="Arial" w:cs="Arial"/>
          <w:color w:val="000000"/>
        </w:rPr>
        <w:t xml:space="preserve"> Considering the police code of ethics fairness, integrity, openness and honesty, the court process was explained to </w:t>
      </w:r>
      <w:proofErr w:type="gramStart"/>
      <w:r>
        <w:rPr>
          <w:rFonts w:ascii="Arial" w:hAnsi="Arial" w:cs="Arial"/>
          <w:color w:val="000000"/>
        </w:rPr>
        <w:t>him</w:t>
      </w:r>
      <w:proofErr w:type="gramEnd"/>
      <w:r>
        <w:rPr>
          <w:rFonts w:ascii="Arial" w:hAnsi="Arial" w:cs="Arial"/>
          <w:color w:val="000000"/>
        </w:rPr>
        <w:t xml:space="preserve"> and he was given as much information as possible so that he could make an informed decision about how he wanted to proceed. He was initially reluctant to make a statement and did not want to attend court, so I gave him some time to think about how it affected him. I returned to him </w:t>
      </w:r>
      <w:proofErr w:type="gramStart"/>
      <w:r>
        <w:rPr>
          <w:rFonts w:ascii="Arial" w:hAnsi="Arial" w:cs="Arial"/>
          <w:color w:val="000000"/>
        </w:rPr>
        <w:t>at a later date</w:t>
      </w:r>
      <w:proofErr w:type="gramEnd"/>
      <w:r>
        <w:rPr>
          <w:rFonts w:ascii="Arial" w:hAnsi="Arial" w:cs="Arial"/>
          <w:color w:val="000000"/>
        </w:rPr>
        <w:t xml:space="preserve"> and offered him the chance to talk about his experience. By using active listening and engaging with him empathically it became clear to both of us that he had been seriously affected by the incident. He therefore decided to make a statement on the condition that special measures were considered given his age and his physical disability. Under the victim’s code (Ministry of Justice 2020) he was entitled to an enhanced service, and additionally, was entitled to make a victim personal statement, which I also recorded. </w:t>
      </w:r>
    </w:p>
    <w:p w14:paraId="0FA692C7" w14:textId="77777777" w:rsidR="003F117F" w:rsidRDefault="003F117F" w:rsidP="003F117F"/>
    <w:p w14:paraId="0459A833" w14:textId="77777777" w:rsidR="003F117F" w:rsidRDefault="003F117F" w:rsidP="003F117F">
      <w:pPr>
        <w:pStyle w:val="NormalWeb"/>
        <w:spacing w:before="0" w:beforeAutospacing="0" w:after="0" w:afterAutospacing="0"/>
      </w:pPr>
      <w:r>
        <w:rPr>
          <w:rFonts w:ascii="Arial" w:hAnsi="Arial" w:cs="Arial"/>
          <w:color w:val="000000"/>
        </w:rPr>
        <w:t>While I was not initially up to date on the relevant legislation, I spent some time researching the relevant act and case law. The CPS website stated the following which I found to be useful in explaining to the dog’s owner / caretaker why exactly there was a necessity for them to attend the police station to be interviewed. </w:t>
      </w:r>
    </w:p>
    <w:p w14:paraId="7E966013" w14:textId="77777777" w:rsidR="003F117F" w:rsidRDefault="003F117F" w:rsidP="003F117F"/>
    <w:p w14:paraId="69F0B7E7" w14:textId="77777777" w:rsidR="003F117F" w:rsidRDefault="003F117F" w:rsidP="003F117F">
      <w:pPr>
        <w:pStyle w:val="NormalWeb"/>
        <w:spacing w:before="0" w:beforeAutospacing="0" w:after="0" w:afterAutospacing="0"/>
      </w:pPr>
      <w:r>
        <w:rPr>
          <w:rFonts w:ascii="Arial" w:hAnsi="Arial" w:cs="Arial"/>
          <w:color w:val="000000"/>
        </w:rPr>
        <w:t>“A dog shall be regarded as dangerously out of control on any occasion on which there are grounds for reasonable apprehension that it will injure any person or assistance dog, whether or not it actually does so, (section 10(3) Dangerous Dogs Act 1991).</w:t>
      </w:r>
      <w:proofErr w:type="gramStart"/>
      <w:r>
        <w:rPr>
          <w:rFonts w:ascii="Arial" w:hAnsi="Arial" w:cs="Arial"/>
          <w:color w:val="000000"/>
        </w:rPr>
        <w:t>t”  (</w:t>
      </w:r>
      <w:proofErr w:type="gramEnd"/>
      <w:r>
        <w:rPr>
          <w:rFonts w:ascii="Arial" w:hAnsi="Arial" w:cs="Arial"/>
          <w:color w:val="000000"/>
        </w:rPr>
        <w:t>Crown Prosecution Service 2019).</w:t>
      </w:r>
    </w:p>
    <w:p w14:paraId="52CC14A0" w14:textId="77777777" w:rsidR="003F117F" w:rsidRDefault="003F117F" w:rsidP="003F117F"/>
    <w:p w14:paraId="7A4013B1" w14:textId="77777777" w:rsidR="003F117F" w:rsidRDefault="003F117F" w:rsidP="003F117F">
      <w:pPr>
        <w:pStyle w:val="NormalWeb"/>
        <w:spacing w:before="0" w:beforeAutospacing="0" w:after="0" w:afterAutospacing="0"/>
      </w:pPr>
      <w:r>
        <w:rPr>
          <w:rFonts w:ascii="Arial" w:hAnsi="Arial" w:cs="Arial"/>
          <w:color w:val="000000"/>
        </w:rPr>
        <w:t>Given that it had injured a dog and a person had also been injured it more than met the threshold for the offence. </w:t>
      </w:r>
    </w:p>
    <w:p w14:paraId="074057C7" w14:textId="77777777" w:rsidR="003F117F" w:rsidRDefault="003F117F" w:rsidP="003F117F"/>
    <w:p w14:paraId="4A74251D" w14:textId="77777777" w:rsidR="003F117F" w:rsidRDefault="003F117F" w:rsidP="003F117F">
      <w:pPr>
        <w:pStyle w:val="NormalWeb"/>
        <w:spacing w:before="0" w:beforeAutospacing="0" w:after="0" w:afterAutospacing="0"/>
      </w:pPr>
      <w:r>
        <w:rPr>
          <w:rFonts w:ascii="Arial" w:hAnsi="Arial" w:cs="Arial"/>
          <w:color w:val="000000"/>
        </w:rPr>
        <w:t xml:space="preserve">At the time of writing the interview has not been carried out, however the suspect has been advised that the victim only seeks for the dog to be </w:t>
      </w:r>
      <w:proofErr w:type="gramStart"/>
      <w:r>
        <w:rPr>
          <w:rFonts w:ascii="Arial" w:hAnsi="Arial" w:cs="Arial"/>
          <w:color w:val="000000"/>
        </w:rPr>
        <w:t>destroyed, and</w:t>
      </w:r>
      <w:proofErr w:type="gramEnd"/>
      <w:r>
        <w:rPr>
          <w:rFonts w:ascii="Arial" w:hAnsi="Arial" w:cs="Arial"/>
          <w:color w:val="000000"/>
        </w:rPr>
        <w:t xml:space="preserve"> does not wish to attend court. The owner will not relinquish rights of the dog to the police and as such the interview must continue.</w:t>
      </w:r>
    </w:p>
    <w:p w14:paraId="64C0AFBC" w14:textId="77777777" w:rsidR="003F117F" w:rsidRDefault="003F117F" w:rsidP="003F117F">
      <w:pPr>
        <w:pStyle w:val="NormalWeb"/>
        <w:spacing w:before="0" w:beforeAutospacing="0" w:after="0" w:afterAutospacing="0"/>
      </w:pPr>
      <w:r>
        <w:rPr>
          <w:rFonts w:ascii="Arial" w:hAnsi="Arial" w:cs="Arial"/>
          <w:color w:val="000000"/>
        </w:rPr>
        <w:t xml:space="preserve">Considering the facts of the incident as explained by the owner/handler of the dog involved, it appears as though the dogs were dangerously out of control </w:t>
      </w:r>
      <w:proofErr w:type="gramStart"/>
      <w:r>
        <w:rPr>
          <w:rFonts w:ascii="Arial" w:hAnsi="Arial" w:cs="Arial"/>
          <w:color w:val="000000"/>
        </w:rPr>
        <w:t>as a result of</w:t>
      </w:r>
      <w:proofErr w:type="gramEnd"/>
      <w:r>
        <w:rPr>
          <w:rFonts w:ascii="Arial" w:hAnsi="Arial" w:cs="Arial"/>
          <w:color w:val="000000"/>
        </w:rPr>
        <w:t xml:space="preserve"> poor construction of the kennels as such there does not appear to have been a wilful act of negligence. Considering the victim’s needs and wishes, were the owner to relinquish control of the dog to police, I would respect his wishes and close the case as it would not be in the public interest to continue pursuing a charge where other less intrusive out of court disposals could be used. </w:t>
      </w:r>
    </w:p>
    <w:p w14:paraId="4F22B635" w14:textId="77777777" w:rsidR="003F117F" w:rsidRDefault="003F117F" w:rsidP="003F117F"/>
    <w:p w14:paraId="01B4F336" w14:textId="2B80EC43" w:rsidR="003F117F" w:rsidRDefault="003F117F" w:rsidP="003F117F">
      <w:pPr>
        <w:pStyle w:val="NormalWeb"/>
        <w:spacing w:before="0" w:beforeAutospacing="0" w:after="0" w:afterAutospacing="0"/>
      </w:pPr>
      <w:r>
        <w:rPr>
          <w:rFonts w:ascii="Arial" w:hAnsi="Arial" w:cs="Arial"/>
          <w:color w:val="000000"/>
        </w:rPr>
        <w:t xml:space="preserve">Although the incident is not yet complete, I have evaluated the incident and established the strengths and weaknesses of the handling of the incident. The key investigative strength here was the fact that all the golden hour enquiries were completed then and there at the scene. The ‘golden hour’ is often mentioned when discussing effective investigation “because evidence vanishes over time — witnesses disappear, memories fade, and data gets lost” (Pues 2017). Despite its importance, there appears to be little statistical data to show a direct relationship between prompt enquiries and eventual solving of cases / prosecution </w:t>
      </w:r>
      <w:proofErr w:type="spellStart"/>
      <w:r>
        <w:rPr>
          <w:rFonts w:ascii="Arial" w:hAnsi="Arial" w:cs="Arial"/>
          <w:color w:val="000000"/>
        </w:rPr>
        <w:t>rates.That</w:t>
      </w:r>
      <w:proofErr w:type="spellEnd"/>
      <w:r>
        <w:rPr>
          <w:rFonts w:ascii="Arial" w:hAnsi="Arial" w:cs="Arial"/>
          <w:color w:val="000000"/>
        </w:rPr>
        <w:t xml:space="preserve"> being said, anecdotal experience tells me that CCTV footage (often vital in proving or disproving an offence) is deleted regularly, and while it is most commonly deleted after 30 days, there will be occasions where it is shorter and as such it is necessary to collect it as soon as possible. The key weakness of the incident is the length of time that has passed between the incident occurring and the interviews taking place, however, this elapsed time gave the victim time to reflect on the incident and helped him decide on the course of action best for him. Additionally, frequent contact and open and honest communication has led to a positive reaction between the victim and the police. Finally, my obligations under the CPIA 1996 were met as I followed all reasonable lines of enquiry. The owner of the dog was identified, and contact made with him allowed him to confirm this himself. This, coupled with the CCTV evidence meant that there was no further line of enquiry.</w:t>
      </w:r>
    </w:p>
    <w:p w14:paraId="1C6E93E6" w14:textId="7C803D60" w:rsidR="00025650" w:rsidRDefault="003F117F" w:rsidP="003F117F">
      <w:pPr>
        <w:spacing w:after="240"/>
      </w:pPr>
      <w:r>
        <w:t xml:space="preserve">Word </w:t>
      </w:r>
      <w:proofErr w:type="gramStart"/>
      <w:r>
        <w:t>count :</w:t>
      </w:r>
      <w:proofErr w:type="gramEnd"/>
      <w:r>
        <w:t xml:space="preserve"> 1769</w:t>
      </w:r>
      <w:r>
        <w:br/>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50CF227" w14:textId="703AA9BE" w:rsidR="006D4550" w:rsidRDefault="006D4550" w:rsidP="00E6298B">
      <w:pPr>
        <w:overflowPunct/>
        <w:autoSpaceDE/>
        <w:autoSpaceDN/>
        <w:adjustRightInd/>
        <w:ind w:right="107"/>
        <w:textAlignment w:val="auto"/>
        <w:rPr>
          <w:b/>
          <w:sz w:val="24"/>
          <w:szCs w:val="24"/>
        </w:rPr>
      </w:pPr>
    </w:p>
    <w:p w14:paraId="231B9DD3" w14:textId="2191C0FE" w:rsidR="003F117F" w:rsidRDefault="003F117F" w:rsidP="00E6298B">
      <w:pPr>
        <w:overflowPunct/>
        <w:autoSpaceDE/>
        <w:autoSpaceDN/>
        <w:adjustRightInd/>
        <w:ind w:right="107"/>
        <w:textAlignment w:val="auto"/>
        <w:rPr>
          <w:b/>
          <w:sz w:val="24"/>
          <w:szCs w:val="24"/>
        </w:rPr>
      </w:pPr>
      <w:r>
        <w:rPr>
          <w:b/>
          <w:sz w:val="24"/>
          <w:szCs w:val="24"/>
        </w:rPr>
        <w:t>----</w:t>
      </w:r>
    </w:p>
    <w:p w14:paraId="5505CE84" w14:textId="77777777" w:rsidR="008709D1" w:rsidRPr="008709D1" w:rsidRDefault="008709D1" w:rsidP="008709D1">
      <w:pPr>
        <w:overflowPunct/>
        <w:autoSpaceDE/>
        <w:autoSpaceDN/>
        <w:adjustRightInd/>
        <w:ind w:right="107"/>
        <w:textAlignment w:val="auto"/>
        <w:rPr>
          <w:bCs/>
          <w:sz w:val="24"/>
          <w:szCs w:val="24"/>
        </w:rPr>
      </w:pPr>
      <w:proofErr w:type="spellStart"/>
      <w:r w:rsidRPr="008709D1">
        <w:rPr>
          <w:bCs/>
          <w:sz w:val="24"/>
          <w:szCs w:val="24"/>
        </w:rPr>
        <w:t>Braghieri</w:t>
      </w:r>
      <w:proofErr w:type="spellEnd"/>
      <w:r w:rsidRPr="008709D1">
        <w:rPr>
          <w:bCs/>
          <w:sz w:val="24"/>
          <w:szCs w:val="24"/>
        </w:rPr>
        <w:t xml:space="preserve"> et al. (2022). Social Media and mental health. </w:t>
      </w:r>
      <w:r w:rsidRPr="008709D1">
        <w:rPr>
          <w:bCs/>
          <w:i/>
          <w:iCs/>
          <w:sz w:val="24"/>
          <w:szCs w:val="24"/>
        </w:rPr>
        <w:t>American Economic Review 2022</w:t>
      </w:r>
      <w:r w:rsidRPr="008709D1">
        <w:rPr>
          <w:bCs/>
          <w:sz w:val="24"/>
          <w:szCs w:val="24"/>
        </w:rPr>
        <w:t xml:space="preserve">. 112(11), pp.3660-3693. [Online]. Available at: </w:t>
      </w:r>
      <w:hyperlink r:id="rId22" w:history="1">
        <w:r w:rsidRPr="008709D1">
          <w:rPr>
            <w:rStyle w:val="Hyperlink"/>
            <w:bCs/>
            <w:sz w:val="24"/>
            <w:szCs w:val="24"/>
          </w:rPr>
          <w:t>https://pubs.aeaweb.org/doi/pdfplus/10.1257/aer.20211218</w:t>
        </w:r>
      </w:hyperlink>
      <w:r w:rsidRPr="008709D1">
        <w:rPr>
          <w:bCs/>
          <w:sz w:val="24"/>
          <w:szCs w:val="24"/>
        </w:rPr>
        <w:t xml:space="preserve"> [Accessed 8 October 2023].</w:t>
      </w:r>
    </w:p>
    <w:p w14:paraId="27CBD1AF" w14:textId="77777777" w:rsidR="003F117F" w:rsidRPr="008709D1" w:rsidRDefault="003F117F" w:rsidP="00E6298B">
      <w:pPr>
        <w:overflowPunct/>
        <w:autoSpaceDE/>
        <w:autoSpaceDN/>
        <w:adjustRightInd/>
        <w:ind w:right="107"/>
        <w:textAlignment w:val="auto"/>
        <w:rPr>
          <w:rFonts w:asciiTheme="minorHAnsi" w:hAnsiTheme="minorHAnsi" w:cstheme="minorHAnsi"/>
          <w:b/>
          <w:sz w:val="24"/>
          <w:szCs w:val="24"/>
        </w:rPr>
      </w:pPr>
    </w:p>
    <w:p w14:paraId="0CFF4DB0" w14:textId="77777777" w:rsidR="003F117F" w:rsidRPr="008709D1" w:rsidRDefault="003F117F" w:rsidP="003F117F">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color w:val="000000"/>
          <w:sz w:val="24"/>
          <w:szCs w:val="24"/>
        </w:rPr>
        <w:t xml:space="preserve">Criminal Procedure and Investigations </w:t>
      </w:r>
      <w:proofErr w:type="spellStart"/>
      <w:r w:rsidRPr="008709D1">
        <w:rPr>
          <w:rFonts w:asciiTheme="minorHAnsi" w:hAnsiTheme="minorHAnsi" w:cstheme="minorHAnsi"/>
          <w:color w:val="000000"/>
          <w:sz w:val="24"/>
          <w:szCs w:val="24"/>
        </w:rPr>
        <w:t>Act.Part</w:t>
      </w:r>
      <w:proofErr w:type="spellEnd"/>
      <w:r w:rsidRPr="008709D1">
        <w:rPr>
          <w:rFonts w:asciiTheme="minorHAnsi" w:hAnsiTheme="minorHAnsi" w:cstheme="minorHAnsi"/>
          <w:color w:val="000000"/>
          <w:sz w:val="24"/>
          <w:szCs w:val="24"/>
        </w:rPr>
        <w:t xml:space="preserve"> 2 section 23 [online] Available at: </w:t>
      </w:r>
    </w:p>
    <w:p w14:paraId="3954048C" w14:textId="77777777" w:rsidR="003F117F" w:rsidRPr="008709D1" w:rsidRDefault="0012664D" w:rsidP="003F117F">
      <w:pPr>
        <w:pStyle w:val="NormalWeb"/>
        <w:spacing w:before="0" w:beforeAutospacing="0" w:after="0" w:afterAutospacing="0"/>
        <w:rPr>
          <w:rFonts w:asciiTheme="minorHAnsi" w:hAnsiTheme="minorHAnsi" w:cstheme="minorHAnsi"/>
          <w:color w:val="000000"/>
          <w:sz w:val="24"/>
          <w:szCs w:val="24"/>
        </w:rPr>
      </w:pPr>
      <w:hyperlink r:id="rId23" w:history="1">
        <w:r w:rsidR="003F117F" w:rsidRPr="008709D1">
          <w:rPr>
            <w:rStyle w:val="Hyperlink"/>
            <w:rFonts w:asciiTheme="minorHAnsi" w:hAnsiTheme="minorHAnsi" w:cstheme="minorHAnsi"/>
            <w:sz w:val="24"/>
            <w:szCs w:val="24"/>
          </w:rPr>
          <w:t>https://www.legislation.gov.uk/ukpga/1996/25/section/23</w:t>
        </w:r>
      </w:hyperlink>
      <w:r w:rsidR="003F117F" w:rsidRPr="008709D1">
        <w:rPr>
          <w:rFonts w:asciiTheme="minorHAnsi" w:hAnsiTheme="minorHAnsi" w:cstheme="minorHAnsi"/>
          <w:color w:val="000000"/>
          <w:sz w:val="24"/>
          <w:szCs w:val="24"/>
        </w:rPr>
        <w:t xml:space="preserve"> [Accessed 4 Oct. 2023].</w:t>
      </w:r>
    </w:p>
    <w:p w14:paraId="1F9AFDFA" w14:textId="77777777" w:rsidR="008709D1" w:rsidRPr="008709D1" w:rsidRDefault="008709D1" w:rsidP="003F117F">
      <w:pPr>
        <w:pStyle w:val="NormalWeb"/>
        <w:spacing w:before="0" w:beforeAutospacing="0" w:after="0" w:afterAutospacing="0"/>
        <w:rPr>
          <w:rFonts w:asciiTheme="minorHAnsi" w:hAnsiTheme="minorHAnsi" w:cstheme="minorHAnsi"/>
          <w:sz w:val="24"/>
          <w:szCs w:val="24"/>
        </w:rPr>
      </w:pPr>
    </w:p>
    <w:p w14:paraId="32D01854" w14:textId="77777777" w:rsidR="008709D1" w:rsidRPr="008709D1" w:rsidRDefault="008709D1" w:rsidP="008709D1">
      <w:pPr>
        <w:pStyle w:val="NormalWeb"/>
        <w:spacing w:before="0" w:beforeAutospacing="0" w:after="0" w:afterAutospacing="0"/>
        <w:rPr>
          <w:rFonts w:asciiTheme="minorHAnsi" w:hAnsiTheme="minorHAnsi" w:cstheme="minorHAnsi"/>
          <w:color w:val="000000"/>
          <w:sz w:val="24"/>
          <w:szCs w:val="24"/>
        </w:rPr>
      </w:pPr>
      <w:r w:rsidRPr="008709D1">
        <w:rPr>
          <w:rFonts w:asciiTheme="minorHAnsi" w:hAnsiTheme="minorHAnsi" w:cstheme="minorHAnsi"/>
          <w:color w:val="000000"/>
          <w:sz w:val="24"/>
          <w:szCs w:val="24"/>
        </w:rPr>
        <w:t>College of Policing. (2013). National Decision Model. [Online]. College of Policing. Last Updated: December 2014. Available at:</w:t>
      </w:r>
      <w:hyperlink r:id="rId24" w:history="1">
        <w:r w:rsidRPr="008709D1">
          <w:rPr>
            <w:rStyle w:val="Hyperlink"/>
            <w:rFonts w:asciiTheme="minorHAnsi" w:hAnsiTheme="minorHAnsi" w:cstheme="minorHAnsi"/>
            <w:color w:val="1155CC"/>
            <w:sz w:val="24"/>
            <w:szCs w:val="24"/>
          </w:rPr>
          <w:t xml:space="preserve"> https://www.college.police.uk/app/national-decision-model/national-decision-model</w:t>
        </w:r>
      </w:hyperlink>
      <w:r w:rsidRPr="008709D1">
        <w:rPr>
          <w:rFonts w:asciiTheme="minorHAnsi" w:hAnsiTheme="minorHAnsi" w:cstheme="minorHAnsi"/>
          <w:color w:val="000000"/>
          <w:sz w:val="24"/>
          <w:szCs w:val="24"/>
        </w:rPr>
        <w:t xml:space="preserve"> [Accessed 3 October 2023].</w:t>
      </w:r>
    </w:p>
    <w:p w14:paraId="7143228B" w14:textId="77777777" w:rsidR="008709D1" w:rsidRPr="008709D1" w:rsidRDefault="008709D1" w:rsidP="008709D1">
      <w:pPr>
        <w:pStyle w:val="NormalWeb"/>
        <w:spacing w:before="0" w:beforeAutospacing="0" w:after="0" w:afterAutospacing="0"/>
        <w:rPr>
          <w:rFonts w:asciiTheme="minorHAnsi" w:hAnsiTheme="minorHAnsi" w:cstheme="minorHAnsi"/>
          <w:sz w:val="24"/>
          <w:szCs w:val="24"/>
        </w:rPr>
      </w:pPr>
    </w:p>
    <w:p w14:paraId="74421E50" w14:textId="77777777" w:rsidR="008709D1" w:rsidRDefault="008709D1" w:rsidP="008709D1">
      <w:pPr>
        <w:pStyle w:val="NormalWeb"/>
        <w:spacing w:before="0" w:beforeAutospacing="0" w:after="0" w:afterAutospacing="0"/>
        <w:rPr>
          <w:rFonts w:asciiTheme="minorHAnsi" w:hAnsiTheme="minorHAnsi" w:cstheme="minorHAnsi"/>
          <w:color w:val="000000"/>
          <w:sz w:val="24"/>
          <w:szCs w:val="24"/>
        </w:rPr>
      </w:pPr>
      <w:r w:rsidRPr="008709D1">
        <w:rPr>
          <w:rFonts w:asciiTheme="minorHAnsi" w:hAnsiTheme="minorHAnsi" w:cstheme="minorHAnsi"/>
          <w:color w:val="000000"/>
          <w:sz w:val="24"/>
          <w:szCs w:val="24"/>
        </w:rPr>
        <w:t>College of Policing. (2014). Code of Ethics. [Online]. College of Policing. Available at:</w:t>
      </w:r>
      <w:hyperlink r:id="rId25" w:history="1">
        <w:r w:rsidRPr="008709D1">
          <w:rPr>
            <w:rStyle w:val="Hyperlink"/>
            <w:rFonts w:asciiTheme="minorHAnsi" w:hAnsiTheme="minorHAnsi" w:cstheme="minorHAnsi"/>
            <w:color w:val="1155CC"/>
            <w:sz w:val="24"/>
            <w:szCs w:val="24"/>
          </w:rPr>
          <w:t xml:space="preserve"> https://assets.college.police.uk/s3fs-public/2021-02/code_of_ethics.pdf</w:t>
        </w:r>
      </w:hyperlink>
      <w:r w:rsidRPr="008709D1">
        <w:rPr>
          <w:rFonts w:asciiTheme="minorHAnsi" w:hAnsiTheme="minorHAnsi" w:cstheme="minorHAnsi"/>
          <w:color w:val="000000"/>
          <w:sz w:val="24"/>
          <w:szCs w:val="24"/>
        </w:rPr>
        <w:t xml:space="preserve"> [Accessed 4 October 2023].</w:t>
      </w:r>
    </w:p>
    <w:p w14:paraId="39ECD4A4" w14:textId="307D4775" w:rsidR="008709D1" w:rsidRDefault="008709D1">
      <w:pPr>
        <w:overflowPunct/>
        <w:autoSpaceDE/>
        <w:autoSpaceDN/>
        <w:adjustRightInd/>
        <w:textAlignment w:val="auto"/>
        <w:rPr>
          <w:rFonts w:asciiTheme="minorHAnsi" w:eastAsiaTheme="minorHAnsi" w:hAnsiTheme="minorHAnsi" w:cstheme="minorHAnsi"/>
          <w:sz w:val="24"/>
          <w:szCs w:val="24"/>
        </w:rPr>
      </w:pPr>
    </w:p>
    <w:p w14:paraId="0B3C6C34" w14:textId="77777777" w:rsidR="008709D1" w:rsidRPr="008709D1" w:rsidRDefault="008709D1" w:rsidP="008709D1">
      <w:pPr>
        <w:pStyle w:val="NormalWeb"/>
        <w:rPr>
          <w:rFonts w:asciiTheme="minorHAnsi" w:hAnsiTheme="minorHAnsi" w:cstheme="minorHAnsi"/>
          <w:sz w:val="24"/>
          <w:szCs w:val="24"/>
        </w:rPr>
      </w:pPr>
      <w:r w:rsidRPr="008709D1">
        <w:rPr>
          <w:rFonts w:asciiTheme="minorHAnsi" w:hAnsiTheme="minorHAnsi" w:cstheme="minorHAnsi"/>
          <w:sz w:val="24"/>
          <w:szCs w:val="24"/>
        </w:rPr>
        <w:t xml:space="preserve">Cox, J. (2012). Traditional Asian Martial Arts Training: A Review. </w:t>
      </w:r>
      <w:r w:rsidRPr="008709D1">
        <w:rPr>
          <w:rFonts w:asciiTheme="minorHAnsi" w:hAnsiTheme="minorHAnsi" w:cstheme="minorHAnsi"/>
          <w:i/>
          <w:iCs/>
          <w:sz w:val="24"/>
          <w:szCs w:val="24"/>
        </w:rPr>
        <w:t>Quest</w:t>
      </w:r>
      <w:r w:rsidRPr="008709D1">
        <w:rPr>
          <w:rFonts w:asciiTheme="minorHAnsi" w:hAnsiTheme="minorHAnsi" w:cstheme="minorHAnsi"/>
          <w:sz w:val="24"/>
          <w:szCs w:val="24"/>
        </w:rPr>
        <w:t xml:space="preserve">. 45(3), p.367. [Online]. Available at: </w:t>
      </w:r>
      <w:hyperlink r:id="rId26" w:history="1">
        <w:r w:rsidRPr="008709D1">
          <w:rPr>
            <w:rStyle w:val="Hyperlink"/>
            <w:rFonts w:asciiTheme="minorHAnsi" w:hAnsiTheme="minorHAnsi" w:cstheme="minorHAnsi"/>
            <w:sz w:val="24"/>
            <w:szCs w:val="24"/>
          </w:rPr>
          <w:t>https://www-tandfonline-com.ezproxy.uwtsd.ac.uk/doi/pdf/10.1080/00336297.1993.10484094</w:t>
        </w:r>
      </w:hyperlink>
      <w:r w:rsidRPr="008709D1">
        <w:rPr>
          <w:rFonts w:asciiTheme="minorHAnsi" w:hAnsiTheme="minorHAnsi" w:cstheme="minorHAnsi"/>
          <w:sz w:val="24"/>
          <w:szCs w:val="24"/>
        </w:rPr>
        <w:t xml:space="preserve"> [Accessed 8 October 2023].</w:t>
      </w:r>
    </w:p>
    <w:p w14:paraId="673F3DC2" w14:textId="77777777" w:rsidR="003F117F" w:rsidRPr="008709D1" w:rsidRDefault="003F117F" w:rsidP="003F117F">
      <w:pPr>
        <w:rPr>
          <w:rFonts w:asciiTheme="minorHAnsi" w:hAnsiTheme="minorHAnsi" w:cstheme="minorHAnsi"/>
          <w:sz w:val="24"/>
          <w:szCs w:val="24"/>
        </w:rPr>
      </w:pPr>
    </w:p>
    <w:p w14:paraId="00311F96" w14:textId="77777777" w:rsidR="003F117F" w:rsidRPr="008709D1" w:rsidRDefault="003F117F" w:rsidP="003F117F">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color w:val="000000"/>
          <w:sz w:val="24"/>
          <w:szCs w:val="24"/>
        </w:rPr>
        <w:t xml:space="preserve">The Crown Prosecution Service. (2019). Dangerous Dog Offences. [Online]. CPS. Last Updated: 4 November 2021. Available at: </w:t>
      </w:r>
      <w:hyperlink r:id="rId27" w:history="1">
        <w:r w:rsidRPr="008709D1">
          <w:rPr>
            <w:rStyle w:val="Hyperlink"/>
            <w:rFonts w:asciiTheme="minorHAnsi" w:hAnsiTheme="minorHAnsi" w:cstheme="minorHAnsi"/>
            <w:sz w:val="24"/>
            <w:szCs w:val="24"/>
          </w:rPr>
          <w:t>https://www.cps.gov.uk/legal-guidance/dangerous-dog-offences</w:t>
        </w:r>
      </w:hyperlink>
      <w:r w:rsidRPr="008709D1">
        <w:rPr>
          <w:rFonts w:asciiTheme="minorHAnsi" w:hAnsiTheme="minorHAnsi" w:cstheme="minorHAnsi"/>
          <w:color w:val="000000"/>
          <w:sz w:val="24"/>
          <w:szCs w:val="24"/>
        </w:rPr>
        <w:t xml:space="preserve"> [Accessed 4 October 2023].</w:t>
      </w:r>
    </w:p>
    <w:p w14:paraId="77956460" w14:textId="77777777" w:rsidR="003F117F" w:rsidRPr="008709D1" w:rsidRDefault="003F117F" w:rsidP="003F117F">
      <w:pPr>
        <w:rPr>
          <w:rFonts w:asciiTheme="minorHAnsi" w:hAnsiTheme="minorHAnsi" w:cstheme="minorHAnsi"/>
          <w:sz w:val="24"/>
          <w:szCs w:val="24"/>
        </w:rPr>
      </w:pPr>
    </w:p>
    <w:p w14:paraId="3938C17F" w14:textId="77777777" w:rsidR="003F117F" w:rsidRPr="008709D1" w:rsidRDefault="003F117F" w:rsidP="003F117F">
      <w:pPr>
        <w:pStyle w:val="NormalWeb"/>
        <w:spacing w:before="0" w:beforeAutospacing="0" w:after="0" w:afterAutospacing="0"/>
        <w:rPr>
          <w:rFonts w:asciiTheme="minorHAnsi" w:hAnsiTheme="minorHAnsi" w:cstheme="minorHAnsi"/>
          <w:color w:val="000000"/>
          <w:sz w:val="24"/>
          <w:szCs w:val="24"/>
        </w:rPr>
      </w:pPr>
      <w:r w:rsidRPr="008709D1">
        <w:rPr>
          <w:rFonts w:asciiTheme="minorHAnsi" w:hAnsiTheme="minorHAnsi" w:cstheme="minorHAnsi"/>
          <w:color w:val="000000"/>
          <w:sz w:val="24"/>
          <w:szCs w:val="24"/>
        </w:rPr>
        <w:t xml:space="preserve">Dangerous Dogs Act.3 [online] Available at: </w:t>
      </w:r>
      <w:hyperlink r:id="rId28" w:history="1">
        <w:r w:rsidRPr="008709D1">
          <w:rPr>
            <w:rStyle w:val="Hyperlink"/>
            <w:rFonts w:asciiTheme="minorHAnsi" w:hAnsiTheme="minorHAnsi" w:cstheme="minorHAnsi"/>
            <w:sz w:val="24"/>
            <w:szCs w:val="24"/>
          </w:rPr>
          <w:t>https://www.legislation.gov.uk/ukpga/1991/65/section/3</w:t>
        </w:r>
      </w:hyperlink>
      <w:r w:rsidRPr="008709D1">
        <w:rPr>
          <w:rFonts w:asciiTheme="minorHAnsi" w:hAnsiTheme="minorHAnsi" w:cstheme="minorHAnsi"/>
          <w:color w:val="000000"/>
          <w:sz w:val="24"/>
          <w:szCs w:val="24"/>
        </w:rPr>
        <w:t xml:space="preserve"> [Accessed 4 Oct. 2023].</w:t>
      </w:r>
    </w:p>
    <w:p w14:paraId="0D5A48DD" w14:textId="77777777" w:rsidR="008709D1" w:rsidRPr="008709D1" w:rsidRDefault="008709D1" w:rsidP="003F117F">
      <w:pPr>
        <w:pStyle w:val="NormalWeb"/>
        <w:spacing w:before="0" w:beforeAutospacing="0" w:after="0" w:afterAutospacing="0"/>
        <w:rPr>
          <w:rFonts w:asciiTheme="minorHAnsi" w:hAnsiTheme="minorHAnsi" w:cstheme="minorHAnsi"/>
          <w:color w:val="000000"/>
          <w:sz w:val="24"/>
          <w:szCs w:val="24"/>
        </w:rPr>
      </w:pPr>
    </w:p>
    <w:p w14:paraId="4933816D" w14:textId="77777777" w:rsidR="008709D1" w:rsidRPr="008709D1" w:rsidRDefault="008709D1" w:rsidP="008709D1">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i/>
          <w:iCs/>
          <w:color w:val="000000"/>
          <w:sz w:val="24"/>
          <w:szCs w:val="24"/>
        </w:rPr>
        <w:t>Domestic Abuse Act 2021</w:t>
      </w:r>
      <w:r w:rsidRPr="008709D1">
        <w:rPr>
          <w:rFonts w:asciiTheme="minorHAnsi" w:hAnsiTheme="minorHAnsi" w:cstheme="minorHAnsi"/>
          <w:color w:val="000000"/>
          <w:sz w:val="24"/>
          <w:szCs w:val="24"/>
        </w:rPr>
        <w:t xml:space="preserve">.1 [online] Available at: </w:t>
      </w:r>
      <w:hyperlink r:id="rId29" w:history="1">
        <w:r w:rsidRPr="008709D1">
          <w:rPr>
            <w:rStyle w:val="Hyperlink"/>
            <w:rFonts w:asciiTheme="minorHAnsi" w:hAnsiTheme="minorHAnsi" w:cstheme="minorHAnsi"/>
            <w:sz w:val="24"/>
            <w:szCs w:val="24"/>
          </w:rPr>
          <w:t>https://www.legislation.gov.uk/ukpga/2021/17/section/1/enacted</w:t>
        </w:r>
      </w:hyperlink>
      <w:r w:rsidRPr="008709D1">
        <w:rPr>
          <w:rFonts w:asciiTheme="minorHAnsi" w:hAnsiTheme="minorHAnsi" w:cstheme="minorHAnsi"/>
          <w:color w:val="000000"/>
          <w:sz w:val="24"/>
          <w:szCs w:val="24"/>
        </w:rPr>
        <w:t xml:space="preserve"> [Accessed 4 Oct. 2023].</w:t>
      </w:r>
    </w:p>
    <w:p w14:paraId="69498D68" w14:textId="77777777" w:rsidR="008709D1" w:rsidRPr="008709D1" w:rsidRDefault="008709D1" w:rsidP="003F117F">
      <w:pPr>
        <w:pStyle w:val="NormalWeb"/>
        <w:spacing w:before="0" w:beforeAutospacing="0" w:after="0" w:afterAutospacing="0"/>
        <w:rPr>
          <w:rFonts w:asciiTheme="minorHAnsi" w:hAnsiTheme="minorHAnsi" w:cstheme="minorHAnsi"/>
          <w:color w:val="000000"/>
          <w:sz w:val="24"/>
          <w:szCs w:val="24"/>
        </w:rPr>
      </w:pPr>
    </w:p>
    <w:p w14:paraId="15223E37" w14:textId="15F228BB" w:rsidR="008709D1" w:rsidRDefault="008709D1" w:rsidP="003F117F">
      <w:pPr>
        <w:pStyle w:val="NormalWeb"/>
        <w:spacing w:before="0" w:beforeAutospacing="0" w:after="0" w:afterAutospacing="0"/>
        <w:rPr>
          <w:rFonts w:asciiTheme="minorHAnsi" w:hAnsiTheme="minorHAnsi" w:cstheme="minorHAnsi"/>
          <w:sz w:val="24"/>
          <w:szCs w:val="24"/>
        </w:rPr>
      </w:pPr>
      <w:proofErr w:type="spellStart"/>
      <w:r w:rsidRPr="008709D1">
        <w:rPr>
          <w:rFonts w:asciiTheme="minorHAnsi" w:hAnsiTheme="minorHAnsi" w:cstheme="minorHAnsi"/>
          <w:color w:val="000000"/>
          <w:sz w:val="24"/>
          <w:szCs w:val="24"/>
        </w:rPr>
        <w:t>Elakkary</w:t>
      </w:r>
      <w:proofErr w:type="spellEnd"/>
      <w:r w:rsidRPr="008709D1">
        <w:rPr>
          <w:rFonts w:asciiTheme="minorHAnsi" w:hAnsiTheme="minorHAnsi" w:cstheme="minorHAnsi"/>
          <w:color w:val="000000"/>
          <w:sz w:val="24"/>
          <w:szCs w:val="24"/>
        </w:rPr>
        <w:t xml:space="preserve"> et al (2014). ‘Honor crimes: review and proposed definition’, Forensic Science, Medicine, and Pathology, 10: 76-82</w:t>
      </w:r>
    </w:p>
    <w:p w14:paraId="755DCD8D" w14:textId="7423A15B" w:rsidR="008709D1" w:rsidRPr="008709D1" w:rsidRDefault="00E06CB1" w:rsidP="0012664D">
      <w:pPr>
        <w:pStyle w:val="NormalWeb"/>
        <w:rPr>
          <w:rFonts w:asciiTheme="minorHAnsi" w:hAnsiTheme="minorHAnsi" w:cstheme="minorHAnsi"/>
          <w:sz w:val="24"/>
          <w:szCs w:val="24"/>
        </w:rPr>
      </w:pPr>
      <w:r w:rsidRPr="00E06CB1">
        <w:rPr>
          <w:rFonts w:asciiTheme="minorHAnsi" w:hAnsiTheme="minorHAnsi" w:cstheme="minorHAnsi"/>
          <w:sz w:val="24"/>
          <w:szCs w:val="24"/>
        </w:rPr>
        <w:t xml:space="preserve">Fuller, C. Lloyd, V. (2020). </w:t>
      </w:r>
      <w:r w:rsidRPr="00E06CB1">
        <w:rPr>
          <w:rFonts w:asciiTheme="minorHAnsi" w:hAnsiTheme="minorHAnsi" w:cstheme="minorHAnsi"/>
          <w:i/>
          <w:iCs/>
          <w:sz w:val="24"/>
          <w:szCs w:val="24"/>
        </w:rPr>
        <w:t xml:space="preserve">Martial arts and </w:t>
      </w:r>
      <w:proofErr w:type="spellStart"/>
      <w:r w:rsidRPr="00E06CB1">
        <w:rPr>
          <w:rFonts w:asciiTheme="minorHAnsi" w:hAnsiTheme="minorHAnsi" w:cstheme="minorHAnsi"/>
          <w:i/>
          <w:iCs/>
          <w:sz w:val="24"/>
          <w:szCs w:val="24"/>
        </w:rPr>
        <w:t>well being</w:t>
      </w:r>
      <w:proofErr w:type="spellEnd"/>
      <w:r w:rsidRPr="00E06CB1">
        <w:rPr>
          <w:rFonts w:asciiTheme="minorHAnsi" w:hAnsiTheme="minorHAnsi" w:cstheme="minorHAnsi"/>
          <w:sz w:val="24"/>
          <w:szCs w:val="24"/>
        </w:rPr>
        <w:t>. Abingdon: Routledge. P.96.</w:t>
      </w:r>
    </w:p>
    <w:p w14:paraId="2CE12B09" w14:textId="77777777" w:rsidR="008709D1" w:rsidRPr="008709D1" w:rsidRDefault="008709D1" w:rsidP="008709D1">
      <w:pPr>
        <w:rPr>
          <w:rFonts w:asciiTheme="minorHAnsi" w:hAnsiTheme="minorHAnsi" w:cstheme="minorHAnsi"/>
          <w:sz w:val="24"/>
          <w:szCs w:val="24"/>
        </w:rPr>
      </w:pPr>
      <w:r w:rsidRPr="008709D1">
        <w:rPr>
          <w:rFonts w:asciiTheme="minorHAnsi" w:hAnsiTheme="minorHAnsi" w:cstheme="minorHAnsi"/>
          <w:sz w:val="24"/>
          <w:szCs w:val="24"/>
        </w:rPr>
        <w:t>Gov.uk. (2012). PACE Code G 2012 (Accessible). [Online].</w:t>
      </w:r>
      <w:hyperlink r:id="rId30" w:history="1">
        <w:r w:rsidRPr="008709D1">
          <w:rPr>
            <w:rStyle w:val="Hyperlink"/>
            <w:rFonts w:asciiTheme="minorHAnsi" w:hAnsiTheme="minorHAnsi" w:cstheme="minorHAnsi"/>
            <w:color w:val="1155CC"/>
            <w:sz w:val="24"/>
            <w:szCs w:val="24"/>
          </w:rPr>
          <w:t xml:space="preserve"> gov.uk</w:t>
        </w:r>
      </w:hyperlink>
      <w:r w:rsidRPr="008709D1">
        <w:rPr>
          <w:rFonts w:asciiTheme="minorHAnsi" w:hAnsiTheme="minorHAnsi" w:cstheme="minorHAnsi"/>
          <w:sz w:val="24"/>
          <w:szCs w:val="24"/>
        </w:rPr>
        <w:t>. Available at:</w:t>
      </w:r>
      <w:hyperlink r:id="rId31" w:history="1">
        <w:r w:rsidRPr="008709D1">
          <w:rPr>
            <w:rStyle w:val="Hyperlink"/>
            <w:rFonts w:asciiTheme="minorHAnsi" w:hAnsiTheme="minorHAnsi" w:cstheme="minorHAnsi"/>
            <w:color w:val="1155CC"/>
            <w:sz w:val="24"/>
            <w:szCs w:val="24"/>
          </w:rPr>
          <w:t xml:space="preserve"> https://www.gov.uk/government/publications/pace-code-g-2012/pace-code-g-2012-accessible</w:t>
        </w:r>
      </w:hyperlink>
      <w:r w:rsidRPr="008709D1">
        <w:rPr>
          <w:rFonts w:asciiTheme="minorHAnsi" w:hAnsiTheme="minorHAnsi" w:cstheme="minorHAnsi"/>
          <w:sz w:val="24"/>
          <w:szCs w:val="24"/>
        </w:rPr>
        <w:t xml:space="preserve"> [Accessed 4 October 2023]. </w:t>
      </w:r>
    </w:p>
    <w:p w14:paraId="2501B271" w14:textId="77777777" w:rsidR="008709D1" w:rsidRPr="008709D1" w:rsidRDefault="008709D1" w:rsidP="008709D1">
      <w:pPr>
        <w:rPr>
          <w:rFonts w:asciiTheme="minorHAnsi" w:hAnsiTheme="minorHAnsi" w:cstheme="minorHAnsi"/>
          <w:sz w:val="24"/>
          <w:szCs w:val="24"/>
        </w:rPr>
      </w:pPr>
    </w:p>
    <w:p w14:paraId="2857C6BA" w14:textId="77777777" w:rsidR="008709D1" w:rsidRPr="008709D1" w:rsidRDefault="008709D1" w:rsidP="008709D1">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color w:val="000000"/>
          <w:sz w:val="24"/>
          <w:szCs w:val="24"/>
        </w:rPr>
        <w:t xml:space="preserve">Gov.uk. (2021). </w:t>
      </w:r>
      <w:r w:rsidRPr="008709D1">
        <w:rPr>
          <w:rFonts w:asciiTheme="minorHAnsi" w:hAnsiTheme="minorHAnsi" w:cstheme="minorHAnsi"/>
          <w:i/>
          <w:iCs/>
          <w:color w:val="000000"/>
          <w:sz w:val="24"/>
          <w:szCs w:val="24"/>
        </w:rPr>
        <w:t>Ethnicity Facts and Figures, Confidence in the local police</w:t>
      </w:r>
      <w:r w:rsidRPr="008709D1">
        <w:rPr>
          <w:rFonts w:asciiTheme="minorHAnsi" w:hAnsiTheme="minorHAnsi" w:cstheme="minorHAnsi"/>
          <w:color w:val="000000"/>
          <w:sz w:val="24"/>
          <w:szCs w:val="24"/>
        </w:rPr>
        <w:t xml:space="preserve">. [Online]. Gov.uk. Last Updated: May 2021. Available at: </w:t>
      </w:r>
      <w:hyperlink r:id="rId32" w:history="1">
        <w:r w:rsidRPr="008709D1">
          <w:rPr>
            <w:rStyle w:val="Hyperlink"/>
            <w:rFonts w:asciiTheme="minorHAnsi" w:hAnsiTheme="minorHAnsi" w:cstheme="minorHAnsi"/>
            <w:sz w:val="24"/>
            <w:szCs w:val="24"/>
          </w:rPr>
          <w:t>https://www.ethnicity-facts-figures.service.gov.uk/crime-justice-and-the-law/policing/confidence-in-</w:t>
        </w:r>
      </w:hyperlink>
      <w:r w:rsidRPr="008709D1">
        <w:rPr>
          <w:rFonts w:asciiTheme="minorHAnsi" w:hAnsiTheme="minorHAnsi" w:cstheme="minorHAnsi"/>
          <w:color w:val="000000"/>
          <w:sz w:val="24"/>
          <w:szCs w:val="24"/>
        </w:rPr>
        <w:t xml:space="preserve"> [Accessed 4 October 2023].</w:t>
      </w:r>
    </w:p>
    <w:p w14:paraId="52B3296D" w14:textId="77777777" w:rsidR="008709D1" w:rsidRPr="008709D1" w:rsidRDefault="008709D1" w:rsidP="008709D1">
      <w:pPr>
        <w:rPr>
          <w:rFonts w:asciiTheme="minorHAnsi" w:hAnsiTheme="minorHAnsi" w:cstheme="minorHAnsi"/>
          <w:sz w:val="24"/>
          <w:szCs w:val="24"/>
        </w:rPr>
      </w:pPr>
    </w:p>
    <w:p w14:paraId="5FA23A95" w14:textId="77777777" w:rsidR="008709D1" w:rsidRPr="008709D1" w:rsidRDefault="008709D1" w:rsidP="008709D1">
      <w:pPr>
        <w:rPr>
          <w:rFonts w:asciiTheme="minorHAnsi" w:hAnsiTheme="minorHAnsi" w:cstheme="minorHAnsi"/>
          <w:sz w:val="24"/>
          <w:szCs w:val="24"/>
          <w:shd w:val="clear" w:color="auto" w:fill="FFFFFF"/>
        </w:rPr>
      </w:pPr>
      <w:r w:rsidRPr="008709D1">
        <w:rPr>
          <w:rFonts w:asciiTheme="minorHAnsi" w:hAnsiTheme="minorHAnsi" w:cstheme="minorHAnsi"/>
          <w:sz w:val="24"/>
          <w:szCs w:val="24"/>
          <w:shd w:val="clear" w:color="auto" w:fill="FFFFFF"/>
        </w:rPr>
        <w:lastRenderedPageBreak/>
        <w:t>Gov.Uk. (2023). </w:t>
      </w:r>
      <w:r w:rsidRPr="008709D1">
        <w:rPr>
          <w:rFonts w:asciiTheme="minorHAnsi" w:hAnsiTheme="minorHAnsi" w:cstheme="minorHAnsi"/>
          <w:i/>
          <w:iCs/>
          <w:sz w:val="24"/>
          <w:szCs w:val="24"/>
        </w:rPr>
        <w:t>Stop and Search</w:t>
      </w:r>
      <w:r w:rsidRPr="008709D1">
        <w:rPr>
          <w:rFonts w:asciiTheme="minorHAnsi" w:hAnsiTheme="minorHAnsi" w:cstheme="minorHAnsi"/>
          <w:sz w:val="24"/>
          <w:szCs w:val="24"/>
          <w:shd w:val="clear" w:color="auto" w:fill="FFFFFF"/>
        </w:rPr>
        <w:t>. [Online]. Gov.uk. Last Updated: 10 August. Available at: https://www.gov.uk/government/statistics/update-to-stop-and-search-and-arrests-statistics-using-2021 [Accessed 15 September 2023].</w:t>
      </w:r>
    </w:p>
    <w:p w14:paraId="54FBE6D3" w14:textId="77777777" w:rsidR="008709D1" w:rsidRPr="008709D1" w:rsidRDefault="008709D1" w:rsidP="008709D1">
      <w:pPr>
        <w:rPr>
          <w:rFonts w:asciiTheme="minorHAnsi" w:hAnsiTheme="minorHAnsi" w:cstheme="minorHAnsi"/>
          <w:sz w:val="24"/>
          <w:szCs w:val="24"/>
        </w:rPr>
      </w:pPr>
    </w:p>
    <w:p w14:paraId="196EF5C1" w14:textId="2B8A5736" w:rsidR="008709D1" w:rsidRPr="008709D1" w:rsidRDefault="008709D1" w:rsidP="008709D1">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i/>
          <w:iCs/>
          <w:color w:val="000000"/>
          <w:sz w:val="24"/>
          <w:szCs w:val="24"/>
        </w:rPr>
        <w:t>Human Rights Act</w:t>
      </w:r>
      <w:r w:rsidRPr="008709D1">
        <w:rPr>
          <w:rFonts w:asciiTheme="minorHAnsi" w:hAnsiTheme="minorHAnsi" w:cstheme="minorHAnsi"/>
          <w:i/>
          <w:iCs/>
          <w:color w:val="000000"/>
          <w:sz w:val="24"/>
          <w:szCs w:val="24"/>
        </w:rPr>
        <w:t xml:space="preserve"> 1998</w:t>
      </w:r>
      <w:r w:rsidRPr="008709D1">
        <w:rPr>
          <w:rFonts w:asciiTheme="minorHAnsi" w:hAnsiTheme="minorHAnsi" w:cstheme="minorHAnsi"/>
          <w:color w:val="000000"/>
          <w:sz w:val="24"/>
          <w:szCs w:val="24"/>
        </w:rPr>
        <w:t>.</w:t>
      </w:r>
      <w:r w:rsidRPr="008709D1">
        <w:rPr>
          <w:rFonts w:asciiTheme="minorHAnsi" w:hAnsiTheme="minorHAnsi" w:cstheme="minorHAnsi"/>
          <w:color w:val="000000"/>
          <w:sz w:val="24"/>
          <w:szCs w:val="24"/>
        </w:rPr>
        <w:t xml:space="preserve"> </w:t>
      </w:r>
      <w:r w:rsidRPr="008709D1">
        <w:rPr>
          <w:rFonts w:asciiTheme="minorHAnsi" w:hAnsiTheme="minorHAnsi" w:cstheme="minorHAnsi"/>
          <w:color w:val="000000"/>
          <w:sz w:val="24"/>
          <w:szCs w:val="24"/>
        </w:rPr>
        <w:t xml:space="preserve">3 [online] Available at: </w:t>
      </w:r>
      <w:hyperlink r:id="rId33" w:history="1">
        <w:r w:rsidRPr="008709D1">
          <w:rPr>
            <w:rStyle w:val="Hyperlink"/>
            <w:rFonts w:asciiTheme="minorHAnsi" w:hAnsiTheme="minorHAnsi" w:cstheme="minorHAnsi"/>
            <w:sz w:val="24"/>
            <w:szCs w:val="24"/>
          </w:rPr>
          <w:t>https://www.legislation.gov.uk/ukpga/1998/42/section/3</w:t>
        </w:r>
      </w:hyperlink>
      <w:r w:rsidRPr="008709D1">
        <w:rPr>
          <w:rFonts w:asciiTheme="minorHAnsi" w:hAnsiTheme="minorHAnsi" w:cstheme="minorHAnsi"/>
          <w:color w:val="000000"/>
          <w:sz w:val="24"/>
          <w:szCs w:val="24"/>
        </w:rPr>
        <w:t xml:space="preserve"> [Accessed 9 Oct. 2023].</w:t>
      </w:r>
    </w:p>
    <w:p w14:paraId="64DE6D42" w14:textId="77777777" w:rsidR="008709D1" w:rsidRPr="008709D1" w:rsidRDefault="008709D1" w:rsidP="008709D1">
      <w:pPr>
        <w:rPr>
          <w:rFonts w:asciiTheme="minorHAnsi" w:hAnsiTheme="minorHAnsi" w:cstheme="minorHAnsi"/>
          <w:sz w:val="24"/>
          <w:szCs w:val="24"/>
        </w:rPr>
      </w:pPr>
    </w:p>
    <w:p w14:paraId="1BCEE8AA" w14:textId="77777777" w:rsidR="008709D1" w:rsidRPr="008709D1" w:rsidRDefault="008709D1" w:rsidP="008709D1">
      <w:pPr>
        <w:rPr>
          <w:rFonts w:asciiTheme="minorHAnsi" w:hAnsiTheme="minorHAnsi" w:cstheme="minorHAnsi"/>
          <w:color w:val="000000" w:themeColor="text1"/>
          <w:sz w:val="24"/>
          <w:szCs w:val="24"/>
          <w14:textOutline w14:w="0" w14:cap="flat" w14:cmpd="sng" w14:algn="ctr">
            <w14:noFill/>
            <w14:prstDash w14:val="solid"/>
            <w14:round/>
          </w14:textOutline>
        </w:rPr>
      </w:pPr>
      <w:r w:rsidRPr="008709D1">
        <w:rPr>
          <w:rFonts w:asciiTheme="minorHAnsi" w:hAnsiTheme="minorHAnsi" w:cstheme="minorHAnsi"/>
          <w:color w:val="000000" w:themeColor="text1"/>
          <w:sz w:val="24"/>
          <w:szCs w:val="24"/>
          <w14:textOutline w14:w="0" w14:cap="flat" w14:cmpd="sng" w14:algn="ctr">
            <w14:noFill/>
            <w14:prstDash w14:val="solid"/>
            <w14:round/>
          </w14:textOutline>
        </w:rPr>
        <w:t xml:space="preserve">Joseph–Salisbury, R., Connelly, L. orcid.org/0000-0002-9564-9106 and Wangari-Jones, P. (2021) “The UK is not innocent”: Black Lives Matter, policing and abolition in the UK. Equality, </w:t>
      </w:r>
      <w:proofErr w:type="gramStart"/>
      <w:r w:rsidRPr="008709D1">
        <w:rPr>
          <w:rFonts w:asciiTheme="minorHAnsi" w:hAnsiTheme="minorHAnsi" w:cstheme="minorHAnsi"/>
          <w:color w:val="000000" w:themeColor="text1"/>
          <w:sz w:val="24"/>
          <w:szCs w:val="24"/>
          <w14:textOutline w14:w="0" w14:cap="flat" w14:cmpd="sng" w14:algn="ctr">
            <w14:noFill/>
            <w14:prstDash w14:val="solid"/>
            <w14:round/>
          </w14:textOutline>
        </w:rPr>
        <w:t>Diversity</w:t>
      </w:r>
      <w:proofErr w:type="gramEnd"/>
      <w:r w:rsidRPr="008709D1">
        <w:rPr>
          <w:rFonts w:asciiTheme="minorHAnsi" w:hAnsiTheme="minorHAnsi" w:cstheme="minorHAnsi"/>
          <w:color w:val="000000" w:themeColor="text1"/>
          <w:sz w:val="24"/>
          <w:szCs w:val="24"/>
          <w14:textOutline w14:w="0" w14:cap="flat" w14:cmpd="sng" w14:algn="ctr">
            <w14:noFill/>
            <w14:prstDash w14:val="solid"/>
            <w14:round/>
          </w14:textOutline>
        </w:rPr>
        <w:t xml:space="preserve"> and Inclusion: An International Journal, 40 (1). pp. 21-28. ISSN 2040- 7149</w:t>
      </w:r>
    </w:p>
    <w:p w14:paraId="027BBEAE" w14:textId="77777777" w:rsidR="008709D1" w:rsidRPr="008709D1" w:rsidRDefault="008709D1" w:rsidP="008709D1">
      <w:pPr>
        <w:spacing w:before="100" w:beforeAutospacing="1" w:after="100" w:afterAutospacing="1"/>
        <w:outlineLvl w:val="3"/>
        <w:rPr>
          <w:rFonts w:asciiTheme="minorHAnsi" w:hAnsiTheme="minorHAnsi" w:cstheme="minorHAnsi"/>
          <w:bCs/>
          <w:color w:val="000000" w:themeColor="text1"/>
          <w:sz w:val="24"/>
          <w:szCs w:val="24"/>
          <w14:textOutline w14:w="0" w14:cap="flat" w14:cmpd="sng" w14:algn="ctr">
            <w14:noFill/>
            <w14:prstDash w14:val="solid"/>
            <w14:round/>
          </w14:textOutline>
        </w:rPr>
      </w:pPr>
      <w:r w:rsidRPr="008709D1">
        <w:rPr>
          <w:rFonts w:asciiTheme="minorHAnsi" w:hAnsiTheme="minorHAnsi" w:cstheme="minorHAnsi"/>
          <w:bCs/>
          <w:color w:val="000000" w:themeColor="text1"/>
          <w:sz w:val="24"/>
          <w:szCs w:val="24"/>
          <w14:textOutline w14:w="0" w14:cap="flat" w14:cmpd="sng" w14:algn="ctr">
            <w14:noFill/>
            <w14:prstDash w14:val="solid"/>
            <w14:round/>
          </w14:textOutline>
        </w:rPr>
        <w:t>Karpman, S. (1968). Fairy tales and script drama analysis. Transactional Analysis Bulletin, 7(26), 39-43. Available at: https://karpmandramatriangle.com/pdf/DramaTriangle.pdf</w:t>
      </w:r>
    </w:p>
    <w:p w14:paraId="714C9FEA" w14:textId="77777777" w:rsidR="008709D1" w:rsidRPr="008709D1" w:rsidRDefault="008709D1" w:rsidP="008709D1">
      <w:pPr>
        <w:rPr>
          <w:rFonts w:asciiTheme="minorHAnsi" w:hAnsiTheme="minorHAnsi" w:cstheme="minorHAnsi"/>
          <w:sz w:val="24"/>
          <w:szCs w:val="24"/>
        </w:rPr>
      </w:pPr>
      <w:r w:rsidRPr="008709D1">
        <w:rPr>
          <w:rFonts w:asciiTheme="minorHAnsi" w:hAnsiTheme="minorHAnsi" w:cstheme="minorHAnsi"/>
          <w:sz w:val="24"/>
          <w:szCs w:val="24"/>
        </w:rPr>
        <w:t xml:space="preserve">Lowe, M. Khan, R. (2019). Anti-gay “Honor” Abuse: A Multinational Attitudinal Study of Collectivist- Versus Individualist-Orientated Population. </w:t>
      </w:r>
      <w:r w:rsidRPr="008709D1">
        <w:rPr>
          <w:rFonts w:asciiTheme="minorHAnsi" w:hAnsiTheme="minorHAnsi" w:cstheme="minorHAnsi"/>
          <w:i/>
          <w:iCs/>
          <w:sz w:val="24"/>
          <w:szCs w:val="24"/>
        </w:rPr>
        <w:t>Journal of Interpersonal Violence</w:t>
      </w:r>
      <w:r w:rsidRPr="008709D1">
        <w:rPr>
          <w:rFonts w:asciiTheme="minorHAnsi" w:hAnsiTheme="minorHAnsi" w:cstheme="minorHAnsi"/>
          <w:sz w:val="24"/>
          <w:szCs w:val="24"/>
        </w:rPr>
        <w:t xml:space="preserve">. 36(15-16). [Online]. Available at: </w:t>
      </w:r>
      <w:hyperlink r:id="rId34" w:history="1">
        <w:r w:rsidRPr="008709D1">
          <w:rPr>
            <w:rStyle w:val="Hyperlink"/>
            <w:rFonts w:asciiTheme="minorHAnsi" w:hAnsiTheme="minorHAnsi" w:cstheme="minorHAnsi"/>
            <w:sz w:val="24"/>
            <w:szCs w:val="24"/>
          </w:rPr>
          <w:t>https://doi.org/10.1177/0886260519838493</w:t>
        </w:r>
      </w:hyperlink>
      <w:r w:rsidRPr="008709D1">
        <w:rPr>
          <w:rFonts w:asciiTheme="minorHAnsi" w:hAnsiTheme="minorHAnsi" w:cstheme="minorHAnsi"/>
          <w:sz w:val="24"/>
          <w:szCs w:val="24"/>
        </w:rPr>
        <w:t xml:space="preserve"> [Accessed 4 October 2023].</w:t>
      </w:r>
    </w:p>
    <w:p w14:paraId="627BC324" w14:textId="77777777" w:rsidR="00E06CB1" w:rsidRPr="008709D1" w:rsidRDefault="00E06CB1" w:rsidP="003F117F">
      <w:pPr>
        <w:rPr>
          <w:rFonts w:asciiTheme="minorHAnsi" w:hAnsiTheme="minorHAnsi" w:cstheme="minorHAnsi"/>
          <w:sz w:val="24"/>
          <w:szCs w:val="24"/>
        </w:rPr>
      </w:pPr>
    </w:p>
    <w:p w14:paraId="00D5758E" w14:textId="77777777" w:rsidR="003F117F" w:rsidRPr="008709D1" w:rsidRDefault="003F117F" w:rsidP="003F117F">
      <w:pPr>
        <w:pStyle w:val="NormalWeb"/>
        <w:spacing w:before="0" w:beforeAutospacing="0" w:after="0" w:afterAutospacing="0"/>
        <w:rPr>
          <w:rFonts w:asciiTheme="minorHAnsi" w:hAnsiTheme="minorHAnsi" w:cstheme="minorHAnsi"/>
          <w:sz w:val="24"/>
          <w:szCs w:val="24"/>
        </w:rPr>
      </w:pPr>
      <w:proofErr w:type="spellStart"/>
      <w:r w:rsidRPr="008709D1">
        <w:rPr>
          <w:rFonts w:asciiTheme="minorHAnsi" w:hAnsiTheme="minorHAnsi" w:cstheme="minorHAnsi"/>
          <w:color w:val="000000"/>
          <w:sz w:val="24"/>
          <w:szCs w:val="24"/>
        </w:rPr>
        <w:t>Minstry</w:t>
      </w:r>
      <w:proofErr w:type="spellEnd"/>
      <w:r w:rsidRPr="008709D1">
        <w:rPr>
          <w:rFonts w:asciiTheme="minorHAnsi" w:hAnsiTheme="minorHAnsi" w:cstheme="minorHAnsi"/>
          <w:color w:val="000000"/>
          <w:sz w:val="24"/>
          <w:szCs w:val="24"/>
        </w:rPr>
        <w:t xml:space="preserve"> of Justice. (2020). Code of Practice for Victims of Crime in England and Wales. [Online]. </w:t>
      </w:r>
      <w:hyperlink r:id="rId35" w:history="1">
        <w:r w:rsidRPr="008709D1">
          <w:rPr>
            <w:rStyle w:val="Hyperlink"/>
            <w:rFonts w:asciiTheme="minorHAnsi" w:hAnsiTheme="minorHAnsi" w:cstheme="minorHAnsi"/>
            <w:sz w:val="24"/>
            <w:szCs w:val="24"/>
          </w:rPr>
          <w:t>gov.uk</w:t>
        </w:r>
      </w:hyperlink>
      <w:r w:rsidRPr="008709D1">
        <w:rPr>
          <w:rFonts w:asciiTheme="minorHAnsi" w:hAnsiTheme="minorHAnsi" w:cstheme="minorHAnsi"/>
          <w:color w:val="000000"/>
          <w:sz w:val="24"/>
          <w:szCs w:val="24"/>
        </w:rPr>
        <w:t xml:space="preserve">. Last Updated: November 2020. Available at: </w:t>
      </w:r>
      <w:hyperlink r:id="rId36" w:history="1">
        <w:r w:rsidRPr="008709D1">
          <w:rPr>
            <w:rStyle w:val="Hyperlink"/>
            <w:rFonts w:asciiTheme="minorHAnsi" w:hAnsiTheme="minorHAnsi" w:cstheme="minorHAnsi"/>
            <w:sz w:val="24"/>
            <w:szCs w:val="24"/>
          </w:rPr>
          <w:t>https://assets.publishing.service.gov.uk/media/60620279d3bf7f5ceaca0d89/victims-code-2020.pdf</w:t>
        </w:r>
      </w:hyperlink>
      <w:r w:rsidRPr="008709D1">
        <w:rPr>
          <w:rFonts w:asciiTheme="minorHAnsi" w:hAnsiTheme="minorHAnsi" w:cstheme="minorHAnsi"/>
          <w:color w:val="000000"/>
          <w:sz w:val="24"/>
          <w:szCs w:val="24"/>
        </w:rPr>
        <w:t xml:space="preserve"> [Accessed 4 October 2023].</w:t>
      </w:r>
    </w:p>
    <w:p w14:paraId="180B662F" w14:textId="77777777" w:rsidR="003F117F" w:rsidRDefault="003F117F" w:rsidP="003F117F">
      <w:pPr>
        <w:rPr>
          <w:rFonts w:asciiTheme="minorHAnsi" w:hAnsiTheme="minorHAnsi" w:cstheme="minorHAnsi"/>
          <w:sz w:val="24"/>
          <w:szCs w:val="24"/>
        </w:rPr>
      </w:pPr>
    </w:p>
    <w:p w14:paraId="6B8799DC" w14:textId="77777777" w:rsidR="00E06CB1" w:rsidRPr="00E06CB1" w:rsidRDefault="00E06CB1" w:rsidP="00E06CB1">
      <w:pPr>
        <w:rPr>
          <w:rFonts w:asciiTheme="minorHAnsi" w:hAnsiTheme="minorHAnsi" w:cstheme="minorHAnsi"/>
          <w:sz w:val="24"/>
          <w:szCs w:val="24"/>
        </w:rPr>
      </w:pPr>
      <w:r w:rsidRPr="00E06CB1">
        <w:rPr>
          <w:rFonts w:asciiTheme="minorHAnsi" w:hAnsiTheme="minorHAnsi" w:cstheme="minorHAnsi"/>
          <w:sz w:val="24"/>
          <w:szCs w:val="24"/>
        </w:rPr>
        <w:t xml:space="preserve">Moore et al. (2018). Developing Wellbeing Through a Randomised Controlled Trial of a Martial Arts Based Intervention: An Alternative to the A. </w:t>
      </w:r>
      <w:r w:rsidRPr="00E06CB1">
        <w:rPr>
          <w:rFonts w:asciiTheme="minorHAnsi" w:hAnsiTheme="minorHAnsi" w:cstheme="minorHAnsi"/>
          <w:i/>
          <w:iCs/>
          <w:sz w:val="24"/>
          <w:szCs w:val="24"/>
        </w:rPr>
        <w:t>International Journal of Environmental Research and Public Health</w:t>
      </w:r>
      <w:r w:rsidRPr="00E06CB1">
        <w:rPr>
          <w:rFonts w:asciiTheme="minorHAnsi" w:hAnsiTheme="minorHAnsi" w:cstheme="minorHAnsi"/>
          <w:sz w:val="24"/>
          <w:szCs w:val="24"/>
        </w:rPr>
        <w:t xml:space="preserve">. 16(1), p.81. [Online]. Available at: </w:t>
      </w:r>
      <w:hyperlink r:id="rId37" w:history="1">
        <w:r w:rsidRPr="00E06CB1">
          <w:rPr>
            <w:rStyle w:val="Hyperlink"/>
            <w:rFonts w:asciiTheme="minorHAnsi" w:hAnsiTheme="minorHAnsi" w:cstheme="minorHAnsi"/>
            <w:sz w:val="24"/>
            <w:szCs w:val="24"/>
          </w:rPr>
          <w:t>https://www.mdpi.com/1660-4601/16/1/81</w:t>
        </w:r>
      </w:hyperlink>
      <w:r w:rsidRPr="00E06CB1">
        <w:rPr>
          <w:rFonts w:asciiTheme="minorHAnsi" w:hAnsiTheme="minorHAnsi" w:cstheme="minorHAnsi"/>
          <w:sz w:val="24"/>
          <w:szCs w:val="24"/>
        </w:rPr>
        <w:t xml:space="preserve"> [Accessed 8 October 2023].</w:t>
      </w:r>
    </w:p>
    <w:p w14:paraId="507161E0" w14:textId="77777777" w:rsidR="00E06CB1" w:rsidRPr="008709D1" w:rsidRDefault="00E06CB1" w:rsidP="003F117F">
      <w:pPr>
        <w:rPr>
          <w:rFonts w:asciiTheme="minorHAnsi" w:hAnsiTheme="minorHAnsi" w:cstheme="minorHAnsi"/>
          <w:sz w:val="24"/>
          <w:szCs w:val="24"/>
        </w:rPr>
      </w:pPr>
    </w:p>
    <w:p w14:paraId="7381F4D4" w14:textId="77777777" w:rsidR="008709D1" w:rsidRPr="008709D1" w:rsidRDefault="008709D1" w:rsidP="008709D1">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i/>
          <w:iCs/>
          <w:color w:val="000000"/>
          <w:sz w:val="24"/>
          <w:szCs w:val="24"/>
        </w:rPr>
        <w:t>Offences Against the Person Act</w:t>
      </w:r>
      <w:r w:rsidRPr="008709D1">
        <w:rPr>
          <w:rFonts w:asciiTheme="minorHAnsi" w:hAnsiTheme="minorHAnsi" w:cstheme="minorHAnsi"/>
          <w:color w:val="000000"/>
          <w:sz w:val="24"/>
          <w:szCs w:val="24"/>
        </w:rPr>
        <w:t xml:space="preserve">.16 [online] Available at: </w:t>
      </w:r>
      <w:hyperlink r:id="rId38" w:history="1">
        <w:r w:rsidRPr="008709D1">
          <w:rPr>
            <w:rStyle w:val="Hyperlink"/>
            <w:rFonts w:asciiTheme="minorHAnsi" w:hAnsiTheme="minorHAnsi" w:cstheme="minorHAnsi"/>
            <w:sz w:val="24"/>
            <w:szCs w:val="24"/>
          </w:rPr>
          <w:t>https://www.legislation.gov.uk/ukpga/Vict/24-25/100/section/16</w:t>
        </w:r>
      </w:hyperlink>
      <w:r w:rsidRPr="008709D1">
        <w:rPr>
          <w:rFonts w:asciiTheme="minorHAnsi" w:hAnsiTheme="minorHAnsi" w:cstheme="minorHAnsi"/>
          <w:color w:val="000000"/>
          <w:sz w:val="24"/>
          <w:szCs w:val="24"/>
        </w:rPr>
        <w:t xml:space="preserve"> [Accessed 4 Oct. 2023].</w:t>
      </w:r>
    </w:p>
    <w:p w14:paraId="77B94E30" w14:textId="77777777" w:rsidR="008709D1" w:rsidRDefault="008709D1" w:rsidP="003F117F">
      <w:pPr>
        <w:rPr>
          <w:rFonts w:asciiTheme="minorHAnsi" w:hAnsiTheme="minorHAnsi" w:cstheme="minorHAnsi"/>
          <w:sz w:val="24"/>
          <w:szCs w:val="24"/>
        </w:rPr>
      </w:pPr>
    </w:p>
    <w:p w14:paraId="004E8C23" w14:textId="77777777" w:rsidR="008709D1" w:rsidRPr="008709D1" w:rsidRDefault="008709D1" w:rsidP="008709D1">
      <w:pPr>
        <w:rPr>
          <w:rFonts w:asciiTheme="minorHAnsi" w:hAnsiTheme="minorHAnsi" w:cstheme="minorHAnsi"/>
          <w:sz w:val="24"/>
          <w:szCs w:val="24"/>
        </w:rPr>
      </w:pPr>
      <w:r w:rsidRPr="008709D1">
        <w:rPr>
          <w:rFonts w:asciiTheme="minorHAnsi" w:hAnsiTheme="minorHAnsi" w:cstheme="minorHAnsi"/>
          <w:sz w:val="24"/>
          <w:szCs w:val="24"/>
        </w:rPr>
        <w:t xml:space="preserve">Payton, J. (2014). “Honor,” </w:t>
      </w:r>
      <w:proofErr w:type="spellStart"/>
      <w:r w:rsidRPr="008709D1">
        <w:rPr>
          <w:rFonts w:asciiTheme="minorHAnsi" w:hAnsiTheme="minorHAnsi" w:cstheme="minorHAnsi"/>
          <w:sz w:val="24"/>
          <w:szCs w:val="24"/>
        </w:rPr>
        <w:t>Collectivity</w:t>
      </w:r>
      <w:proofErr w:type="spellEnd"/>
      <w:r w:rsidRPr="008709D1">
        <w:rPr>
          <w:rFonts w:asciiTheme="minorHAnsi" w:hAnsiTheme="minorHAnsi" w:cstheme="minorHAnsi"/>
          <w:sz w:val="24"/>
          <w:szCs w:val="24"/>
        </w:rPr>
        <w:t xml:space="preserve">, and Agnation: Emerging Risk Factors in “Honor”-Based Violence. </w:t>
      </w:r>
      <w:r w:rsidRPr="008709D1">
        <w:rPr>
          <w:rFonts w:asciiTheme="minorHAnsi" w:hAnsiTheme="minorHAnsi" w:cstheme="minorHAnsi"/>
          <w:i/>
          <w:iCs/>
          <w:sz w:val="24"/>
          <w:szCs w:val="24"/>
        </w:rPr>
        <w:t>Journal of Interpersonal Violence</w:t>
      </w:r>
      <w:r w:rsidRPr="008709D1">
        <w:rPr>
          <w:rFonts w:asciiTheme="minorHAnsi" w:hAnsiTheme="minorHAnsi" w:cstheme="minorHAnsi"/>
          <w:sz w:val="24"/>
          <w:szCs w:val="24"/>
        </w:rPr>
        <w:t xml:space="preserve">. 29(16). [Online]. Available at: </w:t>
      </w:r>
      <w:hyperlink r:id="rId39" w:history="1">
        <w:r w:rsidRPr="008709D1">
          <w:rPr>
            <w:rStyle w:val="Hyperlink"/>
            <w:rFonts w:asciiTheme="minorHAnsi" w:hAnsiTheme="minorHAnsi" w:cstheme="minorHAnsi"/>
            <w:sz w:val="24"/>
            <w:szCs w:val="24"/>
          </w:rPr>
          <w:t>https://journals.sagepub.com/doi/full/10.1177/0886260514527171</w:t>
        </w:r>
      </w:hyperlink>
      <w:r w:rsidRPr="008709D1">
        <w:rPr>
          <w:rFonts w:asciiTheme="minorHAnsi" w:hAnsiTheme="minorHAnsi" w:cstheme="minorHAnsi"/>
          <w:sz w:val="24"/>
          <w:szCs w:val="24"/>
        </w:rPr>
        <w:t xml:space="preserve"> [Accessed 4 October 2023].</w:t>
      </w:r>
    </w:p>
    <w:p w14:paraId="02F5DF3B" w14:textId="77777777" w:rsidR="008709D1" w:rsidRPr="008709D1" w:rsidRDefault="008709D1" w:rsidP="003F117F">
      <w:pPr>
        <w:rPr>
          <w:rFonts w:asciiTheme="minorHAnsi" w:hAnsiTheme="minorHAnsi" w:cstheme="minorHAnsi"/>
          <w:sz w:val="24"/>
          <w:szCs w:val="24"/>
        </w:rPr>
      </w:pPr>
    </w:p>
    <w:p w14:paraId="5A0B08A4" w14:textId="6D3AEBDA" w:rsidR="008709D1" w:rsidRPr="008709D1" w:rsidRDefault="008709D1" w:rsidP="003F117F">
      <w:pPr>
        <w:rPr>
          <w:rFonts w:asciiTheme="minorHAnsi" w:hAnsiTheme="minorHAnsi" w:cstheme="minorHAnsi"/>
          <w:sz w:val="24"/>
          <w:szCs w:val="24"/>
        </w:rPr>
      </w:pPr>
      <w:r w:rsidRPr="008709D1">
        <w:rPr>
          <w:rFonts w:asciiTheme="minorHAnsi" w:hAnsiTheme="minorHAnsi" w:cstheme="minorHAnsi"/>
          <w:i/>
          <w:iCs/>
          <w:sz w:val="24"/>
          <w:szCs w:val="24"/>
        </w:rPr>
        <w:t>Police and Criminal Evidence Act</w:t>
      </w:r>
      <w:r w:rsidRPr="008709D1">
        <w:rPr>
          <w:rFonts w:asciiTheme="minorHAnsi" w:hAnsiTheme="minorHAnsi" w:cstheme="minorHAnsi"/>
          <w:sz w:val="24"/>
          <w:szCs w:val="24"/>
        </w:rPr>
        <w:t xml:space="preserve">.17 [online] Available at: </w:t>
      </w:r>
      <w:hyperlink r:id="rId40" w:history="1">
        <w:r w:rsidRPr="008709D1">
          <w:rPr>
            <w:rStyle w:val="Hyperlink"/>
            <w:rFonts w:asciiTheme="minorHAnsi" w:hAnsiTheme="minorHAnsi" w:cstheme="minorHAnsi"/>
            <w:sz w:val="24"/>
            <w:szCs w:val="24"/>
          </w:rPr>
          <w:t>https://www.legislation.gov.uk/ukpga/1984/60/section/17</w:t>
        </w:r>
      </w:hyperlink>
      <w:r w:rsidRPr="008709D1">
        <w:rPr>
          <w:rFonts w:asciiTheme="minorHAnsi" w:hAnsiTheme="minorHAnsi" w:cstheme="minorHAnsi"/>
          <w:sz w:val="24"/>
          <w:szCs w:val="24"/>
        </w:rPr>
        <w:t xml:space="preserve"> [Accessed 4 Oct. 2023</w:t>
      </w:r>
    </w:p>
    <w:p w14:paraId="6D4D062A" w14:textId="77777777" w:rsidR="008709D1" w:rsidRPr="008709D1" w:rsidRDefault="008709D1" w:rsidP="003F117F">
      <w:pPr>
        <w:rPr>
          <w:rFonts w:asciiTheme="minorHAnsi" w:hAnsiTheme="minorHAnsi" w:cstheme="minorHAnsi"/>
          <w:sz w:val="24"/>
          <w:szCs w:val="24"/>
        </w:rPr>
      </w:pPr>
    </w:p>
    <w:p w14:paraId="085BE941" w14:textId="77777777" w:rsidR="003F117F" w:rsidRPr="008709D1" w:rsidRDefault="003F117F" w:rsidP="003F117F">
      <w:pPr>
        <w:pStyle w:val="NormalWeb"/>
        <w:spacing w:before="0" w:beforeAutospacing="0" w:after="0" w:afterAutospacing="0"/>
        <w:rPr>
          <w:rFonts w:asciiTheme="minorHAnsi" w:hAnsiTheme="minorHAnsi" w:cstheme="minorHAnsi"/>
          <w:color w:val="000000"/>
          <w:sz w:val="24"/>
          <w:szCs w:val="24"/>
        </w:rPr>
      </w:pPr>
      <w:r w:rsidRPr="008709D1">
        <w:rPr>
          <w:rFonts w:asciiTheme="minorHAnsi" w:hAnsiTheme="minorHAnsi" w:cstheme="minorHAnsi"/>
          <w:color w:val="000000"/>
          <w:sz w:val="24"/>
          <w:szCs w:val="24"/>
        </w:rPr>
        <w:t xml:space="preserve">Pues, A. (2017). Towards the ‘Golden Hour’? A Critical Exploration of the Length of Preliminary Examinations. Journal of International Criminal Justice. 15(3), pp.435-453. [Online]. Available at: </w:t>
      </w:r>
      <w:hyperlink r:id="rId41" w:history="1">
        <w:r w:rsidRPr="008709D1">
          <w:rPr>
            <w:rStyle w:val="Hyperlink"/>
            <w:rFonts w:asciiTheme="minorHAnsi" w:hAnsiTheme="minorHAnsi" w:cstheme="minorHAnsi"/>
            <w:sz w:val="24"/>
            <w:szCs w:val="24"/>
          </w:rPr>
          <w:t>https://academic.oup.com/jicj/article-abstract/15/3/435/3914725</w:t>
        </w:r>
      </w:hyperlink>
      <w:r w:rsidRPr="008709D1">
        <w:rPr>
          <w:rFonts w:asciiTheme="minorHAnsi" w:hAnsiTheme="minorHAnsi" w:cstheme="minorHAnsi"/>
          <w:color w:val="000000"/>
          <w:sz w:val="24"/>
          <w:szCs w:val="24"/>
        </w:rPr>
        <w:t xml:space="preserve"> [Accessed 4 October 2023].</w:t>
      </w:r>
    </w:p>
    <w:p w14:paraId="1BA04E51" w14:textId="77777777" w:rsidR="00E06CB1" w:rsidRPr="00E06CB1" w:rsidRDefault="00E06CB1" w:rsidP="00E06CB1">
      <w:pPr>
        <w:pStyle w:val="NormalWeb"/>
        <w:rPr>
          <w:rFonts w:asciiTheme="minorHAnsi" w:hAnsiTheme="minorHAnsi" w:cstheme="minorHAnsi"/>
          <w:sz w:val="24"/>
          <w:szCs w:val="24"/>
        </w:rPr>
      </w:pPr>
      <w:r w:rsidRPr="00E06CB1">
        <w:rPr>
          <w:rFonts w:asciiTheme="minorHAnsi" w:hAnsiTheme="minorHAnsi" w:cstheme="minorHAnsi"/>
          <w:sz w:val="24"/>
          <w:szCs w:val="24"/>
        </w:rPr>
        <w:t xml:space="preserve">Scerri et al. (2018). Need fulfilment and internet gaming disorder: A preliminary integrative model. </w:t>
      </w:r>
      <w:r w:rsidRPr="00E06CB1">
        <w:rPr>
          <w:rFonts w:asciiTheme="minorHAnsi" w:hAnsiTheme="minorHAnsi" w:cstheme="minorHAnsi"/>
          <w:i/>
          <w:iCs/>
          <w:sz w:val="24"/>
          <w:szCs w:val="24"/>
        </w:rPr>
        <w:t xml:space="preserve">Contents lists available at ScienceDirect Addictive </w:t>
      </w:r>
      <w:proofErr w:type="spellStart"/>
      <w:r w:rsidRPr="00E06CB1">
        <w:rPr>
          <w:rFonts w:asciiTheme="minorHAnsi" w:hAnsiTheme="minorHAnsi" w:cstheme="minorHAnsi"/>
          <w:i/>
          <w:iCs/>
          <w:sz w:val="24"/>
          <w:szCs w:val="24"/>
        </w:rPr>
        <w:t>Behaviors</w:t>
      </w:r>
      <w:proofErr w:type="spellEnd"/>
      <w:r w:rsidRPr="00E06CB1">
        <w:rPr>
          <w:rFonts w:asciiTheme="minorHAnsi" w:hAnsiTheme="minorHAnsi" w:cstheme="minorHAnsi"/>
          <w:i/>
          <w:iCs/>
          <w:sz w:val="24"/>
          <w:szCs w:val="24"/>
        </w:rPr>
        <w:t xml:space="preserve"> Reports</w:t>
      </w:r>
      <w:r w:rsidRPr="00E06CB1">
        <w:rPr>
          <w:rFonts w:asciiTheme="minorHAnsi" w:hAnsiTheme="minorHAnsi" w:cstheme="minorHAnsi"/>
          <w:sz w:val="24"/>
          <w:szCs w:val="24"/>
        </w:rPr>
        <w:t xml:space="preserve">. 9(.). [Online]. Available at: </w:t>
      </w:r>
      <w:hyperlink r:id="rId42" w:history="1">
        <w:r w:rsidRPr="00E06CB1">
          <w:rPr>
            <w:rStyle w:val="Hyperlink"/>
            <w:rFonts w:asciiTheme="minorHAnsi" w:hAnsiTheme="minorHAnsi" w:cstheme="minorHAnsi"/>
            <w:sz w:val="24"/>
            <w:szCs w:val="24"/>
          </w:rPr>
          <w:t>https://doi.org/10.1016/j.abrep.2018.100144</w:t>
        </w:r>
      </w:hyperlink>
      <w:r w:rsidRPr="00E06CB1">
        <w:rPr>
          <w:rFonts w:asciiTheme="minorHAnsi" w:hAnsiTheme="minorHAnsi" w:cstheme="minorHAnsi"/>
          <w:sz w:val="24"/>
          <w:szCs w:val="24"/>
        </w:rPr>
        <w:t xml:space="preserve"> [Accessed 8 October 2023].</w:t>
      </w:r>
    </w:p>
    <w:p w14:paraId="067300A4" w14:textId="77777777" w:rsidR="008709D1" w:rsidRDefault="008709D1" w:rsidP="003F117F">
      <w:pPr>
        <w:pStyle w:val="NormalWeb"/>
        <w:spacing w:before="0" w:beforeAutospacing="0" w:after="0" w:afterAutospacing="0"/>
        <w:rPr>
          <w:rFonts w:asciiTheme="minorHAnsi" w:hAnsiTheme="minorHAnsi" w:cstheme="minorHAnsi"/>
          <w:sz w:val="24"/>
          <w:szCs w:val="24"/>
        </w:rPr>
      </w:pPr>
    </w:p>
    <w:p w14:paraId="1983846B" w14:textId="77777777" w:rsidR="00E06CB1" w:rsidRPr="00E06CB1" w:rsidRDefault="00E06CB1" w:rsidP="00E06CB1">
      <w:pPr>
        <w:pStyle w:val="NormalWeb"/>
        <w:rPr>
          <w:rFonts w:asciiTheme="minorHAnsi" w:hAnsiTheme="minorHAnsi" w:cstheme="minorHAnsi"/>
          <w:sz w:val="24"/>
          <w:szCs w:val="24"/>
        </w:rPr>
      </w:pPr>
      <w:r w:rsidRPr="00E06CB1">
        <w:rPr>
          <w:rFonts w:asciiTheme="minorHAnsi" w:hAnsiTheme="minorHAnsi" w:cstheme="minorHAnsi"/>
          <w:sz w:val="24"/>
          <w:szCs w:val="24"/>
        </w:rPr>
        <w:t xml:space="preserve">Schott, G. Hodgetts, D. (2006). 309 Health and Digital Gaming </w:t>
      </w:r>
      <w:proofErr w:type="gramStart"/>
      <w:r w:rsidRPr="00E06CB1">
        <w:rPr>
          <w:rFonts w:asciiTheme="minorHAnsi" w:hAnsiTheme="minorHAnsi" w:cstheme="minorHAnsi"/>
          <w:sz w:val="24"/>
          <w:szCs w:val="24"/>
        </w:rPr>
        <w:t>The</w:t>
      </w:r>
      <w:proofErr w:type="gramEnd"/>
      <w:r w:rsidRPr="00E06CB1">
        <w:rPr>
          <w:rFonts w:asciiTheme="minorHAnsi" w:hAnsiTheme="minorHAnsi" w:cstheme="minorHAnsi"/>
          <w:sz w:val="24"/>
          <w:szCs w:val="24"/>
        </w:rPr>
        <w:t xml:space="preserve"> Benefits of a Community of Practice. </w:t>
      </w:r>
      <w:r w:rsidRPr="00E06CB1">
        <w:rPr>
          <w:rFonts w:asciiTheme="minorHAnsi" w:hAnsiTheme="minorHAnsi" w:cstheme="minorHAnsi"/>
          <w:i/>
          <w:iCs/>
          <w:sz w:val="24"/>
          <w:szCs w:val="24"/>
        </w:rPr>
        <w:t>Journal of health and psychology</w:t>
      </w:r>
      <w:r w:rsidRPr="00E06CB1">
        <w:rPr>
          <w:rFonts w:asciiTheme="minorHAnsi" w:hAnsiTheme="minorHAnsi" w:cstheme="minorHAnsi"/>
          <w:sz w:val="24"/>
          <w:szCs w:val="24"/>
        </w:rPr>
        <w:t xml:space="preserve">. 11(2), pp.309-316. [Online]. Available at: </w:t>
      </w:r>
      <w:hyperlink r:id="rId43" w:history="1">
        <w:r w:rsidRPr="00E06CB1">
          <w:rPr>
            <w:rStyle w:val="Hyperlink"/>
            <w:rFonts w:asciiTheme="minorHAnsi" w:hAnsiTheme="minorHAnsi" w:cstheme="minorHAnsi"/>
            <w:sz w:val="24"/>
            <w:szCs w:val="24"/>
          </w:rPr>
          <w:t>https://doi-org.ezproxy.uwtsd.ac.uk/10.1177/1359105306061189</w:t>
        </w:r>
      </w:hyperlink>
      <w:r w:rsidRPr="00E06CB1">
        <w:rPr>
          <w:rFonts w:asciiTheme="minorHAnsi" w:hAnsiTheme="minorHAnsi" w:cstheme="minorHAnsi"/>
          <w:sz w:val="24"/>
          <w:szCs w:val="24"/>
        </w:rPr>
        <w:t xml:space="preserve"> [Accessed 8 October 2023].</w:t>
      </w:r>
    </w:p>
    <w:p w14:paraId="59A9CBCE" w14:textId="77777777" w:rsidR="00E06CB1" w:rsidRPr="008709D1" w:rsidRDefault="00E06CB1" w:rsidP="003F117F">
      <w:pPr>
        <w:pStyle w:val="NormalWeb"/>
        <w:spacing w:before="0" w:beforeAutospacing="0" w:after="0" w:afterAutospacing="0"/>
        <w:rPr>
          <w:rFonts w:asciiTheme="minorHAnsi" w:hAnsiTheme="minorHAnsi" w:cstheme="minorHAnsi"/>
          <w:sz w:val="24"/>
          <w:szCs w:val="24"/>
        </w:rPr>
      </w:pPr>
    </w:p>
    <w:p w14:paraId="3C1653FB" w14:textId="77777777" w:rsidR="008709D1" w:rsidRPr="008709D1" w:rsidRDefault="008709D1" w:rsidP="008709D1">
      <w:pPr>
        <w:pStyle w:val="NormalWeb"/>
        <w:spacing w:before="0" w:beforeAutospacing="0" w:after="0" w:afterAutospacing="0"/>
        <w:rPr>
          <w:rFonts w:asciiTheme="minorHAnsi" w:hAnsiTheme="minorHAnsi" w:cstheme="minorHAnsi"/>
          <w:sz w:val="24"/>
          <w:szCs w:val="24"/>
        </w:rPr>
      </w:pPr>
      <w:r w:rsidRPr="008709D1">
        <w:rPr>
          <w:rFonts w:asciiTheme="minorHAnsi" w:hAnsiTheme="minorHAnsi" w:cstheme="minorHAnsi"/>
          <w:color w:val="000000"/>
          <w:sz w:val="24"/>
          <w:szCs w:val="24"/>
        </w:rPr>
        <w:lastRenderedPageBreak/>
        <w:t xml:space="preserve">Safe Lives. (2015). </w:t>
      </w:r>
      <w:r w:rsidRPr="008709D1">
        <w:rPr>
          <w:rFonts w:asciiTheme="minorHAnsi" w:hAnsiTheme="minorHAnsi" w:cstheme="minorHAnsi"/>
          <w:i/>
          <w:iCs/>
          <w:color w:val="000000"/>
          <w:sz w:val="24"/>
          <w:szCs w:val="24"/>
        </w:rPr>
        <w:t xml:space="preserve">Insights </w:t>
      </w:r>
      <w:proofErr w:type="spellStart"/>
      <w:r w:rsidRPr="008709D1">
        <w:rPr>
          <w:rFonts w:asciiTheme="minorHAnsi" w:hAnsiTheme="minorHAnsi" w:cstheme="minorHAnsi"/>
          <w:i/>
          <w:iCs/>
          <w:color w:val="000000"/>
          <w:sz w:val="24"/>
          <w:szCs w:val="24"/>
        </w:rPr>
        <w:t>Idva</w:t>
      </w:r>
      <w:proofErr w:type="spellEnd"/>
      <w:r w:rsidRPr="008709D1">
        <w:rPr>
          <w:rFonts w:asciiTheme="minorHAnsi" w:hAnsiTheme="minorHAnsi" w:cstheme="minorHAnsi"/>
          <w:i/>
          <w:iCs/>
          <w:color w:val="000000"/>
          <w:sz w:val="24"/>
          <w:szCs w:val="24"/>
        </w:rPr>
        <w:t xml:space="preserve"> national dataset 2013–14 Adult independent domestic violence advisor (</w:t>
      </w:r>
      <w:proofErr w:type="spellStart"/>
      <w:r w:rsidRPr="008709D1">
        <w:rPr>
          <w:rFonts w:asciiTheme="minorHAnsi" w:hAnsiTheme="minorHAnsi" w:cstheme="minorHAnsi"/>
          <w:i/>
          <w:iCs/>
          <w:color w:val="000000"/>
          <w:sz w:val="24"/>
          <w:szCs w:val="24"/>
        </w:rPr>
        <w:t>Idva</w:t>
      </w:r>
      <w:proofErr w:type="spellEnd"/>
      <w:r w:rsidRPr="008709D1">
        <w:rPr>
          <w:rFonts w:asciiTheme="minorHAnsi" w:hAnsiTheme="minorHAnsi" w:cstheme="minorHAnsi"/>
          <w:i/>
          <w:iCs/>
          <w:color w:val="000000"/>
          <w:sz w:val="24"/>
          <w:szCs w:val="24"/>
        </w:rPr>
        <w:t>) services</w:t>
      </w:r>
      <w:r w:rsidRPr="008709D1">
        <w:rPr>
          <w:rFonts w:asciiTheme="minorHAnsi" w:hAnsiTheme="minorHAnsi" w:cstheme="minorHAnsi"/>
          <w:color w:val="000000"/>
          <w:sz w:val="24"/>
          <w:szCs w:val="24"/>
        </w:rPr>
        <w:t xml:space="preserve">. [Online]. Safe Lives. Last Updated: 2015. Available at: </w:t>
      </w:r>
      <w:hyperlink r:id="rId44" w:history="1">
        <w:r w:rsidRPr="008709D1">
          <w:rPr>
            <w:rStyle w:val="Hyperlink"/>
            <w:rFonts w:asciiTheme="minorHAnsi" w:hAnsiTheme="minorHAnsi" w:cstheme="minorHAnsi"/>
            <w:sz w:val="24"/>
            <w:szCs w:val="24"/>
          </w:rPr>
          <w:t>https://safelives.org.uk/sites/default/files/resources/Insights%20Idva%20national%20dataset%202013-2</w:t>
        </w:r>
      </w:hyperlink>
      <w:r w:rsidRPr="008709D1">
        <w:rPr>
          <w:rFonts w:asciiTheme="minorHAnsi" w:hAnsiTheme="minorHAnsi" w:cstheme="minorHAnsi"/>
          <w:color w:val="000000"/>
          <w:sz w:val="24"/>
          <w:szCs w:val="24"/>
        </w:rPr>
        <w:t xml:space="preserve"> [Accessed 4 October 2023].</w:t>
      </w:r>
    </w:p>
    <w:p w14:paraId="45B5B491" w14:textId="77777777" w:rsidR="008709D1" w:rsidRPr="008709D1" w:rsidRDefault="008709D1" w:rsidP="003F117F">
      <w:pPr>
        <w:pStyle w:val="NormalWeb"/>
        <w:spacing w:before="0" w:beforeAutospacing="0" w:after="0" w:afterAutospacing="0"/>
        <w:rPr>
          <w:rFonts w:asciiTheme="minorHAnsi" w:hAnsiTheme="minorHAnsi" w:cstheme="minorHAnsi"/>
          <w:sz w:val="24"/>
          <w:szCs w:val="24"/>
        </w:rPr>
      </w:pPr>
    </w:p>
    <w:p w14:paraId="212374C7" w14:textId="77777777" w:rsidR="008709D1" w:rsidRPr="008709D1" w:rsidRDefault="008709D1" w:rsidP="008709D1">
      <w:pPr>
        <w:rPr>
          <w:rFonts w:asciiTheme="minorHAnsi" w:hAnsiTheme="minorHAnsi" w:cstheme="minorHAnsi"/>
          <w:color w:val="000000" w:themeColor="text1"/>
          <w:sz w:val="24"/>
          <w:szCs w:val="24"/>
          <w:shd w:val="clear" w:color="auto" w:fill="FFFFFF"/>
          <w14:textOutline w14:w="0" w14:cap="flat" w14:cmpd="sng" w14:algn="ctr">
            <w14:noFill/>
            <w14:prstDash w14:val="solid"/>
            <w14:round/>
          </w14:textOutline>
        </w:rPr>
      </w:pPr>
      <w:r w:rsidRPr="008709D1">
        <w:rPr>
          <w:rFonts w:asciiTheme="minorHAnsi" w:hAnsiTheme="minorHAnsi" w:cstheme="minorHAnsi"/>
          <w:color w:val="000000" w:themeColor="text1"/>
          <w:sz w:val="24"/>
          <w:szCs w:val="24"/>
          <w:shd w:val="clear" w:color="auto" w:fill="FFFFFF"/>
          <w14:textOutline w14:w="0" w14:cap="flat" w14:cmpd="sng" w14:algn="ctr">
            <w14:noFill/>
            <w14:prstDash w14:val="solid"/>
            <w14:round/>
          </w14:textOutline>
        </w:rPr>
        <w:t>Staller, M. (2022). The problem of entanglement: Biases and fallacies in police conflict management. </w:t>
      </w:r>
      <w:r w:rsidRPr="008709D1">
        <w:rPr>
          <w:rFonts w:asciiTheme="minorHAnsi" w:hAnsiTheme="minorHAnsi" w:cstheme="minorHAnsi"/>
          <w:i/>
          <w:iCs/>
          <w:color w:val="000000" w:themeColor="text1"/>
          <w:sz w:val="24"/>
          <w:szCs w:val="24"/>
          <w14:textOutline w14:w="0" w14:cap="flat" w14:cmpd="sng" w14:algn="ctr">
            <w14:noFill/>
            <w14:prstDash w14:val="solid"/>
            <w14:round/>
          </w14:textOutline>
        </w:rPr>
        <w:t>International Journal of Police Science and Management</w:t>
      </w:r>
      <w:r w:rsidRPr="008709D1">
        <w:rPr>
          <w:rFonts w:asciiTheme="minorHAnsi" w:hAnsiTheme="minorHAnsi" w:cstheme="minorHAnsi"/>
          <w:color w:val="000000" w:themeColor="text1"/>
          <w:sz w:val="24"/>
          <w:szCs w:val="24"/>
          <w:shd w:val="clear" w:color="auto" w:fill="FFFFFF"/>
          <w14:textOutline w14:w="0" w14:cap="flat" w14:cmpd="sng" w14:algn="ctr">
            <w14:noFill/>
            <w14:prstDash w14:val="solid"/>
            <w14:round/>
          </w14:textOutline>
        </w:rPr>
        <w:t>. 24(2), pp.113-123. [Online]. Available at: https://journals-sagepub-com.ezproxy.uwtsd.ac.uk/doi/epub/10.1177/14613557211064054 [Accessed 15 September 2023].</w:t>
      </w:r>
    </w:p>
    <w:p w14:paraId="491008DD" w14:textId="77777777" w:rsidR="003F117F" w:rsidRDefault="003F117F" w:rsidP="003F117F"/>
    <w:p w14:paraId="5EFE9439" w14:textId="30B701E9" w:rsidR="00E06CB1" w:rsidRPr="00E06CB1" w:rsidRDefault="00E06CB1" w:rsidP="00E06CB1">
      <w:pPr>
        <w:pStyle w:val="NormalWeb"/>
        <w:spacing w:before="0" w:after="0"/>
        <w:rPr>
          <w:b/>
          <w:bCs/>
        </w:rPr>
      </w:pPr>
      <w:r>
        <w:rPr>
          <w:rFonts w:ascii="Arial" w:hAnsi="Arial" w:cs="Arial"/>
          <w:color w:val="000000"/>
        </w:rPr>
        <w:t>Tugade, M. Fredrickson, B. (2004).</w:t>
      </w:r>
      <w:r w:rsidRPr="00E06CB1">
        <w:rPr>
          <w:rFonts w:ascii="Open Sans" w:hAnsi="Open Sans" w:cs="Open Sans"/>
          <w:bCs/>
          <w:color w:val="1C1D1E"/>
          <w:kern w:val="36"/>
          <w:sz w:val="48"/>
          <w:szCs w:val="48"/>
        </w:rPr>
        <w:t xml:space="preserve"> </w:t>
      </w:r>
      <w:r w:rsidRPr="00E06CB1">
        <w:t>Psychological Resilience and Positive Emotional Granularity: Examining the Benefits of Positive Emotions on Coping and Health</w:t>
      </w:r>
      <w:r>
        <w:rPr>
          <w:b/>
          <w:bCs/>
        </w:rPr>
        <w:t xml:space="preserve">. </w:t>
      </w:r>
      <w:r>
        <w:rPr>
          <w:rFonts w:ascii="Arial" w:hAnsi="Arial" w:cs="Arial"/>
          <w:i/>
          <w:iCs/>
          <w:color w:val="000000"/>
        </w:rPr>
        <w:t>Journal of Personality and Social Psychology</w:t>
      </w:r>
      <w:r>
        <w:rPr>
          <w:rFonts w:ascii="Arial" w:hAnsi="Arial" w:cs="Arial"/>
          <w:color w:val="000000"/>
        </w:rPr>
        <w:t xml:space="preserve">. 86(2), pp.320-333. [Online]. Available at: </w:t>
      </w:r>
      <w:hyperlink r:id="rId45" w:history="1">
        <w:r>
          <w:rPr>
            <w:rStyle w:val="Hyperlink"/>
            <w:rFonts w:ascii="Arial" w:hAnsi="Arial" w:cs="Arial"/>
          </w:rPr>
          <w:t>https://web-p-ebscohost-com.ezproxy.uwtsd.ac.uk/ehost/pdfviewer/pdfviewer?vid=0&amp;sid=ef096280-3396-4d</w:t>
        </w:r>
      </w:hyperlink>
      <w:r>
        <w:rPr>
          <w:rFonts w:ascii="Arial" w:hAnsi="Arial" w:cs="Arial"/>
          <w:color w:val="000000"/>
        </w:rPr>
        <w:t xml:space="preserve"> [Accessed 8 October 2023].</w:t>
      </w:r>
    </w:p>
    <w:p w14:paraId="408A1974" w14:textId="70BA0968" w:rsidR="003F117F" w:rsidRDefault="003F117F" w:rsidP="00E6298B">
      <w:pPr>
        <w:overflowPunct/>
        <w:autoSpaceDE/>
        <w:autoSpaceDN/>
        <w:adjustRightInd/>
        <w:ind w:right="107"/>
        <w:textAlignment w:val="auto"/>
        <w:rPr>
          <w:b/>
          <w:sz w:val="24"/>
          <w:szCs w:val="24"/>
        </w:rPr>
      </w:pPr>
    </w:p>
    <w:p w14:paraId="4C8FE5D7" w14:textId="05AD08D1" w:rsidR="00E06CB1" w:rsidRDefault="00E06CB1" w:rsidP="00E06CB1">
      <w:pPr>
        <w:pStyle w:val="NormalWeb"/>
        <w:spacing w:before="0" w:beforeAutospacing="0" w:after="0" w:afterAutospacing="0"/>
      </w:pPr>
      <w:r>
        <w:rPr>
          <w:rFonts w:ascii="Arial" w:hAnsi="Arial" w:cs="Arial"/>
          <w:color w:val="000000"/>
        </w:rPr>
        <w:t xml:space="preserve">Wilkinson, M. (2013). </w:t>
      </w:r>
      <w:r>
        <w:rPr>
          <w:rFonts w:ascii="Arial" w:hAnsi="Arial" w:cs="Arial"/>
          <w:i/>
          <w:iCs/>
          <w:color w:val="000000"/>
        </w:rPr>
        <w:t xml:space="preserve">Work Life Balance and Psychological Well-Being </w:t>
      </w:r>
      <w:proofErr w:type="gramStart"/>
      <w:r>
        <w:rPr>
          <w:rFonts w:ascii="Arial" w:hAnsi="Arial" w:cs="Arial"/>
          <w:i/>
          <w:iCs/>
          <w:color w:val="000000"/>
        </w:rPr>
        <w:t>In</w:t>
      </w:r>
      <w:proofErr w:type="gramEnd"/>
      <w:r>
        <w:rPr>
          <w:rFonts w:ascii="Arial" w:hAnsi="Arial" w:cs="Arial"/>
          <w:i/>
          <w:iCs/>
          <w:color w:val="000000"/>
        </w:rPr>
        <w:t xml:space="preserve"> Men and Women</w:t>
      </w:r>
      <w:r>
        <w:rPr>
          <w:rFonts w:ascii="Arial" w:hAnsi="Arial" w:cs="Arial"/>
          <w:color w:val="000000"/>
        </w:rPr>
        <w:t>. Auburn, Alabama:  Auburn University ProQuest Dissertations Publishing. p.56</w:t>
      </w:r>
      <w:r>
        <w:rPr>
          <w:rFonts w:ascii="Arial" w:hAnsi="Arial" w:cs="Arial"/>
          <w:color w:val="000000"/>
        </w:rPr>
        <w:t xml:space="preserve"> [Online] Available at: </w:t>
      </w:r>
      <w:hyperlink r:id="rId46" w:history="1">
        <w:r w:rsidRPr="00E06CB1">
          <w:rPr>
            <w:rStyle w:val="Hyperlink"/>
            <w:rFonts w:ascii="Arial" w:hAnsi="Arial" w:cs="Arial"/>
          </w:rPr>
          <w:t>mw_disseration_finaldraft2.pdf (auburn.edu)</w:t>
        </w:r>
      </w:hyperlink>
      <w:r>
        <w:rPr>
          <w:rFonts w:ascii="Arial" w:hAnsi="Arial" w:cs="Arial"/>
          <w:color w:val="000000"/>
        </w:rPr>
        <w:t>.</w:t>
      </w:r>
      <w:r w:rsidRPr="00E06CB1">
        <w:rPr>
          <w:rFonts w:ascii="Arial" w:hAnsi="Arial" w:cs="Arial"/>
          <w:color w:val="000000"/>
        </w:rPr>
        <w:t xml:space="preserve"> </w:t>
      </w:r>
      <w:r>
        <w:rPr>
          <w:rFonts w:ascii="Arial" w:hAnsi="Arial" w:cs="Arial"/>
          <w:color w:val="000000"/>
        </w:rPr>
        <w:t>[Accessed 8 October 2023</w:t>
      </w:r>
      <w:r>
        <w:rPr>
          <w:rFonts w:ascii="Arial" w:hAnsi="Arial" w:cs="Arial"/>
          <w:color w:val="000000"/>
        </w:rPr>
        <w:t>]</w:t>
      </w:r>
    </w:p>
    <w:p w14:paraId="2BC7F1B0" w14:textId="77777777" w:rsidR="00E06CB1" w:rsidRDefault="00E06CB1" w:rsidP="00E6298B">
      <w:pPr>
        <w:overflowPunct/>
        <w:autoSpaceDE/>
        <w:autoSpaceDN/>
        <w:adjustRightInd/>
        <w:ind w:right="107"/>
        <w:textAlignment w:val="auto"/>
        <w:rPr>
          <w:b/>
          <w:sz w:val="24"/>
          <w:szCs w:val="24"/>
        </w:rPr>
      </w:pPr>
    </w:p>
    <w:p w14:paraId="6A248ED2" w14:textId="77777777" w:rsidR="003F117F" w:rsidRDefault="003F117F"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EF6B62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12664D">
        <w:rPr>
          <w:rFonts w:eastAsia="Arial"/>
          <w:color w:val="000000" w:themeColor="text1"/>
          <w:sz w:val="24"/>
          <w:szCs w:val="24"/>
          <w:highlight w:val="yellow"/>
        </w:rPr>
        <w:t>Ryan Leeke</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61D7A4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12664D">
        <w:rPr>
          <w:rFonts w:eastAsia="Arial"/>
          <w:color w:val="000000" w:themeColor="text1"/>
          <w:sz w:val="24"/>
          <w:szCs w:val="24"/>
          <w:highlight w:val="yellow"/>
        </w:rPr>
        <w:t>09/10/2023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C7766" w14:textId="77777777" w:rsidR="00A039FE" w:rsidRDefault="00A039FE">
      <w:r>
        <w:separator/>
      </w:r>
    </w:p>
  </w:endnote>
  <w:endnote w:type="continuationSeparator" w:id="0">
    <w:p w14:paraId="73792B16" w14:textId="77777777" w:rsidR="00A039FE" w:rsidRDefault="00A039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A2A0E" w14:textId="77777777" w:rsidR="00A039FE" w:rsidRDefault="00A039FE">
      <w:r>
        <w:separator/>
      </w:r>
    </w:p>
  </w:footnote>
  <w:footnote w:type="continuationSeparator" w:id="0">
    <w:p w14:paraId="0D2958B3" w14:textId="77777777" w:rsidR="00A039FE" w:rsidRDefault="00A039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7707162">
    <w:abstractNumId w:val="38"/>
  </w:num>
  <w:num w:numId="2" w16cid:durableId="302395091">
    <w:abstractNumId w:val="31"/>
  </w:num>
  <w:num w:numId="3" w16cid:durableId="316305153">
    <w:abstractNumId w:val="23"/>
  </w:num>
  <w:num w:numId="4" w16cid:durableId="361825244">
    <w:abstractNumId w:val="1"/>
    <w:lvlOverride w:ilvl="0">
      <w:lvl w:ilvl="0">
        <w:start w:val="1"/>
        <w:numFmt w:val="bullet"/>
        <w:lvlText w:val=""/>
        <w:lvlJc w:val="left"/>
        <w:pPr>
          <w:ind w:left="720" w:hanging="360"/>
        </w:pPr>
        <w:rPr>
          <w:rFonts w:ascii="Symbol" w:hAnsi="Symbol" w:hint="default"/>
        </w:rPr>
      </w:lvl>
    </w:lvlOverride>
  </w:num>
  <w:num w:numId="5" w16cid:durableId="188035537">
    <w:abstractNumId w:val="21"/>
  </w:num>
  <w:num w:numId="6" w16cid:durableId="1114209586">
    <w:abstractNumId w:val="45"/>
  </w:num>
  <w:num w:numId="7" w16cid:durableId="237326285">
    <w:abstractNumId w:val="47"/>
  </w:num>
  <w:num w:numId="8" w16cid:durableId="2116556838">
    <w:abstractNumId w:val="34"/>
  </w:num>
  <w:num w:numId="9" w16cid:durableId="273942374">
    <w:abstractNumId w:val="32"/>
  </w:num>
  <w:num w:numId="10" w16cid:durableId="493690266">
    <w:abstractNumId w:val="28"/>
  </w:num>
  <w:num w:numId="11" w16cid:durableId="1534417843">
    <w:abstractNumId w:val="29"/>
  </w:num>
  <w:num w:numId="12" w16cid:durableId="651981409">
    <w:abstractNumId w:val="9"/>
  </w:num>
  <w:num w:numId="13" w16cid:durableId="981348913">
    <w:abstractNumId w:val="33"/>
  </w:num>
  <w:num w:numId="14" w16cid:durableId="390736344">
    <w:abstractNumId w:val="16"/>
  </w:num>
  <w:num w:numId="15" w16cid:durableId="641885438">
    <w:abstractNumId w:val="15"/>
  </w:num>
  <w:num w:numId="16" w16cid:durableId="1756585444">
    <w:abstractNumId w:val="26"/>
  </w:num>
  <w:num w:numId="17" w16cid:durableId="276109116">
    <w:abstractNumId w:val="7"/>
  </w:num>
  <w:num w:numId="18" w16cid:durableId="1585720000">
    <w:abstractNumId w:val="25"/>
  </w:num>
  <w:num w:numId="19" w16cid:durableId="1656454652">
    <w:abstractNumId w:val="14"/>
  </w:num>
  <w:num w:numId="20" w16cid:durableId="677199545">
    <w:abstractNumId w:val="12"/>
  </w:num>
  <w:num w:numId="21" w16cid:durableId="20232605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42356387">
    <w:abstractNumId w:val="22"/>
  </w:num>
  <w:num w:numId="23" w16cid:durableId="1280917628">
    <w:abstractNumId w:val="17"/>
  </w:num>
  <w:num w:numId="24" w16cid:durableId="513492630">
    <w:abstractNumId w:val="13"/>
  </w:num>
  <w:num w:numId="25" w16cid:durableId="1347361695">
    <w:abstractNumId w:val="10"/>
  </w:num>
  <w:num w:numId="26" w16cid:durableId="2122410848">
    <w:abstractNumId w:val="27"/>
  </w:num>
  <w:num w:numId="27" w16cid:durableId="118303478">
    <w:abstractNumId w:val="18"/>
  </w:num>
  <w:num w:numId="28" w16cid:durableId="213390820">
    <w:abstractNumId w:val="41"/>
  </w:num>
  <w:num w:numId="29" w16cid:durableId="348919378">
    <w:abstractNumId w:val="35"/>
  </w:num>
  <w:num w:numId="30" w16cid:durableId="1337226512">
    <w:abstractNumId w:val="40"/>
  </w:num>
  <w:num w:numId="31" w16cid:durableId="430128873">
    <w:abstractNumId w:val="19"/>
  </w:num>
  <w:num w:numId="32" w16cid:durableId="1558205454">
    <w:abstractNumId w:val="43"/>
  </w:num>
  <w:num w:numId="33" w16cid:durableId="1738429728">
    <w:abstractNumId w:val="30"/>
  </w:num>
  <w:num w:numId="34" w16cid:durableId="21327023">
    <w:abstractNumId w:val="11"/>
  </w:num>
  <w:num w:numId="35" w16cid:durableId="2051374466">
    <w:abstractNumId w:val="44"/>
  </w:num>
  <w:num w:numId="36" w16cid:durableId="2026511638">
    <w:abstractNumId w:val="39"/>
  </w:num>
  <w:num w:numId="37" w16cid:durableId="1728721812">
    <w:abstractNumId w:val="4"/>
  </w:num>
  <w:num w:numId="38" w16cid:durableId="1089353281">
    <w:abstractNumId w:val="46"/>
  </w:num>
  <w:num w:numId="39" w16cid:durableId="471597965">
    <w:abstractNumId w:val="42"/>
  </w:num>
  <w:num w:numId="40" w16cid:durableId="1157846764">
    <w:abstractNumId w:val="36"/>
  </w:num>
  <w:num w:numId="41" w16cid:durableId="518200959">
    <w:abstractNumId w:val="37"/>
  </w:num>
  <w:num w:numId="42" w16cid:durableId="1373651957">
    <w:abstractNumId w:val="3"/>
  </w:num>
  <w:num w:numId="43" w16cid:durableId="383254553">
    <w:abstractNumId w:val="5"/>
  </w:num>
  <w:num w:numId="44" w16cid:durableId="420371022">
    <w:abstractNumId w:val="24"/>
  </w:num>
  <w:num w:numId="45" w16cid:durableId="1833327565">
    <w:abstractNumId w:val="6"/>
  </w:num>
  <w:num w:numId="46" w16cid:durableId="413745805">
    <w:abstractNumId w:val="2"/>
  </w:num>
  <w:num w:numId="47" w16cid:durableId="902758489">
    <w:abstractNumId w:val="0"/>
  </w:num>
  <w:num w:numId="48" w16cid:durableId="385493511">
    <w:abstractNumId w:val="20"/>
  </w:num>
  <w:num w:numId="49" w16cid:durableId="40102904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541"/>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323"/>
    <w:rsid w:val="00112391"/>
    <w:rsid w:val="00112751"/>
    <w:rsid w:val="00114F52"/>
    <w:rsid w:val="0012664D"/>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6D28"/>
    <w:rsid w:val="003015C3"/>
    <w:rsid w:val="0030C684"/>
    <w:rsid w:val="0031350A"/>
    <w:rsid w:val="00316815"/>
    <w:rsid w:val="003168CA"/>
    <w:rsid w:val="00321255"/>
    <w:rsid w:val="0032230D"/>
    <w:rsid w:val="00322A0B"/>
    <w:rsid w:val="00335FC5"/>
    <w:rsid w:val="003426A3"/>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17F"/>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0FE3"/>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4"/>
    <w:rsid w:val="00500748"/>
    <w:rsid w:val="005011D6"/>
    <w:rsid w:val="0050167A"/>
    <w:rsid w:val="005042F1"/>
    <w:rsid w:val="00504B92"/>
    <w:rsid w:val="00513C7D"/>
    <w:rsid w:val="00521123"/>
    <w:rsid w:val="00521221"/>
    <w:rsid w:val="0052653C"/>
    <w:rsid w:val="00536FA9"/>
    <w:rsid w:val="005414F4"/>
    <w:rsid w:val="00546187"/>
    <w:rsid w:val="005463F1"/>
    <w:rsid w:val="0054658D"/>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5244"/>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118D"/>
    <w:rsid w:val="0085230E"/>
    <w:rsid w:val="008550A1"/>
    <w:rsid w:val="00861038"/>
    <w:rsid w:val="00864BA8"/>
    <w:rsid w:val="00866B50"/>
    <w:rsid w:val="008708F1"/>
    <w:rsid w:val="008709D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4B2A"/>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039FE"/>
    <w:rsid w:val="00A07CF3"/>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104F"/>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47FF"/>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2D94"/>
    <w:rsid w:val="00D646BD"/>
    <w:rsid w:val="00D7018A"/>
    <w:rsid w:val="00D71201"/>
    <w:rsid w:val="00D720C7"/>
    <w:rsid w:val="00D876E6"/>
    <w:rsid w:val="00DA1025"/>
    <w:rsid w:val="00DA22EC"/>
    <w:rsid w:val="00DA5860"/>
    <w:rsid w:val="00DB2767"/>
    <w:rsid w:val="00DC4729"/>
    <w:rsid w:val="00E06CB1"/>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51EE"/>
    <w:rsid w:val="00EA10DA"/>
    <w:rsid w:val="00EA4D48"/>
    <w:rsid w:val="00EB2173"/>
    <w:rsid w:val="00EB62E6"/>
    <w:rsid w:val="00ED1B30"/>
    <w:rsid w:val="00ED250E"/>
    <w:rsid w:val="00ED6516"/>
    <w:rsid w:val="00EE1AC1"/>
    <w:rsid w:val="00EE39D6"/>
    <w:rsid w:val="00EE52AD"/>
    <w:rsid w:val="00F01F92"/>
    <w:rsid w:val="00F03669"/>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3F117F"/>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gmail-apple-tab-span">
    <w:name w:val="gmail-apple-tab-span"/>
    <w:basedOn w:val="DefaultParagraphFont"/>
    <w:rsid w:val="003F117F"/>
  </w:style>
  <w:style w:type="character" w:styleId="UnresolvedMention">
    <w:name w:val="Unresolved Mention"/>
    <w:basedOn w:val="DefaultParagraphFont"/>
    <w:uiPriority w:val="99"/>
    <w:semiHidden/>
    <w:unhideWhenUsed/>
    <w:rsid w:val="008709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01291">
      <w:bodyDiv w:val="1"/>
      <w:marLeft w:val="0"/>
      <w:marRight w:val="0"/>
      <w:marTop w:val="0"/>
      <w:marBottom w:val="0"/>
      <w:divBdr>
        <w:top w:val="none" w:sz="0" w:space="0" w:color="auto"/>
        <w:left w:val="none" w:sz="0" w:space="0" w:color="auto"/>
        <w:bottom w:val="none" w:sz="0" w:space="0" w:color="auto"/>
        <w:right w:val="none" w:sz="0" w:space="0" w:color="auto"/>
      </w:divBdr>
    </w:div>
    <w:div w:id="243538383">
      <w:bodyDiv w:val="1"/>
      <w:marLeft w:val="0"/>
      <w:marRight w:val="0"/>
      <w:marTop w:val="0"/>
      <w:marBottom w:val="0"/>
      <w:divBdr>
        <w:top w:val="none" w:sz="0" w:space="0" w:color="auto"/>
        <w:left w:val="none" w:sz="0" w:space="0" w:color="auto"/>
        <w:bottom w:val="none" w:sz="0" w:space="0" w:color="auto"/>
        <w:right w:val="none" w:sz="0" w:space="0" w:color="auto"/>
      </w:divBdr>
    </w:div>
    <w:div w:id="268515659">
      <w:bodyDiv w:val="1"/>
      <w:marLeft w:val="0"/>
      <w:marRight w:val="0"/>
      <w:marTop w:val="0"/>
      <w:marBottom w:val="0"/>
      <w:divBdr>
        <w:top w:val="none" w:sz="0" w:space="0" w:color="auto"/>
        <w:left w:val="none" w:sz="0" w:space="0" w:color="auto"/>
        <w:bottom w:val="none" w:sz="0" w:space="0" w:color="auto"/>
        <w:right w:val="none" w:sz="0" w:space="0" w:color="auto"/>
      </w:divBdr>
    </w:div>
    <w:div w:id="272514595">
      <w:bodyDiv w:val="1"/>
      <w:marLeft w:val="0"/>
      <w:marRight w:val="0"/>
      <w:marTop w:val="0"/>
      <w:marBottom w:val="0"/>
      <w:divBdr>
        <w:top w:val="none" w:sz="0" w:space="0" w:color="auto"/>
        <w:left w:val="none" w:sz="0" w:space="0" w:color="auto"/>
        <w:bottom w:val="none" w:sz="0" w:space="0" w:color="auto"/>
        <w:right w:val="none" w:sz="0" w:space="0" w:color="auto"/>
      </w:divBdr>
    </w:div>
    <w:div w:id="290132102">
      <w:bodyDiv w:val="1"/>
      <w:marLeft w:val="0"/>
      <w:marRight w:val="0"/>
      <w:marTop w:val="0"/>
      <w:marBottom w:val="0"/>
      <w:divBdr>
        <w:top w:val="none" w:sz="0" w:space="0" w:color="auto"/>
        <w:left w:val="none" w:sz="0" w:space="0" w:color="auto"/>
        <w:bottom w:val="none" w:sz="0" w:space="0" w:color="auto"/>
        <w:right w:val="none" w:sz="0" w:space="0" w:color="auto"/>
      </w:divBdr>
    </w:div>
    <w:div w:id="447623013">
      <w:bodyDiv w:val="1"/>
      <w:marLeft w:val="0"/>
      <w:marRight w:val="0"/>
      <w:marTop w:val="0"/>
      <w:marBottom w:val="0"/>
      <w:divBdr>
        <w:top w:val="none" w:sz="0" w:space="0" w:color="auto"/>
        <w:left w:val="none" w:sz="0" w:space="0" w:color="auto"/>
        <w:bottom w:val="none" w:sz="0" w:space="0" w:color="auto"/>
        <w:right w:val="none" w:sz="0" w:space="0" w:color="auto"/>
      </w:divBdr>
    </w:div>
    <w:div w:id="491726545">
      <w:bodyDiv w:val="1"/>
      <w:marLeft w:val="0"/>
      <w:marRight w:val="0"/>
      <w:marTop w:val="0"/>
      <w:marBottom w:val="0"/>
      <w:divBdr>
        <w:top w:val="none" w:sz="0" w:space="0" w:color="auto"/>
        <w:left w:val="none" w:sz="0" w:space="0" w:color="auto"/>
        <w:bottom w:val="none" w:sz="0" w:space="0" w:color="auto"/>
        <w:right w:val="none" w:sz="0" w:space="0" w:color="auto"/>
      </w:divBdr>
    </w:div>
    <w:div w:id="537939413">
      <w:bodyDiv w:val="1"/>
      <w:marLeft w:val="0"/>
      <w:marRight w:val="0"/>
      <w:marTop w:val="0"/>
      <w:marBottom w:val="0"/>
      <w:divBdr>
        <w:top w:val="none" w:sz="0" w:space="0" w:color="auto"/>
        <w:left w:val="none" w:sz="0" w:space="0" w:color="auto"/>
        <w:bottom w:val="none" w:sz="0" w:space="0" w:color="auto"/>
        <w:right w:val="none" w:sz="0" w:space="0" w:color="auto"/>
      </w:divBdr>
    </w:div>
    <w:div w:id="682517412">
      <w:bodyDiv w:val="1"/>
      <w:marLeft w:val="0"/>
      <w:marRight w:val="0"/>
      <w:marTop w:val="0"/>
      <w:marBottom w:val="0"/>
      <w:divBdr>
        <w:top w:val="none" w:sz="0" w:space="0" w:color="auto"/>
        <w:left w:val="none" w:sz="0" w:space="0" w:color="auto"/>
        <w:bottom w:val="none" w:sz="0" w:space="0" w:color="auto"/>
        <w:right w:val="none" w:sz="0" w:space="0" w:color="auto"/>
      </w:divBdr>
    </w:div>
    <w:div w:id="720907922">
      <w:bodyDiv w:val="1"/>
      <w:marLeft w:val="0"/>
      <w:marRight w:val="0"/>
      <w:marTop w:val="0"/>
      <w:marBottom w:val="0"/>
      <w:divBdr>
        <w:top w:val="none" w:sz="0" w:space="0" w:color="auto"/>
        <w:left w:val="none" w:sz="0" w:space="0" w:color="auto"/>
        <w:bottom w:val="none" w:sz="0" w:space="0" w:color="auto"/>
        <w:right w:val="none" w:sz="0" w:space="0" w:color="auto"/>
      </w:divBdr>
    </w:div>
    <w:div w:id="778529060">
      <w:bodyDiv w:val="1"/>
      <w:marLeft w:val="0"/>
      <w:marRight w:val="0"/>
      <w:marTop w:val="0"/>
      <w:marBottom w:val="0"/>
      <w:divBdr>
        <w:top w:val="none" w:sz="0" w:space="0" w:color="auto"/>
        <w:left w:val="none" w:sz="0" w:space="0" w:color="auto"/>
        <w:bottom w:val="none" w:sz="0" w:space="0" w:color="auto"/>
        <w:right w:val="none" w:sz="0" w:space="0" w:color="auto"/>
      </w:divBdr>
    </w:div>
    <w:div w:id="804083143">
      <w:bodyDiv w:val="1"/>
      <w:marLeft w:val="0"/>
      <w:marRight w:val="0"/>
      <w:marTop w:val="0"/>
      <w:marBottom w:val="0"/>
      <w:divBdr>
        <w:top w:val="none" w:sz="0" w:space="0" w:color="auto"/>
        <w:left w:val="none" w:sz="0" w:space="0" w:color="auto"/>
        <w:bottom w:val="none" w:sz="0" w:space="0" w:color="auto"/>
        <w:right w:val="none" w:sz="0" w:space="0" w:color="auto"/>
      </w:divBdr>
    </w:div>
    <w:div w:id="816722015">
      <w:bodyDiv w:val="1"/>
      <w:marLeft w:val="0"/>
      <w:marRight w:val="0"/>
      <w:marTop w:val="0"/>
      <w:marBottom w:val="0"/>
      <w:divBdr>
        <w:top w:val="none" w:sz="0" w:space="0" w:color="auto"/>
        <w:left w:val="none" w:sz="0" w:space="0" w:color="auto"/>
        <w:bottom w:val="none" w:sz="0" w:space="0" w:color="auto"/>
        <w:right w:val="none" w:sz="0" w:space="0" w:color="auto"/>
      </w:divBdr>
    </w:div>
    <w:div w:id="826016580">
      <w:bodyDiv w:val="1"/>
      <w:marLeft w:val="0"/>
      <w:marRight w:val="0"/>
      <w:marTop w:val="0"/>
      <w:marBottom w:val="0"/>
      <w:divBdr>
        <w:top w:val="none" w:sz="0" w:space="0" w:color="auto"/>
        <w:left w:val="none" w:sz="0" w:space="0" w:color="auto"/>
        <w:bottom w:val="none" w:sz="0" w:space="0" w:color="auto"/>
        <w:right w:val="none" w:sz="0" w:space="0" w:color="auto"/>
      </w:divBdr>
    </w:div>
    <w:div w:id="830295283">
      <w:bodyDiv w:val="1"/>
      <w:marLeft w:val="0"/>
      <w:marRight w:val="0"/>
      <w:marTop w:val="0"/>
      <w:marBottom w:val="0"/>
      <w:divBdr>
        <w:top w:val="none" w:sz="0" w:space="0" w:color="auto"/>
        <w:left w:val="none" w:sz="0" w:space="0" w:color="auto"/>
        <w:bottom w:val="none" w:sz="0" w:space="0" w:color="auto"/>
        <w:right w:val="none" w:sz="0" w:space="0" w:color="auto"/>
      </w:divBdr>
    </w:div>
    <w:div w:id="874656489">
      <w:bodyDiv w:val="1"/>
      <w:marLeft w:val="0"/>
      <w:marRight w:val="0"/>
      <w:marTop w:val="0"/>
      <w:marBottom w:val="0"/>
      <w:divBdr>
        <w:top w:val="none" w:sz="0" w:space="0" w:color="auto"/>
        <w:left w:val="none" w:sz="0" w:space="0" w:color="auto"/>
        <w:bottom w:val="none" w:sz="0" w:space="0" w:color="auto"/>
        <w:right w:val="none" w:sz="0" w:space="0" w:color="auto"/>
      </w:divBdr>
    </w:div>
    <w:div w:id="884676684">
      <w:bodyDiv w:val="1"/>
      <w:marLeft w:val="0"/>
      <w:marRight w:val="0"/>
      <w:marTop w:val="0"/>
      <w:marBottom w:val="0"/>
      <w:divBdr>
        <w:top w:val="none" w:sz="0" w:space="0" w:color="auto"/>
        <w:left w:val="none" w:sz="0" w:space="0" w:color="auto"/>
        <w:bottom w:val="none" w:sz="0" w:space="0" w:color="auto"/>
        <w:right w:val="none" w:sz="0" w:space="0" w:color="auto"/>
      </w:divBdr>
    </w:div>
    <w:div w:id="898705996">
      <w:bodyDiv w:val="1"/>
      <w:marLeft w:val="0"/>
      <w:marRight w:val="0"/>
      <w:marTop w:val="0"/>
      <w:marBottom w:val="0"/>
      <w:divBdr>
        <w:top w:val="none" w:sz="0" w:space="0" w:color="auto"/>
        <w:left w:val="none" w:sz="0" w:space="0" w:color="auto"/>
        <w:bottom w:val="none" w:sz="0" w:space="0" w:color="auto"/>
        <w:right w:val="none" w:sz="0" w:space="0" w:color="auto"/>
      </w:divBdr>
    </w:div>
    <w:div w:id="1062293635">
      <w:bodyDiv w:val="1"/>
      <w:marLeft w:val="0"/>
      <w:marRight w:val="0"/>
      <w:marTop w:val="0"/>
      <w:marBottom w:val="0"/>
      <w:divBdr>
        <w:top w:val="none" w:sz="0" w:space="0" w:color="auto"/>
        <w:left w:val="none" w:sz="0" w:space="0" w:color="auto"/>
        <w:bottom w:val="none" w:sz="0" w:space="0" w:color="auto"/>
        <w:right w:val="none" w:sz="0" w:space="0" w:color="auto"/>
      </w:divBdr>
    </w:div>
    <w:div w:id="108765834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9726971">
      <w:bodyDiv w:val="1"/>
      <w:marLeft w:val="0"/>
      <w:marRight w:val="0"/>
      <w:marTop w:val="0"/>
      <w:marBottom w:val="0"/>
      <w:divBdr>
        <w:top w:val="none" w:sz="0" w:space="0" w:color="auto"/>
        <w:left w:val="none" w:sz="0" w:space="0" w:color="auto"/>
        <w:bottom w:val="none" w:sz="0" w:space="0" w:color="auto"/>
        <w:right w:val="none" w:sz="0" w:space="0" w:color="auto"/>
      </w:divBdr>
    </w:div>
    <w:div w:id="1321423622">
      <w:bodyDiv w:val="1"/>
      <w:marLeft w:val="0"/>
      <w:marRight w:val="0"/>
      <w:marTop w:val="0"/>
      <w:marBottom w:val="0"/>
      <w:divBdr>
        <w:top w:val="none" w:sz="0" w:space="0" w:color="auto"/>
        <w:left w:val="none" w:sz="0" w:space="0" w:color="auto"/>
        <w:bottom w:val="none" w:sz="0" w:space="0" w:color="auto"/>
        <w:right w:val="none" w:sz="0" w:space="0" w:color="auto"/>
      </w:divBdr>
    </w:div>
    <w:div w:id="1403218414">
      <w:bodyDiv w:val="1"/>
      <w:marLeft w:val="0"/>
      <w:marRight w:val="0"/>
      <w:marTop w:val="0"/>
      <w:marBottom w:val="0"/>
      <w:divBdr>
        <w:top w:val="none" w:sz="0" w:space="0" w:color="auto"/>
        <w:left w:val="none" w:sz="0" w:space="0" w:color="auto"/>
        <w:bottom w:val="none" w:sz="0" w:space="0" w:color="auto"/>
        <w:right w:val="none" w:sz="0" w:space="0" w:color="auto"/>
      </w:divBdr>
    </w:div>
    <w:div w:id="1450011623">
      <w:bodyDiv w:val="1"/>
      <w:marLeft w:val="0"/>
      <w:marRight w:val="0"/>
      <w:marTop w:val="0"/>
      <w:marBottom w:val="0"/>
      <w:divBdr>
        <w:top w:val="none" w:sz="0" w:space="0" w:color="auto"/>
        <w:left w:val="none" w:sz="0" w:space="0" w:color="auto"/>
        <w:bottom w:val="none" w:sz="0" w:space="0" w:color="auto"/>
        <w:right w:val="none" w:sz="0" w:space="0" w:color="auto"/>
      </w:divBdr>
    </w:div>
    <w:div w:id="1516185196">
      <w:bodyDiv w:val="1"/>
      <w:marLeft w:val="0"/>
      <w:marRight w:val="0"/>
      <w:marTop w:val="0"/>
      <w:marBottom w:val="0"/>
      <w:divBdr>
        <w:top w:val="none" w:sz="0" w:space="0" w:color="auto"/>
        <w:left w:val="none" w:sz="0" w:space="0" w:color="auto"/>
        <w:bottom w:val="none" w:sz="0" w:space="0" w:color="auto"/>
        <w:right w:val="none" w:sz="0" w:space="0" w:color="auto"/>
      </w:divBdr>
    </w:div>
    <w:div w:id="1626962486">
      <w:bodyDiv w:val="1"/>
      <w:marLeft w:val="0"/>
      <w:marRight w:val="0"/>
      <w:marTop w:val="0"/>
      <w:marBottom w:val="0"/>
      <w:divBdr>
        <w:top w:val="none" w:sz="0" w:space="0" w:color="auto"/>
        <w:left w:val="none" w:sz="0" w:space="0" w:color="auto"/>
        <w:bottom w:val="none" w:sz="0" w:space="0" w:color="auto"/>
        <w:right w:val="none" w:sz="0" w:space="0" w:color="auto"/>
      </w:divBdr>
    </w:div>
    <w:div w:id="1670205785">
      <w:bodyDiv w:val="1"/>
      <w:marLeft w:val="0"/>
      <w:marRight w:val="0"/>
      <w:marTop w:val="0"/>
      <w:marBottom w:val="0"/>
      <w:divBdr>
        <w:top w:val="none" w:sz="0" w:space="0" w:color="auto"/>
        <w:left w:val="none" w:sz="0" w:space="0" w:color="auto"/>
        <w:bottom w:val="none" w:sz="0" w:space="0" w:color="auto"/>
        <w:right w:val="none" w:sz="0" w:space="0" w:color="auto"/>
      </w:divBdr>
    </w:div>
    <w:div w:id="1695879431">
      <w:bodyDiv w:val="1"/>
      <w:marLeft w:val="0"/>
      <w:marRight w:val="0"/>
      <w:marTop w:val="0"/>
      <w:marBottom w:val="0"/>
      <w:divBdr>
        <w:top w:val="none" w:sz="0" w:space="0" w:color="auto"/>
        <w:left w:val="none" w:sz="0" w:space="0" w:color="auto"/>
        <w:bottom w:val="none" w:sz="0" w:space="0" w:color="auto"/>
        <w:right w:val="none" w:sz="0" w:space="0" w:color="auto"/>
      </w:divBdr>
    </w:div>
    <w:div w:id="1774474269">
      <w:bodyDiv w:val="1"/>
      <w:marLeft w:val="0"/>
      <w:marRight w:val="0"/>
      <w:marTop w:val="0"/>
      <w:marBottom w:val="0"/>
      <w:divBdr>
        <w:top w:val="none" w:sz="0" w:space="0" w:color="auto"/>
        <w:left w:val="none" w:sz="0" w:space="0" w:color="auto"/>
        <w:bottom w:val="none" w:sz="0" w:space="0" w:color="auto"/>
        <w:right w:val="none" w:sz="0" w:space="0" w:color="auto"/>
      </w:divBdr>
    </w:div>
    <w:div w:id="1816726327">
      <w:bodyDiv w:val="1"/>
      <w:marLeft w:val="0"/>
      <w:marRight w:val="0"/>
      <w:marTop w:val="0"/>
      <w:marBottom w:val="0"/>
      <w:divBdr>
        <w:top w:val="none" w:sz="0" w:space="0" w:color="auto"/>
        <w:left w:val="none" w:sz="0" w:space="0" w:color="auto"/>
        <w:bottom w:val="none" w:sz="0" w:space="0" w:color="auto"/>
        <w:right w:val="none" w:sz="0" w:space="0" w:color="auto"/>
      </w:divBdr>
    </w:div>
    <w:div w:id="19223254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4525340">
      <w:bodyDiv w:val="1"/>
      <w:marLeft w:val="0"/>
      <w:marRight w:val="0"/>
      <w:marTop w:val="0"/>
      <w:marBottom w:val="0"/>
      <w:divBdr>
        <w:top w:val="none" w:sz="0" w:space="0" w:color="auto"/>
        <w:left w:val="none" w:sz="0" w:space="0" w:color="auto"/>
        <w:bottom w:val="none" w:sz="0" w:space="0" w:color="auto"/>
        <w:right w:val="none" w:sz="0" w:space="0" w:color="auto"/>
      </w:divBdr>
    </w:div>
    <w:div w:id="211343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s%3A%2F%2Fwww-tandfonline-com.ezproxy.uwtsd.ac.uk%2Fdoi%2Fpdf%2F10.1080%2F00336297.1993.10484094&amp;data=05%7C01%7CRyan.leeke1%40south-wales.police.uk%7C435a3bcd96bd438ffb4d08dbc8ae3b1f%7C270c2f4dfd0c4f0892a9e5bdd8a87e09%7C0%7C0%7C638324422921415781%7CUnknown%7CTWFpbGZsb3d8eyJWIjoiMC4wLjAwMDAiLCJQIjoiV2luMzIiLCJBTiI6Ik1haWwiLCJXVCI6Mn0%3D%7C3000%7C%7C%7C&amp;sdata=lp1Y5vpepvscPZH4QzjKmS14spipSesUMwzJtTiTuPc%3D&amp;reserved=0" TargetMode="External"/><Relationship Id="rId39" Type="http://schemas.openxmlformats.org/officeDocument/2006/relationships/hyperlink" Target="https://gbr01.safelinks.protection.outlook.com/?url=https%3A%2F%2Fjournals.sagepub.com%2Fdoi%2Ffull%2F10.1177%2F0886260514527171&amp;data=05%7C01%7CRyan.leeke1%40south-wales.police.uk%7C435a3bcd96bd438ffb4d08dbc8ae3b1f%7C270c2f4dfd0c4f0892a9e5bdd8a87e09%7C0%7C0%7C638324422921415781%7CUnknown%7CTWFpbGZsb3d8eyJWIjoiMC4wLjAwMDAiLCJQIjoiV2luMzIiLCJBTiI6Ik1haWwiLCJXVCI6Mn0%3D%7C3000%7C%7C%7C&amp;sdata=lKDbTZHv0z%2FV6cbWAAz2vdN0VraC39gSxgoFa8UCW4w%3D&amp;reserved=0" TargetMode="External"/><Relationship Id="rId21" Type="http://schemas.openxmlformats.org/officeDocument/2006/relationships/hyperlink" Target="https://gbr01.safelinks.protection.outlook.com/?url=http%3A%2F%2Fgov.uk%2F&amp;data=05%7C01%7CRyan.leeke1%40south-wales.police.uk%7C435a3bcd96bd438ffb4d08dbc8ae3b1f%7C270c2f4dfd0c4f0892a9e5bdd8a87e09%7C0%7C0%7C638324422921103276%7CUnknown%7CTWFpbGZsb3d8eyJWIjoiMC4wLjAwMDAiLCJQIjoiV2luMzIiLCJBTiI6Ik1haWwiLCJXVCI6Mn0%3D%7C3000%7C%7C%7C&amp;sdata=kr6B%2Bg7UwCioaoYKUlJQYyk4krxV4zbuzPt%2BsJOVQFQ%3D&amp;reserved=0" TargetMode="External"/><Relationship Id="rId34" Type="http://schemas.openxmlformats.org/officeDocument/2006/relationships/hyperlink" Target="https://gbr01.safelinks.protection.outlook.com/?url=https%3A%2F%2Fdoi.org%2F10.1177%2F0886260519838493&amp;data=05%7C01%7CRyan.leeke1%40south-wales.police.uk%7C435a3bcd96bd438ffb4d08dbc8ae3b1f%7C270c2f4dfd0c4f0892a9e5bdd8a87e09%7C0%7C0%7C638324422921415781%7CUnknown%7CTWFpbGZsb3d8eyJWIjoiMC4wLjAwMDAiLCJQIjoiV2luMzIiLCJBTiI6Ik1haWwiLCJXVCI6Mn0%3D%7C3000%7C%7C%7C&amp;sdata=ZY2tO6BOCQ24nLL%2BqHSIwyRQSMmbqL9Gh32S1OkHaxI%3D&amp;reserved=0" TargetMode="External"/><Relationship Id="rId42" Type="http://schemas.openxmlformats.org/officeDocument/2006/relationships/hyperlink" Target="https://gbr01.safelinks.protection.outlook.com/?url=https%3A%2F%2Fdoi.org%2F10.1016%2Fj.abrep.2018.100144&amp;data=05%7C01%7CRyan.leeke1%40south-wales.police.uk%7C435a3bcd96bd438ffb4d08dbc8ae3b1f%7C270c2f4dfd0c4f0892a9e5bdd8a87e09%7C0%7C0%7C638324422921415781%7CUnknown%7CTWFpbGZsb3d8eyJWIjoiMC4wLjAwMDAiLCJQIjoiV2luMzIiLCJBTiI6Ik1haWwiLCJXVCI6Mn0%3D%7C3000%7C%7C%7C&amp;sdata=K%2FDMF6QGDn6FC8qZsnskm0YcCdV%2BW5gIy9bqjvA%2FMEo%3D&amp;reserved=0"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gbr01.safelinks.protection.outlook.com/?url=https%3A%2F%2Fwww.legislation.gov.uk%2Fukpga%2F2021%2F17%2Fsection%2F1%2Fenacted&amp;data=05%7C01%7CRyan.leeke1%40south-wales.police.uk%7C435a3bcd96bd438ffb4d08dbc8ae3b1f%7C270c2f4dfd0c4f0892a9e5bdd8a87e09%7C0%7C0%7C638324422921415781%7CUnknown%7CTWFpbGZsb3d8eyJWIjoiMC4wLjAwMDAiLCJQIjoiV2luMzIiLCJBTiI6Ik1haWwiLCJXVCI6Mn0%3D%7C3000%7C%7C%7C&amp;sdata=gxlOiAC8gZCRtz2fVa1njXHJGyrEcGm30vfgazhqGzc%3D&amp;reserved=0" TargetMode="Externa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national-decision-model%2Fnational-decision-model&amp;data=05%7C01%7CRyan.Leeke1%40south-wales.police.uk%7C2f189356b84043e2292008dbc4e15d7c%7C270c2f4dfd0c4f0892a9e5bdd8a87e09%7C0%7C0%7C638320244724222985%7CUnknown%7CTWFpbGZsb3d8eyJWIjoiMC4wLjAwMDAiLCJQIjoiV2luMzIiLCJBTiI6Ik1haWwiLCJXVCI6Mn0%3D%7C3000%7C%7C%7C&amp;sdata=BD1FMmgTUQpDMqCt19sQJHMeXQPBdKVu4cgQo658YpI%3D&amp;reserved=0" TargetMode="External"/><Relationship Id="rId32" Type="http://schemas.openxmlformats.org/officeDocument/2006/relationships/hyperlink" Target="https://gbr01.safelinks.protection.outlook.com/?url=https%3A%2F%2Fwww.ethnicity-facts-figures.service.gov.uk%2Fcrime-justice-and-the-law%2Fpolicing%2Fconfidence-in-&amp;data=05%7C01%7CRyan.leeke1%40south-wales.police.uk%7C435a3bcd96bd438ffb4d08dbc8ae3b1f%7C270c2f4dfd0c4f0892a9e5bdd8a87e09%7C0%7C0%7C638324422921103276%7CUnknown%7CTWFpbGZsb3d8eyJWIjoiMC4wLjAwMDAiLCJQIjoiV2luMzIiLCJBTiI6Ik1haWwiLCJXVCI6Mn0%3D%7C3000%7C%7C%7C&amp;sdata=rgZWxzur49ZqkaTuKCBlg%2Fj6NYZ1awoy69XT2k%2FXyLQ%3D&amp;reserved=0" TargetMode="External"/><Relationship Id="rId37" Type="http://schemas.openxmlformats.org/officeDocument/2006/relationships/hyperlink" Target="https://gbr01.safelinks.protection.outlook.com/?url=https%3A%2F%2Fwww.mdpi.com%2F1660-4601%2F16%2F1%2F81&amp;data=05%7C01%7CRyan.leeke1%40south-wales.police.uk%7C435a3bcd96bd438ffb4d08dbc8ae3b1f%7C270c2f4dfd0c4f0892a9e5bdd8a87e09%7C0%7C0%7C638324422921415781%7CUnknown%7CTWFpbGZsb3d8eyJWIjoiMC4wLjAwMDAiLCJQIjoiV2luMzIiLCJBTiI6Ik1haWwiLCJXVCI6Mn0%3D%7C3000%7C%7C%7C&amp;sdata=t%2BHtj6N%2FoUflqxGOrWNjICh7v9pfBf6PuRGIhET%2BQJI%3D&amp;reserved=0" TargetMode="External"/><Relationship Id="rId40" Type="http://schemas.openxmlformats.org/officeDocument/2006/relationships/hyperlink" Target="https://gbr01.safelinks.protection.outlook.com/?url=https%3A%2F%2Fwww.legislation.gov.uk%2Fukpga%2F1984%2F60%2Fsection%2F17&amp;data=05%7C01%7CRyan.leeke1%40south-wales.police.uk%7C435a3bcd96bd438ffb4d08dbc8ae3b1f%7C270c2f4dfd0c4f0892a9e5bdd8a87e09%7C0%7C0%7C638324422921415781%7CUnknown%7CTWFpbGZsb3d8eyJWIjoiMC4wLjAwMDAiLCJQIjoiV2luMzIiLCJBTiI6Ik1haWwiLCJXVCI6Mn0%3D%7C3000%7C%7C%7C&amp;sdata=kXfgDj5UCxLMf87ddQV09CnL3U%2Bhpur7Rlzzvzejm9w%3D&amp;reserved=0" TargetMode="External"/><Relationship Id="rId45" Type="http://schemas.openxmlformats.org/officeDocument/2006/relationships/hyperlink" Target="https://gbr01.safelinks.protection.outlook.com/?url=https%3A%2F%2Fweb-p-ebscohost-com.ezproxy.uwtsd.ac.uk%2Fehost%2Fpdfviewer%2Fpdfviewer%3Fvid%3D0%26sid%3Def096280-3396-4d&amp;data=05%7C01%7CRyan.leeke1%40south-wales.police.uk%7C435a3bcd96bd438ffb4d08dbc8ae3b1f%7C270c2f4dfd0c4f0892a9e5bdd8a87e09%7C0%7C0%7C638324422921415781%7CUnknown%7CTWFpbGZsb3d8eyJWIjoiMC4wLjAwMDAiLCJQIjoiV2luMzIiLCJBTiI6Ik1haWwiLCJXVCI6Mn0%3D%7C3000%7C%7C%7C&amp;sdata=nwlcO7cGbVO8xOVUingX29peF8otciMyiLxjh01yRxc%3D&amp;reserved=0"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www.legislation.gov.uk%2Fukpga%2F1996%2F25%2Fsection%2F23&amp;data=05%7C01%7CRyan.Leeke1%40south-wales.police.uk%7C2f189356b84043e2292008dbc4e15d7c%7C270c2f4dfd0c4f0892a9e5bdd8a87e09%7C0%7C0%7C638320244724222985%7CUnknown%7CTWFpbGZsb3d8eyJWIjoiMC4wLjAwMDAiLCJQIjoiV2luMzIiLCJBTiI6Ik1haWwiLCJXVCI6Mn0%3D%7C3000%7C%7C%7C&amp;sdata=akASl8jpu8YEAFFvv0ODhI5ULm%2BntfQbab8k%2FMIASuE%3D&amp;reserved=0" TargetMode="External"/><Relationship Id="rId28" Type="http://schemas.openxmlformats.org/officeDocument/2006/relationships/hyperlink" Target="https://gbr01.safelinks.protection.outlook.com/?url=https%3A%2F%2Fwww.legislation.gov.uk%2Fukpga%2F1991%2F65%2Fsection%2F3&amp;data=05%7C01%7CRyan.Leeke1%40south-wales.police.uk%7C2f189356b84043e2292008dbc4e15d7c%7C270c2f4dfd0c4f0892a9e5bdd8a87e09%7C0%7C0%7C638320244724222985%7CUnknown%7CTWFpbGZsb3d8eyJWIjoiMC4wLjAwMDAiLCJQIjoiV2luMzIiLCJBTiI6Ik1haWwiLCJXVCI6Mn0%3D%7C3000%7C%7C%7C&amp;sdata=0Qx1xfeRsrFH67X9i%2Fi4YZJssbNwN36imudvUnyRipU%3D&amp;reserved=0" TargetMode="External"/><Relationship Id="rId36" Type="http://schemas.openxmlformats.org/officeDocument/2006/relationships/hyperlink" Target="https://gbr01.safelinks.protection.outlook.com/?url=https%3A%2F%2Fassets.publishing.service.gov.uk%2Fmedia%2F60620279d3bf7f5ceaca0d89%2Fvictims-code-2020.pdf&amp;data=05%7C01%7CRyan.Leeke1%40south-wales.police.uk%7C2f189356b84043e2292008dbc4e15d7c%7C270c2f4dfd0c4f0892a9e5bdd8a87e09%7C0%7C0%7C638320244724222985%7CUnknown%7CTWFpbGZsb3d8eyJWIjoiMC4wLjAwMDAiLCJQIjoiV2luMzIiLCJBTiI6Ik1haWwiLCJXVCI6Mn0%3D%7C3000%7C%7C%7C&amp;sdata=t2KkNfXIfddIl21GqMP4HK1K8wqA7dgFo9c%2Fw6tPa5A%3D&amp;reserved=0"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br01.safelinks.protection.outlook.com/?url=https%3A%2F%2Fwww.gov.uk%2Fgovernment%2Fpublications%2Fpace-code-g-2012%2Fpace-code-g-2012-accessible&amp;data=05%7C01%7CRyan.Leeke1%40south-wales.police.uk%7C2f189356b84043e2292008dbc4e15d7c%7C270c2f4dfd0c4f0892a9e5bdd8a87e09%7C0%7C0%7C638320244724379192%7CUnknown%7CTWFpbGZsb3d8eyJWIjoiMC4wLjAwMDAiLCJQIjoiV2luMzIiLCJBTiI6Ik1haWwiLCJXVCI6Mn0%3D%7C3000%7C%7C%7C&amp;sdata=gnfzrhv2XIUe1OhSTIeiylGW5%2B5RSk2NrTVEV%2ByTwWU%3D&amp;reserved=0" TargetMode="External"/><Relationship Id="rId44" Type="http://schemas.openxmlformats.org/officeDocument/2006/relationships/hyperlink" Target="https://gbr01.safelinks.protection.outlook.com/?url=https%3A%2F%2Fsafelives.org.uk%2Fsites%2Fdefault%2Ffiles%2Fresources%2FInsights%2520Idva%2520national%2520dataset%25202013-2&amp;data=05%7C01%7CRyan.leeke1%40south-wales.police.uk%7C435a3bcd96bd438ffb4d08dbc8ae3b1f%7C270c2f4dfd0c4f0892a9e5bdd8a87e09%7C0%7C0%7C638324422921259507%7CUnknown%7CTWFpbGZsb3d8eyJWIjoiMC4wLjAwMDAiLCJQIjoiV2luMzIiLCJBTiI6Ik1haWwiLCJXVCI6Mn0%3D%7C3000%7C%7C%7C&amp;sdata=KovRRohy425PkRD6w%2BdOQHXkeOAUYa%2BEL9Ze9am1zRw%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pubs.aeaweb.org%2Fdoi%2Fpdfplus%2F10.1257%2Faer.20211218&amp;data=05%7C01%7CRyan.leeke1%40south-wales.police.uk%7C435a3bcd96bd438ffb4d08dbc8ae3b1f%7C270c2f4dfd0c4f0892a9e5bdd8a87e09%7C0%7C0%7C638324422921415781%7CUnknown%7CTWFpbGZsb3d8eyJWIjoiMC4wLjAwMDAiLCJQIjoiV2luMzIiLCJBTiI6Ik1haWwiLCJXVCI6Mn0%3D%7C3000%7C%7C%7C&amp;sdata=ACcTiShQhmR8MY9WvYglByXgni0LbxCqaK43SVwRidU%3D&amp;reserved=0" TargetMode="External"/><Relationship Id="rId27" Type="http://schemas.openxmlformats.org/officeDocument/2006/relationships/hyperlink" Target="https://gbr01.safelinks.protection.outlook.com/?url=https%3A%2F%2Fwww.cps.gov.uk%2Flegal-guidance%2Fdangerous-dog-offences&amp;data=05%7C01%7CRyan.Leeke1%40south-wales.police.uk%7C2f189356b84043e2292008dbc4e15d7c%7C270c2f4dfd0c4f0892a9e5bdd8a87e09%7C0%7C0%7C638320244724222985%7CUnknown%7CTWFpbGZsb3d8eyJWIjoiMC4wLjAwMDAiLCJQIjoiV2luMzIiLCJBTiI6Ik1haWwiLCJXVCI6Mn0%3D%7C3000%7C%7C%7C&amp;sdata=uP2Kq8fZ0KYG%2F05hA2qN5uakHb2zIkAMdRkbH0DbITs%3D&amp;reserved=0" TargetMode="External"/><Relationship Id="rId30" Type="http://schemas.openxmlformats.org/officeDocument/2006/relationships/hyperlink" Target="https://gbr01.safelinks.protection.outlook.com/?url=http%3A%2F%2Fgov.uk%2F&amp;data=05%7C01%7CRyan.Leeke1%40south-wales.police.uk%7C2f189356b84043e2292008dbc4e15d7c%7C270c2f4dfd0c4f0892a9e5bdd8a87e09%7C0%7C0%7C638320244724379192%7CUnknown%7CTWFpbGZsb3d8eyJWIjoiMC4wLjAwMDAiLCJQIjoiV2luMzIiLCJBTiI6Ik1haWwiLCJXVCI6Mn0%3D%7C3000%7C%7C%7C&amp;sdata=8T54%2FCRFT2TK7mX5xYoEKmhwlIDOtbJt%2FiYx213oYiw%3D&amp;reserved=0" TargetMode="External"/><Relationship Id="rId35" Type="http://schemas.openxmlformats.org/officeDocument/2006/relationships/hyperlink" Target="https://gbr01.safelinks.protection.outlook.com/?url=http%3A%2F%2Fgov.uk%2F&amp;data=05%7C01%7CRyan.Leeke1%40south-wales.police.uk%7C2f189356b84043e2292008dbc4e15d7c%7C270c2f4dfd0c4f0892a9e5bdd8a87e09%7C0%7C0%7C638320244724222985%7CUnknown%7CTWFpbGZsb3d8eyJWIjoiMC4wLjAwMDAiLCJQIjoiV2luMzIiLCJBTiI6Ik1haWwiLCJXVCI6Mn0%3D%7C3000%7C%7C%7C&amp;sdata=bJ7WqhsV1LxNL7dzGXAM%2Fr9I9U%2FG7eSs7da3axtYoeY%3D&amp;reserved=0" TargetMode="External"/><Relationship Id="rId43" Type="http://schemas.openxmlformats.org/officeDocument/2006/relationships/hyperlink" Target="https://gbr01.safelinks.protection.outlook.com/?url=https%3A%2F%2Fdoi-org.ezproxy.uwtsd.ac.uk%2F10.1177%2F1359105306061189&amp;data=05%7C01%7CRyan.leeke1%40south-wales.police.uk%7C435a3bcd96bd438ffb4d08dbc8ae3b1f%7C270c2f4dfd0c4f0892a9e5bdd8a87e09%7C0%7C0%7C638324422921415781%7CUnknown%7CTWFpbGZsb3d8eyJWIjoiMC4wLjAwMDAiLCJQIjoiV2luMzIiLCJBTiI6Ik1haWwiLCJXVCI6Mn0%3D%7C3000%7C%7C%7C&amp;sdata=jLCliZEGfUWLRpHz0T4r2QvYBOnED26WCrsKaiByWSA%3D&amp;reserved=0"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assets.college.police.uk%2Fs3fs-public%2F2021-02%2Fcode_of_ethics.pdf&amp;data=05%7C01%7CRyan.Leeke1%40south-wales.police.uk%7C2f189356b84043e2292008dbc4e15d7c%7C270c2f4dfd0c4f0892a9e5bdd8a87e09%7C0%7C0%7C638320244724379192%7CUnknown%7CTWFpbGZsb3d8eyJWIjoiMC4wLjAwMDAiLCJQIjoiV2luMzIiLCJBTiI6Ik1haWwiLCJXVCI6Mn0%3D%7C3000%7C%7C%7C&amp;sdata=rxkxlF1e3CIn4jOjNxzp0p7LY7RA7OTO0WPIZmLALeg%3D&amp;reserved=0" TargetMode="External"/><Relationship Id="rId33" Type="http://schemas.openxmlformats.org/officeDocument/2006/relationships/hyperlink" Target="https://gbr01.safelinks.protection.outlook.com/?url=https%3A%2F%2Fwww.legislation.gov.uk%2Fukpga%2F1998%2F42%2Fsection%2F3&amp;data=05%7C01%7CRyan.leeke1%40south-wales.police.uk%7C435a3bcd96bd438ffb4d08dbc8ae3b1f%7C270c2f4dfd0c4f0892a9e5bdd8a87e09%7C0%7C0%7C638324422921103276%7CUnknown%7CTWFpbGZsb3d8eyJWIjoiMC4wLjAwMDAiLCJQIjoiV2luMzIiLCJBTiI6Ik1haWwiLCJXVCI6Mn0%3D%7C3000%7C%7C%7C&amp;sdata=4GYoFSU27UAoDcYB3o1%2FZMz%2FX03EcpPUDonRl7Ab%2BGk%3D&amp;reserved=0" TargetMode="External"/><Relationship Id="rId38" Type="http://schemas.openxmlformats.org/officeDocument/2006/relationships/hyperlink" Target="https://gbr01.safelinks.protection.outlook.com/?url=https%3A%2F%2Fwww.legislation.gov.uk%2Fukpga%2FVict%2F24-25%2F100%2Fsection%2F16&amp;data=05%7C01%7CRyan.leeke1%40south-wales.police.uk%7C435a3bcd96bd438ffb4d08dbc8ae3b1f%7C270c2f4dfd0c4f0892a9e5bdd8a87e09%7C0%7C0%7C638324422921415781%7CUnknown%7CTWFpbGZsb3d8eyJWIjoiMC4wLjAwMDAiLCJQIjoiV2luMzIiLCJBTiI6Ik1haWwiLCJXVCI6Mn0%3D%7C3000%7C%7C%7C&amp;sdata=Z5mjuLnDpLkAfEN%2Ba%2BwQEscQpOgVl%2BUhk3xaRj%2FEKWA%3D&amp;reserved=0" TargetMode="External"/><Relationship Id="rId46" Type="http://schemas.openxmlformats.org/officeDocument/2006/relationships/hyperlink" Target="https://etd.auburn.edu/bitstream/handle/10415/3605/mw_disseration_finaldraft2.pdf?sequence=2" TargetMode="External"/><Relationship Id="rId20" Type="http://schemas.openxmlformats.org/officeDocument/2006/relationships/hyperlink" Target="https://gbr01.safelinks.protection.outlook.com/?url=https%3A%2F%2Fwww.asianwomencentre.org.uk%2F&amp;data=05%7C01%7CRyan.leeke1%40south-wales.police.uk%7C435a3bcd96bd438ffb4d08dbc8ae3b1f%7C270c2f4dfd0c4f0892a9e5bdd8a87e09%7C0%7C0%7C638324422921103276%7CUnknown%7CTWFpbGZsb3d8eyJWIjoiMC4wLjAwMDAiLCJQIjoiV2luMzIiLCJBTiI6Ik1haWwiLCJXVCI6Mn0%3D%7C3000%7C%7C%7C&amp;sdata=67RS7VPffAYMylE9UVSZTXdqNfDZ%2BDz%2Bq1X5toXa7MA%3D&amp;reserved=0" TargetMode="External"/><Relationship Id="rId41" Type="http://schemas.openxmlformats.org/officeDocument/2006/relationships/hyperlink" Target="https://gbr01.safelinks.protection.outlook.com/?url=https%3A%2F%2Facademic.oup.com%2Fjicj%2Farticle-abstract%2F15%2F3%2F435%2F3914725&amp;data=05%7C01%7CRyan.Leeke1%40south-wales.police.uk%7C2f189356b84043e2292008dbc4e15d7c%7C270c2f4dfd0c4f0892a9e5bdd8a87e09%7C0%7C0%7C638320244724222985%7CUnknown%7CTWFpbGZsb3d8eyJWIjoiMC4wLjAwMDAiLCJQIjoiV2luMzIiLCJBTiI6Ik1haWwiLCJXVCI6Mn0%3D%7C3000%7C%7C%7C&amp;sdata=IR5jY3orbB1RqJB%2BGqbtWcWbQ9shvl53q76hn5%2FcP0o%3D&amp;reserved=0"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8921</Words>
  <Characters>60751</Characters>
  <Application>Microsoft Office Word</Application>
  <DocSecurity>0</DocSecurity>
  <Lines>506</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Leeke,Ryan swp8543</cp:lastModifiedBy>
  <cp:revision>2</cp:revision>
  <cp:lastPrinted>2019-08-13T11:47:00Z</cp:lastPrinted>
  <dcterms:created xsi:type="dcterms:W3CDTF">2023-10-09T10:25:00Z</dcterms:created>
  <dcterms:modified xsi:type="dcterms:W3CDTF">2023-10-09T10:25:00Z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2023-09-12T08:03:42Z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eda2619c-8705-427b-ad36-1ca0e752d948</vt:lpwstr>
  </property>
  <property fmtid="{D5CDD505-2E9C-101B-9397-08002B2CF9AE}" pid="9" name="MSIP_Label_66cf8fe5-b7b7-4df7-b38d-1c61ac2f6639_ContentBits">
    <vt:lpwstr>0</vt:lpwstr>
  </property>
</Properties>
</file>