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D46920" w:rsidP="00D46920" w:rsidRDefault="00D46920" w14:paraId="161E19F8" w14:textId="77777777">
      <w:pPr>
        <w:spacing w:line="360" w:lineRule="auto"/>
      </w:pPr>
      <w:r>
        <w:rPr>
          <w:noProof/>
        </w:rPr>
        <w:drawing>
          <wp:inline distT="0" distB="0" distL="0" distR="0" wp14:anchorId="7B112E65" wp14:editId="5D2DDB97">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rsidR="00D46920" w:rsidP="00D46920" w:rsidRDefault="00D46920" w14:paraId="1BD6F6D8" w14:textId="77777777">
      <w:pPr>
        <w:spacing w:line="360" w:lineRule="auto"/>
        <w:rPr>
          <w:rStyle w:val="Strong"/>
          <w:rFonts w:ascii="Segoe UI" w:hAnsi="Segoe UI" w:cs="Segoe UI"/>
          <w:color w:val="1D2125"/>
        </w:rPr>
      </w:pPr>
    </w:p>
    <w:p w:rsidR="008E6EE2" w:rsidP="008E6EE2" w:rsidRDefault="008E6EE2" w14:paraId="55DE21E9" w14:textId="78910CA5">
      <w:pPr>
        <w:pStyle w:val="Normal"/>
        <w:spacing w:line="360" w:lineRule="auto"/>
        <w:rPr>
          <w:rFonts w:ascii="Arial" w:hAnsi="Arial" w:eastAsia="Arial" w:cs="Arial"/>
          <w:b w:val="1"/>
          <w:bCs w:val="1"/>
          <w:noProof w:val="0"/>
          <w:sz w:val="40"/>
          <w:szCs w:val="40"/>
          <w:lang w:val="en-GB"/>
        </w:rPr>
      </w:pPr>
    </w:p>
    <w:p w:rsidR="06078F49" w:rsidP="008E6EE2" w:rsidRDefault="06078F49" w14:paraId="3F2B3960" w14:textId="512BC768">
      <w:pPr>
        <w:pStyle w:val="Normal"/>
        <w:spacing w:line="360" w:lineRule="auto"/>
        <w:rPr>
          <w:rFonts w:ascii="Arial" w:hAnsi="Arial" w:eastAsia="Arial" w:cs="Arial"/>
          <w:b w:val="1"/>
          <w:bCs w:val="1"/>
          <w:noProof w:val="0"/>
          <w:sz w:val="40"/>
          <w:szCs w:val="40"/>
          <w:lang w:val="en-GB"/>
        </w:rPr>
      </w:pPr>
      <w:r w:rsidRPr="008E6EE2" w:rsidR="06078F49">
        <w:rPr>
          <w:rFonts w:ascii="Arial" w:hAnsi="Arial" w:eastAsia="Arial" w:cs="Arial"/>
          <w:b w:val="1"/>
          <w:bCs w:val="1"/>
          <w:noProof w:val="0"/>
          <w:sz w:val="40"/>
          <w:szCs w:val="40"/>
          <w:lang w:val="en-GB"/>
        </w:rPr>
        <w:t>An examination and analysis of how the ‘Early Help’ system is signposted to UK families by their local authority website.</w:t>
      </w:r>
    </w:p>
    <w:p w:rsidR="008E6EE2" w:rsidP="008E6EE2" w:rsidRDefault="008E6EE2" w14:paraId="7C4E12E2" w14:textId="6713BCBE">
      <w:pPr>
        <w:pStyle w:val="Normal"/>
        <w:spacing w:line="360" w:lineRule="auto"/>
        <w:rPr>
          <w:rStyle w:val="Strong"/>
          <w:rFonts w:ascii="Arial Nova" w:hAnsi="Arial Nova" w:eastAsia="Arial Nova" w:cs="Arial Nova"/>
          <w:color w:val="1D2125"/>
          <w:sz w:val="40"/>
          <w:szCs w:val="40"/>
        </w:rPr>
      </w:pPr>
    </w:p>
    <w:p w:rsidR="008E6EE2" w:rsidP="008E6EE2" w:rsidRDefault="008E6EE2" w14:paraId="6169843A" w14:textId="0BB0316F">
      <w:pPr>
        <w:pStyle w:val="Normal"/>
        <w:spacing w:line="360" w:lineRule="auto"/>
        <w:rPr>
          <w:rStyle w:val="Strong"/>
          <w:rFonts w:ascii="Arial Nova" w:hAnsi="Arial Nova" w:eastAsia="Arial Nova" w:cs="Arial Nova"/>
          <w:color w:val="1D2125"/>
          <w:sz w:val="40"/>
          <w:szCs w:val="40"/>
        </w:rPr>
      </w:pPr>
    </w:p>
    <w:p w:rsidR="00D46920" w:rsidP="008E6EE2" w:rsidRDefault="00D46920" w14:paraId="3C55ACB9" w14:textId="0069854A">
      <w:pPr>
        <w:pStyle w:val="Normal"/>
        <w:spacing w:line="360" w:lineRule="auto"/>
        <w:rPr>
          <w:rStyle w:val="Strong"/>
          <w:rFonts w:ascii="Arial Nova" w:hAnsi="Arial Nova" w:eastAsia="Arial Nova" w:cs="Arial Nova"/>
          <w:color w:val="1D2125"/>
          <w:sz w:val="40"/>
          <w:szCs w:val="40"/>
        </w:rPr>
      </w:pPr>
      <w:r w:rsidRPr="008E6EE2" w:rsidR="10B08258">
        <w:rPr>
          <w:rStyle w:val="Strong"/>
          <w:rFonts w:ascii="Arial Nova" w:hAnsi="Arial Nova" w:eastAsia="Arial Nova" w:cs="Arial Nova"/>
          <w:color w:val="1D2125"/>
          <w:sz w:val="40"/>
          <w:szCs w:val="40"/>
        </w:rPr>
        <w:t>Student name:</w:t>
      </w:r>
      <w:r w:rsidRPr="008E6EE2" w:rsidR="4BD5CDC2">
        <w:rPr>
          <w:rStyle w:val="Strong"/>
          <w:rFonts w:ascii="Arial Nova" w:hAnsi="Arial Nova" w:eastAsia="Arial Nova" w:cs="Arial Nova"/>
          <w:color w:val="1D2125"/>
          <w:sz w:val="40"/>
          <w:szCs w:val="40"/>
        </w:rPr>
        <w:t xml:space="preserve"> Alexandra Elena Chiran</w:t>
      </w:r>
    </w:p>
    <w:p w:rsidR="00D46920" w:rsidP="633035F3" w:rsidRDefault="00D46920" w14:paraId="3DCFFD10" w14:textId="1D070E17">
      <w:pPr>
        <w:spacing w:line="360" w:lineRule="auto"/>
        <w:rPr>
          <w:rStyle w:val="Strong"/>
          <w:rFonts w:ascii="Arial Nova" w:hAnsi="Arial Nova" w:eastAsia="Arial Nova" w:cs="Arial Nova"/>
          <w:color w:val="1D2125"/>
          <w:sz w:val="40"/>
          <w:szCs w:val="40"/>
        </w:rPr>
      </w:pPr>
      <w:r w:rsidRPr="008E6EE2" w:rsidR="10B08258">
        <w:rPr>
          <w:rStyle w:val="Strong"/>
          <w:rFonts w:ascii="Arial Nova" w:hAnsi="Arial Nova" w:eastAsia="Arial Nova" w:cs="Arial Nova"/>
          <w:color w:val="1D2125"/>
          <w:sz w:val="40"/>
          <w:szCs w:val="40"/>
        </w:rPr>
        <w:t xml:space="preserve">Student </w:t>
      </w:r>
      <w:r w:rsidRPr="008E6EE2" w:rsidR="49AD610B">
        <w:rPr>
          <w:rStyle w:val="Strong"/>
          <w:rFonts w:ascii="Arial Nova" w:hAnsi="Arial Nova" w:eastAsia="Arial Nova" w:cs="Arial Nova"/>
          <w:color w:val="1D2125"/>
          <w:sz w:val="40"/>
          <w:szCs w:val="40"/>
        </w:rPr>
        <w:t>I</w:t>
      </w:r>
      <w:r w:rsidRPr="008E6EE2" w:rsidR="3580586B">
        <w:rPr>
          <w:rStyle w:val="Strong"/>
          <w:rFonts w:ascii="Arial Nova" w:hAnsi="Arial Nova" w:eastAsia="Arial Nova" w:cs="Arial Nova"/>
          <w:color w:val="1D2125"/>
          <w:sz w:val="40"/>
          <w:szCs w:val="40"/>
        </w:rPr>
        <w:t>D</w:t>
      </w:r>
      <w:r w:rsidRPr="008E6EE2" w:rsidR="10B08258">
        <w:rPr>
          <w:rStyle w:val="Strong"/>
          <w:rFonts w:ascii="Arial Nova" w:hAnsi="Arial Nova" w:eastAsia="Arial Nova" w:cs="Arial Nova"/>
          <w:color w:val="1D2125"/>
          <w:sz w:val="40"/>
          <w:szCs w:val="40"/>
        </w:rPr>
        <w:t>:</w:t>
      </w:r>
      <w:r w:rsidRPr="008E6EE2" w:rsidR="1CED78EF">
        <w:rPr>
          <w:rStyle w:val="Strong"/>
          <w:rFonts w:ascii="Arial Nova" w:hAnsi="Arial Nova" w:eastAsia="Arial Nova" w:cs="Arial Nova"/>
          <w:color w:val="1D2125"/>
          <w:sz w:val="40"/>
          <w:szCs w:val="40"/>
        </w:rPr>
        <w:t xml:space="preserve"> 2410882 </w:t>
      </w:r>
    </w:p>
    <w:p w:rsidR="30B3554D" w:rsidP="008E6EE2" w:rsidRDefault="30B3554D" w14:paraId="3294D10D" w14:textId="512F8651">
      <w:pPr>
        <w:pStyle w:val="Normal"/>
        <w:suppressLineNumbers w:val="0"/>
        <w:shd w:val="clear" w:color="auto" w:fill="FFFFFF" w:themeFill="background1"/>
        <w:bidi w:val="0"/>
        <w:spacing w:before="0" w:beforeAutospacing="off" w:after="120" w:afterAutospacing="off"/>
        <w:jc w:val="left"/>
      </w:pPr>
      <w:r w:rsidRPr="008E6EE2" w:rsidR="30B3554D">
        <w:rPr>
          <w:rStyle w:val="Strong"/>
          <w:rFonts w:ascii="Arial Nova" w:hAnsi="Arial Nova" w:eastAsia="Arial Nova" w:cs="Arial Nova"/>
          <w:color w:val="1D2125"/>
          <w:sz w:val="40"/>
          <w:szCs w:val="40"/>
        </w:rPr>
        <w:t xml:space="preserve">Module </w:t>
      </w:r>
      <w:r w:rsidRPr="008E6EE2" w:rsidR="08ED1230">
        <w:rPr>
          <w:rStyle w:val="Strong"/>
          <w:rFonts w:ascii="Arial Nova" w:hAnsi="Arial Nova" w:eastAsia="Arial Nova" w:cs="Arial Nova"/>
          <w:color w:val="1D2125"/>
          <w:sz w:val="40"/>
          <w:szCs w:val="40"/>
        </w:rPr>
        <w:t>name:</w:t>
      </w:r>
      <w:r w:rsidRPr="008E6EE2" w:rsidR="783B33CD">
        <w:rPr>
          <w:rStyle w:val="Strong"/>
          <w:rFonts w:ascii="Arial Nova" w:hAnsi="Arial Nova" w:eastAsia="Arial Nova" w:cs="Arial Nova"/>
          <w:color w:val="1D2125"/>
          <w:sz w:val="40"/>
          <w:szCs w:val="40"/>
        </w:rPr>
        <w:t xml:space="preserve"> </w:t>
      </w:r>
      <w:r w:rsidRPr="008E6EE2" w:rsidR="783B33CD">
        <w:rPr>
          <w:rFonts w:ascii="Segoe UI" w:hAnsi="Segoe UI" w:eastAsia="Segoe UI" w:cs="Segoe UI"/>
          <w:b w:val="1"/>
          <w:bCs w:val="1"/>
          <w:i w:val="0"/>
          <w:iCs w:val="0"/>
          <w:caps w:val="0"/>
          <w:smallCaps w:val="0"/>
          <w:noProof w:val="0"/>
          <w:color w:val="1D2125"/>
          <w:sz w:val="40"/>
          <w:szCs w:val="40"/>
          <w:lang w:val="en-GB"/>
        </w:rPr>
        <w:t>Protecting and Supporting Families in</w:t>
      </w:r>
      <w:r w:rsidRPr="008E6EE2" w:rsidR="4AF7715F">
        <w:rPr>
          <w:rFonts w:ascii="Segoe UI" w:hAnsi="Segoe UI" w:eastAsia="Segoe UI" w:cs="Segoe UI"/>
          <w:b w:val="1"/>
          <w:bCs w:val="1"/>
          <w:i w:val="0"/>
          <w:iCs w:val="0"/>
          <w:caps w:val="0"/>
          <w:smallCaps w:val="0"/>
          <w:noProof w:val="0"/>
          <w:color w:val="1D2125"/>
          <w:sz w:val="40"/>
          <w:szCs w:val="40"/>
          <w:lang w:val="en-GB"/>
        </w:rPr>
        <w:t xml:space="preserve">                </w:t>
      </w:r>
      <w:r w:rsidRPr="008E6EE2" w:rsidR="783B33CD">
        <w:rPr>
          <w:rFonts w:ascii="Segoe UI" w:hAnsi="Segoe UI" w:eastAsia="Segoe UI" w:cs="Segoe UI"/>
          <w:b w:val="1"/>
          <w:bCs w:val="1"/>
          <w:i w:val="0"/>
          <w:iCs w:val="0"/>
          <w:caps w:val="0"/>
          <w:smallCaps w:val="0"/>
          <w:noProof w:val="0"/>
          <w:color w:val="1D2125"/>
          <w:sz w:val="40"/>
          <w:szCs w:val="40"/>
          <w:lang w:val="en-GB"/>
        </w:rPr>
        <w:t xml:space="preserve"> </w:t>
      </w:r>
      <w:r w:rsidRPr="008E6EE2" w:rsidR="47BF78CD">
        <w:rPr>
          <w:rFonts w:ascii="Segoe UI" w:hAnsi="Segoe UI" w:eastAsia="Segoe UI" w:cs="Segoe UI"/>
          <w:b w:val="1"/>
          <w:bCs w:val="1"/>
          <w:i w:val="0"/>
          <w:iCs w:val="0"/>
          <w:caps w:val="0"/>
          <w:smallCaps w:val="0"/>
          <w:noProof w:val="0"/>
          <w:color w:val="1D2125"/>
          <w:sz w:val="40"/>
          <w:szCs w:val="40"/>
          <w:lang w:val="en-GB"/>
        </w:rPr>
        <w:t xml:space="preserve">              </w:t>
      </w:r>
      <w:r w:rsidRPr="008E6EE2" w:rsidR="4013A0A0">
        <w:rPr>
          <w:rFonts w:ascii="Segoe UI" w:hAnsi="Segoe UI" w:eastAsia="Segoe UI" w:cs="Segoe UI"/>
          <w:b w:val="1"/>
          <w:bCs w:val="1"/>
          <w:i w:val="0"/>
          <w:iCs w:val="0"/>
          <w:caps w:val="0"/>
          <w:smallCaps w:val="0"/>
          <w:noProof w:val="0"/>
          <w:color w:val="1D2125"/>
          <w:sz w:val="40"/>
          <w:szCs w:val="40"/>
          <w:lang w:val="en-GB"/>
        </w:rPr>
        <w:t xml:space="preserve">          </w:t>
      </w:r>
      <w:r w:rsidRPr="008E6EE2" w:rsidR="783B33CD">
        <w:rPr>
          <w:rFonts w:ascii="Segoe UI" w:hAnsi="Segoe UI" w:eastAsia="Segoe UI" w:cs="Segoe UI"/>
          <w:b w:val="1"/>
          <w:bCs w:val="1"/>
          <w:i w:val="0"/>
          <w:iCs w:val="0"/>
          <w:caps w:val="0"/>
          <w:smallCaps w:val="0"/>
          <w:noProof w:val="0"/>
          <w:color w:val="1D2125"/>
          <w:sz w:val="40"/>
          <w:szCs w:val="40"/>
          <w:lang w:val="en-GB"/>
        </w:rPr>
        <w:t xml:space="preserve">Health and Care </w:t>
      </w:r>
    </w:p>
    <w:p w:rsidR="30B3554D" w:rsidP="008E6EE2" w:rsidRDefault="30B3554D" w14:paraId="68E8B0DA" w14:textId="4CCD52B5">
      <w:pPr>
        <w:pStyle w:val="Normal"/>
        <w:suppressLineNumbers w:val="0"/>
        <w:bidi w:val="0"/>
        <w:spacing w:before="0" w:beforeAutospacing="off" w:after="160" w:afterAutospacing="off" w:line="360" w:lineRule="auto"/>
        <w:ind w:left="0" w:right="0"/>
        <w:jc w:val="left"/>
      </w:pPr>
      <w:r w:rsidRPr="008E6EE2" w:rsidR="30B3554D">
        <w:rPr>
          <w:rStyle w:val="Strong"/>
          <w:rFonts w:ascii="Arial Nova" w:hAnsi="Arial Nova" w:eastAsia="Arial Nova" w:cs="Arial Nova"/>
          <w:color w:val="1D2125"/>
          <w:sz w:val="40"/>
          <w:szCs w:val="40"/>
        </w:rPr>
        <w:t xml:space="preserve">Module </w:t>
      </w:r>
      <w:r w:rsidRPr="008E6EE2" w:rsidR="503BC96A">
        <w:rPr>
          <w:rStyle w:val="Strong"/>
          <w:rFonts w:ascii="Arial Nova" w:hAnsi="Arial Nova" w:eastAsia="Arial Nova" w:cs="Arial Nova"/>
          <w:color w:val="1D2125"/>
          <w:sz w:val="40"/>
          <w:szCs w:val="40"/>
        </w:rPr>
        <w:t>code:</w:t>
      </w:r>
      <w:r w:rsidRPr="008E6EE2" w:rsidR="1DC2CE36">
        <w:rPr>
          <w:rFonts w:ascii="Segoe UI" w:hAnsi="Segoe UI" w:eastAsia="Segoe UI" w:cs="Segoe UI"/>
          <w:b w:val="1"/>
          <w:bCs w:val="1"/>
          <w:i w:val="0"/>
          <w:iCs w:val="0"/>
          <w:caps w:val="0"/>
          <w:smallCaps w:val="0"/>
          <w:noProof w:val="0"/>
          <w:color w:val="1D2125"/>
          <w:sz w:val="40"/>
          <w:szCs w:val="40"/>
          <w:lang w:val="en-GB"/>
        </w:rPr>
        <w:t xml:space="preserve"> (BMHP5021)</w:t>
      </w:r>
    </w:p>
    <w:p w:rsidR="30B7902D" w:rsidP="008E6EE2" w:rsidRDefault="30B7902D" w14:paraId="69FB1E18" w14:textId="5A603718">
      <w:pPr>
        <w:pStyle w:val="Normal"/>
        <w:suppressLineNumbers w:val="0"/>
        <w:bidi w:val="0"/>
        <w:spacing w:before="0" w:beforeAutospacing="off" w:after="160" w:afterAutospacing="off" w:line="360" w:lineRule="auto"/>
        <w:ind w:left="0" w:right="0"/>
        <w:jc w:val="left"/>
      </w:pPr>
      <w:r w:rsidRPr="008E6EE2" w:rsidR="30B7902D">
        <w:rPr>
          <w:rStyle w:val="Strong"/>
          <w:rFonts w:ascii="Arial Nova" w:hAnsi="Arial Nova" w:eastAsia="Arial Nova" w:cs="Arial Nova"/>
          <w:color w:val="1D2125"/>
          <w:sz w:val="40"/>
          <w:szCs w:val="40"/>
        </w:rPr>
        <w:t>Lecturer name:</w:t>
      </w:r>
      <w:r w:rsidRPr="008E6EE2" w:rsidR="580AA5B6">
        <w:rPr>
          <w:rStyle w:val="Strong"/>
          <w:rFonts w:ascii="Arial Nova" w:hAnsi="Arial Nova" w:eastAsia="Arial Nova" w:cs="Arial Nova"/>
          <w:color w:val="1D2125"/>
          <w:sz w:val="40"/>
          <w:szCs w:val="40"/>
        </w:rPr>
        <w:t xml:space="preserve"> Shaila Hussain</w:t>
      </w:r>
    </w:p>
    <w:p w:rsidR="00D46920" w:rsidP="00D46920" w:rsidRDefault="00D46920" w14:paraId="0D3CF38A" w14:textId="77777777">
      <w:pPr>
        <w:spacing w:line="360" w:lineRule="auto"/>
        <w:rPr>
          <w:sz w:val="36"/>
          <w:szCs w:val="36"/>
        </w:rPr>
      </w:pPr>
    </w:p>
    <w:p w:rsidR="00D46920" w:rsidP="00D46920" w:rsidRDefault="00D46920" w14:paraId="7657B63E" w14:textId="77777777">
      <w:pPr>
        <w:spacing w:line="360" w:lineRule="auto"/>
        <w:rPr>
          <w:rFonts w:ascii="Arial" w:hAnsi="Arial" w:cs="Arial"/>
          <w:sz w:val="36"/>
          <w:szCs w:val="36"/>
        </w:rPr>
      </w:pPr>
    </w:p>
    <w:p w:rsidRPr="008375B5" w:rsidR="00D46920" w:rsidP="633035F3" w:rsidRDefault="00D46920" w14:paraId="42726B8D" w14:textId="4BF4B279">
      <w:pPr>
        <w:pStyle w:val="NormalWeb"/>
        <w:spacing w:line="360" w:lineRule="auto"/>
        <w:rPr>
          <w:rFonts w:ascii="Arial Nova" w:hAnsi="Arial Nova" w:eastAsia="Arial Nova" w:cs="Arial Nova"/>
          <w:b w:val="1"/>
          <w:bCs w:val="1"/>
          <w:color w:val="000000"/>
          <w:sz w:val="28"/>
          <w:szCs w:val="28"/>
        </w:rPr>
      </w:pPr>
      <w:r w:rsidRPr="008E6EE2" w:rsidR="10B08258">
        <w:rPr>
          <w:rFonts w:ascii="Arial Nova" w:hAnsi="Arial Nova" w:eastAsia="Arial Nova" w:cs="Arial Nova"/>
          <w:b w:val="1"/>
          <w:bCs w:val="1"/>
          <w:color w:val="000000" w:themeColor="text1" w:themeTint="FF" w:themeShade="FF"/>
          <w:sz w:val="28"/>
          <w:szCs w:val="28"/>
        </w:rPr>
        <w:t>Table of contents</w:t>
      </w:r>
    </w:p>
    <w:p w:rsidR="7CA24B30" w:rsidP="633035F3" w:rsidRDefault="7CA24B30" w14:paraId="4AC93B9A" w14:textId="16D7E665">
      <w:pPr>
        <w:pStyle w:val="NormalWeb"/>
        <w:spacing w:line="360" w:lineRule="auto"/>
        <w:rPr>
          <w:rFonts w:ascii="Arial Nova" w:hAnsi="Arial Nova" w:eastAsia="Arial Nova" w:cs="Arial Nova"/>
          <w:b w:val="1"/>
          <w:bCs w:val="1"/>
          <w:color w:val="000000" w:themeColor="text1" w:themeTint="FF" w:themeShade="FF"/>
          <w:sz w:val="28"/>
          <w:szCs w:val="28"/>
        </w:rPr>
      </w:pPr>
      <w:r w:rsidRPr="008E6EE2" w:rsidR="0FFA456D">
        <w:rPr>
          <w:rFonts w:ascii="Arial Nova" w:hAnsi="Arial Nova" w:eastAsia="Arial Nova" w:cs="Arial Nova"/>
          <w:b w:val="1"/>
          <w:bCs w:val="1"/>
          <w:color w:val="000000" w:themeColor="text1" w:themeTint="FF" w:themeShade="FF"/>
          <w:sz w:val="28"/>
          <w:szCs w:val="28"/>
        </w:rPr>
        <w:t>1.</w:t>
      </w:r>
      <w:r w:rsidRPr="008E6EE2" w:rsidR="2B3BD8AF">
        <w:rPr>
          <w:rFonts w:ascii="Arial Nova" w:hAnsi="Arial Nova" w:eastAsia="Arial Nova" w:cs="Arial Nova"/>
          <w:b w:val="1"/>
          <w:bCs w:val="1"/>
          <w:color w:val="000000" w:themeColor="text1" w:themeTint="FF" w:themeShade="FF"/>
          <w:sz w:val="28"/>
          <w:szCs w:val="28"/>
        </w:rPr>
        <w:t>Introduction....................................................</w:t>
      </w:r>
      <w:r w:rsidRPr="008E6EE2" w:rsidR="4D24C457">
        <w:rPr>
          <w:rFonts w:ascii="Arial Nova" w:hAnsi="Arial Nova" w:eastAsia="Arial Nova" w:cs="Arial Nova"/>
          <w:b w:val="1"/>
          <w:bCs w:val="1"/>
          <w:color w:val="000000" w:themeColor="text1" w:themeTint="FF" w:themeShade="FF"/>
          <w:sz w:val="28"/>
          <w:szCs w:val="28"/>
        </w:rPr>
        <w:t>...........................</w:t>
      </w:r>
      <w:r w:rsidRPr="008E6EE2" w:rsidR="3BDE4652">
        <w:rPr>
          <w:rFonts w:ascii="Arial Nova" w:hAnsi="Arial Nova" w:eastAsia="Arial Nova" w:cs="Arial Nova"/>
          <w:b w:val="1"/>
          <w:bCs w:val="1"/>
          <w:color w:val="000000" w:themeColor="text1" w:themeTint="FF" w:themeShade="FF"/>
          <w:sz w:val="28"/>
          <w:szCs w:val="28"/>
        </w:rPr>
        <w:t>3</w:t>
      </w:r>
    </w:p>
    <w:p w:rsidR="7CA24B30" w:rsidP="633035F3" w:rsidRDefault="7CA24B30" w14:paraId="1FEB3677" w14:textId="33713AA4">
      <w:pPr>
        <w:pStyle w:val="NormalWeb"/>
        <w:spacing w:line="360" w:lineRule="auto"/>
        <w:rPr>
          <w:rFonts w:ascii="Arial Nova" w:hAnsi="Arial Nova" w:eastAsia="Arial Nova" w:cs="Arial Nova"/>
          <w:b w:val="1"/>
          <w:bCs w:val="1"/>
          <w:color w:val="000000" w:themeColor="text1" w:themeTint="FF" w:themeShade="FF"/>
          <w:sz w:val="28"/>
          <w:szCs w:val="28"/>
        </w:rPr>
      </w:pPr>
      <w:r w:rsidRPr="008E6EE2" w:rsidR="49C16A59">
        <w:rPr>
          <w:rFonts w:ascii="Arial Nova" w:hAnsi="Arial Nova" w:eastAsia="Arial Nova" w:cs="Arial Nova"/>
          <w:b w:val="1"/>
          <w:bCs w:val="1"/>
          <w:color w:val="000000" w:themeColor="text1" w:themeTint="FF" w:themeShade="FF"/>
          <w:sz w:val="28"/>
          <w:szCs w:val="28"/>
        </w:rPr>
        <w:t>2.</w:t>
      </w:r>
      <w:r w:rsidRPr="008E6EE2" w:rsidR="1FB60D1A">
        <w:rPr>
          <w:rFonts w:ascii="Arial Nova" w:hAnsi="Arial Nova" w:eastAsia="Arial Nova" w:cs="Arial Nova"/>
          <w:b w:val="1"/>
          <w:bCs w:val="1"/>
          <w:color w:val="000000" w:themeColor="text1" w:themeTint="FF" w:themeShade="FF"/>
          <w:sz w:val="28"/>
          <w:szCs w:val="28"/>
        </w:rPr>
        <w:t xml:space="preserve">The Early </w:t>
      </w:r>
      <w:r w:rsidRPr="008E6EE2" w:rsidR="1FB60D1A">
        <w:rPr>
          <w:rFonts w:ascii="Arial Nova" w:hAnsi="Arial Nova" w:eastAsia="Arial Nova" w:cs="Arial Nova"/>
          <w:b w:val="1"/>
          <w:bCs w:val="1"/>
          <w:color w:val="000000" w:themeColor="text1" w:themeTint="FF" w:themeShade="FF"/>
          <w:sz w:val="28"/>
          <w:szCs w:val="28"/>
        </w:rPr>
        <w:t xml:space="preserve">Help system </w:t>
      </w:r>
      <w:r w:rsidRPr="008E6EE2" w:rsidR="2B3BD8AF">
        <w:rPr>
          <w:rFonts w:ascii="Arial Nova" w:hAnsi="Arial Nova" w:eastAsia="Arial Nova" w:cs="Arial Nova"/>
          <w:b w:val="1"/>
          <w:bCs w:val="1"/>
          <w:color w:val="000000" w:themeColor="text1" w:themeTint="FF" w:themeShade="FF"/>
          <w:sz w:val="28"/>
          <w:szCs w:val="28"/>
        </w:rPr>
        <w:t>............................................................</w:t>
      </w:r>
      <w:r w:rsidRPr="008E6EE2" w:rsidR="1A7D6BE4">
        <w:rPr>
          <w:rFonts w:ascii="Arial Nova" w:hAnsi="Arial Nova" w:eastAsia="Arial Nova" w:cs="Arial Nova"/>
          <w:b w:val="1"/>
          <w:bCs w:val="1"/>
          <w:color w:val="000000" w:themeColor="text1" w:themeTint="FF" w:themeShade="FF"/>
          <w:sz w:val="28"/>
          <w:szCs w:val="28"/>
        </w:rPr>
        <w:t>.</w:t>
      </w:r>
      <w:r w:rsidRPr="008E6EE2" w:rsidR="2B3BD8AF">
        <w:rPr>
          <w:rFonts w:ascii="Arial Nova" w:hAnsi="Arial Nova" w:eastAsia="Arial Nova" w:cs="Arial Nova"/>
          <w:b w:val="1"/>
          <w:bCs w:val="1"/>
          <w:color w:val="000000" w:themeColor="text1" w:themeTint="FF" w:themeShade="FF"/>
          <w:sz w:val="28"/>
          <w:szCs w:val="28"/>
        </w:rPr>
        <w:t>.</w:t>
      </w:r>
      <w:r w:rsidRPr="008E6EE2" w:rsidR="4C7919A6">
        <w:rPr>
          <w:rFonts w:ascii="Arial Nova" w:hAnsi="Arial Nova" w:eastAsia="Arial Nova" w:cs="Arial Nova"/>
          <w:b w:val="1"/>
          <w:bCs w:val="1"/>
          <w:color w:val="000000" w:themeColor="text1" w:themeTint="FF" w:themeShade="FF"/>
          <w:sz w:val="28"/>
          <w:szCs w:val="28"/>
        </w:rPr>
        <w:t>.</w:t>
      </w:r>
      <w:r w:rsidRPr="008E6EE2" w:rsidR="2B3BD8AF">
        <w:rPr>
          <w:rFonts w:ascii="Arial Nova" w:hAnsi="Arial Nova" w:eastAsia="Arial Nova" w:cs="Arial Nova"/>
          <w:b w:val="1"/>
          <w:bCs w:val="1"/>
          <w:color w:val="000000" w:themeColor="text1" w:themeTint="FF" w:themeShade="FF"/>
          <w:sz w:val="28"/>
          <w:szCs w:val="28"/>
        </w:rPr>
        <w:t>.</w:t>
      </w:r>
      <w:r w:rsidRPr="008E6EE2" w:rsidR="606B9947">
        <w:rPr>
          <w:rFonts w:ascii="Arial Nova" w:hAnsi="Arial Nova" w:eastAsia="Arial Nova" w:cs="Arial Nova"/>
          <w:b w:val="1"/>
          <w:bCs w:val="1"/>
          <w:color w:val="000000" w:themeColor="text1" w:themeTint="FF" w:themeShade="FF"/>
          <w:sz w:val="28"/>
          <w:szCs w:val="28"/>
        </w:rPr>
        <w:t>3</w:t>
      </w:r>
    </w:p>
    <w:p w:rsidR="7CA24B30" w:rsidP="633035F3" w:rsidRDefault="7CA24B30" w14:paraId="123705E5" w14:textId="3ACB0FB6">
      <w:pPr>
        <w:pStyle w:val="NormalWeb"/>
        <w:spacing w:line="360" w:lineRule="auto"/>
        <w:rPr>
          <w:rFonts w:ascii="Arial Nova" w:hAnsi="Arial Nova" w:eastAsia="Arial Nova" w:cs="Arial Nova"/>
          <w:b w:val="1"/>
          <w:bCs w:val="1"/>
          <w:color w:val="000000" w:themeColor="text1" w:themeTint="FF" w:themeShade="FF"/>
          <w:sz w:val="28"/>
          <w:szCs w:val="28"/>
        </w:rPr>
      </w:pPr>
      <w:r w:rsidRPr="008E6EE2" w:rsidR="46E6F3D4">
        <w:rPr>
          <w:rFonts w:ascii="Arial Nova" w:hAnsi="Arial Nova" w:eastAsia="Arial Nova" w:cs="Arial Nova"/>
          <w:b w:val="1"/>
          <w:bCs w:val="1"/>
          <w:color w:val="000000" w:themeColor="text1" w:themeTint="FF" w:themeShade="FF"/>
          <w:sz w:val="28"/>
          <w:szCs w:val="28"/>
        </w:rPr>
        <w:t>3.Multy-a</w:t>
      </w:r>
      <w:r w:rsidRPr="008E6EE2" w:rsidR="13B82E7C">
        <w:rPr>
          <w:rFonts w:ascii="Arial Nova" w:hAnsi="Arial Nova" w:eastAsia="Arial Nova" w:cs="Arial Nova"/>
          <w:b w:val="1"/>
          <w:bCs w:val="1"/>
          <w:color w:val="000000" w:themeColor="text1" w:themeTint="FF" w:themeShade="FF"/>
          <w:sz w:val="28"/>
          <w:szCs w:val="28"/>
        </w:rPr>
        <w:t>gency working</w:t>
      </w:r>
      <w:r w:rsidRPr="008E6EE2" w:rsidR="2B3BD8AF">
        <w:rPr>
          <w:rFonts w:ascii="Arial Nova" w:hAnsi="Arial Nova" w:eastAsia="Arial Nova" w:cs="Arial Nova"/>
          <w:b w:val="1"/>
          <w:bCs w:val="1"/>
          <w:color w:val="000000" w:themeColor="text1" w:themeTint="FF" w:themeShade="FF"/>
          <w:sz w:val="28"/>
          <w:szCs w:val="28"/>
        </w:rPr>
        <w:t>.............................................................</w:t>
      </w:r>
      <w:r w:rsidRPr="008E6EE2" w:rsidR="4A710691">
        <w:rPr>
          <w:rFonts w:ascii="Arial Nova" w:hAnsi="Arial Nova" w:eastAsia="Arial Nova" w:cs="Arial Nova"/>
          <w:b w:val="1"/>
          <w:bCs w:val="1"/>
          <w:color w:val="000000" w:themeColor="text1" w:themeTint="FF" w:themeShade="FF"/>
          <w:sz w:val="28"/>
          <w:szCs w:val="28"/>
        </w:rPr>
        <w:t>...</w:t>
      </w:r>
      <w:r w:rsidRPr="008E6EE2" w:rsidR="1ED2F403">
        <w:rPr>
          <w:rFonts w:ascii="Arial Nova" w:hAnsi="Arial Nova" w:eastAsia="Arial Nova" w:cs="Arial Nova"/>
          <w:b w:val="1"/>
          <w:bCs w:val="1"/>
          <w:color w:val="000000" w:themeColor="text1" w:themeTint="FF" w:themeShade="FF"/>
          <w:sz w:val="28"/>
          <w:szCs w:val="28"/>
        </w:rPr>
        <w:t>.</w:t>
      </w:r>
      <w:r w:rsidRPr="008E6EE2" w:rsidR="4A710691">
        <w:rPr>
          <w:rFonts w:ascii="Arial Nova" w:hAnsi="Arial Nova" w:eastAsia="Arial Nova" w:cs="Arial Nova"/>
          <w:b w:val="1"/>
          <w:bCs w:val="1"/>
          <w:color w:val="000000" w:themeColor="text1" w:themeTint="FF" w:themeShade="FF"/>
          <w:sz w:val="28"/>
          <w:szCs w:val="28"/>
        </w:rPr>
        <w:t>4</w:t>
      </w:r>
    </w:p>
    <w:p w:rsidR="7CA24B30" w:rsidP="008E6EE2" w:rsidRDefault="7CA24B30" w14:paraId="1A836FDC" w14:textId="44DB42CA">
      <w:pPr>
        <w:pStyle w:val="Heading3"/>
        <w:keepNext w:val="0"/>
        <w:keepLines w:val="0"/>
        <w:spacing w:before="281" w:beforeAutospacing="off" w:after="281" w:afterAutospacing="off" w:line="360" w:lineRule="auto"/>
        <w:jc w:val="both"/>
        <w:rPr>
          <w:rFonts w:ascii="Arial Nova" w:hAnsi="Arial Nova" w:eastAsia="Arial Nova" w:cs="Arial Nova"/>
          <w:b w:val="1"/>
          <w:bCs w:val="1"/>
          <w:color w:val="000000" w:themeColor="text1" w:themeTint="FF" w:themeShade="FF"/>
          <w:sz w:val="28"/>
          <w:szCs w:val="28"/>
        </w:rPr>
      </w:pPr>
      <w:r w:rsidRPr="008E6EE2" w:rsidR="4A710691">
        <w:rPr>
          <w:rFonts w:ascii="Arial" w:hAnsi="Arial" w:eastAsia="Arial" w:cs="Arial"/>
          <w:b w:val="1"/>
          <w:bCs w:val="1"/>
          <w:i w:val="0"/>
          <w:iCs w:val="0"/>
          <w:caps w:val="0"/>
          <w:smallCaps w:val="0"/>
          <w:noProof w:val="0"/>
          <w:color w:val="auto"/>
          <w:sz w:val="28"/>
          <w:szCs w:val="28"/>
          <w:lang w:val="en-GB"/>
        </w:rPr>
        <w:t>4. Evaluation of local authority websites....</w:t>
      </w:r>
      <w:r w:rsidRPr="008E6EE2" w:rsidR="2B3BD8AF">
        <w:rPr>
          <w:rFonts w:ascii="Arial Nova" w:hAnsi="Arial Nova" w:eastAsia="Arial Nova" w:cs="Arial Nova"/>
          <w:b w:val="1"/>
          <w:bCs w:val="1"/>
          <w:color w:val="000000" w:themeColor="text1" w:themeTint="FF" w:themeShade="FF"/>
          <w:sz w:val="28"/>
          <w:szCs w:val="28"/>
        </w:rPr>
        <w:t>...............................</w:t>
      </w:r>
      <w:r w:rsidRPr="008E6EE2" w:rsidR="07DC05EC">
        <w:rPr>
          <w:rFonts w:ascii="Arial Nova" w:hAnsi="Arial Nova" w:eastAsia="Arial Nova" w:cs="Arial Nova"/>
          <w:b w:val="1"/>
          <w:bCs w:val="1"/>
          <w:color w:val="000000" w:themeColor="text1" w:themeTint="FF" w:themeShade="FF"/>
          <w:sz w:val="28"/>
          <w:szCs w:val="28"/>
        </w:rPr>
        <w:t>.</w:t>
      </w:r>
      <w:r w:rsidRPr="008E6EE2" w:rsidR="2B3BD8AF">
        <w:rPr>
          <w:rFonts w:ascii="Arial Nova" w:hAnsi="Arial Nova" w:eastAsia="Arial Nova" w:cs="Arial Nova"/>
          <w:b w:val="1"/>
          <w:bCs w:val="1"/>
          <w:color w:val="000000" w:themeColor="text1" w:themeTint="FF" w:themeShade="FF"/>
          <w:sz w:val="28"/>
          <w:szCs w:val="28"/>
        </w:rPr>
        <w:t>..</w:t>
      </w:r>
      <w:r w:rsidRPr="008E6EE2" w:rsidR="3D889692">
        <w:rPr>
          <w:rFonts w:ascii="Arial Nova" w:hAnsi="Arial Nova" w:eastAsia="Arial Nova" w:cs="Arial Nova"/>
          <w:b w:val="1"/>
          <w:bCs w:val="1"/>
          <w:color w:val="000000" w:themeColor="text1" w:themeTint="FF" w:themeShade="FF"/>
          <w:sz w:val="28"/>
          <w:szCs w:val="28"/>
        </w:rPr>
        <w:t>5</w:t>
      </w:r>
    </w:p>
    <w:p w:rsidR="7CA24B30" w:rsidP="008E6EE2" w:rsidRDefault="7CA24B30" w14:paraId="0A87D519" w14:textId="21F2D156">
      <w:pPr>
        <w:pStyle w:val="Heading3"/>
        <w:keepNext w:val="0"/>
        <w:keepLines w:val="0"/>
        <w:spacing w:before="281" w:beforeAutospacing="off" w:after="281" w:afterAutospacing="off" w:line="360" w:lineRule="auto"/>
        <w:jc w:val="both"/>
        <w:rPr>
          <w:rFonts w:ascii="Arial Nova" w:hAnsi="Arial Nova" w:eastAsia="Arial Nova" w:cs="Arial Nova"/>
          <w:b w:val="1"/>
          <w:bCs w:val="1"/>
          <w:color w:val="000000" w:themeColor="text1" w:themeTint="FF" w:themeShade="FF"/>
          <w:sz w:val="28"/>
          <w:szCs w:val="28"/>
        </w:rPr>
      </w:pPr>
      <w:r w:rsidRPr="008E6EE2" w:rsidR="577BDEB9">
        <w:rPr>
          <w:rFonts w:ascii="Arial" w:hAnsi="Arial" w:eastAsia="Arial" w:cs="Arial"/>
          <w:b w:val="1"/>
          <w:bCs w:val="1"/>
          <w:i w:val="0"/>
          <w:iCs w:val="0"/>
          <w:caps w:val="0"/>
          <w:smallCaps w:val="0"/>
          <w:noProof w:val="0"/>
          <w:color w:val="auto"/>
          <w:sz w:val="28"/>
          <w:szCs w:val="28"/>
          <w:lang w:val="en-GB"/>
        </w:rPr>
        <w:t>5. Comparative analysis</w:t>
      </w:r>
      <w:r w:rsidRPr="008E6EE2" w:rsidR="7CD8FFCB">
        <w:rPr>
          <w:rFonts w:ascii="Arial" w:hAnsi="Arial" w:eastAsia="Arial" w:cs="Arial"/>
          <w:b w:val="1"/>
          <w:bCs w:val="1"/>
          <w:i w:val="0"/>
          <w:iCs w:val="0"/>
          <w:caps w:val="0"/>
          <w:smallCaps w:val="0"/>
          <w:noProof w:val="0"/>
          <w:color w:val="auto"/>
          <w:sz w:val="28"/>
          <w:szCs w:val="28"/>
          <w:lang w:val="en-GB"/>
        </w:rPr>
        <w:t>...................</w:t>
      </w:r>
      <w:r w:rsidRPr="008E6EE2" w:rsidR="2B3BD8AF">
        <w:rPr>
          <w:rFonts w:ascii="Arial Nova" w:hAnsi="Arial Nova" w:eastAsia="Arial Nova" w:cs="Arial Nova"/>
          <w:b w:val="1"/>
          <w:bCs w:val="1"/>
          <w:color w:val="000000" w:themeColor="text1" w:themeTint="FF" w:themeShade="FF"/>
          <w:sz w:val="28"/>
          <w:szCs w:val="28"/>
        </w:rPr>
        <w:t>..............................................</w:t>
      </w:r>
      <w:r w:rsidRPr="008E6EE2" w:rsidR="1304C257">
        <w:rPr>
          <w:rFonts w:ascii="Arial Nova" w:hAnsi="Arial Nova" w:eastAsia="Arial Nova" w:cs="Arial Nova"/>
          <w:b w:val="1"/>
          <w:bCs w:val="1"/>
          <w:color w:val="000000" w:themeColor="text1" w:themeTint="FF" w:themeShade="FF"/>
          <w:sz w:val="28"/>
          <w:szCs w:val="28"/>
        </w:rPr>
        <w:t>7</w:t>
      </w:r>
    </w:p>
    <w:p w:rsidR="7CA24B30" w:rsidP="008E6EE2" w:rsidRDefault="7CA24B30" w14:paraId="3A49E3EE" w14:textId="21BC2DDE">
      <w:pPr>
        <w:pStyle w:val="Heading3"/>
        <w:keepNext w:val="0"/>
        <w:keepLines w:val="0"/>
        <w:spacing w:before="281" w:beforeAutospacing="off" w:after="281" w:afterAutospacing="off" w:line="360" w:lineRule="auto"/>
        <w:jc w:val="both"/>
        <w:rPr>
          <w:rFonts w:ascii="Arial Nova" w:hAnsi="Arial Nova" w:eastAsia="Arial Nova" w:cs="Arial Nova"/>
          <w:b w:val="1"/>
          <w:bCs w:val="1"/>
          <w:color w:val="000000" w:themeColor="text1" w:themeTint="FF" w:themeShade="FF"/>
          <w:sz w:val="28"/>
          <w:szCs w:val="28"/>
        </w:rPr>
      </w:pPr>
      <w:r w:rsidRPr="008E6EE2" w:rsidR="087BA4C7">
        <w:rPr>
          <w:rFonts w:ascii="Arial" w:hAnsi="Arial" w:eastAsia="Arial" w:cs="Arial"/>
          <w:b w:val="1"/>
          <w:bCs w:val="1"/>
          <w:i w:val="0"/>
          <w:iCs w:val="0"/>
          <w:caps w:val="0"/>
          <w:smallCaps w:val="0"/>
          <w:noProof w:val="0"/>
          <w:color w:val="auto"/>
          <w:sz w:val="28"/>
          <w:szCs w:val="28"/>
          <w:lang w:val="en-GB"/>
        </w:rPr>
        <w:t>6. Conclusion...............................................</w:t>
      </w:r>
      <w:r w:rsidRPr="008E6EE2" w:rsidR="2B3BD8AF">
        <w:rPr>
          <w:rFonts w:ascii="Arial Nova" w:hAnsi="Arial Nova" w:eastAsia="Arial Nova" w:cs="Arial Nova"/>
          <w:b w:val="1"/>
          <w:bCs w:val="1"/>
          <w:color w:val="000000" w:themeColor="text1" w:themeTint="FF" w:themeShade="FF"/>
          <w:sz w:val="28"/>
          <w:szCs w:val="28"/>
        </w:rPr>
        <w:t>...................................</w:t>
      </w:r>
      <w:r w:rsidRPr="008E6EE2" w:rsidR="2B9D89EC">
        <w:rPr>
          <w:rFonts w:ascii="Arial Nova" w:hAnsi="Arial Nova" w:eastAsia="Arial Nova" w:cs="Arial Nova"/>
          <w:b w:val="1"/>
          <w:bCs w:val="1"/>
          <w:color w:val="000000" w:themeColor="text1" w:themeTint="FF" w:themeShade="FF"/>
          <w:sz w:val="28"/>
          <w:szCs w:val="28"/>
        </w:rPr>
        <w:t>9</w:t>
      </w:r>
    </w:p>
    <w:p w:rsidR="7CA24B30" w:rsidP="008E6EE2" w:rsidRDefault="7CA24B30" w14:paraId="305D1662" w14:textId="0B76AC57">
      <w:pPr>
        <w:pStyle w:val="Heading3"/>
        <w:keepNext w:val="0"/>
        <w:keepLines w:val="0"/>
        <w:spacing w:before="281" w:beforeAutospacing="off" w:after="281" w:afterAutospacing="off" w:line="360" w:lineRule="auto"/>
        <w:jc w:val="both"/>
        <w:rPr>
          <w:rFonts w:ascii="Arial Nova" w:hAnsi="Arial Nova" w:eastAsia="Arial Nova" w:cs="Arial Nova"/>
          <w:b w:val="1"/>
          <w:bCs w:val="1"/>
          <w:color w:val="000000" w:themeColor="text1" w:themeTint="FF" w:themeShade="FF"/>
          <w:sz w:val="28"/>
          <w:szCs w:val="28"/>
        </w:rPr>
      </w:pPr>
      <w:r w:rsidRPr="008E6EE2" w:rsidR="01484F8B">
        <w:rPr>
          <w:rFonts w:ascii="Arial" w:hAnsi="Arial" w:eastAsia="Arial" w:cs="Arial"/>
          <w:b w:val="1"/>
          <w:bCs w:val="1"/>
          <w:i w:val="0"/>
          <w:iCs w:val="0"/>
          <w:caps w:val="0"/>
          <w:smallCaps w:val="0"/>
          <w:noProof w:val="0"/>
          <w:color w:val="auto"/>
          <w:sz w:val="28"/>
          <w:szCs w:val="28"/>
          <w:lang w:val="en-GB"/>
        </w:rPr>
        <w:t>7. Recommendation......................................</w:t>
      </w:r>
      <w:r w:rsidRPr="008E6EE2" w:rsidR="2B3BD8AF">
        <w:rPr>
          <w:rFonts w:ascii="Arial Nova" w:hAnsi="Arial Nova" w:eastAsia="Arial Nova" w:cs="Arial Nova"/>
          <w:b w:val="1"/>
          <w:bCs w:val="1"/>
          <w:color w:val="000000" w:themeColor="text1" w:themeTint="FF" w:themeShade="FF"/>
          <w:sz w:val="28"/>
          <w:szCs w:val="28"/>
        </w:rPr>
        <w:t>..................................</w:t>
      </w:r>
      <w:r w:rsidRPr="008E6EE2" w:rsidR="7E160D1C">
        <w:rPr>
          <w:rFonts w:ascii="Arial Nova" w:hAnsi="Arial Nova" w:eastAsia="Arial Nova" w:cs="Arial Nova"/>
          <w:b w:val="1"/>
          <w:bCs w:val="1"/>
          <w:color w:val="000000" w:themeColor="text1" w:themeTint="FF" w:themeShade="FF"/>
          <w:sz w:val="28"/>
          <w:szCs w:val="28"/>
        </w:rPr>
        <w:t>10</w:t>
      </w:r>
    </w:p>
    <w:p w:rsidR="55719EBA" w:rsidP="1EB49B2D" w:rsidRDefault="55719EBA" w14:paraId="7A517661" w14:textId="48C3E703">
      <w:pPr>
        <w:pStyle w:val="NormalWeb"/>
        <w:spacing w:line="360" w:lineRule="auto"/>
        <w:rPr>
          <w:rFonts w:ascii="Arial Nova" w:hAnsi="Arial Nova" w:eastAsia="Arial Nova" w:cs="Arial Nova"/>
          <w:b w:val="1"/>
          <w:bCs w:val="1"/>
          <w:color w:val="000000" w:themeColor="text1" w:themeTint="FF" w:themeShade="FF"/>
          <w:sz w:val="28"/>
          <w:szCs w:val="28"/>
        </w:rPr>
      </w:pPr>
      <w:r w:rsidRPr="008E6EE2" w:rsidR="7620E87D">
        <w:rPr>
          <w:rFonts w:ascii="Arial Nova" w:hAnsi="Arial Nova" w:eastAsia="Arial Nova" w:cs="Arial Nova"/>
          <w:b w:val="1"/>
          <w:bCs w:val="1"/>
          <w:color w:val="000000" w:themeColor="text1" w:themeTint="FF" w:themeShade="FF"/>
          <w:sz w:val="28"/>
          <w:szCs w:val="28"/>
        </w:rPr>
        <w:t>Reference list............................</w:t>
      </w:r>
      <w:r w:rsidRPr="008E6EE2" w:rsidR="0B2D5865">
        <w:rPr>
          <w:rFonts w:ascii="Arial Nova" w:hAnsi="Arial Nova" w:eastAsia="Arial Nova" w:cs="Arial Nova"/>
          <w:b w:val="1"/>
          <w:bCs w:val="1"/>
          <w:color w:val="000000" w:themeColor="text1" w:themeTint="FF" w:themeShade="FF"/>
          <w:sz w:val="28"/>
          <w:szCs w:val="28"/>
        </w:rPr>
        <w:t>....................................</w:t>
      </w:r>
      <w:r w:rsidRPr="008E6EE2" w:rsidR="7620E87D">
        <w:rPr>
          <w:rFonts w:ascii="Arial Nova" w:hAnsi="Arial Nova" w:eastAsia="Arial Nova" w:cs="Arial Nova"/>
          <w:b w:val="1"/>
          <w:bCs w:val="1"/>
          <w:color w:val="000000" w:themeColor="text1" w:themeTint="FF" w:themeShade="FF"/>
          <w:sz w:val="28"/>
          <w:szCs w:val="28"/>
        </w:rPr>
        <w:t>..................</w:t>
      </w:r>
      <w:r w:rsidRPr="008E6EE2" w:rsidR="39FA8250">
        <w:rPr>
          <w:rFonts w:ascii="Arial Nova" w:hAnsi="Arial Nova" w:eastAsia="Arial Nova" w:cs="Arial Nova"/>
          <w:b w:val="1"/>
          <w:bCs w:val="1"/>
          <w:color w:val="000000" w:themeColor="text1" w:themeTint="FF" w:themeShade="FF"/>
          <w:sz w:val="28"/>
          <w:szCs w:val="28"/>
        </w:rPr>
        <w:t>1</w:t>
      </w:r>
      <w:r w:rsidRPr="008E6EE2" w:rsidR="3CE400A7">
        <w:rPr>
          <w:rFonts w:ascii="Arial Nova" w:hAnsi="Arial Nova" w:eastAsia="Arial Nova" w:cs="Arial Nova"/>
          <w:b w:val="1"/>
          <w:bCs w:val="1"/>
          <w:color w:val="000000" w:themeColor="text1" w:themeTint="FF" w:themeShade="FF"/>
          <w:sz w:val="28"/>
          <w:szCs w:val="28"/>
        </w:rPr>
        <w:t>1</w:t>
      </w:r>
    </w:p>
    <w:p w:rsidR="7CA24B30" w:rsidP="633035F3" w:rsidRDefault="7CA24B30" w14:paraId="69E032F6" w14:textId="716961CD">
      <w:pPr>
        <w:pStyle w:val="NormalWeb"/>
        <w:spacing w:line="360" w:lineRule="auto"/>
        <w:rPr>
          <w:rFonts w:ascii="Arial Nova" w:hAnsi="Arial Nova" w:eastAsia="Arial Nova" w:cs="Arial Nova"/>
          <w:b w:val="1"/>
          <w:bCs w:val="1"/>
          <w:color w:val="000000" w:themeColor="text1" w:themeTint="FF" w:themeShade="FF"/>
          <w:sz w:val="28"/>
          <w:szCs w:val="28"/>
        </w:rPr>
      </w:pPr>
      <w:r w:rsidRPr="633035F3" w:rsidR="7CA24B30">
        <w:rPr>
          <w:rFonts w:ascii="Arial Nova" w:hAnsi="Arial Nova" w:eastAsia="Arial Nova" w:cs="Arial Nova"/>
          <w:b w:val="1"/>
          <w:bCs w:val="1"/>
          <w:color w:val="000000" w:themeColor="text1" w:themeTint="FF" w:themeShade="FF"/>
          <w:sz w:val="28"/>
          <w:szCs w:val="28"/>
        </w:rPr>
        <w:t xml:space="preserve"> </w:t>
      </w:r>
    </w:p>
    <w:p w:rsidR="00D46920" w:rsidP="633035F3" w:rsidRDefault="00D46920" w14:paraId="3A94D737" w14:textId="77777777">
      <w:pPr>
        <w:pStyle w:val="NormalWeb"/>
        <w:spacing w:line="360" w:lineRule="auto"/>
        <w:rPr>
          <w:rFonts w:ascii="Arial Nova" w:hAnsi="Arial Nova" w:eastAsia="Arial Nova" w:cs="Arial Nova"/>
          <w:b w:val="1"/>
          <w:bCs w:val="1"/>
          <w:color w:val="000000"/>
          <w:sz w:val="28"/>
          <w:szCs w:val="28"/>
        </w:rPr>
      </w:pPr>
    </w:p>
    <w:p w:rsidR="00D46920" w:rsidP="633035F3" w:rsidRDefault="00D46920" w14:paraId="23E97EEA" w14:textId="77777777">
      <w:pPr>
        <w:spacing w:line="360" w:lineRule="auto"/>
        <w:rPr>
          <w:rFonts w:ascii="Arial Nova" w:hAnsi="Arial Nova" w:eastAsia="Arial Nova" w:cs="Arial Nova"/>
          <w:b w:val="1"/>
          <w:bCs w:val="1"/>
          <w:sz w:val="28"/>
          <w:szCs w:val="28"/>
        </w:rPr>
      </w:pPr>
    </w:p>
    <w:p w:rsidR="00D46920" w:rsidP="633035F3" w:rsidRDefault="00D46920" w14:paraId="2BB188C7" w14:textId="77777777">
      <w:pPr>
        <w:spacing w:line="360" w:lineRule="auto"/>
        <w:rPr>
          <w:rFonts w:ascii="Arial Nova" w:hAnsi="Arial Nova" w:eastAsia="Arial Nova" w:cs="Arial Nova"/>
          <w:b w:val="1"/>
          <w:bCs w:val="1"/>
          <w:sz w:val="28"/>
          <w:szCs w:val="28"/>
        </w:rPr>
      </w:pPr>
    </w:p>
    <w:p w:rsidR="00D46920" w:rsidP="633035F3" w:rsidRDefault="00D46920" w14:paraId="23C4321B" w14:textId="77777777">
      <w:pPr>
        <w:spacing w:line="360" w:lineRule="auto"/>
        <w:rPr>
          <w:rFonts w:ascii="Arial Nova" w:hAnsi="Arial Nova" w:eastAsia="Arial Nova" w:cs="Arial Nova"/>
          <w:b w:val="1"/>
          <w:bCs w:val="1"/>
          <w:sz w:val="28"/>
          <w:szCs w:val="28"/>
        </w:rPr>
      </w:pPr>
    </w:p>
    <w:p w:rsidR="00D46920" w:rsidP="633035F3" w:rsidRDefault="00D46920" w14:paraId="2DFFC7B2" w14:textId="77777777">
      <w:pPr>
        <w:spacing w:line="360" w:lineRule="auto"/>
        <w:rPr>
          <w:rFonts w:ascii="Arial Nova" w:hAnsi="Arial Nova" w:eastAsia="Arial Nova" w:cs="Arial Nova"/>
          <w:b w:val="1"/>
          <w:bCs w:val="1"/>
          <w:sz w:val="28"/>
          <w:szCs w:val="28"/>
        </w:rPr>
      </w:pPr>
    </w:p>
    <w:p w:rsidR="00D46920" w:rsidP="633035F3" w:rsidRDefault="00D46920" w14:paraId="3EC5A596" w14:textId="77777777">
      <w:pPr>
        <w:spacing w:line="360" w:lineRule="auto"/>
        <w:rPr>
          <w:rFonts w:ascii="Arial Nova" w:hAnsi="Arial Nova" w:eastAsia="Arial Nova" w:cs="Arial Nova"/>
          <w:b w:val="1"/>
          <w:bCs w:val="1"/>
          <w:sz w:val="28"/>
          <w:szCs w:val="28"/>
        </w:rPr>
      </w:pPr>
    </w:p>
    <w:p w:rsidR="008E6EE2" w:rsidP="008E6EE2" w:rsidRDefault="008E6EE2" w14:paraId="000B0E56" w14:textId="4A777C69">
      <w:pPr>
        <w:spacing w:line="360" w:lineRule="auto"/>
        <w:rPr>
          <w:rFonts w:ascii="Arial Nova" w:hAnsi="Arial Nova" w:eastAsia="Arial Nova" w:cs="Arial Nova"/>
          <w:b w:val="1"/>
          <w:bCs w:val="1"/>
          <w:sz w:val="28"/>
          <w:szCs w:val="28"/>
        </w:rPr>
      </w:pPr>
    </w:p>
    <w:p w:rsidR="008E6EE2" w:rsidP="008E6EE2" w:rsidRDefault="008E6EE2" w14:paraId="3B446ADC" w14:textId="78CA8CD6">
      <w:pPr>
        <w:spacing w:line="360" w:lineRule="auto"/>
        <w:rPr>
          <w:rFonts w:ascii="Arial Nova" w:hAnsi="Arial Nova" w:eastAsia="Arial Nova" w:cs="Arial Nova"/>
          <w:b w:val="1"/>
          <w:bCs w:val="1"/>
          <w:sz w:val="28"/>
          <w:szCs w:val="28"/>
        </w:rPr>
      </w:pPr>
    </w:p>
    <w:p w:rsidR="008E6EE2" w:rsidP="008E6EE2" w:rsidRDefault="008E6EE2" w14:paraId="7DE0907A" w14:textId="2311EC55">
      <w:pPr>
        <w:spacing w:line="360" w:lineRule="auto"/>
        <w:rPr>
          <w:rFonts w:ascii="Arial Nova" w:hAnsi="Arial Nova" w:eastAsia="Arial Nova" w:cs="Arial Nova"/>
          <w:b w:val="1"/>
          <w:bCs w:val="1"/>
          <w:sz w:val="28"/>
          <w:szCs w:val="28"/>
        </w:rPr>
      </w:pPr>
    </w:p>
    <w:p w:rsidR="00D46920" w:rsidP="005C28E8" w:rsidRDefault="00D46920" w14:paraId="26ACDFA7" w14:textId="282994E2">
      <w:pPr>
        <w:spacing w:line="360" w:lineRule="auto"/>
      </w:pPr>
      <w:r>
        <w:br/>
      </w:r>
    </w:p>
    <w:p w:rsidR="417DF533" w:rsidP="008E6EE2" w:rsidRDefault="417DF533" w14:paraId="7CD7F060" w14:textId="1F0B796C">
      <w:pPr>
        <w:pStyle w:val="Normal"/>
        <w:spacing w:line="360" w:lineRule="auto"/>
        <w:rPr>
          <w:rFonts w:ascii="Arial" w:hAnsi="Arial" w:eastAsia="Arial" w:cs="Arial"/>
          <w:b w:val="1"/>
          <w:bCs w:val="1"/>
          <w:sz w:val="28"/>
          <w:szCs w:val="28"/>
        </w:rPr>
      </w:pPr>
      <w:r w:rsidRPr="008E6EE2" w:rsidR="417DF533">
        <w:rPr>
          <w:rFonts w:ascii="Arial" w:hAnsi="Arial" w:eastAsia="Arial" w:cs="Arial"/>
          <w:b w:val="1"/>
          <w:bCs w:val="1"/>
          <w:sz w:val="28"/>
          <w:szCs w:val="28"/>
        </w:rPr>
        <w:t>1.</w:t>
      </w:r>
      <w:r w:rsidRPr="008E6EE2" w:rsidR="3DFEF633">
        <w:rPr>
          <w:rFonts w:ascii="Arial" w:hAnsi="Arial" w:eastAsia="Arial" w:cs="Arial"/>
          <w:b w:val="1"/>
          <w:bCs w:val="1"/>
          <w:sz w:val="28"/>
          <w:szCs w:val="28"/>
        </w:rPr>
        <w:t xml:space="preserve">Introduction </w:t>
      </w:r>
    </w:p>
    <w:p w:rsidR="7383EC46" w:rsidP="008E6EE2" w:rsidRDefault="7383EC46" w14:paraId="50A6FC12" w14:textId="0306092E">
      <w:pPr>
        <w:keepNext w:val="0"/>
        <w:keepLines w:val="0"/>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08E6EE2" w:rsidR="7383EC46">
        <w:rPr>
          <w:rFonts w:ascii="Arial" w:hAnsi="Arial" w:eastAsia="Arial" w:cs="Arial"/>
          <w:b w:val="0"/>
          <w:bCs w:val="0"/>
          <w:i w:val="0"/>
          <w:iCs w:val="0"/>
          <w:caps w:val="0"/>
          <w:smallCaps w:val="0"/>
          <w:noProof w:val="0"/>
          <w:color w:val="000000" w:themeColor="text1" w:themeTint="FF" w:themeShade="FF"/>
          <w:sz w:val="22"/>
          <w:szCs w:val="22"/>
          <w:lang w:val="en-GB"/>
        </w:rPr>
        <w:t xml:space="preserve">Early Help has become a central pillar of contemporary safeguarding policy in England, reflecting a shift away from reactive child protection towards earlier, preventative forms of support for children and families. It refers to the range of interventions that are offered at the first sign of emerging need, before difficulties escalate to the point where statutory social care involvement is </w:t>
      </w:r>
      <w:r w:rsidRPr="008E6EE2" w:rsidR="7383EC46">
        <w:rPr>
          <w:rFonts w:ascii="Arial" w:hAnsi="Arial" w:eastAsia="Arial" w:cs="Arial"/>
          <w:b w:val="0"/>
          <w:bCs w:val="0"/>
          <w:i w:val="0"/>
          <w:iCs w:val="0"/>
          <w:caps w:val="0"/>
          <w:smallCaps w:val="0"/>
          <w:noProof w:val="0"/>
          <w:color w:val="000000" w:themeColor="text1" w:themeTint="FF" w:themeShade="FF"/>
          <w:sz w:val="22"/>
          <w:szCs w:val="22"/>
          <w:lang w:val="en-GB"/>
        </w:rPr>
        <w:t>required</w:t>
      </w:r>
      <w:r w:rsidRPr="008E6EE2" w:rsidR="7383EC46">
        <w:rPr>
          <w:rFonts w:ascii="Arial" w:hAnsi="Arial" w:eastAsia="Arial" w:cs="Arial"/>
          <w:b w:val="0"/>
          <w:bCs w:val="0"/>
          <w:i w:val="0"/>
          <w:iCs w:val="0"/>
          <w:caps w:val="0"/>
          <w:smallCaps w:val="0"/>
          <w:noProof w:val="0"/>
          <w:color w:val="000000" w:themeColor="text1" w:themeTint="FF" w:themeShade="FF"/>
          <w:sz w:val="22"/>
          <w:szCs w:val="22"/>
          <w:lang w:val="en-GB"/>
        </w:rPr>
        <w:t xml:space="preserve"> (Department for Levelling Up, Housing and Communities and Department for Education, 2022). Early Help is therefore closely intertwined with the wider strategic safeguarding system, sitting within the same continuum of support and </w:t>
      </w:r>
      <w:r w:rsidRPr="008E6EE2" w:rsidR="7383EC46">
        <w:rPr>
          <w:rFonts w:ascii="Arial" w:hAnsi="Arial" w:eastAsia="Arial" w:cs="Arial"/>
          <w:b w:val="0"/>
          <w:bCs w:val="0"/>
          <w:i w:val="0"/>
          <w:iCs w:val="0"/>
          <w:caps w:val="0"/>
          <w:smallCaps w:val="0"/>
          <w:noProof w:val="0"/>
          <w:color w:val="000000" w:themeColor="text1" w:themeTint="FF" w:themeShade="FF"/>
          <w:sz w:val="22"/>
          <w:szCs w:val="22"/>
          <w:lang w:val="en-GB"/>
        </w:rPr>
        <w:t>operating</w:t>
      </w:r>
      <w:r w:rsidRPr="008E6EE2" w:rsidR="7383EC46">
        <w:rPr>
          <w:rFonts w:ascii="Arial" w:hAnsi="Arial" w:eastAsia="Arial" w:cs="Arial"/>
          <w:b w:val="0"/>
          <w:bCs w:val="0"/>
          <w:i w:val="0"/>
          <w:iCs w:val="0"/>
          <w:caps w:val="0"/>
          <w:smallCaps w:val="0"/>
          <w:noProof w:val="0"/>
          <w:color w:val="000000" w:themeColor="text1" w:themeTint="FF" w:themeShade="FF"/>
          <w:sz w:val="22"/>
          <w:szCs w:val="22"/>
          <w:lang w:val="en-GB"/>
        </w:rPr>
        <w:t xml:space="preserve"> under the shared oversight of local safeguarding partnerships. These arrangements are intended to ensure that agencies work together so that children receive the right help, from the right service, at the right time (Department for Education, 2023). </w:t>
      </w:r>
    </w:p>
    <w:p w:rsidR="7383EC46" w:rsidP="008E6EE2" w:rsidRDefault="7383EC46" w14:paraId="64529615" w14:textId="7C4D1613">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08E6EE2" w:rsidR="7383EC46">
        <w:rPr>
          <w:rFonts w:ascii="Arial" w:hAnsi="Arial" w:eastAsia="Arial" w:cs="Arial"/>
          <w:b w:val="0"/>
          <w:bCs w:val="0"/>
          <w:i w:val="0"/>
          <w:iCs w:val="0"/>
          <w:caps w:val="0"/>
          <w:smallCaps w:val="0"/>
          <w:noProof w:val="0"/>
          <w:color w:val="000000" w:themeColor="text1" w:themeTint="FF" w:themeShade="FF"/>
          <w:sz w:val="22"/>
          <w:szCs w:val="22"/>
          <w:lang w:val="en-GB"/>
        </w:rPr>
        <w:t>This report examines how three local authorities – Norfolk County Council, Leeds City Council and Southwark Council – communicate and signpost their Early Help offer to families through their public websites. These councils were selected because they represent a mix of large metropolitan and shire areas and because they all host a range of family hubs or children’s centres that are intended to act as physical gateways into Early Help support. The report begins by explaining the national Early Help system in more detail and situating it within the wider safeguarding context. It then explores the concept of multi-agency working and why inter-disciplinary collaboration is essential for effective Early Help. The main body of the report evaluates each of the three chosen council websites, before moving on to a comparative analysis of their strengths and weaknesses in terms of clarity, accessibility and alignment with national expectations. The report concludes by identifying which local authority appears to provide the most effective online signposting for families and offers recommendations for how all three could further improve their digital information and guidance.</w:t>
      </w:r>
    </w:p>
    <w:p w:rsidR="7383EC46" w:rsidP="008E6EE2" w:rsidRDefault="7383EC46" w14:paraId="01049338" w14:textId="1F2215D8">
      <w:pPr>
        <w:pStyle w:val="Heading3"/>
        <w:keepNext w:val="0"/>
        <w:keepLines w:val="0"/>
        <w:spacing w:before="281" w:beforeAutospacing="off" w:after="281" w:afterAutospacing="off" w:line="360" w:lineRule="auto"/>
        <w:jc w:val="both"/>
        <w:rPr>
          <w:rFonts w:ascii="Arial" w:hAnsi="Arial" w:eastAsia="Arial" w:cs="Arial"/>
          <w:b w:val="0"/>
          <w:bCs w:val="0"/>
          <w:i w:val="0"/>
          <w:iCs w:val="0"/>
          <w:caps w:val="0"/>
          <w:smallCaps w:val="0"/>
          <w:noProof w:val="0"/>
          <w:color w:val="auto"/>
          <w:sz w:val="28"/>
          <w:szCs w:val="28"/>
          <w:lang w:val="en-GB"/>
        </w:rPr>
      </w:pPr>
      <w:r w:rsidRPr="008E6EE2" w:rsidR="7383EC46">
        <w:rPr>
          <w:rFonts w:ascii="Arial" w:hAnsi="Arial" w:eastAsia="Arial" w:cs="Arial"/>
          <w:b w:val="1"/>
          <w:bCs w:val="1"/>
          <w:i w:val="0"/>
          <w:iCs w:val="0"/>
          <w:caps w:val="0"/>
          <w:smallCaps w:val="0"/>
          <w:noProof w:val="0"/>
          <w:color w:val="auto"/>
          <w:sz w:val="28"/>
          <w:szCs w:val="28"/>
          <w:lang w:val="en-GB"/>
        </w:rPr>
        <w:t>2. The Early Help system</w:t>
      </w:r>
    </w:p>
    <w:p w:rsidR="7383EC46" w:rsidP="008E6EE2" w:rsidRDefault="7383EC46" w14:paraId="6F3AB834" w14:textId="7CC46DF3">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08E6EE2" w:rsidR="7383EC46">
        <w:rPr>
          <w:rFonts w:ascii="Arial" w:hAnsi="Arial" w:eastAsia="Arial" w:cs="Arial"/>
          <w:b w:val="0"/>
          <w:bCs w:val="0"/>
          <w:i w:val="0"/>
          <w:iCs w:val="0"/>
          <w:caps w:val="0"/>
          <w:smallCaps w:val="0"/>
          <w:noProof w:val="0"/>
          <w:color w:val="000000" w:themeColor="text1" w:themeTint="FF" w:themeShade="FF"/>
          <w:sz w:val="22"/>
          <w:szCs w:val="22"/>
          <w:lang w:val="en-GB"/>
        </w:rPr>
        <w:t xml:space="preserve">The Early Help System Guide (Department for Levelling Up, Housing and Communities and Department for Education, 2022) makes it clear that Early Help should not be understood as a single service or team, but rather as a whole system of support that stretches across universal, targeted and specialist provision. At the universal level, families may access health visitors, schools, GP practices, youth services and voluntary organisations without any formal referral. As needs become more pronounced or complex, families may require targeted help, such as parenting programmes, family support workers, or interventions delivered through family hubs and children’s centres. In the most complex situations, where the child is a child in need under section 17 of the Children Act 1989, support may be delivered under a more formal “Family Help” framework while still seeking to avoid compulsory child protection processes (Department for Education, 2023). </w:t>
      </w:r>
    </w:p>
    <w:p w:rsidR="7383EC46" w:rsidP="008E6EE2" w:rsidRDefault="7383EC46" w14:paraId="63F208C6" w14:textId="709CE251">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08E6EE2" w:rsidR="7383EC46">
        <w:rPr>
          <w:rFonts w:ascii="Arial" w:hAnsi="Arial" w:eastAsia="Arial" w:cs="Arial"/>
          <w:b w:val="0"/>
          <w:bCs w:val="0"/>
          <w:i w:val="0"/>
          <w:iCs w:val="0"/>
          <w:caps w:val="0"/>
          <w:smallCaps w:val="0"/>
          <w:noProof w:val="0"/>
          <w:color w:val="000000" w:themeColor="text1" w:themeTint="FF" w:themeShade="FF"/>
          <w:sz w:val="22"/>
          <w:szCs w:val="22"/>
          <w:lang w:val="en-GB"/>
        </w:rPr>
        <w:t xml:space="preserve">A key message within the Early Help System Guide is that the system functions best when services are joined up and families experience a coherent pathway rather than a series of disconnected contacts. One of the main tools for achieving this is the Early Help assessment. Instead of multiple agencies undertaking their own separate assessments, the intention is that the family and professionals work together on a single, holistic assessment that explores strengths, needs and desired outcomes (Barnes and Daniel, 2014). This is then used to co-produce a plan that sets out who will do what, and by when, in order to support change. In many areas this process is underpinned by a “Team Around the Family” model, where practitioners from different agencies meet regularly with the family to review progress and adapt the plan as needed (Brandon et al., 2012). </w:t>
      </w:r>
    </w:p>
    <w:p w:rsidR="7383EC46" w:rsidP="008E6EE2" w:rsidRDefault="7383EC46" w14:paraId="677A206A" w14:textId="69DB5AAE">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08E6EE2" w:rsidR="7383EC46">
        <w:rPr>
          <w:rFonts w:ascii="Arial" w:hAnsi="Arial" w:eastAsia="Arial" w:cs="Arial"/>
          <w:b w:val="0"/>
          <w:bCs w:val="0"/>
          <w:i w:val="0"/>
          <w:iCs w:val="0"/>
          <w:caps w:val="0"/>
          <w:smallCaps w:val="0"/>
          <w:noProof w:val="0"/>
          <w:color w:val="000000" w:themeColor="text1" w:themeTint="FF" w:themeShade="FF"/>
          <w:sz w:val="22"/>
          <w:szCs w:val="22"/>
          <w:lang w:val="en-GB"/>
        </w:rPr>
        <w:t xml:space="preserve">Another central feature of the Early Help system is the appointment of a lead practitioner. This is the professional who takes overall responsibility for coordinating the plan, keeping in touch with the family, and ensuring that other agencies fulfil their agreed roles (Munro, 2011). The lead practitioner role is particularly important in preventing families from having to repeat their story multiple times and in reducing the risk of drift, where several services are involved but no one has a clear overview of the case. Evidence suggests that where Early Help is well coordinated and delivered at the right time, there can be significant benefits in terms of improved parenting, better school attendance, reduced risk of later statutory intervention and cost savings for the local system (Boddy et al., 2009; Hannon et al., 2021). </w:t>
      </w:r>
    </w:p>
    <w:p w:rsidR="7383EC46" w:rsidP="008E6EE2" w:rsidRDefault="7383EC46" w14:paraId="15DB931E" w14:textId="3DD32D09">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08E6EE2" w:rsidR="7383EC46">
        <w:rPr>
          <w:rFonts w:ascii="Arial" w:hAnsi="Arial" w:eastAsia="Arial" w:cs="Arial"/>
          <w:b w:val="0"/>
          <w:bCs w:val="0"/>
          <w:i w:val="0"/>
          <w:iCs w:val="0"/>
          <w:caps w:val="0"/>
          <w:smallCaps w:val="0"/>
          <w:noProof w:val="0"/>
          <w:color w:val="000000" w:themeColor="text1" w:themeTint="FF" w:themeShade="FF"/>
          <w:sz w:val="22"/>
          <w:szCs w:val="22"/>
          <w:lang w:val="en-GB"/>
        </w:rPr>
        <w:t>The Early Help System Guide also emphasises the importance of having a clear local “Early Help offer” that families can understand and access. This should set out what support is available, who it is for, how it can be accessed, and what families can expect from services. In the digital age, local authority websites are a crucial vehicle for communicating this offer. For many families, particularly those anxious about seeking face-to-face support, the website is the first point of contact. It therefore needs to be clear, accessible and reflective of the collaborative ethos set out in national policy (Department for Levelling Up, Housing and Communities and Department for Education, 2022).</w:t>
      </w:r>
    </w:p>
    <w:p w:rsidR="3243184C" w:rsidP="008E6EE2" w:rsidRDefault="3243184C" w14:paraId="044F65E6" w14:textId="587AEC77">
      <w:pPr>
        <w:pStyle w:val="Heading3"/>
        <w:keepNext w:val="0"/>
        <w:keepLines w:val="0"/>
        <w:spacing w:before="281" w:beforeAutospacing="off" w:after="281" w:afterAutospacing="off" w:line="360" w:lineRule="auto"/>
        <w:jc w:val="both"/>
        <w:rPr>
          <w:rFonts w:ascii="Arial" w:hAnsi="Arial" w:eastAsia="Arial" w:cs="Arial"/>
          <w:b w:val="0"/>
          <w:bCs w:val="0"/>
          <w:i w:val="0"/>
          <w:iCs w:val="0"/>
          <w:caps w:val="0"/>
          <w:smallCaps w:val="0"/>
          <w:noProof w:val="0"/>
          <w:color w:val="auto"/>
          <w:sz w:val="28"/>
          <w:szCs w:val="28"/>
          <w:lang w:val="en-GB"/>
        </w:rPr>
      </w:pPr>
      <w:r w:rsidRPr="008E6EE2" w:rsidR="3243184C">
        <w:rPr>
          <w:rFonts w:ascii="Arial" w:hAnsi="Arial" w:eastAsia="Arial" w:cs="Arial"/>
          <w:b w:val="1"/>
          <w:bCs w:val="1"/>
          <w:i w:val="0"/>
          <w:iCs w:val="0"/>
          <w:caps w:val="0"/>
          <w:smallCaps w:val="0"/>
          <w:noProof w:val="0"/>
          <w:color w:val="auto"/>
          <w:sz w:val="28"/>
          <w:szCs w:val="28"/>
          <w:lang w:val="en-GB"/>
        </w:rPr>
        <w:t>3. Multi-agency working</w:t>
      </w:r>
    </w:p>
    <w:p w:rsidR="3243184C" w:rsidP="008E6EE2" w:rsidRDefault="3243184C" w14:paraId="580C2515" w14:textId="2E88C0E3">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08E6EE2" w:rsidR="3243184C">
        <w:rPr>
          <w:rFonts w:ascii="Arial" w:hAnsi="Arial" w:eastAsia="Arial" w:cs="Arial"/>
          <w:b w:val="0"/>
          <w:bCs w:val="0"/>
          <w:i w:val="0"/>
          <w:iCs w:val="0"/>
          <w:caps w:val="0"/>
          <w:smallCaps w:val="0"/>
          <w:noProof w:val="0"/>
          <w:color w:val="000000" w:themeColor="text1" w:themeTint="FF" w:themeShade="FF"/>
          <w:sz w:val="22"/>
          <w:szCs w:val="22"/>
          <w:lang w:val="en-GB"/>
        </w:rPr>
        <w:t xml:space="preserve">Early Help can only work effectively if agencies collaborate rather than operate in silos. Working Together to Safeguard Children (Department for Education, 2023) sets out statutory expectations for multi-agency working. It places a shared responsibility on three “safeguarding partners” – the local authority, the police and the Integrated Care Board – to make joint arrangements for safeguarding and promoting the welfare of children in their area. These arrangements must also involve schools, health providers, youth justice services and the voluntary and community sector, recognising that no single agency can meet the needs of children and families alone (Sidebotham et al., 2016). </w:t>
      </w:r>
    </w:p>
    <w:p w:rsidR="3243184C" w:rsidP="008E6EE2" w:rsidRDefault="3243184C" w14:paraId="639A3F80" w14:textId="0B2AA9E7">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08E6EE2" w:rsidR="3243184C">
        <w:rPr>
          <w:rFonts w:ascii="Arial" w:hAnsi="Arial" w:eastAsia="Arial" w:cs="Arial"/>
          <w:b w:val="0"/>
          <w:bCs w:val="0"/>
          <w:i w:val="0"/>
          <w:iCs w:val="0"/>
          <w:caps w:val="0"/>
          <w:smallCaps w:val="0"/>
          <w:noProof w:val="0"/>
          <w:color w:val="000000" w:themeColor="text1" w:themeTint="FF" w:themeShade="FF"/>
          <w:sz w:val="22"/>
          <w:szCs w:val="22"/>
          <w:lang w:val="en-GB"/>
        </w:rPr>
        <w:t xml:space="preserve">Within this framework, Early Help is closely linked to child protection, not as a separate system but as part of the same continuum. Working Together (Department for Education, 2023) stresses that professionals who work with children should be able to identify emerging needs and share concerns at an early stage so that support can be provided before problems escalate. Clear thresholds are needed to describe when concerns can be managed within universal services, when a coordinated Early Help response is appropriate, and when a statutory child in need or child protection response is required. These thresholds should be jointly agreed by partners and made transparent to practitioners and the public (Brannan, Heflinger and Foster, 2003). </w:t>
      </w:r>
    </w:p>
    <w:p w:rsidR="3243184C" w:rsidP="008E6EE2" w:rsidRDefault="3243184C" w14:paraId="507806A6" w14:textId="2B45A371">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08E6EE2" w:rsidR="3243184C">
        <w:rPr>
          <w:rFonts w:ascii="Arial" w:hAnsi="Arial" w:eastAsia="Arial" w:cs="Arial"/>
          <w:b w:val="0"/>
          <w:bCs w:val="0"/>
          <w:i w:val="0"/>
          <w:iCs w:val="0"/>
          <w:caps w:val="0"/>
          <w:smallCaps w:val="0"/>
          <w:noProof w:val="0"/>
          <w:color w:val="000000" w:themeColor="text1" w:themeTint="FF" w:themeShade="FF"/>
          <w:sz w:val="22"/>
          <w:szCs w:val="22"/>
          <w:lang w:val="en-GB"/>
        </w:rPr>
        <w:t xml:space="preserve">Inter-disciplinary working also involves practical mechanisms such as multi-agency meetings, shared IT systems, and co-located teams. For example, the development of family hubs in many local authorities is intended to bring together early years services, health visiting, parenting support and wider family services under one roof, making it easier for families to access different kinds of help in a single, familiar setting (Hannon et al., 2021). When this works well, families experience a more seamless service and professionals can share information in a timely manner, reducing the risk of important details being missed. However, effective collaboration depends as much on culture and relationships as it does on structures: trust, open communication and a willingness to share responsibility are essential (Brandon et al., 2012). </w:t>
      </w:r>
    </w:p>
    <w:p w:rsidR="3243184C" w:rsidP="008E6EE2" w:rsidRDefault="3243184C" w14:paraId="66B93962" w14:textId="71A55120">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08E6EE2" w:rsidR="3243184C">
        <w:rPr>
          <w:rFonts w:ascii="Arial" w:hAnsi="Arial" w:eastAsia="Arial" w:cs="Arial"/>
          <w:b w:val="0"/>
          <w:bCs w:val="0"/>
          <w:i w:val="0"/>
          <w:iCs w:val="0"/>
          <w:caps w:val="0"/>
          <w:smallCaps w:val="0"/>
          <w:noProof w:val="0"/>
          <w:color w:val="000000" w:themeColor="text1" w:themeTint="FF" w:themeShade="FF"/>
          <w:sz w:val="22"/>
          <w:szCs w:val="22"/>
          <w:lang w:val="en-GB"/>
        </w:rPr>
        <w:t>Local authority websites have an important role to play in reflecting and reinforcing this multi-agency approach. The way Early Help is described online can either support or undermine the notion of a shared, joined-up system. For example, if the website presents Early Help as a discrete council service, separate from schools, health and voluntary groups, this can give a misleading impression of how the system is intended to work. Conversely, if the website highlights the range of partners involved and explains how they work together around the family, it can help to convey the collaborative ethos of the national guidance.</w:t>
      </w:r>
    </w:p>
    <w:p w:rsidR="1F8B4D5D" w:rsidP="008E6EE2" w:rsidRDefault="1F8B4D5D" w14:paraId="0E5EBA4F" w14:textId="60769748">
      <w:pPr>
        <w:pStyle w:val="Heading3"/>
        <w:keepNext w:val="0"/>
        <w:keepLines w:val="0"/>
        <w:spacing w:before="281" w:beforeAutospacing="off" w:after="281" w:afterAutospacing="off" w:line="360" w:lineRule="auto"/>
        <w:jc w:val="both"/>
        <w:rPr>
          <w:rFonts w:ascii="Arial" w:hAnsi="Arial" w:eastAsia="Arial" w:cs="Arial"/>
          <w:b w:val="0"/>
          <w:bCs w:val="0"/>
          <w:i w:val="0"/>
          <w:iCs w:val="0"/>
          <w:caps w:val="0"/>
          <w:smallCaps w:val="0"/>
          <w:noProof w:val="0"/>
          <w:color w:val="auto"/>
          <w:sz w:val="28"/>
          <w:szCs w:val="28"/>
          <w:lang w:val="en-GB"/>
        </w:rPr>
      </w:pPr>
      <w:r w:rsidRPr="008E6EE2" w:rsidR="1F8B4D5D">
        <w:rPr>
          <w:rFonts w:ascii="Arial" w:hAnsi="Arial" w:eastAsia="Arial" w:cs="Arial"/>
          <w:b w:val="1"/>
          <w:bCs w:val="1"/>
          <w:i w:val="0"/>
          <w:iCs w:val="0"/>
          <w:caps w:val="0"/>
          <w:smallCaps w:val="0"/>
          <w:noProof w:val="0"/>
          <w:color w:val="auto"/>
          <w:sz w:val="28"/>
          <w:szCs w:val="28"/>
          <w:lang w:val="en-GB"/>
        </w:rPr>
        <w:t>4. Evaluation of local authority websites</w:t>
      </w:r>
    </w:p>
    <w:p w:rsidR="1F8B4D5D" w:rsidP="008E6EE2" w:rsidRDefault="1F8B4D5D" w14:paraId="624E8609" w14:textId="4399D2A7">
      <w:pPr>
        <w:pStyle w:val="Heading4"/>
        <w:keepNext w:val="0"/>
        <w:keepLines w:val="0"/>
        <w:spacing w:before="319" w:beforeAutospacing="off" w:after="319" w:afterAutospacing="off" w:line="360" w:lineRule="auto"/>
        <w:jc w:val="both"/>
        <w:rPr>
          <w:rFonts w:ascii="Arial" w:hAnsi="Arial" w:eastAsia="Arial" w:cs="Arial"/>
          <w:b w:val="0"/>
          <w:bCs w:val="0"/>
          <w:i w:val="1"/>
          <w:iCs w:val="1"/>
          <w:caps w:val="0"/>
          <w:smallCaps w:val="0"/>
          <w:noProof w:val="0"/>
          <w:color w:val="auto"/>
          <w:sz w:val="24"/>
          <w:szCs w:val="24"/>
          <w:lang w:val="en-GB"/>
        </w:rPr>
      </w:pPr>
      <w:r w:rsidRPr="008E6EE2" w:rsidR="1F8B4D5D">
        <w:rPr>
          <w:rFonts w:ascii="Arial" w:hAnsi="Arial" w:eastAsia="Arial" w:cs="Arial"/>
          <w:b w:val="1"/>
          <w:bCs w:val="1"/>
          <w:i w:val="1"/>
          <w:iCs w:val="1"/>
          <w:caps w:val="0"/>
          <w:smallCaps w:val="0"/>
          <w:noProof w:val="0"/>
          <w:color w:val="auto"/>
          <w:sz w:val="24"/>
          <w:szCs w:val="24"/>
          <w:lang w:val="en-GB"/>
        </w:rPr>
        <w:t>4.1 Norfolk County Council</w:t>
      </w:r>
    </w:p>
    <w:p w:rsidR="1F8B4D5D" w:rsidP="008E6EE2" w:rsidRDefault="1F8B4D5D" w14:paraId="0F3F544B" w14:textId="30752CB2">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08E6EE2" w:rsidR="1F8B4D5D">
        <w:rPr>
          <w:rFonts w:ascii="Arial" w:hAnsi="Arial" w:eastAsia="Arial" w:cs="Arial"/>
          <w:b w:val="0"/>
          <w:bCs w:val="0"/>
          <w:i w:val="0"/>
          <w:iCs w:val="0"/>
          <w:caps w:val="0"/>
          <w:smallCaps w:val="0"/>
          <w:noProof w:val="0"/>
          <w:color w:val="000000" w:themeColor="text1" w:themeTint="FF" w:themeShade="FF"/>
          <w:sz w:val="22"/>
          <w:szCs w:val="22"/>
          <w:lang w:val="en-GB"/>
        </w:rPr>
        <w:t xml:space="preserve">Norfolk County Council’s online information about Early Help is accessed primarily through its “Help for Families” pages. The language used on the landing page is generally clear and accessible, describing Early Help as support that “gives families practical advice and help so that small problems do not become big ones”. This aligns well with the preventative focus of the national guidance and is likely to be reassuring for parents who may be nervous about asking for help (Department for Levelling Up, Housing and Communities and Department for Education, 2022). The page also specifies the age range covered and makes it explicit that young people with special educational needs and disabilities can receive support up to the age of 25, which reflects the extended duties under the Children and Families Act 2014. </w:t>
      </w:r>
    </w:p>
    <w:p w:rsidR="1F8B4D5D" w:rsidP="008E6EE2" w:rsidRDefault="1F8B4D5D" w14:paraId="1EE842F9" w14:textId="2C760F80">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08E6EE2" w:rsidR="1F8B4D5D">
        <w:rPr>
          <w:rFonts w:ascii="Arial" w:hAnsi="Arial" w:eastAsia="Arial" w:cs="Arial"/>
          <w:b w:val="0"/>
          <w:bCs w:val="0"/>
          <w:i w:val="0"/>
          <w:iCs w:val="0"/>
          <w:caps w:val="0"/>
          <w:smallCaps w:val="0"/>
          <w:noProof w:val="0"/>
          <w:color w:val="000000" w:themeColor="text1" w:themeTint="FF" w:themeShade="FF"/>
          <w:sz w:val="22"/>
          <w:szCs w:val="22"/>
          <w:lang w:val="en-GB"/>
        </w:rPr>
        <w:t xml:space="preserve">In terms of navigation, Norfolk’s site is relatively intuitive. From the main Early Help page, users are directed either to information about “family hubs” or to a “request support” link. The family hubs section gives a reasonably detailed overview of what these hubs offer, including support around parenting, finances, health and child development. There is some reference to partnership working, for example through mention of health visitors and voluntary organisations based in the hubs. However, the description focuses more on the range of activities than on the underlying Early Help processes, such as assessment and planning. This means that families gain a good sense of what they might access, but less of an understanding of how the support will be coordinated. </w:t>
      </w:r>
    </w:p>
    <w:p w:rsidR="1F8B4D5D" w:rsidP="008E6EE2" w:rsidRDefault="1F8B4D5D" w14:paraId="48F1529D" w14:textId="0B6B8881">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08E6EE2" w:rsidR="1F8B4D5D">
        <w:rPr>
          <w:rFonts w:ascii="Arial" w:hAnsi="Arial" w:eastAsia="Arial" w:cs="Arial"/>
          <w:b w:val="0"/>
          <w:bCs w:val="0"/>
          <w:i w:val="0"/>
          <w:iCs w:val="0"/>
          <w:caps w:val="0"/>
          <w:smallCaps w:val="0"/>
          <w:noProof w:val="0"/>
          <w:color w:val="000000" w:themeColor="text1" w:themeTint="FF" w:themeShade="FF"/>
          <w:sz w:val="22"/>
          <w:szCs w:val="22"/>
          <w:lang w:val="en-GB"/>
        </w:rPr>
        <w:t xml:space="preserve">The request support page provides information about different referral routes, including self-referral by families and referrals by professionals. Online forms are available and the wording emphasises that families can seek help themselves without needing a professional to do this on their behalf. This is positive in terms of accessibility and empowerment. What is less clear, though, is what families can expect once a request is submitted. There is relatively little information on timescales, on how decisions will be made, or on the possibility of multi-agency meetings and a lead practitioner. In this respect, the site only partially reflects the Early Help System Guide’s emphasis on transparency about how the system works (Department for Levelling Up, Housing and Communities and Department for Education, 2022). </w:t>
      </w:r>
    </w:p>
    <w:p w:rsidR="1F8B4D5D" w:rsidP="008E6EE2" w:rsidRDefault="1F8B4D5D" w14:paraId="20821B3D" w14:textId="270E6192">
      <w:pPr>
        <w:pStyle w:val="Heading4"/>
        <w:keepNext w:val="0"/>
        <w:keepLines w:val="0"/>
        <w:spacing w:before="319" w:beforeAutospacing="off" w:after="319" w:afterAutospacing="off" w:line="360" w:lineRule="auto"/>
        <w:jc w:val="both"/>
        <w:rPr>
          <w:rFonts w:ascii="Arial" w:hAnsi="Arial" w:eastAsia="Arial" w:cs="Arial"/>
          <w:b w:val="0"/>
          <w:bCs w:val="0"/>
          <w:i w:val="1"/>
          <w:iCs w:val="1"/>
          <w:caps w:val="0"/>
          <w:smallCaps w:val="0"/>
          <w:noProof w:val="0"/>
          <w:color w:val="auto"/>
          <w:sz w:val="24"/>
          <w:szCs w:val="24"/>
          <w:lang w:val="en-GB"/>
        </w:rPr>
      </w:pPr>
      <w:r w:rsidRPr="008E6EE2" w:rsidR="1F8B4D5D">
        <w:rPr>
          <w:rFonts w:ascii="Arial" w:hAnsi="Arial" w:eastAsia="Arial" w:cs="Arial"/>
          <w:b w:val="1"/>
          <w:bCs w:val="1"/>
          <w:i w:val="1"/>
          <w:iCs w:val="1"/>
          <w:caps w:val="0"/>
          <w:smallCaps w:val="0"/>
          <w:noProof w:val="0"/>
          <w:color w:val="auto"/>
          <w:sz w:val="24"/>
          <w:szCs w:val="24"/>
          <w:lang w:val="en-GB"/>
        </w:rPr>
        <w:t>4.2 Leeds City Council</w:t>
      </w:r>
    </w:p>
    <w:p w:rsidR="1F8B4D5D" w:rsidP="008E6EE2" w:rsidRDefault="1F8B4D5D" w14:paraId="4D939282" w14:textId="6011C92A">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08E6EE2" w:rsidR="1F8B4D5D">
        <w:rPr>
          <w:rFonts w:ascii="Arial" w:hAnsi="Arial" w:eastAsia="Arial" w:cs="Arial"/>
          <w:b w:val="0"/>
          <w:bCs w:val="0"/>
          <w:i w:val="0"/>
          <w:iCs w:val="0"/>
          <w:caps w:val="0"/>
          <w:smallCaps w:val="0"/>
          <w:noProof w:val="0"/>
          <w:color w:val="000000" w:themeColor="text1" w:themeTint="FF" w:themeShade="FF"/>
          <w:sz w:val="22"/>
          <w:szCs w:val="22"/>
          <w:lang w:val="en-GB"/>
        </w:rPr>
        <w:t xml:space="preserve">Leeds City Council’s website approaches family support through a broad “Children and Families” section, within which “Services for families” provides the main gateway to Early Help-type provision. The site lists an extensive range of support, including family hubs, children’s centres, targeted family support services, youth services and mental health support. This breadth demonstrates that the local authority has a wide Early Help offer in place and gives families numerous options for support. However, the term “Early Help” itself is not prominent. Instead, services are described in generic terms, and there is no clear single page that explains the Early Help system. </w:t>
      </w:r>
    </w:p>
    <w:p w:rsidR="1F8B4D5D" w:rsidP="008E6EE2" w:rsidRDefault="1F8B4D5D" w14:paraId="61979C8A" w14:textId="34B4B5F1">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08E6EE2" w:rsidR="1F8B4D5D">
        <w:rPr>
          <w:rFonts w:ascii="Arial" w:hAnsi="Arial" w:eastAsia="Arial" w:cs="Arial"/>
          <w:b w:val="0"/>
          <w:bCs w:val="0"/>
          <w:i w:val="0"/>
          <w:iCs w:val="0"/>
          <w:caps w:val="0"/>
          <w:smallCaps w:val="0"/>
          <w:noProof w:val="0"/>
          <w:color w:val="000000" w:themeColor="text1" w:themeTint="FF" w:themeShade="FF"/>
          <w:sz w:val="22"/>
          <w:szCs w:val="22"/>
          <w:lang w:val="en-GB"/>
        </w:rPr>
        <w:t xml:space="preserve">The absence of an explicit Early Help narrative has several implications. First, it means that families may struggle to understand how different services fit together as part of a coordinated system. The site functions more as a directory than as an explanation of a pathway. Secondly, there is no obvious description of Early Help assessment, lead practitioner roles or multi-agency planning. While professionals working in the city will be familiar with these processes, a parent browsing the website may not realise that there is a structured framework behind the services listed. This contrasts with national expectations that the Early Help offer should be transparent and underpinned by a shared local model (Department for Education, 2023). </w:t>
      </w:r>
    </w:p>
    <w:p w:rsidR="1F8B4D5D" w:rsidP="008E6EE2" w:rsidRDefault="1F8B4D5D" w14:paraId="0974208A" w14:textId="16E43032">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08E6EE2" w:rsidR="1F8B4D5D">
        <w:rPr>
          <w:rFonts w:ascii="Arial" w:hAnsi="Arial" w:eastAsia="Arial" w:cs="Arial"/>
          <w:b w:val="0"/>
          <w:bCs w:val="0"/>
          <w:i w:val="0"/>
          <w:iCs w:val="0"/>
          <w:caps w:val="0"/>
          <w:smallCaps w:val="0"/>
          <w:noProof w:val="0"/>
          <w:color w:val="000000" w:themeColor="text1" w:themeTint="FF" w:themeShade="FF"/>
          <w:sz w:val="22"/>
          <w:szCs w:val="22"/>
          <w:lang w:val="en-GB"/>
        </w:rPr>
        <w:t xml:space="preserve">Navigation on the Leeds site can also be challenging. Many of the links lead to external organisations or to individual service pages, which can result in users having to click through several layers of information. For confident internet users, this may not be a major obstacle, but for families under stress or with limited digital literacy it risks becoming a barrier to accessing help. There is a clear contact route through the Family Information Service, which is positive, but the overall structure could be more coherent. </w:t>
      </w:r>
    </w:p>
    <w:p w:rsidR="1F8B4D5D" w:rsidP="008E6EE2" w:rsidRDefault="1F8B4D5D" w14:paraId="017CD211" w14:textId="533ECDBC">
      <w:pPr>
        <w:pStyle w:val="Heading4"/>
        <w:keepNext w:val="0"/>
        <w:keepLines w:val="0"/>
        <w:spacing w:before="319" w:beforeAutospacing="off" w:after="319" w:afterAutospacing="off" w:line="360" w:lineRule="auto"/>
        <w:jc w:val="both"/>
        <w:rPr>
          <w:rFonts w:ascii="Arial" w:hAnsi="Arial" w:eastAsia="Arial" w:cs="Arial"/>
          <w:b w:val="0"/>
          <w:bCs w:val="0"/>
          <w:i w:val="1"/>
          <w:iCs w:val="1"/>
          <w:caps w:val="0"/>
          <w:smallCaps w:val="0"/>
          <w:noProof w:val="0"/>
          <w:color w:val="auto"/>
          <w:sz w:val="24"/>
          <w:szCs w:val="24"/>
          <w:lang w:val="en-GB"/>
        </w:rPr>
      </w:pPr>
      <w:r w:rsidRPr="008E6EE2" w:rsidR="1F8B4D5D">
        <w:rPr>
          <w:rFonts w:ascii="Arial" w:hAnsi="Arial" w:eastAsia="Arial" w:cs="Arial"/>
          <w:b w:val="1"/>
          <w:bCs w:val="1"/>
          <w:i w:val="1"/>
          <w:iCs w:val="1"/>
          <w:caps w:val="0"/>
          <w:smallCaps w:val="0"/>
          <w:noProof w:val="0"/>
          <w:color w:val="auto"/>
          <w:sz w:val="24"/>
          <w:szCs w:val="24"/>
          <w:lang w:val="en-GB"/>
        </w:rPr>
        <w:t>4.3 Southwark Council</w:t>
      </w:r>
    </w:p>
    <w:p w:rsidR="1F8B4D5D" w:rsidP="008E6EE2" w:rsidRDefault="1F8B4D5D" w14:paraId="76E01C3F" w14:textId="1CC12A58">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08E6EE2" w:rsidR="1F8B4D5D">
        <w:rPr>
          <w:rFonts w:ascii="Arial" w:hAnsi="Arial" w:eastAsia="Arial" w:cs="Arial"/>
          <w:b w:val="0"/>
          <w:bCs w:val="0"/>
          <w:i w:val="0"/>
          <w:iCs w:val="0"/>
          <w:caps w:val="0"/>
          <w:smallCaps w:val="0"/>
          <w:noProof w:val="0"/>
          <w:color w:val="000000" w:themeColor="text1" w:themeTint="FF" w:themeShade="FF"/>
          <w:sz w:val="22"/>
          <w:szCs w:val="22"/>
          <w:lang w:val="en-GB"/>
        </w:rPr>
        <w:t xml:space="preserve">Southwark Council’s Early Help information is primarily located within its “Children and families” and “Children’s social care” sections. The “About Early Help” page provides a succinct definition, stating that Early Help is support that children and families need “to be healthy, safe and achieve their full potential”. It highlights that support is available for a range of difficulties, such as parenting challenges, emotional wellbeing, school attendance and housing. The age range is also clearly stated, including the extension to 25 for young adults with disabilities, which mirrors statutory guidance (Department for Education, 2023). </w:t>
      </w:r>
    </w:p>
    <w:p w:rsidR="1F8B4D5D" w:rsidP="008E6EE2" w:rsidRDefault="1F8B4D5D" w14:paraId="15E11ADE" w14:textId="1DAC9343">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08E6EE2" w:rsidR="1F8B4D5D">
        <w:rPr>
          <w:rFonts w:ascii="Arial" w:hAnsi="Arial" w:eastAsia="Arial" w:cs="Arial"/>
          <w:b w:val="0"/>
          <w:bCs w:val="0"/>
          <w:i w:val="0"/>
          <w:iCs w:val="0"/>
          <w:caps w:val="0"/>
          <w:smallCaps w:val="0"/>
          <w:noProof w:val="0"/>
          <w:color w:val="000000" w:themeColor="text1" w:themeTint="FF" w:themeShade="FF"/>
          <w:sz w:val="22"/>
          <w:szCs w:val="22"/>
          <w:lang w:val="en-GB"/>
        </w:rPr>
        <w:t xml:space="preserve">One of the strengths of Southwark’s site is that it does attempt to describe the Early Help process as well as the services available. There is reference to what happens if a family needs “extra Early Help”, including the idea of a plan being developed with the family and regular meetings to review progress. This echoes the Team Around the Family and lead practitioner approach set out in the Early Help System Guide and in wider literature on effective early intervention (Barnes and Daniel, 2014; Brandon et al., 2012). Families are informed that they can approach services directly or be referred by professionals, and there is some acknowledgement that information will be shared between agencies where appropriate, which reflects the multi-agency ethos of Working Together (Department for Education, 2023). </w:t>
      </w:r>
    </w:p>
    <w:p w:rsidR="1F8B4D5D" w:rsidP="008E6EE2" w:rsidRDefault="1F8B4D5D" w14:paraId="3E59416E" w14:textId="25D9B34E">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08E6EE2" w:rsidR="1F8B4D5D">
        <w:rPr>
          <w:rFonts w:ascii="Arial" w:hAnsi="Arial" w:eastAsia="Arial" w:cs="Arial"/>
          <w:b w:val="0"/>
          <w:bCs w:val="0"/>
          <w:i w:val="0"/>
          <w:iCs w:val="0"/>
          <w:caps w:val="0"/>
          <w:smallCaps w:val="0"/>
          <w:noProof w:val="0"/>
          <w:color w:val="000000" w:themeColor="text1" w:themeTint="FF" w:themeShade="FF"/>
          <w:sz w:val="22"/>
          <w:szCs w:val="22"/>
          <w:lang w:val="en-GB"/>
        </w:rPr>
        <w:t>However, the structure of Southwark’s pages is somewhat fragmented. Information about universal services, family hubs and more targeted Early Help is spread across different sections, requiring users to move between them to gain a full picture of the offer. There is also limited use of visual tools such as diagrams or maps. For example, although family hubs are mentioned, there is no interactive map or postcode search tool to help families locate their nearest hub quickly. The overall effect is that while the substantive content is relatively strong, the user journey is not as smooth as it could be.</w:t>
      </w:r>
    </w:p>
    <w:p w:rsidR="56C10E2C" w:rsidP="008E6EE2" w:rsidRDefault="56C10E2C" w14:paraId="054F89D5" w14:textId="7AA99707">
      <w:pPr>
        <w:pStyle w:val="Heading3"/>
        <w:keepNext w:val="0"/>
        <w:keepLines w:val="0"/>
        <w:spacing w:before="281" w:beforeAutospacing="off" w:after="281" w:afterAutospacing="off" w:line="360" w:lineRule="auto"/>
        <w:jc w:val="both"/>
        <w:rPr>
          <w:rFonts w:ascii="Arial" w:hAnsi="Arial" w:eastAsia="Arial" w:cs="Arial"/>
          <w:b w:val="0"/>
          <w:bCs w:val="0"/>
          <w:i w:val="0"/>
          <w:iCs w:val="0"/>
          <w:caps w:val="0"/>
          <w:smallCaps w:val="0"/>
          <w:noProof w:val="0"/>
          <w:color w:val="auto"/>
          <w:sz w:val="28"/>
          <w:szCs w:val="28"/>
          <w:lang w:val="en-GB"/>
        </w:rPr>
      </w:pPr>
      <w:r w:rsidRPr="008E6EE2" w:rsidR="56C10E2C">
        <w:rPr>
          <w:rFonts w:ascii="Arial" w:hAnsi="Arial" w:eastAsia="Arial" w:cs="Arial"/>
          <w:b w:val="1"/>
          <w:bCs w:val="1"/>
          <w:i w:val="0"/>
          <w:iCs w:val="0"/>
          <w:caps w:val="0"/>
          <w:smallCaps w:val="0"/>
          <w:noProof w:val="0"/>
          <w:color w:val="auto"/>
          <w:sz w:val="28"/>
          <w:szCs w:val="28"/>
          <w:lang w:val="en-GB"/>
        </w:rPr>
        <w:t>5. Comparative analysis</w:t>
      </w:r>
    </w:p>
    <w:p w:rsidR="56C10E2C" w:rsidP="008E6EE2" w:rsidRDefault="56C10E2C" w14:paraId="28FF7CF9" w14:textId="144AAA08">
      <w:pPr>
        <w:pStyle w:val="Normal"/>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08E6EE2" w:rsidR="56C10E2C">
        <w:rPr>
          <w:rFonts w:ascii="Arial" w:hAnsi="Arial" w:eastAsia="Arial" w:cs="Arial"/>
          <w:b w:val="0"/>
          <w:bCs w:val="0"/>
          <w:i w:val="0"/>
          <w:iCs w:val="0"/>
          <w:caps w:val="0"/>
          <w:smallCaps w:val="0"/>
          <w:noProof w:val="0"/>
          <w:color w:val="000000" w:themeColor="text1" w:themeTint="FF" w:themeShade="FF"/>
          <w:sz w:val="22"/>
          <w:szCs w:val="22"/>
          <w:lang w:val="en-GB"/>
        </w:rPr>
        <w:t xml:space="preserve">When the three local authority websites are considered together, several themes </w:t>
      </w:r>
      <w:r w:rsidRPr="008E6EE2" w:rsidR="56C10E2C">
        <w:rPr>
          <w:rFonts w:ascii="Arial" w:hAnsi="Arial" w:eastAsia="Arial" w:cs="Arial"/>
          <w:b w:val="0"/>
          <w:bCs w:val="0"/>
          <w:i w:val="0"/>
          <w:iCs w:val="0"/>
          <w:caps w:val="0"/>
          <w:smallCaps w:val="0"/>
          <w:noProof w:val="0"/>
          <w:color w:val="000000" w:themeColor="text1" w:themeTint="FF" w:themeShade="FF"/>
          <w:sz w:val="22"/>
          <w:szCs w:val="22"/>
          <w:lang w:val="en-GB"/>
        </w:rPr>
        <w:t>emerge</w:t>
      </w:r>
      <w:r w:rsidRPr="008E6EE2" w:rsidR="56C10E2C">
        <w:rPr>
          <w:rFonts w:ascii="Arial" w:hAnsi="Arial" w:eastAsia="Arial" w:cs="Arial"/>
          <w:b w:val="0"/>
          <w:bCs w:val="0"/>
          <w:i w:val="0"/>
          <w:iCs w:val="0"/>
          <w:caps w:val="0"/>
          <w:smallCaps w:val="0"/>
          <w:noProof w:val="0"/>
          <w:color w:val="000000" w:themeColor="text1" w:themeTint="FF" w:themeShade="FF"/>
          <w:sz w:val="22"/>
          <w:szCs w:val="22"/>
          <w:lang w:val="en-GB"/>
        </w:rPr>
        <w:t>. In terms of clarity and explanation of Early Help, Norfolk and Southwark perform better than Leeds. Both Norfolk and Southwark explicitly use the term “Early Help” and offer simple definitions that align with the preventative, supportive ethos found in national guidance (Department for Levelling Up, Housing and Communities and Department for Education, 2022). Leeds, by contrast, presents a wide range of services but does not explicitly frame them as part of an Early Help system. This risks families seeing services as isolated options rather than parts of a coordinated response.</w:t>
      </w:r>
    </w:p>
    <w:p w:rsidR="56C10E2C" w:rsidP="008E6EE2" w:rsidRDefault="56C10E2C" w14:paraId="0C10DD38" w14:textId="76E285A4">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08E6EE2" w:rsidR="56C10E2C">
        <w:rPr>
          <w:rFonts w:ascii="Arial" w:hAnsi="Arial" w:eastAsia="Arial" w:cs="Arial"/>
          <w:b w:val="0"/>
          <w:bCs w:val="0"/>
          <w:i w:val="0"/>
          <w:iCs w:val="0"/>
          <w:caps w:val="0"/>
          <w:smallCaps w:val="0"/>
          <w:noProof w:val="0"/>
          <w:color w:val="000000" w:themeColor="text1" w:themeTint="FF" w:themeShade="FF"/>
          <w:sz w:val="22"/>
          <w:szCs w:val="22"/>
          <w:lang w:val="en-GB"/>
        </w:rPr>
        <w:t>In relation to the explanation of process, Southwark arguably goes furthest. It offers some description of what happens when a family requires extra Early Help, including references to plans and meetings. This gives families at least a sense that there is a structured, collaborative process behind the support. Norfolk, while welcoming and clear about what is on offer, is less detailed about what happens after a request is made. Leeds provides minimal information on assessment and planning processes, focusing instead on listing services and contact details. Overall, none of the three councils fully meet the Early Help System Guide’s ambition for transparent, system-level explanations for families, but Southwark and Norfolk come closer than Leeds.</w:t>
      </w:r>
    </w:p>
    <w:p w:rsidR="56C10E2C" w:rsidP="008E6EE2" w:rsidRDefault="56C10E2C" w14:paraId="47BE83BA" w14:textId="5DED0CC3">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08E6EE2" w:rsidR="56C10E2C">
        <w:rPr>
          <w:rFonts w:ascii="Arial" w:hAnsi="Arial" w:eastAsia="Arial" w:cs="Arial"/>
          <w:b w:val="0"/>
          <w:bCs w:val="0"/>
          <w:i w:val="0"/>
          <w:iCs w:val="0"/>
          <w:caps w:val="0"/>
          <w:smallCaps w:val="0"/>
          <w:noProof w:val="0"/>
          <w:color w:val="000000" w:themeColor="text1" w:themeTint="FF" w:themeShade="FF"/>
          <w:sz w:val="22"/>
          <w:szCs w:val="22"/>
          <w:lang w:val="en-GB"/>
        </w:rPr>
        <w:t>Considering navigation and accessibility, Norfolk’s website appears the most intuitive. From a single landing page, users are quickly directed either to information about family hubs or to a referral route. The number of clicks required to access key information is relatively small, which is likely to be important for families in distress. Southwark’s site, though containing useful information, is more fragmented, requiring users to move between several subsections to piece together the full picture. Leeds, meanwhile, provides a large amount of content but distributes it across numerous pages and external links, which can be difficult to navigate without a very clear sense of what one is looking for.</w:t>
      </w:r>
    </w:p>
    <w:p w:rsidR="56C10E2C" w:rsidP="008E6EE2" w:rsidRDefault="56C10E2C" w14:paraId="0F07EA86" w14:textId="4491BA0E">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08E6EE2" w:rsidR="56C10E2C">
        <w:rPr>
          <w:rFonts w:ascii="Arial" w:hAnsi="Arial" w:eastAsia="Arial" w:cs="Arial"/>
          <w:b w:val="0"/>
          <w:bCs w:val="0"/>
          <w:i w:val="0"/>
          <w:iCs w:val="0"/>
          <w:caps w:val="0"/>
          <w:smallCaps w:val="0"/>
          <w:noProof w:val="0"/>
          <w:color w:val="000000" w:themeColor="text1" w:themeTint="FF" w:themeShade="FF"/>
          <w:sz w:val="22"/>
          <w:szCs w:val="22"/>
          <w:lang w:val="en-GB"/>
        </w:rPr>
        <w:t xml:space="preserve">Finally, in terms of reflecting multi-agency working, all three councils could strengthen their online communication. Partnership working is implied through references to health professionals, schools, and voluntary organisations, but there is limited explicit explanation of how these agencies collaborate around the family, how information is shared, or how thresholds between different levels of support are managed. Given the emphasis in </w:t>
      </w:r>
      <w:r w:rsidRPr="008E6EE2" w:rsidR="56C10E2C">
        <w:rPr>
          <w:rFonts w:ascii="Arial" w:hAnsi="Arial" w:eastAsia="Arial" w:cs="Arial"/>
          <w:b w:val="0"/>
          <w:bCs w:val="0"/>
          <w:i w:val="1"/>
          <w:iCs w:val="1"/>
          <w:caps w:val="0"/>
          <w:smallCaps w:val="0"/>
          <w:noProof w:val="0"/>
          <w:color w:val="000000" w:themeColor="text1" w:themeTint="FF" w:themeShade="FF"/>
          <w:sz w:val="22"/>
          <w:szCs w:val="22"/>
          <w:lang w:val="en-GB"/>
        </w:rPr>
        <w:t>Working Together</w:t>
      </w:r>
      <w:r w:rsidRPr="008E6EE2" w:rsidR="56C10E2C">
        <w:rPr>
          <w:rFonts w:ascii="Arial" w:hAnsi="Arial" w:eastAsia="Arial" w:cs="Arial"/>
          <w:b w:val="0"/>
          <w:bCs w:val="0"/>
          <w:i w:val="0"/>
          <w:iCs w:val="0"/>
          <w:caps w:val="0"/>
          <w:smallCaps w:val="0"/>
          <w:noProof w:val="0"/>
          <w:color w:val="000000" w:themeColor="text1" w:themeTint="FF" w:themeShade="FF"/>
          <w:sz w:val="22"/>
          <w:szCs w:val="22"/>
          <w:lang w:val="en-GB"/>
        </w:rPr>
        <w:t xml:space="preserve"> on joint thresholds and shared responsibility (Department for Education, 2023), there is scope for all three websites to do more to convey the collaborative nature of Early Help.</w:t>
      </w:r>
    </w:p>
    <w:p w:rsidR="56C10E2C" w:rsidP="008E6EE2" w:rsidRDefault="56C10E2C" w14:paraId="31BD7998" w14:textId="7273F364">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08E6EE2" w:rsidR="56C10E2C">
        <w:rPr>
          <w:rFonts w:ascii="Arial" w:hAnsi="Arial" w:eastAsia="Arial" w:cs="Arial"/>
          <w:b w:val="0"/>
          <w:bCs w:val="0"/>
          <w:i w:val="0"/>
          <w:iCs w:val="0"/>
          <w:caps w:val="0"/>
          <w:smallCaps w:val="0"/>
          <w:noProof w:val="0"/>
          <w:color w:val="000000" w:themeColor="text1" w:themeTint="FF" w:themeShade="FF"/>
          <w:sz w:val="22"/>
          <w:szCs w:val="22"/>
          <w:lang w:val="en-GB"/>
        </w:rPr>
        <w:t xml:space="preserve">On balance, Norfolk appears to offer the most accessible and user-friendly online information for families, with Southwark close behind in terms of process explanation but less strong in navigation. Leeds has many strengths in terms of the breadth of its provision, yet its website does not currently provide a clear, coherent narrative of the Early Help system. </w:t>
      </w:r>
    </w:p>
    <w:p w:rsidR="56C10E2C" w:rsidP="008E6EE2" w:rsidRDefault="56C10E2C" w14:paraId="0734C89E" w14:textId="766D2FCC">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08E6EE2" w:rsidR="56C10E2C">
        <w:rPr>
          <w:rFonts w:ascii="Arial" w:hAnsi="Arial" w:eastAsia="Arial" w:cs="Arial"/>
          <w:b w:val="0"/>
          <w:bCs w:val="0"/>
          <w:i w:val="0"/>
          <w:iCs w:val="0"/>
          <w:caps w:val="0"/>
          <w:smallCaps w:val="0"/>
          <w:noProof w:val="0"/>
          <w:color w:val="000000" w:themeColor="text1" w:themeTint="FF" w:themeShade="FF"/>
          <w:sz w:val="22"/>
          <w:szCs w:val="22"/>
          <w:lang w:val="en-GB"/>
        </w:rPr>
        <w:t>The following table summarizes the comparative analysis of each council's performance across key criteria:</w:t>
      </w:r>
    </w:p>
    <w:tbl>
      <w:tblPr>
        <w:tblStyle w:val="TableGrid"/>
        <w:tblW w:w="0" w:type="auto"/>
        <w:tblLook w:val="06A0" w:firstRow="1" w:lastRow="0" w:firstColumn="1" w:lastColumn="0" w:noHBand="1" w:noVBand="1"/>
      </w:tblPr>
      <w:tblGrid>
        <w:gridCol w:w="2614"/>
        <w:gridCol w:w="2614"/>
        <w:gridCol w:w="2614"/>
        <w:gridCol w:w="2728"/>
      </w:tblGrid>
      <w:tr w:rsidR="008E6EE2" w:rsidTr="008E6EE2" w14:paraId="41D07343">
        <w:trPr>
          <w:trHeight w:val="300"/>
        </w:trPr>
        <w:tc>
          <w:tcPr>
            <w:tcW w:w="2614" w:type="dxa"/>
            <w:tcMar/>
          </w:tcPr>
          <w:p w:rsidR="35846B2D" w:rsidP="008E6EE2" w:rsidRDefault="35846B2D" w14:paraId="41890A25" w14:textId="025A0A1B">
            <w:pPr>
              <w:pStyle w:val="Normal"/>
              <w:keepNext w:val="0"/>
              <w:keepLines w:val="0"/>
              <w:spacing w:line="360" w:lineRule="auto"/>
              <w:jc w:val="both"/>
              <w:rPr>
                <w:rFonts w:ascii="Arial" w:hAnsi="Arial" w:eastAsia="Arial" w:cs="Arial"/>
                <w:b w:val="1"/>
                <w:bCs w:val="1"/>
                <w:i w:val="0"/>
                <w:iCs w:val="0"/>
                <w:caps w:val="0"/>
                <w:smallCaps w:val="0"/>
                <w:noProof w:val="0"/>
                <w:color w:val="auto"/>
                <w:sz w:val="24"/>
                <w:szCs w:val="24"/>
                <w:lang w:val="en-GB"/>
              </w:rPr>
            </w:pPr>
            <w:r w:rsidRPr="008E6EE2" w:rsidR="35846B2D">
              <w:rPr>
                <w:rFonts w:ascii="Arial" w:hAnsi="Arial" w:eastAsia="Arial" w:cs="Arial"/>
                <w:b w:val="1"/>
                <w:bCs w:val="1"/>
                <w:i w:val="0"/>
                <w:iCs w:val="0"/>
                <w:caps w:val="0"/>
                <w:smallCaps w:val="0"/>
                <w:noProof w:val="0"/>
                <w:color w:val="auto"/>
                <w:sz w:val="24"/>
                <w:szCs w:val="24"/>
                <w:lang w:val="en-GB"/>
              </w:rPr>
              <w:t xml:space="preserve">Criteria </w:t>
            </w:r>
          </w:p>
        </w:tc>
        <w:tc>
          <w:tcPr>
            <w:tcW w:w="2614" w:type="dxa"/>
            <w:tcMar/>
          </w:tcPr>
          <w:p w:rsidR="35846B2D" w:rsidP="008E6EE2" w:rsidRDefault="35846B2D" w14:paraId="716E09B9" w14:textId="2098F48E">
            <w:pPr>
              <w:pStyle w:val="Normal"/>
              <w:keepNext w:val="0"/>
              <w:keepLines w:val="0"/>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008E6EE2" w:rsidR="35846B2D">
              <w:rPr>
                <w:rFonts w:ascii="Arial" w:hAnsi="Arial" w:eastAsia="Arial" w:cs="Arial"/>
                <w:b w:val="1"/>
                <w:bCs w:val="1"/>
                <w:i w:val="0"/>
                <w:iCs w:val="0"/>
                <w:caps w:val="0"/>
                <w:smallCaps w:val="0"/>
                <w:noProof w:val="0"/>
                <w:color w:val="000000" w:themeColor="text1" w:themeTint="FF" w:themeShade="FF"/>
                <w:sz w:val="24"/>
                <w:szCs w:val="24"/>
                <w:lang w:val="en-GB"/>
              </w:rPr>
              <w:t xml:space="preserve">Norfolk </w:t>
            </w:r>
          </w:p>
        </w:tc>
        <w:tc>
          <w:tcPr>
            <w:tcW w:w="2614" w:type="dxa"/>
            <w:tcMar/>
          </w:tcPr>
          <w:p w:rsidR="35846B2D" w:rsidP="008E6EE2" w:rsidRDefault="35846B2D" w14:paraId="719E67A4" w14:textId="430EC2E7">
            <w:pPr>
              <w:pStyle w:val="Normal"/>
              <w:keepNext w:val="0"/>
              <w:keepLines w:val="0"/>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008E6EE2" w:rsidR="35846B2D">
              <w:rPr>
                <w:rFonts w:ascii="Arial" w:hAnsi="Arial" w:eastAsia="Arial" w:cs="Arial"/>
                <w:b w:val="1"/>
                <w:bCs w:val="1"/>
                <w:i w:val="0"/>
                <w:iCs w:val="0"/>
                <w:caps w:val="0"/>
                <w:smallCaps w:val="0"/>
                <w:noProof w:val="0"/>
                <w:color w:val="000000" w:themeColor="text1" w:themeTint="FF" w:themeShade="FF"/>
                <w:sz w:val="24"/>
                <w:szCs w:val="24"/>
                <w:lang w:val="en-GB"/>
              </w:rPr>
              <w:t xml:space="preserve">Southwark </w:t>
            </w:r>
          </w:p>
        </w:tc>
        <w:tc>
          <w:tcPr>
            <w:tcW w:w="2728" w:type="dxa"/>
            <w:tcMar/>
          </w:tcPr>
          <w:p w:rsidR="35846B2D" w:rsidP="008E6EE2" w:rsidRDefault="35846B2D" w14:paraId="7796175B" w14:textId="7EC76D9C">
            <w:pPr>
              <w:pStyle w:val="Normal"/>
              <w:keepNext w:val="0"/>
              <w:keepLines w:val="0"/>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008E6EE2" w:rsidR="35846B2D">
              <w:rPr>
                <w:rFonts w:ascii="Arial" w:hAnsi="Arial" w:eastAsia="Arial" w:cs="Arial"/>
                <w:b w:val="1"/>
                <w:bCs w:val="1"/>
                <w:i w:val="0"/>
                <w:iCs w:val="0"/>
                <w:caps w:val="0"/>
                <w:smallCaps w:val="0"/>
                <w:noProof w:val="0"/>
                <w:color w:val="000000" w:themeColor="text1" w:themeTint="FF" w:themeShade="FF"/>
                <w:sz w:val="24"/>
                <w:szCs w:val="24"/>
                <w:lang w:val="en-GB"/>
              </w:rPr>
              <w:t xml:space="preserve">Leeds </w:t>
            </w:r>
          </w:p>
        </w:tc>
      </w:tr>
      <w:tr w:rsidR="008E6EE2" w:rsidTr="008E6EE2" w14:paraId="71BD4E42">
        <w:trPr>
          <w:trHeight w:val="300"/>
        </w:trPr>
        <w:tc>
          <w:tcPr>
            <w:tcW w:w="2614" w:type="dxa"/>
            <w:tcMar/>
          </w:tcPr>
          <w:p w:rsidR="35846B2D" w:rsidP="008E6EE2" w:rsidRDefault="35846B2D" w14:paraId="33D87E8D" w14:textId="5DE009F4">
            <w:pPr>
              <w:pStyle w:val="Normal"/>
              <w:keepNext w:val="0"/>
              <w:keepLines w:val="0"/>
              <w:spacing w:line="360" w:lineRule="auto"/>
              <w:jc w:val="both"/>
              <w:rPr>
                <w:rFonts w:ascii="Arial" w:hAnsi="Arial" w:eastAsia="Arial" w:cs="Arial"/>
                <w:b w:val="1"/>
                <w:bCs w:val="1"/>
                <w:i w:val="0"/>
                <w:iCs w:val="0"/>
                <w:caps w:val="0"/>
                <w:smallCaps w:val="0"/>
                <w:noProof w:val="0"/>
                <w:color w:val="auto"/>
                <w:sz w:val="22"/>
                <w:szCs w:val="22"/>
                <w:lang w:val="en-GB"/>
              </w:rPr>
            </w:pPr>
            <w:r w:rsidRPr="008E6EE2" w:rsidR="35846B2D">
              <w:rPr>
                <w:rFonts w:ascii="Arial" w:hAnsi="Arial" w:eastAsia="Arial" w:cs="Arial"/>
                <w:b w:val="1"/>
                <w:bCs w:val="1"/>
                <w:i w:val="0"/>
                <w:iCs w:val="0"/>
                <w:caps w:val="0"/>
                <w:smallCaps w:val="0"/>
                <w:noProof w:val="0"/>
                <w:color w:val="auto"/>
                <w:sz w:val="22"/>
                <w:szCs w:val="22"/>
                <w:lang w:val="en-GB"/>
              </w:rPr>
              <w:t xml:space="preserve">Clarity of Early Help </w:t>
            </w:r>
          </w:p>
        </w:tc>
        <w:tc>
          <w:tcPr>
            <w:tcW w:w="2614" w:type="dxa"/>
            <w:tcMar/>
          </w:tcPr>
          <w:p w:rsidR="008E6EE2" w:rsidP="008E6EE2" w:rsidRDefault="008E6EE2" w14:paraId="0A3E5301" w14:textId="59E04051">
            <w:pPr>
              <w:keepNext w:val="0"/>
              <w:keepLines w:val="0"/>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2"/>
                <w:szCs w:val="22"/>
                <w:lang w:val="en-GB"/>
              </w:rPr>
            </w:pPr>
            <w:r w:rsidRPr="008E6EE2" w:rsidR="008E6EE2">
              <w:rPr>
                <w:rFonts w:ascii="Arial" w:hAnsi="Arial" w:eastAsia="Arial" w:cs="Arial"/>
                <w:b w:val="0"/>
                <w:bCs w:val="0"/>
                <w:i w:val="0"/>
                <w:iCs w:val="0"/>
                <w:caps w:val="0"/>
                <w:smallCaps w:val="0"/>
                <w:color w:val="000000" w:themeColor="text1" w:themeTint="FF" w:themeShade="FF"/>
                <w:sz w:val="22"/>
                <w:szCs w:val="22"/>
                <w:lang w:val="en-GB"/>
              </w:rPr>
              <w:t>Explicitly uses "Early Help" with clear definitions.</w:t>
            </w:r>
          </w:p>
        </w:tc>
        <w:tc>
          <w:tcPr>
            <w:tcW w:w="2614" w:type="dxa"/>
            <w:tcMar/>
          </w:tcPr>
          <w:p w:rsidR="008E6EE2" w:rsidP="008E6EE2" w:rsidRDefault="008E6EE2" w14:paraId="74F50B0C" w14:textId="096CC749">
            <w:pPr>
              <w:keepNext w:val="0"/>
              <w:keepLines w:val="0"/>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2"/>
                <w:szCs w:val="22"/>
                <w:lang w:val="en-GB"/>
              </w:rPr>
            </w:pPr>
            <w:r w:rsidRPr="008E6EE2" w:rsidR="008E6EE2">
              <w:rPr>
                <w:rFonts w:ascii="Arial" w:hAnsi="Arial" w:eastAsia="Arial" w:cs="Arial"/>
                <w:b w:val="0"/>
                <w:bCs w:val="0"/>
                <w:i w:val="0"/>
                <w:iCs w:val="0"/>
                <w:caps w:val="0"/>
                <w:smallCaps w:val="0"/>
                <w:color w:val="000000" w:themeColor="text1" w:themeTint="FF" w:themeShade="FF"/>
                <w:sz w:val="22"/>
                <w:szCs w:val="22"/>
                <w:lang w:val="en-GB"/>
              </w:rPr>
              <w:t>Explicitly uses "Early Help" with clear definitions.</w:t>
            </w:r>
          </w:p>
        </w:tc>
        <w:tc>
          <w:tcPr>
            <w:tcW w:w="2728" w:type="dxa"/>
            <w:tcMar/>
          </w:tcPr>
          <w:p w:rsidR="008E6EE2" w:rsidP="008E6EE2" w:rsidRDefault="008E6EE2" w14:paraId="0594C9C2" w14:textId="0D3683C4">
            <w:pPr>
              <w:keepNext w:val="0"/>
              <w:keepLines w:val="0"/>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2"/>
                <w:szCs w:val="22"/>
                <w:lang w:val="en-GB"/>
              </w:rPr>
            </w:pPr>
            <w:r w:rsidRPr="008E6EE2" w:rsidR="008E6EE2">
              <w:rPr>
                <w:rFonts w:ascii="Arial" w:hAnsi="Arial" w:eastAsia="Arial" w:cs="Arial"/>
                <w:b w:val="0"/>
                <w:bCs w:val="0"/>
                <w:i w:val="0"/>
                <w:iCs w:val="0"/>
                <w:caps w:val="0"/>
                <w:smallCaps w:val="0"/>
                <w:color w:val="000000" w:themeColor="text1" w:themeTint="FF" w:themeShade="FF"/>
                <w:sz w:val="22"/>
                <w:szCs w:val="22"/>
                <w:lang w:val="en-GB"/>
              </w:rPr>
              <w:t>Does not explicitly frame services as Early Help.</w:t>
            </w:r>
          </w:p>
        </w:tc>
      </w:tr>
      <w:tr w:rsidR="008E6EE2" w:rsidTr="008E6EE2" w14:paraId="0D0599F1">
        <w:trPr>
          <w:trHeight w:val="300"/>
        </w:trPr>
        <w:tc>
          <w:tcPr>
            <w:tcW w:w="2614" w:type="dxa"/>
            <w:tcMar/>
          </w:tcPr>
          <w:p w:rsidR="35846B2D" w:rsidP="008E6EE2" w:rsidRDefault="35846B2D" w14:paraId="7C7E2226" w14:textId="06207B74">
            <w:pPr>
              <w:pStyle w:val="Normal"/>
              <w:keepNext w:val="0"/>
              <w:keepLines w:val="0"/>
              <w:spacing w:line="360" w:lineRule="auto"/>
              <w:jc w:val="both"/>
              <w:rPr>
                <w:rFonts w:ascii="Arial" w:hAnsi="Arial" w:eastAsia="Arial" w:cs="Arial"/>
                <w:b w:val="1"/>
                <w:bCs w:val="1"/>
                <w:i w:val="0"/>
                <w:iCs w:val="0"/>
                <w:caps w:val="0"/>
                <w:smallCaps w:val="0"/>
                <w:noProof w:val="0"/>
                <w:color w:val="auto"/>
                <w:sz w:val="22"/>
                <w:szCs w:val="22"/>
                <w:lang w:val="en-GB"/>
              </w:rPr>
            </w:pPr>
            <w:r w:rsidRPr="008E6EE2" w:rsidR="35846B2D">
              <w:rPr>
                <w:rFonts w:ascii="Arial" w:hAnsi="Arial" w:eastAsia="Arial" w:cs="Arial"/>
                <w:b w:val="1"/>
                <w:bCs w:val="1"/>
                <w:i w:val="0"/>
                <w:iCs w:val="0"/>
                <w:caps w:val="0"/>
                <w:smallCaps w:val="0"/>
                <w:noProof w:val="0"/>
                <w:color w:val="auto"/>
                <w:sz w:val="22"/>
                <w:szCs w:val="22"/>
                <w:lang w:val="en-GB"/>
              </w:rPr>
              <w:t>Explanation of Process</w:t>
            </w:r>
          </w:p>
        </w:tc>
        <w:tc>
          <w:tcPr>
            <w:tcW w:w="2614" w:type="dxa"/>
            <w:tcMar/>
          </w:tcPr>
          <w:p w:rsidR="008E6EE2" w:rsidP="008E6EE2" w:rsidRDefault="008E6EE2" w14:paraId="08DBA4E0" w14:textId="07E44A6C">
            <w:pPr>
              <w:keepNext w:val="0"/>
              <w:keepLines w:val="0"/>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2"/>
                <w:szCs w:val="22"/>
                <w:lang w:val="en-GB"/>
              </w:rPr>
            </w:pPr>
            <w:r w:rsidRPr="008E6EE2" w:rsidR="008E6EE2">
              <w:rPr>
                <w:rFonts w:ascii="Arial" w:hAnsi="Arial" w:eastAsia="Arial" w:cs="Arial"/>
                <w:b w:val="0"/>
                <w:bCs w:val="0"/>
                <w:i w:val="0"/>
                <w:iCs w:val="0"/>
                <w:caps w:val="0"/>
                <w:smallCaps w:val="0"/>
                <w:color w:val="000000" w:themeColor="text1" w:themeTint="FF" w:themeShade="FF"/>
                <w:sz w:val="22"/>
                <w:szCs w:val="22"/>
                <w:lang w:val="en-GB"/>
              </w:rPr>
              <w:t>Welcoming but less detailed on post-request steps.</w:t>
            </w:r>
          </w:p>
        </w:tc>
        <w:tc>
          <w:tcPr>
            <w:tcW w:w="2614" w:type="dxa"/>
            <w:tcMar/>
          </w:tcPr>
          <w:p w:rsidR="008E6EE2" w:rsidP="008E6EE2" w:rsidRDefault="008E6EE2" w14:paraId="6D4D61AC" w14:textId="0BCB4497">
            <w:pPr>
              <w:keepNext w:val="0"/>
              <w:keepLines w:val="0"/>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2"/>
                <w:szCs w:val="22"/>
                <w:lang w:val="en-GB"/>
              </w:rPr>
            </w:pPr>
            <w:r w:rsidRPr="008E6EE2" w:rsidR="008E6EE2">
              <w:rPr>
                <w:rFonts w:ascii="Arial" w:hAnsi="Arial" w:eastAsia="Arial" w:cs="Arial"/>
                <w:b w:val="0"/>
                <w:bCs w:val="0"/>
                <w:i w:val="0"/>
                <w:iCs w:val="0"/>
                <w:caps w:val="0"/>
                <w:smallCaps w:val="0"/>
                <w:color w:val="000000" w:themeColor="text1" w:themeTint="FF" w:themeShade="FF"/>
                <w:sz w:val="22"/>
                <w:szCs w:val="22"/>
                <w:lang w:val="en-GB"/>
              </w:rPr>
              <w:t>Offers structured descriptions of plans and meetings.</w:t>
            </w:r>
          </w:p>
        </w:tc>
        <w:tc>
          <w:tcPr>
            <w:tcW w:w="2728" w:type="dxa"/>
            <w:tcMar/>
          </w:tcPr>
          <w:p w:rsidR="008E6EE2" w:rsidP="008E6EE2" w:rsidRDefault="008E6EE2" w14:paraId="17113644" w14:textId="12EBDD74">
            <w:pPr>
              <w:keepNext w:val="0"/>
              <w:keepLines w:val="0"/>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2"/>
                <w:szCs w:val="22"/>
                <w:lang w:val="en-GB"/>
              </w:rPr>
            </w:pPr>
            <w:r w:rsidRPr="008E6EE2" w:rsidR="008E6EE2">
              <w:rPr>
                <w:rFonts w:ascii="Arial" w:hAnsi="Arial" w:eastAsia="Arial" w:cs="Arial"/>
                <w:b w:val="0"/>
                <w:bCs w:val="0"/>
                <w:i w:val="0"/>
                <w:iCs w:val="0"/>
                <w:caps w:val="0"/>
                <w:smallCaps w:val="0"/>
                <w:color w:val="000000" w:themeColor="text1" w:themeTint="FF" w:themeShade="FF"/>
                <w:sz w:val="22"/>
                <w:szCs w:val="22"/>
                <w:lang w:val="en-GB"/>
              </w:rPr>
              <w:t>Minimal information on assessment and planning.</w:t>
            </w:r>
          </w:p>
        </w:tc>
      </w:tr>
      <w:tr w:rsidR="008E6EE2" w:rsidTr="008E6EE2" w14:paraId="3C474326">
        <w:trPr>
          <w:trHeight w:val="300"/>
        </w:trPr>
        <w:tc>
          <w:tcPr>
            <w:tcW w:w="2614" w:type="dxa"/>
            <w:tcMar/>
          </w:tcPr>
          <w:p w:rsidR="35846B2D" w:rsidP="008E6EE2" w:rsidRDefault="35846B2D" w14:paraId="1CCC63B9" w14:textId="7818CA4A">
            <w:pPr>
              <w:keepNext w:val="0"/>
              <w:keepLines w:val="0"/>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08E6EE2" w:rsidR="35846B2D">
              <w:rPr>
                <w:rFonts w:ascii="Arial" w:hAnsi="Arial" w:eastAsia="Arial" w:cs="Arial"/>
                <w:b w:val="1"/>
                <w:bCs w:val="1"/>
                <w:i w:val="0"/>
                <w:iCs w:val="0"/>
                <w:caps w:val="0"/>
                <w:smallCaps w:val="0"/>
                <w:noProof w:val="0"/>
                <w:color w:val="000000" w:themeColor="text1" w:themeTint="FF" w:themeShade="FF"/>
                <w:sz w:val="22"/>
                <w:szCs w:val="22"/>
                <w:lang w:val="en-GB"/>
              </w:rPr>
              <w:t>Navigation &amp; Accessibility</w:t>
            </w:r>
          </w:p>
          <w:p w:rsidR="008E6EE2" w:rsidP="008E6EE2" w:rsidRDefault="008E6EE2" w14:paraId="61DF8BAC" w14:textId="7A75027B">
            <w:pPr>
              <w:pStyle w:val="Normal"/>
              <w:keepNext w:val="0"/>
              <w:keepLines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tc>
        <w:tc>
          <w:tcPr>
            <w:tcW w:w="2614" w:type="dxa"/>
            <w:tcMar/>
          </w:tcPr>
          <w:p w:rsidR="008E6EE2" w:rsidP="008E6EE2" w:rsidRDefault="008E6EE2" w14:paraId="6228D0E2" w14:textId="5C39FCFE">
            <w:pPr>
              <w:keepNext w:val="0"/>
              <w:keepLines w:val="0"/>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2"/>
                <w:szCs w:val="22"/>
                <w:lang w:val="en-GB"/>
              </w:rPr>
            </w:pPr>
            <w:r w:rsidRPr="008E6EE2" w:rsidR="008E6EE2">
              <w:rPr>
                <w:rFonts w:ascii="Arial" w:hAnsi="Arial" w:eastAsia="Arial" w:cs="Arial"/>
                <w:b w:val="0"/>
                <w:bCs w:val="0"/>
                <w:i w:val="0"/>
                <w:iCs w:val="0"/>
                <w:caps w:val="0"/>
                <w:smallCaps w:val="0"/>
                <w:color w:val="000000" w:themeColor="text1" w:themeTint="FF" w:themeShade="FF"/>
                <w:sz w:val="22"/>
                <w:szCs w:val="22"/>
                <w:lang w:val="en-GB"/>
              </w:rPr>
              <w:t>Intuitive layout with quick access to information.</w:t>
            </w:r>
          </w:p>
        </w:tc>
        <w:tc>
          <w:tcPr>
            <w:tcW w:w="2614" w:type="dxa"/>
            <w:tcMar/>
          </w:tcPr>
          <w:p w:rsidR="008E6EE2" w:rsidP="008E6EE2" w:rsidRDefault="008E6EE2" w14:paraId="45ECFDF9" w14:textId="1501E6E9">
            <w:pPr>
              <w:keepNext w:val="0"/>
              <w:keepLines w:val="0"/>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2"/>
                <w:szCs w:val="22"/>
                <w:lang w:val="en-GB"/>
              </w:rPr>
            </w:pPr>
            <w:r w:rsidRPr="008E6EE2" w:rsidR="008E6EE2">
              <w:rPr>
                <w:rFonts w:ascii="Arial" w:hAnsi="Arial" w:eastAsia="Arial" w:cs="Arial"/>
                <w:b w:val="0"/>
                <w:bCs w:val="0"/>
                <w:i w:val="0"/>
                <w:iCs w:val="0"/>
                <w:caps w:val="0"/>
                <w:smallCaps w:val="0"/>
                <w:color w:val="000000" w:themeColor="text1" w:themeTint="FF" w:themeShade="FF"/>
                <w:sz w:val="22"/>
                <w:szCs w:val="22"/>
                <w:lang w:val="en-GB"/>
              </w:rPr>
              <w:t>Fragmented site requiring multiple clicks for full picture.</w:t>
            </w:r>
          </w:p>
        </w:tc>
        <w:tc>
          <w:tcPr>
            <w:tcW w:w="2728" w:type="dxa"/>
            <w:tcMar/>
          </w:tcPr>
          <w:p w:rsidR="008E6EE2" w:rsidP="008E6EE2" w:rsidRDefault="008E6EE2" w14:paraId="350EFBAA" w14:textId="21114EFA">
            <w:pPr>
              <w:keepNext w:val="0"/>
              <w:keepLines w:val="0"/>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2"/>
                <w:szCs w:val="22"/>
                <w:lang w:val="en-GB"/>
              </w:rPr>
            </w:pPr>
            <w:r w:rsidRPr="008E6EE2" w:rsidR="008E6EE2">
              <w:rPr>
                <w:rFonts w:ascii="Arial" w:hAnsi="Arial" w:eastAsia="Arial" w:cs="Arial"/>
                <w:b w:val="0"/>
                <w:bCs w:val="0"/>
                <w:i w:val="0"/>
                <w:iCs w:val="0"/>
                <w:caps w:val="0"/>
                <w:smallCaps w:val="0"/>
                <w:color w:val="000000" w:themeColor="text1" w:themeTint="FF" w:themeShade="FF"/>
                <w:sz w:val="22"/>
                <w:szCs w:val="22"/>
                <w:lang w:val="en-GB"/>
              </w:rPr>
              <w:t>Content spread across numerous pages, harder to navigate.</w:t>
            </w:r>
          </w:p>
        </w:tc>
      </w:tr>
      <w:tr w:rsidR="008E6EE2" w:rsidTr="008E6EE2" w14:paraId="37854C1B">
        <w:trPr>
          <w:trHeight w:val="300"/>
        </w:trPr>
        <w:tc>
          <w:tcPr>
            <w:tcW w:w="2614" w:type="dxa"/>
            <w:tcMar/>
          </w:tcPr>
          <w:p w:rsidR="35846B2D" w:rsidP="008E6EE2" w:rsidRDefault="35846B2D" w14:paraId="4F7A766E" w14:textId="40815BBF">
            <w:pPr>
              <w:keepNext w:val="0"/>
              <w:keepLines w:val="0"/>
              <w:spacing w:before="0"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008E6EE2" w:rsidR="35846B2D">
              <w:rPr>
                <w:rFonts w:ascii="Arial" w:hAnsi="Arial" w:eastAsia="Arial" w:cs="Arial"/>
                <w:b w:val="1"/>
                <w:bCs w:val="1"/>
                <w:i w:val="0"/>
                <w:iCs w:val="0"/>
                <w:caps w:val="0"/>
                <w:smallCaps w:val="0"/>
                <w:noProof w:val="0"/>
                <w:color w:val="000000" w:themeColor="text1" w:themeTint="FF" w:themeShade="FF"/>
                <w:sz w:val="22"/>
                <w:szCs w:val="22"/>
                <w:lang w:val="en-GB"/>
              </w:rPr>
              <w:t>Multi-agency Collaboration</w:t>
            </w:r>
          </w:p>
          <w:p w:rsidR="008E6EE2" w:rsidP="008E6EE2" w:rsidRDefault="008E6EE2" w14:paraId="540C8E63" w14:textId="4F5DCC43">
            <w:pPr>
              <w:pStyle w:val="Normal"/>
              <w:keepNext w:val="0"/>
              <w:keepLines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tc>
        <w:tc>
          <w:tcPr>
            <w:tcW w:w="2614" w:type="dxa"/>
            <w:tcMar/>
          </w:tcPr>
          <w:p w:rsidR="008E6EE2" w:rsidP="008E6EE2" w:rsidRDefault="008E6EE2" w14:paraId="6A6CB2F9" w14:textId="7C9A39F3">
            <w:pPr>
              <w:keepNext w:val="0"/>
              <w:keepLines w:val="0"/>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2"/>
                <w:szCs w:val="22"/>
                <w:lang w:val="en-GB"/>
              </w:rPr>
            </w:pPr>
            <w:r w:rsidRPr="008E6EE2" w:rsidR="008E6EE2">
              <w:rPr>
                <w:rFonts w:ascii="Arial" w:hAnsi="Arial" w:eastAsia="Arial" w:cs="Arial"/>
                <w:b w:val="0"/>
                <w:bCs w:val="0"/>
                <w:i w:val="0"/>
                <w:iCs w:val="0"/>
                <w:caps w:val="0"/>
                <w:smallCaps w:val="0"/>
                <w:color w:val="000000" w:themeColor="text1" w:themeTint="FF" w:themeShade="FF"/>
                <w:sz w:val="22"/>
                <w:szCs w:val="22"/>
                <w:lang w:val="en-GB"/>
              </w:rPr>
              <w:t>Limited explicit communication on collaboration.</w:t>
            </w:r>
          </w:p>
        </w:tc>
        <w:tc>
          <w:tcPr>
            <w:tcW w:w="2614" w:type="dxa"/>
            <w:tcMar/>
          </w:tcPr>
          <w:p w:rsidR="008E6EE2" w:rsidP="008E6EE2" w:rsidRDefault="008E6EE2" w14:paraId="16A26EC3" w14:textId="7D153B63">
            <w:pPr>
              <w:keepNext w:val="0"/>
              <w:keepLines w:val="0"/>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2"/>
                <w:szCs w:val="22"/>
                <w:lang w:val="en-GB"/>
              </w:rPr>
            </w:pPr>
            <w:r w:rsidRPr="008E6EE2" w:rsidR="008E6EE2">
              <w:rPr>
                <w:rFonts w:ascii="Arial" w:hAnsi="Arial" w:eastAsia="Arial" w:cs="Arial"/>
                <w:b w:val="0"/>
                <w:bCs w:val="0"/>
                <w:i w:val="0"/>
                <w:iCs w:val="0"/>
                <w:caps w:val="0"/>
                <w:smallCaps w:val="0"/>
                <w:color w:val="000000" w:themeColor="text1" w:themeTint="FF" w:themeShade="FF"/>
                <w:sz w:val="22"/>
                <w:szCs w:val="22"/>
                <w:lang w:val="en-GB"/>
              </w:rPr>
              <w:t>Limited explicit communication on collaboration.</w:t>
            </w:r>
          </w:p>
        </w:tc>
        <w:tc>
          <w:tcPr>
            <w:tcW w:w="2728" w:type="dxa"/>
            <w:tcMar/>
          </w:tcPr>
          <w:p w:rsidR="008E6EE2" w:rsidP="008E6EE2" w:rsidRDefault="008E6EE2" w14:paraId="51CC46AD" w14:textId="0654B845">
            <w:pPr>
              <w:keepNext w:val="0"/>
              <w:keepLines w:val="0"/>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2"/>
                <w:szCs w:val="22"/>
                <w:lang w:val="en-GB"/>
              </w:rPr>
            </w:pPr>
            <w:r w:rsidRPr="008E6EE2" w:rsidR="008E6EE2">
              <w:rPr>
                <w:rFonts w:ascii="Arial" w:hAnsi="Arial" w:eastAsia="Arial" w:cs="Arial"/>
                <w:b w:val="0"/>
                <w:bCs w:val="0"/>
                <w:i w:val="0"/>
                <w:iCs w:val="0"/>
                <w:caps w:val="0"/>
                <w:smallCaps w:val="0"/>
                <w:color w:val="000000" w:themeColor="text1" w:themeTint="FF" w:themeShade="FF"/>
                <w:sz w:val="22"/>
                <w:szCs w:val="22"/>
                <w:lang w:val="en-GB"/>
              </w:rPr>
              <w:t>Limited explicit communication on collaboration.</w:t>
            </w:r>
          </w:p>
        </w:tc>
      </w:tr>
      <w:tr w:rsidR="008E6EE2" w:rsidTr="008E6EE2" w14:paraId="0768DA9B">
        <w:trPr>
          <w:trHeight w:val="300"/>
        </w:trPr>
        <w:tc>
          <w:tcPr>
            <w:tcW w:w="2614" w:type="dxa"/>
            <w:tcMar/>
          </w:tcPr>
          <w:p w:rsidR="35846B2D" w:rsidP="008E6EE2" w:rsidRDefault="35846B2D" w14:paraId="329AD7A2" w14:textId="4FFB2F13">
            <w:pPr>
              <w:keepNext w:val="0"/>
              <w:keepLines w:val="0"/>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08E6EE2" w:rsidR="35846B2D">
              <w:rPr>
                <w:rFonts w:ascii="Arial" w:hAnsi="Arial" w:eastAsia="Arial" w:cs="Arial"/>
                <w:b w:val="1"/>
                <w:bCs w:val="1"/>
                <w:i w:val="0"/>
                <w:iCs w:val="0"/>
                <w:caps w:val="0"/>
                <w:smallCaps w:val="0"/>
                <w:noProof w:val="0"/>
                <w:color w:val="000000" w:themeColor="text1" w:themeTint="FF" w:themeShade="FF"/>
                <w:sz w:val="24"/>
                <w:szCs w:val="24"/>
                <w:lang w:val="en-GB"/>
              </w:rPr>
              <w:t>Overall Assessment</w:t>
            </w:r>
          </w:p>
          <w:p w:rsidR="008E6EE2" w:rsidP="008E6EE2" w:rsidRDefault="008E6EE2" w14:paraId="40A25197" w14:textId="12626E9A">
            <w:pPr>
              <w:pStyle w:val="Normal"/>
              <w:keepNext w:val="0"/>
              <w:keepLines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tc>
        <w:tc>
          <w:tcPr>
            <w:tcW w:w="2614" w:type="dxa"/>
            <w:tcMar/>
          </w:tcPr>
          <w:p w:rsidR="008E6EE2" w:rsidP="008E6EE2" w:rsidRDefault="008E6EE2" w14:paraId="1C7AF8AE" w14:textId="7DEBE991">
            <w:pPr>
              <w:keepNext w:val="0"/>
              <w:keepLines w:val="0"/>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2"/>
                <w:szCs w:val="22"/>
                <w:lang w:val="en-GB"/>
              </w:rPr>
            </w:pPr>
            <w:r w:rsidRPr="008E6EE2" w:rsidR="008E6EE2">
              <w:rPr>
                <w:rFonts w:ascii="Arial" w:hAnsi="Arial" w:eastAsia="Arial" w:cs="Arial"/>
                <w:b w:val="0"/>
                <w:bCs w:val="0"/>
                <w:i w:val="0"/>
                <w:iCs w:val="0"/>
                <w:caps w:val="0"/>
                <w:smallCaps w:val="0"/>
                <w:color w:val="000000" w:themeColor="text1" w:themeTint="FF" w:themeShade="FF"/>
                <w:sz w:val="22"/>
                <w:szCs w:val="22"/>
                <w:lang w:val="en-GB"/>
              </w:rPr>
              <w:t>Most accessible and user-friendly information.</w:t>
            </w:r>
          </w:p>
        </w:tc>
        <w:tc>
          <w:tcPr>
            <w:tcW w:w="2614" w:type="dxa"/>
            <w:tcMar/>
          </w:tcPr>
          <w:p w:rsidR="008E6EE2" w:rsidP="008E6EE2" w:rsidRDefault="008E6EE2" w14:paraId="64B55FBD" w14:textId="12FFB4DE">
            <w:pPr>
              <w:keepNext w:val="0"/>
              <w:keepLines w:val="0"/>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2"/>
                <w:szCs w:val="22"/>
                <w:lang w:val="en-GB"/>
              </w:rPr>
            </w:pPr>
            <w:r w:rsidRPr="008E6EE2" w:rsidR="008E6EE2">
              <w:rPr>
                <w:rFonts w:ascii="Arial" w:hAnsi="Arial" w:eastAsia="Arial" w:cs="Arial"/>
                <w:b w:val="0"/>
                <w:bCs w:val="0"/>
                <w:i w:val="0"/>
                <w:iCs w:val="0"/>
                <w:caps w:val="0"/>
                <w:smallCaps w:val="0"/>
                <w:color w:val="000000" w:themeColor="text1" w:themeTint="FF" w:themeShade="FF"/>
                <w:sz w:val="22"/>
                <w:szCs w:val="22"/>
                <w:lang w:val="en-GB"/>
              </w:rPr>
              <w:t>Strong in process explanation but weaker in navigation.</w:t>
            </w:r>
          </w:p>
        </w:tc>
        <w:tc>
          <w:tcPr>
            <w:tcW w:w="2728" w:type="dxa"/>
            <w:tcMar/>
          </w:tcPr>
          <w:p w:rsidR="008E6EE2" w:rsidP="008E6EE2" w:rsidRDefault="008E6EE2" w14:paraId="070D4568" w14:textId="7E802F38">
            <w:pPr>
              <w:keepNext w:val="0"/>
              <w:keepLines w:val="0"/>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2"/>
                <w:szCs w:val="22"/>
                <w:lang w:val="en-GB"/>
              </w:rPr>
            </w:pPr>
            <w:r w:rsidRPr="008E6EE2" w:rsidR="008E6EE2">
              <w:rPr>
                <w:rFonts w:ascii="Arial" w:hAnsi="Arial" w:eastAsia="Arial" w:cs="Arial"/>
                <w:b w:val="0"/>
                <w:bCs w:val="0"/>
                <w:i w:val="0"/>
                <w:iCs w:val="0"/>
                <w:caps w:val="0"/>
                <w:smallCaps w:val="0"/>
                <w:color w:val="000000" w:themeColor="text1" w:themeTint="FF" w:themeShade="FF"/>
                <w:sz w:val="22"/>
                <w:szCs w:val="22"/>
                <w:lang w:val="en-GB"/>
              </w:rPr>
              <w:t>Strong service breadth but lacks coherent narrative.</w:t>
            </w:r>
          </w:p>
        </w:tc>
      </w:tr>
    </w:tbl>
    <w:p w:rsidR="008E6EE2" w:rsidP="008E6EE2" w:rsidRDefault="008E6EE2" w14:paraId="6BCD11DF" w14:textId="0F0D4D9F">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2BDA978" w:rsidP="008E6EE2" w:rsidRDefault="42BDA978" w14:paraId="7834A405" w14:textId="200618B2">
      <w:pPr>
        <w:pStyle w:val="Heading3"/>
        <w:keepNext w:val="0"/>
        <w:keepLines w:val="0"/>
        <w:spacing w:before="281" w:beforeAutospacing="off" w:after="281" w:afterAutospacing="off" w:line="360" w:lineRule="auto"/>
        <w:jc w:val="both"/>
        <w:rPr>
          <w:rFonts w:ascii="Arial" w:hAnsi="Arial" w:eastAsia="Arial" w:cs="Arial"/>
          <w:b w:val="0"/>
          <w:bCs w:val="0"/>
          <w:i w:val="0"/>
          <w:iCs w:val="0"/>
          <w:caps w:val="0"/>
          <w:smallCaps w:val="0"/>
          <w:noProof w:val="0"/>
          <w:color w:val="auto"/>
          <w:sz w:val="28"/>
          <w:szCs w:val="28"/>
          <w:lang w:val="en-GB"/>
        </w:rPr>
      </w:pPr>
      <w:r w:rsidRPr="008E6EE2" w:rsidR="42BDA978">
        <w:rPr>
          <w:rFonts w:ascii="Arial" w:hAnsi="Arial" w:eastAsia="Arial" w:cs="Arial"/>
          <w:b w:val="1"/>
          <w:bCs w:val="1"/>
          <w:i w:val="0"/>
          <w:iCs w:val="0"/>
          <w:caps w:val="0"/>
          <w:smallCaps w:val="0"/>
          <w:noProof w:val="0"/>
          <w:color w:val="auto"/>
          <w:sz w:val="28"/>
          <w:szCs w:val="28"/>
          <w:lang w:val="en-GB"/>
        </w:rPr>
        <w:t>6. Conclusion</w:t>
      </w:r>
    </w:p>
    <w:p w:rsidR="42BDA978" w:rsidP="008E6EE2" w:rsidRDefault="42BDA978" w14:paraId="3B66D07C" w14:textId="40DFF9FB">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08E6EE2" w:rsidR="42BDA978">
        <w:rPr>
          <w:rFonts w:ascii="Arial" w:hAnsi="Arial" w:eastAsia="Arial" w:cs="Arial"/>
          <w:b w:val="0"/>
          <w:bCs w:val="0"/>
          <w:i w:val="0"/>
          <w:iCs w:val="0"/>
          <w:caps w:val="0"/>
          <w:smallCaps w:val="0"/>
          <w:noProof w:val="0"/>
          <w:color w:val="000000" w:themeColor="text1" w:themeTint="FF" w:themeShade="FF"/>
          <w:sz w:val="22"/>
          <w:szCs w:val="22"/>
          <w:lang w:val="en-GB"/>
        </w:rPr>
        <w:t xml:space="preserve">This report has examined how three local authority websites – Norfolk, Leeds and Southwark – signpost the Early Help system and related family support services to families. Drawing on the Early Help System Guide (Department for Levelling Up, Housing and Communities and Department for Education, 2022) and Working Together to Safeguard Children (Department for Education, 2023), it has outlined the key features of Early Help, including holistic assessment, lead practitioners and coordinated planning, and has emphasised the centrality of multi-agency collaboration. </w:t>
      </w:r>
    </w:p>
    <w:p w:rsidR="42BDA978" w:rsidP="008E6EE2" w:rsidRDefault="42BDA978" w14:paraId="46FD345F" w14:textId="1C5C4384">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08E6EE2" w:rsidR="42BDA978">
        <w:rPr>
          <w:rFonts w:ascii="Arial" w:hAnsi="Arial" w:eastAsia="Arial" w:cs="Arial"/>
          <w:b w:val="0"/>
          <w:bCs w:val="0"/>
          <w:i w:val="0"/>
          <w:iCs w:val="0"/>
          <w:caps w:val="0"/>
          <w:smallCaps w:val="0"/>
          <w:noProof w:val="0"/>
          <w:color w:val="000000" w:themeColor="text1" w:themeTint="FF" w:themeShade="FF"/>
          <w:sz w:val="22"/>
          <w:szCs w:val="22"/>
          <w:lang w:val="en-GB"/>
        </w:rPr>
        <w:t xml:space="preserve">The analysis suggests that Norfolk County Council provides the most effective online signposting overall. Its use of clear, accessible language, combined with straightforward navigation and direct referral routes, means that families are likely to find it relatively easy to understand what Early Help is and how to ask for support. Southwark Council also performs well in terms of defining Early Help and describing aspects of the process, although its online information is more dispersed across different pages. Leeds City Council, while offering a broad and potentially rich Early Help offer in practice, does not yet communicate this clearly as a joined-up system on its website. </w:t>
      </w:r>
    </w:p>
    <w:p w:rsidR="42BDA978" w:rsidP="008E6EE2" w:rsidRDefault="42BDA978" w14:paraId="4659C3F4" w14:textId="392050B8">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08E6EE2" w:rsidR="42BDA978">
        <w:rPr>
          <w:rFonts w:ascii="Arial" w:hAnsi="Arial" w:eastAsia="Arial" w:cs="Arial"/>
          <w:b w:val="0"/>
          <w:bCs w:val="0"/>
          <w:i w:val="0"/>
          <w:iCs w:val="0"/>
          <w:caps w:val="0"/>
          <w:smallCaps w:val="0"/>
          <w:noProof w:val="0"/>
          <w:color w:val="000000" w:themeColor="text1" w:themeTint="FF" w:themeShade="FF"/>
          <w:sz w:val="22"/>
          <w:szCs w:val="22"/>
          <w:lang w:val="en-GB"/>
        </w:rPr>
        <w:t>Ultimately, effective online signposting is not simply about listing services; it is about telling a coherent story of how the Early Help system works locally and how families can move through it. In doing so, councils can help to reduce anxiety, build trust and encourage families to seek support earlier, which is at the heart of the Early Help agenda.</w:t>
      </w:r>
    </w:p>
    <w:p w:rsidR="008E6EE2" w:rsidP="008E6EE2" w:rsidRDefault="008E6EE2" w14:paraId="7E534DC2" w14:textId="3157FC3F">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2BDA978" w:rsidP="008E6EE2" w:rsidRDefault="42BDA978" w14:paraId="526DCC9E" w14:textId="42991E36">
      <w:pPr>
        <w:pStyle w:val="Heading3"/>
        <w:keepNext w:val="0"/>
        <w:keepLines w:val="0"/>
        <w:spacing w:before="281" w:beforeAutospacing="off" w:after="281" w:afterAutospacing="off" w:line="360" w:lineRule="auto"/>
        <w:jc w:val="both"/>
        <w:rPr>
          <w:rFonts w:ascii="Arial" w:hAnsi="Arial" w:eastAsia="Arial" w:cs="Arial"/>
          <w:b w:val="0"/>
          <w:bCs w:val="0"/>
          <w:i w:val="0"/>
          <w:iCs w:val="0"/>
          <w:caps w:val="0"/>
          <w:smallCaps w:val="0"/>
          <w:noProof w:val="0"/>
          <w:color w:val="auto"/>
          <w:sz w:val="28"/>
          <w:szCs w:val="28"/>
          <w:lang w:val="en-GB"/>
        </w:rPr>
      </w:pPr>
      <w:r w:rsidRPr="008E6EE2" w:rsidR="42BDA978">
        <w:rPr>
          <w:rFonts w:ascii="Arial" w:hAnsi="Arial" w:eastAsia="Arial" w:cs="Arial"/>
          <w:b w:val="1"/>
          <w:bCs w:val="1"/>
          <w:i w:val="0"/>
          <w:iCs w:val="0"/>
          <w:caps w:val="0"/>
          <w:smallCaps w:val="0"/>
          <w:noProof w:val="0"/>
          <w:color w:val="auto"/>
          <w:sz w:val="28"/>
          <w:szCs w:val="28"/>
          <w:lang w:val="en-GB"/>
        </w:rPr>
        <w:t>7. Recommendations</w:t>
      </w:r>
    </w:p>
    <w:p w:rsidR="42BDA978" w:rsidP="008E6EE2" w:rsidRDefault="42BDA978" w14:paraId="570A4FD3" w14:textId="27CCDF32">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08E6EE2" w:rsidR="42BDA978">
        <w:rPr>
          <w:rFonts w:ascii="Arial" w:hAnsi="Arial" w:eastAsia="Arial" w:cs="Arial"/>
          <w:b w:val="0"/>
          <w:bCs w:val="0"/>
          <w:i w:val="0"/>
          <w:iCs w:val="0"/>
          <w:caps w:val="0"/>
          <w:smallCaps w:val="0"/>
          <w:noProof w:val="0"/>
          <w:color w:val="000000" w:themeColor="text1" w:themeTint="FF" w:themeShade="FF"/>
          <w:sz w:val="22"/>
          <w:szCs w:val="22"/>
          <w:lang w:val="en-GB"/>
        </w:rPr>
        <w:t xml:space="preserve">Based on this analysis, three broad recommendations can be made. First, all three councils should consider developing a dedicated Early Help “hub” page that sets out the local Early Help offer in one place, including what Early Help is, who it is for, how it is accessed, and what families can expect from the process. This page should explicitly reference key elements such as assessment, lead practitioners and multi-agency planning, in line with national guidance. </w:t>
      </w:r>
    </w:p>
    <w:p w:rsidR="42BDA978" w:rsidP="008E6EE2" w:rsidRDefault="42BDA978" w14:paraId="7D9F7986" w14:textId="74846EA9">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08E6EE2" w:rsidR="42BDA978">
        <w:rPr>
          <w:rFonts w:ascii="Arial" w:hAnsi="Arial" w:eastAsia="Arial" w:cs="Arial"/>
          <w:b w:val="0"/>
          <w:bCs w:val="0"/>
          <w:i w:val="0"/>
          <w:iCs w:val="0"/>
          <w:caps w:val="0"/>
          <w:smallCaps w:val="0"/>
          <w:noProof w:val="0"/>
          <w:color w:val="000000" w:themeColor="text1" w:themeTint="FF" w:themeShade="FF"/>
          <w:sz w:val="22"/>
          <w:szCs w:val="22"/>
          <w:lang w:val="en-GB"/>
        </w:rPr>
        <w:t xml:space="preserve">Secondly, councils should make greater use of visual tools and interactive features to support families’ understanding. Simple flowcharts showing the Early Help journey, interactive maps of family hubs, and short videos or case studies of families who have used Early Help could all make the system feel more approachable and transparent. This would be particularly beneficial for families who may find dense text difficult to engage with. </w:t>
      </w:r>
    </w:p>
    <w:p w:rsidR="42BDA978" w:rsidP="008E6EE2" w:rsidRDefault="42BDA978" w14:paraId="1B9063C1" w14:textId="4DFAB7F3">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08E6EE2" w:rsidR="42BDA978">
        <w:rPr>
          <w:rFonts w:ascii="Arial" w:hAnsi="Arial" w:eastAsia="Arial" w:cs="Arial"/>
          <w:b w:val="0"/>
          <w:bCs w:val="0"/>
          <w:i w:val="0"/>
          <w:iCs w:val="0"/>
          <w:caps w:val="0"/>
          <w:smallCaps w:val="0"/>
          <w:noProof w:val="0"/>
          <w:color w:val="000000" w:themeColor="text1" w:themeTint="FF" w:themeShade="FF"/>
          <w:sz w:val="22"/>
          <w:szCs w:val="22"/>
          <w:lang w:val="en-GB"/>
        </w:rPr>
        <w:t xml:space="preserve">Thirdly, each council should review how well its website reflects the multi-agency nature of Early Help. This might involve more explicit explanation of the roles of different agencies, how information is shared, and how thresholds between universal, Early Help and statutory services are agreed. Providing links to local threshold documents and safeguarding partnership information in accessible language would help to situate Early Help within the wider safeguarding system and reassure families that agencies are working together, rather than in isolation. </w:t>
      </w:r>
    </w:p>
    <w:p w:rsidR="42BDA978" w:rsidP="008E6EE2" w:rsidRDefault="42BDA978" w14:paraId="2FDA4EE5" w14:textId="117B359B">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08E6EE2" w:rsidR="42BDA978">
        <w:rPr>
          <w:rFonts w:ascii="Arial" w:hAnsi="Arial" w:eastAsia="Arial" w:cs="Arial"/>
          <w:b w:val="0"/>
          <w:bCs w:val="0"/>
          <w:i w:val="0"/>
          <w:iCs w:val="0"/>
          <w:caps w:val="0"/>
          <w:smallCaps w:val="0"/>
          <w:noProof w:val="0"/>
          <w:color w:val="000000" w:themeColor="text1" w:themeTint="FF" w:themeShade="FF"/>
          <w:sz w:val="22"/>
          <w:szCs w:val="22"/>
          <w:lang w:val="en-GB"/>
        </w:rPr>
        <w:t>If implemented, these changes would not only improve digital communication but also support the underlying aim of Early Help: to ensure that children and families receive timely, coordinated support long before difficulties reach crisis point.</w:t>
      </w:r>
    </w:p>
    <w:p w:rsidR="008E6EE2" w:rsidP="008E6EE2" w:rsidRDefault="008E6EE2" w14:paraId="567E1194" w14:textId="11B5B1A5">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008E6EE2" w:rsidP="008E6EE2" w:rsidRDefault="008E6EE2" w14:paraId="35E6BBC3" w14:textId="64A98AAE">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008E6EE2" w:rsidP="008E6EE2" w:rsidRDefault="008E6EE2" w14:paraId="76A6397B" w14:textId="70A04767">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008E6EE2" w:rsidP="008E6EE2" w:rsidRDefault="008E6EE2" w14:paraId="68379300" w14:textId="201B173C">
      <w:pPr>
        <w:spacing w:line="360" w:lineRule="auto"/>
        <w:rPr>
          <w:rFonts w:ascii="Arial" w:hAnsi="Arial" w:eastAsia="Arial" w:cs="Arial"/>
          <w:b w:val="1"/>
          <w:bCs w:val="1"/>
          <w:sz w:val="32"/>
          <w:szCs w:val="32"/>
        </w:rPr>
      </w:pPr>
    </w:p>
    <w:p w:rsidR="008E6EE2" w:rsidP="008E6EE2" w:rsidRDefault="008E6EE2" w14:paraId="1DE687C2" w14:textId="69C75EA9">
      <w:pPr>
        <w:pStyle w:val="Normal"/>
        <w:spacing w:line="360" w:lineRule="auto"/>
        <w:rPr>
          <w:rFonts w:ascii="Arial" w:hAnsi="Arial" w:eastAsia="Arial" w:cs="Arial"/>
          <w:b w:val="1"/>
          <w:bCs w:val="1"/>
          <w:sz w:val="32"/>
          <w:szCs w:val="32"/>
        </w:rPr>
      </w:pPr>
    </w:p>
    <w:p w:rsidR="42BDA978" w:rsidP="008E6EE2" w:rsidRDefault="42BDA978" w14:paraId="35A5BCF4" w14:textId="68A78CA0">
      <w:pPr>
        <w:pStyle w:val="Normal"/>
        <w:spacing w:line="360" w:lineRule="auto"/>
      </w:pPr>
      <w:r w:rsidRPr="008E6EE2" w:rsidR="42BDA978">
        <w:rPr>
          <w:rFonts w:ascii="Arial" w:hAnsi="Arial" w:eastAsia="Arial" w:cs="Arial"/>
          <w:b w:val="1"/>
          <w:bCs w:val="1"/>
          <w:sz w:val="32"/>
          <w:szCs w:val="32"/>
        </w:rPr>
        <w:t xml:space="preserve">Reference </w:t>
      </w:r>
      <w:r w:rsidRPr="008E6EE2" w:rsidR="42BDA978">
        <w:rPr>
          <w:rFonts w:ascii="Arial" w:hAnsi="Arial" w:eastAsia="Arial" w:cs="Arial"/>
          <w:b w:val="1"/>
          <w:bCs w:val="1"/>
          <w:sz w:val="32"/>
          <w:szCs w:val="32"/>
        </w:rPr>
        <w:t>List</w:t>
      </w:r>
      <w:r w:rsidRPr="008E6EE2" w:rsidR="3BBDAB86">
        <w:rPr>
          <w:rFonts w:ascii="Arial" w:hAnsi="Arial" w:eastAsia="Arial" w:cs="Arial"/>
          <w:b w:val="1"/>
          <w:bCs w:val="1"/>
          <w:sz w:val="32"/>
          <w:szCs w:val="32"/>
        </w:rPr>
        <w:t>:</w:t>
      </w:r>
    </w:p>
    <w:p w:rsidR="28C80A05" w:rsidP="008E6EE2" w:rsidRDefault="28C80A05" w14:paraId="1E9588EB" w14:textId="779BB082">
      <w:pPr>
        <w:spacing w:before="240" w:beforeAutospacing="off" w:after="240" w:afterAutospacing="off" w:line="360" w:lineRule="auto"/>
        <w:jc w:val="both"/>
        <w:rPr>
          <w:rFonts w:ascii="Arial" w:hAnsi="Arial" w:eastAsia="Arial" w:cs="Arial"/>
          <w:noProof w:val="0"/>
          <w:sz w:val="22"/>
          <w:szCs w:val="22"/>
          <w:lang w:val="en-GB"/>
        </w:rPr>
      </w:pPr>
      <w:r w:rsidRPr="008E6EE2" w:rsidR="28C80A05">
        <w:rPr>
          <w:rFonts w:ascii="Arial" w:hAnsi="Arial" w:eastAsia="Arial" w:cs="Arial"/>
          <w:noProof w:val="0"/>
          <w:sz w:val="22"/>
          <w:szCs w:val="22"/>
          <w:lang w:val="en-GB"/>
        </w:rPr>
        <w:t xml:space="preserve">Barnes, J. and Daniel, B. (2014) Working with children and families: Assessing needs and planning help. 2nd </w:t>
      </w:r>
      <w:r w:rsidRPr="008E6EE2" w:rsidR="28C80A05">
        <w:rPr>
          <w:rFonts w:ascii="Arial" w:hAnsi="Arial" w:eastAsia="Arial" w:cs="Arial"/>
          <w:noProof w:val="0"/>
          <w:sz w:val="22"/>
          <w:szCs w:val="22"/>
          <w:lang w:val="en-GB"/>
        </w:rPr>
        <w:t>edn</w:t>
      </w:r>
      <w:r w:rsidRPr="008E6EE2" w:rsidR="28C80A05">
        <w:rPr>
          <w:rFonts w:ascii="Arial" w:hAnsi="Arial" w:eastAsia="Arial" w:cs="Arial"/>
          <w:noProof w:val="0"/>
          <w:sz w:val="22"/>
          <w:szCs w:val="22"/>
          <w:lang w:val="en-GB"/>
        </w:rPr>
        <w:t xml:space="preserve">. London: Routledge. Available at: </w:t>
      </w:r>
      <w:hyperlink r:id="R01d8bc96b3544f89">
        <w:r w:rsidRPr="008E6EE2" w:rsidR="28C80A05">
          <w:rPr>
            <w:rStyle w:val="Hyperlink"/>
            <w:rFonts w:ascii="Arial" w:hAnsi="Arial" w:eastAsia="Arial" w:cs="Arial"/>
            <w:noProof w:val="0"/>
            <w:color w:val="auto"/>
            <w:sz w:val="22"/>
            <w:szCs w:val="22"/>
            <w:lang w:val="en-GB"/>
          </w:rPr>
          <w:t>https://www.routledge.com/Working-with-children-and-families-Assessing-needs-and-planning-help/Daniel-Barnes/p/book/9780415537061</w:t>
        </w:r>
      </w:hyperlink>
      <w:r w:rsidRPr="008E6EE2" w:rsidR="28C80A05">
        <w:rPr>
          <w:rFonts w:ascii="Arial" w:hAnsi="Arial" w:eastAsia="Arial" w:cs="Arial"/>
          <w:noProof w:val="0"/>
          <w:color w:val="auto"/>
          <w:sz w:val="22"/>
          <w:szCs w:val="22"/>
          <w:lang w:val="en-GB"/>
        </w:rPr>
        <w:t xml:space="preserve"> </w:t>
      </w:r>
      <w:r w:rsidRPr="008E6EE2" w:rsidR="28C80A05">
        <w:rPr>
          <w:rFonts w:ascii="Arial" w:hAnsi="Arial" w:eastAsia="Arial" w:cs="Arial"/>
          <w:noProof w:val="0"/>
          <w:sz w:val="22"/>
          <w:szCs w:val="22"/>
          <w:lang w:val="en-GB"/>
        </w:rPr>
        <w:t>(Accessed: 1</w:t>
      </w:r>
      <w:r w:rsidRPr="008E6EE2" w:rsidR="4719AFFC">
        <w:rPr>
          <w:rFonts w:ascii="Arial" w:hAnsi="Arial" w:eastAsia="Arial" w:cs="Arial"/>
          <w:noProof w:val="0"/>
          <w:sz w:val="22"/>
          <w:szCs w:val="22"/>
          <w:lang w:val="en-GB"/>
        </w:rPr>
        <w:t>2</w:t>
      </w:r>
      <w:r w:rsidRPr="008E6EE2" w:rsidR="28C80A05">
        <w:rPr>
          <w:rFonts w:ascii="Arial" w:hAnsi="Arial" w:eastAsia="Arial" w:cs="Arial"/>
          <w:noProof w:val="0"/>
          <w:sz w:val="22"/>
          <w:szCs w:val="22"/>
          <w:lang w:val="en-GB"/>
        </w:rPr>
        <w:t xml:space="preserve"> August 2026).</w:t>
      </w:r>
    </w:p>
    <w:p w:rsidR="28C80A05" w:rsidP="008E6EE2" w:rsidRDefault="28C80A05" w14:paraId="1F7EAD4B" w14:textId="0856C509">
      <w:pPr>
        <w:spacing w:before="240" w:beforeAutospacing="off" w:after="240" w:afterAutospacing="off" w:line="360" w:lineRule="auto"/>
        <w:jc w:val="both"/>
        <w:rPr>
          <w:rFonts w:ascii="Arial" w:hAnsi="Arial" w:eastAsia="Arial" w:cs="Arial"/>
          <w:noProof w:val="0"/>
          <w:sz w:val="22"/>
          <w:szCs w:val="22"/>
          <w:lang w:val="en-GB"/>
        </w:rPr>
      </w:pPr>
      <w:r w:rsidRPr="008E6EE2" w:rsidR="28C80A05">
        <w:rPr>
          <w:rFonts w:ascii="Arial" w:hAnsi="Arial" w:eastAsia="Arial" w:cs="Arial"/>
          <w:noProof w:val="0"/>
          <w:sz w:val="22"/>
          <w:szCs w:val="22"/>
          <w:lang w:val="en-GB"/>
        </w:rPr>
        <w:t xml:space="preserve"> </w:t>
      </w:r>
      <w:r w:rsidRPr="008E6EE2" w:rsidR="28C80A05">
        <w:rPr>
          <w:rFonts w:ascii="Arial" w:hAnsi="Arial" w:eastAsia="Arial" w:cs="Arial"/>
          <w:noProof w:val="0"/>
          <w:sz w:val="22"/>
          <w:szCs w:val="22"/>
          <w:lang w:val="en-GB"/>
        </w:rPr>
        <w:t xml:space="preserve">Boddy, J., Statham, J., Smith, </w:t>
      </w:r>
      <w:r w:rsidRPr="008E6EE2" w:rsidR="28C80A05">
        <w:rPr>
          <w:rFonts w:ascii="Arial" w:hAnsi="Arial" w:eastAsia="Arial" w:cs="Arial"/>
          <w:noProof w:val="0"/>
          <w:sz w:val="22"/>
          <w:szCs w:val="22"/>
          <w:lang w:val="en-GB"/>
        </w:rPr>
        <w:t>M.</w:t>
      </w:r>
      <w:r w:rsidRPr="008E6EE2" w:rsidR="28C80A05">
        <w:rPr>
          <w:rFonts w:ascii="Arial" w:hAnsi="Arial" w:eastAsia="Arial" w:cs="Arial"/>
          <w:noProof w:val="0"/>
          <w:sz w:val="22"/>
          <w:szCs w:val="22"/>
          <w:lang w:val="en-GB"/>
        </w:rPr>
        <w:t xml:space="preserve"> and Ghate, D. (2009) International perspectives on early intervention: A critical review. London: Department for Children, </w:t>
      </w:r>
      <w:r w:rsidRPr="008E6EE2" w:rsidR="28C80A05">
        <w:rPr>
          <w:rFonts w:ascii="Arial" w:hAnsi="Arial" w:eastAsia="Arial" w:cs="Arial"/>
          <w:noProof w:val="0"/>
          <w:sz w:val="22"/>
          <w:szCs w:val="22"/>
          <w:lang w:val="en-GB"/>
        </w:rPr>
        <w:t>Schools</w:t>
      </w:r>
      <w:r w:rsidRPr="008E6EE2" w:rsidR="28C80A05">
        <w:rPr>
          <w:rFonts w:ascii="Arial" w:hAnsi="Arial" w:eastAsia="Arial" w:cs="Arial"/>
          <w:noProof w:val="0"/>
          <w:sz w:val="22"/>
          <w:szCs w:val="22"/>
          <w:lang w:val="en-GB"/>
        </w:rPr>
        <w:t xml:space="preserve"> and Families. Available at: </w:t>
      </w:r>
      <w:hyperlink r:id="R2c09b46772f8475f">
        <w:r w:rsidRPr="008E6EE2" w:rsidR="28C80A05">
          <w:rPr>
            <w:rStyle w:val="Hyperlink"/>
            <w:rFonts w:ascii="Arial" w:hAnsi="Arial" w:eastAsia="Arial" w:cs="Arial"/>
            <w:noProof w:val="0"/>
            <w:color w:val="auto"/>
            <w:sz w:val="22"/>
            <w:szCs w:val="22"/>
            <w:lang w:val="en-GB"/>
          </w:rPr>
          <w:t>https://dera.ioe.ac.uk/id/eprint/11157/1/DCSF-RR114.pdf</w:t>
        </w:r>
      </w:hyperlink>
      <w:r w:rsidRPr="008E6EE2" w:rsidR="28C80A05">
        <w:rPr>
          <w:rFonts w:ascii="Arial" w:hAnsi="Arial" w:eastAsia="Arial" w:cs="Arial"/>
          <w:noProof w:val="0"/>
          <w:color w:val="auto"/>
          <w:sz w:val="22"/>
          <w:szCs w:val="22"/>
          <w:lang w:val="en-GB"/>
        </w:rPr>
        <w:t xml:space="preserve"> </w:t>
      </w:r>
      <w:r w:rsidRPr="008E6EE2" w:rsidR="28C80A05">
        <w:rPr>
          <w:rFonts w:ascii="Arial" w:hAnsi="Arial" w:eastAsia="Arial" w:cs="Arial"/>
          <w:noProof w:val="0"/>
          <w:sz w:val="22"/>
          <w:szCs w:val="22"/>
          <w:lang w:val="en-GB"/>
        </w:rPr>
        <w:t>(Accessed: 12 August 2026).</w:t>
      </w:r>
    </w:p>
    <w:p w:rsidR="28C80A05" w:rsidP="008E6EE2" w:rsidRDefault="28C80A05" w14:paraId="0ED026D2" w14:textId="7C0E448E">
      <w:pPr>
        <w:spacing w:before="240" w:beforeAutospacing="off" w:after="240" w:afterAutospacing="off" w:line="360" w:lineRule="auto"/>
        <w:jc w:val="both"/>
        <w:rPr>
          <w:rFonts w:ascii="Arial" w:hAnsi="Arial" w:eastAsia="Arial" w:cs="Arial"/>
          <w:noProof w:val="0"/>
          <w:color w:val="auto"/>
          <w:sz w:val="22"/>
          <w:szCs w:val="22"/>
          <w:lang w:val="en-GB"/>
        </w:rPr>
      </w:pPr>
      <w:r w:rsidRPr="008E6EE2" w:rsidR="28C80A05">
        <w:rPr>
          <w:rFonts w:ascii="Arial" w:hAnsi="Arial" w:eastAsia="Arial" w:cs="Arial"/>
          <w:noProof w:val="0"/>
          <w:sz w:val="22"/>
          <w:szCs w:val="22"/>
          <w:lang w:val="en-GB"/>
        </w:rPr>
        <w:t xml:space="preserve"> </w:t>
      </w:r>
      <w:r w:rsidRPr="008E6EE2" w:rsidR="28C80A05">
        <w:rPr>
          <w:rFonts w:ascii="Arial" w:hAnsi="Arial" w:eastAsia="Arial" w:cs="Arial"/>
          <w:noProof w:val="0"/>
          <w:sz w:val="22"/>
          <w:szCs w:val="22"/>
          <w:lang w:val="en-GB"/>
        </w:rPr>
        <w:t xml:space="preserve">Brandon, M., Sidebotham, P., Bailey, S., </w:t>
      </w:r>
      <w:r w:rsidRPr="008E6EE2" w:rsidR="28C80A05">
        <w:rPr>
          <w:rFonts w:ascii="Arial" w:hAnsi="Arial" w:eastAsia="Arial" w:cs="Arial"/>
          <w:noProof w:val="0"/>
          <w:sz w:val="22"/>
          <w:szCs w:val="22"/>
          <w:lang w:val="en-GB"/>
        </w:rPr>
        <w:t>Belderson</w:t>
      </w:r>
      <w:r w:rsidRPr="008E6EE2" w:rsidR="28C80A05">
        <w:rPr>
          <w:rFonts w:ascii="Arial" w:hAnsi="Arial" w:eastAsia="Arial" w:cs="Arial"/>
          <w:noProof w:val="0"/>
          <w:sz w:val="22"/>
          <w:szCs w:val="22"/>
          <w:lang w:val="en-GB"/>
        </w:rPr>
        <w:t xml:space="preserve">, P., Hawley, C., Ellis, C. and Megson, M. (2012) New learning from serious case reviews: a </w:t>
      </w:r>
      <w:r w:rsidRPr="008E6EE2" w:rsidR="3A638E76">
        <w:rPr>
          <w:rFonts w:ascii="Arial" w:hAnsi="Arial" w:eastAsia="Arial" w:cs="Arial"/>
          <w:noProof w:val="0"/>
          <w:sz w:val="22"/>
          <w:szCs w:val="22"/>
          <w:lang w:val="en-GB"/>
        </w:rPr>
        <w:t>two-year</w:t>
      </w:r>
      <w:r w:rsidRPr="008E6EE2" w:rsidR="28C80A05">
        <w:rPr>
          <w:rFonts w:ascii="Arial" w:hAnsi="Arial" w:eastAsia="Arial" w:cs="Arial"/>
          <w:noProof w:val="0"/>
          <w:sz w:val="22"/>
          <w:szCs w:val="22"/>
          <w:lang w:val="en-GB"/>
        </w:rPr>
        <w:t xml:space="preserve"> report for 2009–2011. London: Department for Education. Available at: </w:t>
      </w:r>
      <w:hyperlink r:id="R7d25322ae92044d8">
        <w:r w:rsidRPr="008E6EE2" w:rsidR="28C80A05">
          <w:rPr>
            <w:rStyle w:val="Hyperlink"/>
            <w:rFonts w:ascii="Arial" w:hAnsi="Arial" w:eastAsia="Arial" w:cs="Arial"/>
            <w:noProof w:val="0"/>
            <w:color w:val="auto"/>
            <w:sz w:val="22"/>
            <w:szCs w:val="22"/>
            <w:lang w:val="en-GB"/>
          </w:rPr>
          <w:t>https://www.education.gov.uk/publications/standard/publicationDetail/Page1/DFE-RR226</w:t>
        </w:r>
      </w:hyperlink>
      <w:r w:rsidRPr="008E6EE2" w:rsidR="28C80A05">
        <w:rPr>
          <w:rFonts w:ascii="Arial" w:hAnsi="Arial" w:eastAsia="Arial" w:cs="Arial"/>
          <w:noProof w:val="0"/>
          <w:color w:val="auto"/>
          <w:sz w:val="22"/>
          <w:szCs w:val="22"/>
          <w:lang w:val="en-GB"/>
        </w:rPr>
        <w:t xml:space="preserve"> (Accessed: 10 August 2026).</w:t>
      </w:r>
    </w:p>
    <w:p w:rsidR="28C80A05" w:rsidP="008E6EE2" w:rsidRDefault="28C80A05" w14:paraId="6C66AF4C" w14:textId="50D44DE3">
      <w:pPr>
        <w:spacing w:before="240" w:beforeAutospacing="off" w:after="240" w:afterAutospacing="off" w:line="360" w:lineRule="auto"/>
        <w:jc w:val="both"/>
        <w:rPr>
          <w:rFonts w:ascii="Arial" w:hAnsi="Arial" w:eastAsia="Arial" w:cs="Arial"/>
          <w:noProof w:val="0"/>
          <w:sz w:val="22"/>
          <w:szCs w:val="22"/>
          <w:lang w:val="en-GB"/>
        </w:rPr>
      </w:pPr>
      <w:r w:rsidRPr="008E6EE2" w:rsidR="28C80A05">
        <w:rPr>
          <w:rFonts w:ascii="Arial" w:hAnsi="Arial" w:eastAsia="Arial" w:cs="Arial"/>
          <w:noProof w:val="0"/>
          <w:sz w:val="22"/>
          <w:szCs w:val="22"/>
          <w:lang w:val="en-GB"/>
        </w:rPr>
        <w:t xml:space="preserve"> </w:t>
      </w:r>
      <w:r w:rsidRPr="008E6EE2" w:rsidR="28C80A05">
        <w:rPr>
          <w:rFonts w:ascii="Arial" w:hAnsi="Arial" w:eastAsia="Arial" w:cs="Arial"/>
          <w:noProof w:val="0"/>
          <w:sz w:val="22"/>
          <w:szCs w:val="22"/>
          <w:lang w:val="en-GB"/>
        </w:rPr>
        <w:t xml:space="preserve">Brannan, A.M., </w:t>
      </w:r>
      <w:r w:rsidRPr="008E6EE2" w:rsidR="28C80A05">
        <w:rPr>
          <w:rFonts w:ascii="Arial" w:hAnsi="Arial" w:eastAsia="Arial" w:cs="Arial"/>
          <w:noProof w:val="0"/>
          <w:sz w:val="22"/>
          <w:szCs w:val="22"/>
          <w:lang w:val="en-GB"/>
        </w:rPr>
        <w:t>Heflinger</w:t>
      </w:r>
      <w:r w:rsidRPr="008E6EE2" w:rsidR="28C80A05">
        <w:rPr>
          <w:rFonts w:ascii="Arial" w:hAnsi="Arial" w:eastAsia="Arial" w:cs="Arial"/>
          <w:noProof w:val="0"/>
          <w:sz w:val="22"/>
          <w:szCs w:val="22"/>
          <w:lang w:val="en-GB"/>
        </w:rPr>
        <w:t xml:space="preserve">, C.A. and Foster, E.M. (2003) ‘The role of caregiver strain and other family variables in children’s use of mental health services’, Journal of Emotional and </w:t>
      </w:r>
      <w:r w:rsidRPr="008E6EE2" w:rsidR="28C80A05">
        <w:rPr>
          <w:rFonts w:ascii="Arial" w:hAnsi="Arial" w:eastAsia="Arial" w:cs="Arial"/>
          <w:noProof w:val="0"/>
          <w:sz w:val="22"/>
          <w:szCs w:val="22"/>
          <w:lang w:val="en-GB"/>
        </w:rPr>
        <w:t>Behavioral</w:t>
      </w:r>
      <w:r w:rsidRPr="008E6EE2" w:rsidR="28C80A05">
        <w:rPr>
          <w:rFonts w:ascii="Arial" w:hAnsi="Arial" w:eastAsia="Arial" w:cs="Arial"/>
          <w:noProof w:val="0"/>
          <w:sz w:val="22"/>
          <w:szCs w:val="22"/>
          <w:lang w:val="en-GB"/>
        </w:rPr>
        <w:t xml:space="preserve"> Disorders, 11(2), pp. 78–92. Available at: </w:t>
      </w:r>
      <w:hyperlink r:id="Re5c652c9d1a049da">
        <w:r w:rsidRPr="008E6EE2" w:rsidR="28C80A05">
          <w:rPr>
            <w:rStyle w:val="Hyperlink"/>
            <w:rFonts w:ascii="Arial" w:hAnsi="Arial" w:eastAsia="Arial" w:cs="Arial"/>
            <w:noProof w:val="0"/>
            <w:color w:val="auto"/>
            <w:sz w:val="22"/>
            <w:szCs w:val="22"/>
            <w:lang w:val="en-GB"/>
          </w:rPr>
          <w:t>https://doi.org/10.1177/106342660301100202</w:t>
        </w:r>
      </w:hyperlink>
      <w:r w:rsidRPr="008E6EE2" w:rsidR="28C80A05">
        <w:rPr>
          <w:rFonts w:ascii="Arial" w:hAnsi="Arial" w:eastAsia="Arial" w:cs="Arial"/>
          <w:noProof w:val="0"/>
          <w:sz w:val="22"/>
          <w:szCs w:val="22"/>
          <w:lang w:val="en-GB"/>
        </w:rPr>
        <w:t xml:space="preserve"> (Accessed: 10 August 2026).</w:t>
      </w:r>
    </w:p>
    <w:p w:rsidR="28C80A05" w:rsidP="008E6EE2" w:rsidRDefault="28C80A05" w14:paraId="3733E14E" w14:textId="180CC631">
      <w:pPr>
        <w:spacing w:before="240" w:beforeAutospacing="off" w:after="240" w:afterAutospacing="off" w:line="360" w:lineRule="auto"/>
        <w:jc w:val="both"/>
        <w:rPr>
          <w:rFonts w:ascii="Arial" w:hAnsi="Arial" w:eastAsia="Arial" w:cs="Arial"/>
          <w:noProof w:val="0"/>
          <w:sz w:val="22"/>
          <w:szCs w:val="22"/>
          <w:lang w:val="en-GB"/>
        </w:rPr>
      </w:pPr>
      <w:r w:rsidRPr="008E6EE2" w:rsidR="28C80A05">
        <w:rPr>
          <w:rFonts w:ascii="Arial" w:hAnsi="Arial" w:eastAsia="Arial" w:cs="Arial"/>
          <w:noProof w:val="0"/>
          <w:sz w:val="22"/>
          <w:szCs w:val="22"/>
          <w:lang w:val="en-GB"/>
        </w:rPr>
        <w:t xml:space="preserve"> </w:t>
      </w:r>
      <w:r w:rsidRPr="008E6EE2" w:rsidR="28C80A05">
        <w:rPr>
          <w:rFonts w:ascii="Arial" w:hAnsi="Arial" w:eastAsia="Arial" w:cs="Arial"/>
          <w:noProof w:val="0"/>
          <w:sz w:val="22"/>
          <w:szCs w:val="22"/>
          <w:lang w:val="en-GB"/>
        </w:rPr>
        <w:t xml:space="preserve">Department for Education (2023) Working together to safeguard children: A guide to inter-agency working to safeguard and promote the welfare of children. London: Department for Education. Available at: </w:t>
      </w:r>
      <w:hyperlink r:id="Rdac906e24181470d">
        <w:r w:rsidRPr="008E6EE2" w:rsidR="28C80A05">
          <w:rPr>
            <w:rStyle w:val="Hyperlink"/>
            <w:rFonts w:ascii="Arial" w:hAnsi="Arial" w:eastAsia="Arial" w:cs="Arial"/>
            <w:noProof w:val="0"/>
            <w:color w:val="auto"/>
            <w:sz w:val="22"/>
            <w:szCs w:val="22"/>
            <w:lang w:val="en-GB"/>
          </w:rPr>
          <w:t>https://assets.publishing.service.gov.uk/media/657b183d0467eb001355f870/Working_together_to_safeguard_children_2023_-_statutory_guidance.pdf</w:t>
        </w:r>
      </w:hyperlink>
      <w:r w:rsidRPr="008E6EE2" w:rsidR="28C80A05">
        <w:rPr>
          <w:rFonts w:ascii="Arial" w:hAnsi="Arial" w:eastAsia="Arial" w:cs="Arial"/>
          <w:noProof w:val="0"/>
          <w:sz w:val="22"/>
          <w:szCs w:val="22"/>
          <w:lang w:val="en-GB"/>
        </w:rPr>
        <w:t xml:space="preserve"> (Accessed: 10 August 2026).</w:t>
      </w:r>
    </w:p>
    <w:p w:rsidR="28C80A05" w:rsidP="008E6EE2" w:rsidRDefault="28C80A05" w14:paraId="62216864" w14:textId="18A1B138">
      <w:pPr>
        <w:spacing w:before="240" w:beforeAutospacing="off" w:after="240" w:afterAutospacing="off" w:line="360" w:lineRule="auto"/>
        <w:jc w:val="both"/>
        <w:rPr>
          <w:rFonts w:ascii="Arial" w:hAnsi="Arial" w:eastAsia="Arial" w:cs="Arial"/>
          <w:noProof w:val="0"/>
          <w:sz w:val="22"/>
          <w:szCs w:val="22"/>
          <w:lang w:val="en-GB"/>
        </w:rPr>
      </w:pPr>
      <w:r w:rsidRPr="008E6EE2" w:rsidR="28C80A05">
        <w:rPr>
          <w:rFonts w:ascii="Arial" w:hAnsi="Arial" w:eastAsia="Arial" w:cs="Arial"/>
          <w:noProof w:val="0"/>
          <w:sz w:val="22"/>
          <w:szCs w:val="22"/>
          <w:lang w:val="en-GB"/>
        </w:rPr>
        <w:t xml:space="preserve"> </w:t>
      </w:r>
      <w:r w:rsidRPr="008E6EE2" w:rsidR="28C80A05">
        <w:rPr>
          <w:rFonts w:ascii="Arial" w:hAnsi="Arial" w:eastAsia="Arial" w:cs="Arial"/>
          <w:noProof w:val="0"/>
          <w:sz w:val="22"/>
          <w:szCs w:val="22"/>
          <w:lang w:val="en-GB"/>
        </w:rPr>
        <w:t xml:space="preserve">Department for Levelling Up, Housing and Communities and Department for Education (2022) Supporting Families: The Early Help System Guide. London: DLUHC and DfE. Available at: </w:t>
      </w:r>
      <w:hyperlink r:id="R98da8ba3135046d7">
        <w:r w:rsidRPr="008E6EE2" w:rsidR="28C80A05">
          <w:rPr>
            <w:rStyle w:val="Hyperlink"/>
            <w:rFonts w:ascii="Arial" w:hAnsi="Arial" w:eastAsia="Arial" w:cs="Arial"/>
            <w:noProof w:val="0"/>
            <w:color w:val="auto"/>
            <w:sz w:val="22"/>
            <w:szCs w:val="22"/>
            <w:lang w:val="en-GB"/>
          </w:rPr>
          <w:t>https://www.gov.uk/government/publications/supporting-families-early-help-system-guide</w:t>
        </w:r>
      </w:hyperlink>
      <w:r w:rsidRPr="008E6EE2" w:rsidR="28C80A05">
        <w:rPr>
          <w:rFonts w:ascii="Arial" w:hAnsi="Arial" w:eastAsia="Arial" w:cs="Arial"/>
          <w:noProof w:val="0"/>
          <w:sz w:val="22"/>
          <w:szCs w:val="22"/>
          <w:lang w:val="en-GB"/>
        </w:rPr>
        <w:t xml:space="preserve"> (Accessed: 10 August 2026).</w:t>
      </w:r>
    </w:p>
    <w:p w:rsidR="28C80A05" w:rsidP="008E6EE2" w:rsidRDefault="28C80A05" w14:paraId="25DE71CA" w14:textId="63821443">
      <w:pPr>
        <w:spacing w:before="240" w:beforeAutospacing="off" w:after="240" w:afterAutospacing="off" w:line="360" w:lineRule="auto"/>
        <w:jc w:val="both"/>
        <w:rPr>
          <w:rFonts w:ascii="Arial" w:hAnsi="Arial" w:eastAsia="Arial" w:cs="Arial"/>
          <w:noProof w:val="0"/>
          <w:sz w:val="22"/>
          <w:szCs w:val="22"/>
          <w:lang w:val="en-GB"/>
        </w:rPr>
      </w:pPr>
      <w:r w:rsidRPr="008E6EE2" w:rsidR="28C80A05">
        <w:rPr>
          <w:rFonts w:ascii="Arial" w:hAnsi="Arial" w:eastAsia="Arial" w:cs="Arial"/>
          <w:noProof w:val="0"/>
          <w:sz w:val="22"/>
          <w:szCs w:val="22"/>
          <w:lang w:val="en-GB"/>
        </w:rPr>
        <w:t xml:space="preserve"> </w:t>
      </w:r>
      <w:r w:rsidRPr="008E6EE2" w:rsidR="28C80A05">
        <w:rPr>
          <w:rFonts w:ascii="Arial" w:hAnsi="Arial" w:eastAsia="Arial" w:cs="Arial"/>
          <w:noProof w:val="0"/>
          <w:sz w:val="22"/>
          <w:szCs w:val="22"/>
          <w:lang w:val="en-GB"/>
        </w:rPr>
        <w:t xml:space="preserve">Hannon, C., Wood, C. and Bazalgette, L. (2021) Parents at the centre: Supporting families through family hubs. London: Institute for Public Policy Research. Available at: </w:t>
      </w:r>
      <w:hyperlink r:id="R103ea4b65cd9410f">
        <w:r w:rsidRPr="008E6EE2" w:rsidR="28C80A05">
          <w:rPr>
            <w:rStyle w:val="Hyperlink"/>
            <w:rFonts w:ascii="Arial" w:hAnsi="Arial" w:eastAsia="Arial" w:cs="Arial"/>
            <w:noProof w:val="0"/>
            <w:color w:val="auto"/>
            <w:sz w:val="22"/>
            <w:szCs w:val="22"/>
            <w:lang w:val="en-GB"/>
          </w:rPr>
          <w:t>https://www.ippr.org/research/publications/parents-at-the-centre-supporting-families-through-family-hubs</w:t>
        </w:r>
      </w:hyperlink>
      <w:r w:rsidRPr="008E6EE2" w:rsidR="28C80A05">
        <w:rPr>
          <w:rFonts w:ascii="Arial" w:hAnsi="Arial" w:eastAsia="Arial" w:cs="Arial"/>
          <w:noProof w:val="0"/>
          <w:color w:val="auto"/>
          <w:sz w:val="22"/>
          <w:szCs w:val="22"/>
          <w:lang w:val="en-GB"/>
        </w:rPr>
        <w:t xml:space="preserve"> </w:t>
      </w:r>
      <w:r w:rsidRPr="008E6EE2" w:rsidR="28C80A05">
        <w:rPr>
          <w:rFonts w:ascii="Arial" w:hAnsi="Arial" w:eastAsia="Arial" w:cs="Arial"/>
          <w:noProof w:val="0"/>
          <w:sz w:val="22"/>
          <w:szCs w:val="22"/>
          <w:lang w:val="en-GB"/>
        </w:rPr>
        <w:t>(Accessed: 10 August 2026).</w:t>
      </w:r>
    </w:p>
    <w:p w:rsidR="28C80A05" w:rsidP="008E6EE2" w:rsidRDefault="28C80A05" w14:paraId="3A33929B" w14:textId="105F1ECE">
      <w:pPr>
        <w:spacing w:before="240" w:beforeAutospacing="off" w:after="240" w:afterAutospacing="off" w:line="360" w:lineRule="auto"/>
        <w:jc w:val="both"/>
        <w:rPr>
          <w:rFonts w:ascii="Arial" w:hAnsi="Arial" w:eastAsia="Arial" w:cs="Arial"/>
          <w:noProof w:val="0"/>
          <w:sz w:val="22"/>
          <w:szCs w:val="22"/>
          <w:lang w:val="en-GB"/>
        </w:rPr>
      </w:pPr>
      <w:r w:rsidRPr="008E6EE2" w:rsidR="28C80A05">
        <w:rPr>
          <w:rFonts w:ascii="Arial" w:hAnsi="Arial" w:eastAsia="Arial" w:cs="Arial"/>
          <w:noProof w:val="0"/>
          <w:sz w:val="22"/>
          <w:szCs w:val="22"/>
          <w:lang w:val="en-GB"/>
        </w:rPr>
        <w:t xml:space="preserve"> </w:t>
      </w:r>
      <w:r w:rsidRPr="008E6EE2" w:rsidR="28C80A05">
        <w:rPr>
          <w:rFonts w:ascii="Arial" w:hAnsi="Arial" w:eastAsia="Arial" w:cs="Arial"/>
          <w:noProof w:val="0"/>
          <w:sz w:val="22"/>
          <w:szCs w:val="22"/>
          <w:lang w:val="en-GB"/>
        </w:rPr>
        <w:t xml:space="preserve">Leeds City Council (2026) Services for families. Leeds: Leeds City Council. Available at: </w:t>
      </w:r>
      <w:hyperlink r:id="R52958d6dbed44039">
        <w:r w:rsidRPr="008E6EE2" w:rsidR="28C80A05">
          <w:rPr>
            <w:rStyle w:val="Hyperlink"/>
            <w:rFonts w:ascii="Arial" w:hAnsi="Arial" w:eastAsia="Arial" w:cs="Arial"/>
            <w:noProof w:val="0"/>
            <w:color w:val="auto"/>
            <w:sz w:val="22"/>
            <w:szCs w:val="22"/>
            <w:lang w:val="en-GB"/>
          </w:rPr>
          <w:t>https://www.leeds.gov.uk/children-and-families/services-for-families</w:t>
        </w:r>
      </w:hyperlink>
      <w:r w:rsidRPr="008E6EE2" w:rsidR="28C80A05">
        <w:rPr>
          <w:rFonts w:ascii="Arial" w:hAnsi="Arial" w:eastAsia="Arial" w:cs="Arial"/>
          <w:noProof w:val="0"/>
          <w:color w:val="auto"/>
          <w:sz w:val="22"/>
          <w:szCs w:val="22"/>
          <w:lang w:val="en-GB"/>
        </w:rPr>
        <w:t xml:space="preserve"> </w:t>
      </w:r>
      <w:r w:rsidRPr="008E6EE2" w:rsidR="28C80A05">
        <w:rPr>
          <w:rFonts w:ascii="Arial" w:hAnsi="Arial" w:eastAsia="Arial" w:cs="Arial"/>
          <w:noProof w:val="0"/>
          <w:sz w:val="22"/>
          <w:szCs w:val="22"/>
          <w:lang w:val="en-GB"/>
        </w:rPr>
        <w:t>(Accessed: 10 August 2026).</w:t>
      </w:r>
    </w:p>
    <w:p w:rsidR="28C80A05" w:rsidP="008E6EE2" w:rsidRDefault="28C80A05" w14:paraId="30ABCC7E" w14:textId="12988F3F">
      <w:pPr>
        <w:spacing w:before="240" w:beforeAutospacing="off" w:after="240" w:afterAutospacing="off" w:line="360" w:lineRule="auto"/>
        <w:jc w:val="both"/>
        <w:rPr>
          <w:rFonts w:ascii="Arial" w:hAnsi="Arial" w:eastAsia="Arial" w:cs="Arial"/>
          <w:noProof w:val="0"/>
          <w:sz w:val="22"/>
          <w:szCs w:val="22"/>
          <w:lang w:val="en-GB"/>
        </w:rPr>
      </w:pPr>
      <w:r w:rsidRPr="008E6EE2" w:rsidR="28C80A05">
        <w:rPr>
          <w:rFonts w:ascii="Arial" w:hAnsi="Arial" w:eastAsia="Arial" w:cs="Arial"/>
          <w:noProof w:val="0"/>
          <w:sz w:val="22"/>
          <w:szCs w:val="22"/>
          <w:lang w:val="en-GB"/>
        </w:rPr>
        <w:t xml:space="preserve"> </w:t>
      </w:r>
      <w:r w:rsidRPr="008E6EE2" w:rsidR="28C80A05">
        <w:rPr>
          <w:rFonts w:ascii="Arial" w:hAnsi="Arial" w:eastAsia="Arial" w:cs="Arial"/>
          <w:noProof w:val="0"/>
          <w:sz w:val="22"/>
          <w:szCs w:val="22"/>
          <w:lang w:val="en-GB"/>
        </w:rPr>
        <w:t xml:space="preserve">Munro, E. (2011) The Munro review of child protection: Final report – A child-centred system. London: The Stationery Office. Available at: </w:t>
      </w:r>
      <w:hyperlink r:id="R614c6e27cbb64833">
        <w:r w:rsidRPr="008E6EE2" w:rsidR="28C80A05">
          <w:rPr>
            <w:rStyle w:val="Hyperlink"/>
            <w:rFonts w:ascii="Arial" w:hAnsi="Arial" w:eastAsia="Arial" w:cs="Arial"/>
            <w:noProof w:val="0"/>
            <w:color w:val="auto"/>
            <w:sz w:val="22"/>
            <w:szCs w:val="22"/>
            <w:lang w:val="en-GB"/>
          </w:rPr>
          <w:t>https://www.gov.uk/government/publications/munro-review-of-child-protection-final-report-a-child-centred-system</w:t>
        </w:r>
      </w:hyperlink>
      <w:r w:rsidRPr="008E6EE2" w:rsidR="28C80A05">
        <w:rPr>
          <w:rFonts w:ascii="Arial" w:hAnsi="Arial" w:eastAsia="Arial" w:cs="Arial"/>
          <w:noProof w:val="0"/>
          <w:sz w:val="22"/>
          <w:szCs w:val="22"/>
          <w:lang w:val="en-GB"/>
        </w:rPr>
        <w:t xml:space="preserve"> (Accessed: 12 August 2026).</w:t>
      </w:r>
    </w:p>
    <w:p w:rsidR="28C80A05" w:rsidP="008E6EE2" w:rsidRDefault="28C80A05" w14:paraId="3F7E4B5D" w14:textId="5EA3E098">
      <w:pPr>
        <w:spacing w:before="240" w:beforeAutospacing="off" w:after="240" w:afterAutospacing="off" w:line="360" w:lineRule="auto"/>
        <w:jc w:val="both"/>
        <w:rPr>
          <w:rFonts w:ascii="Arial" w:hAnsi="Arial" w:eastAsia="Arial" w:cs="Arial"/>
          <w:noProof w:val="0"/>
          <w:sz w:val="22"/>
          <w:szCs w:val="22"/>
          <w:lang w:val="en-GB"/>
        </w:rPr>
      </w:pPr>
      <w:r w:rsidRPr="008E6EE2" w:rsidR="28C80A05">
        <w:rPr>
          <w:rFonts w:ascii="Arial" w:hAnsi="Arial" w:eastAsia="Arial" w:cs="Arial"/>
          <w:noProof w:val="0"/>
          <w:sz w:val="22"/>
          <w:szCs w:val="22"/>
          <w:lang w:val="en-GB"/>
        </w:rPr>
        <w:t xml:space="preserve"> </w:t>
      </w:r>
      <w:r w:rsidRPr="008E6EE2" w:rsidR="28C80A05">
        <w:rPr>
          <w:rFonts w:ascii="Arial" w:hAnsi="Arial" w:eastAsia="Arial" w:cs="Arial"/>
          <w:noProof w:val="0"/>
          <w:sz w:val="22"/>
          <w:szCs w:val="22"/>
          <w:lang w:val="en-GB"/>
        </w:rPr>
        <w:t xml:space="preserve">Norfolk County Council (2026) Help for families. Norwich: Norfolk County Council. Available at: </w:t>
      </w:r>
      <w:hyperlink r:id="R97b2484a5b634c46">
        <w:r w:rsidRPr="008E6EE2" w:rsidR="28C80A05">
          <w:rPr>
            <w:rStyle w:val="Hyperlink"/>
            <w:rFonts w:ascii="Arial" w:hAnsi="Arial" w:eastAsia="Arial" w:cs="Arial"/>
            <w:noProof w:val="0"/>
            <w:color w:val="auto"/>
            <w:sz w:val="22"/>
            <w:szCs w:val="22"/>
            <w:lang w:val="en-GB"/>
          </w:rPr>
          <w:t>https://norfolklscp.org.uk/parents-carers-the-community/where-to-go-to-get-help</w:t>
        </w:r>
      </w:hyperlink>
      <w:r w:rsidRPr="008E6EE2" w:rsidR="28C80A05">
        <w:rPr>
          <w:rFonts w:ascii="Arial" w:hAnsi="Arial" w:eastAsia="Arial" w:cs="Arial"/>
          <w:noProof w:val="0"/>
          <w:color w:val="auto"/>
          <w:sz w:val="22"/>
          <w:szCs w:val="22"/>
          <w:lang w:val="en-GB"/>
        </w:rPr>
        <w:t xml:space="preserve"> </w:t>
      </w:r>
      <w:r w:rsidRPr="008E6EE2" w:rsidR="28C80A05">
        <w:rPr>
          <w:rFonts w:ascii="Arial" w:hAnsi="Arial" w:eastAsia="Arial" w:cs="Arial"/>
          <w:noProof w:val="0"/>
          <w:sz w:val="22"/>
          <w:szCs w:val="22"/>
          <w:lang w:val="en-GB"/>
        </w:rPr>
        <w:t>(Accessed: 12 August 2026).</w:t>
      </w:r>
    </w:p>
    <w:p w:rsidR="28C80A05" w:rsidP="008E6EE2" w:rsidRDefault="28C80A05" w14:paraId="3E55E593" w14:textId="7F16225C">
      <w:pPr>
        <w:spacing w:before="240" w:beforeAutospacing="off" w:after="240" w:afterAutospacing="off" w:line="360" w:lineRule="auto"/>
        <w:jc w:val="both"/>
      </w:pPr>
      <w:r w:rsidRPr="008E6EE2" w:rsidR="28C80A05">
        <w:rPr>
          <w:rFonts w:ascii="Arial" w:hAnsi="Arial" w:eastAsia="Arial" w:cs="Arial"/>
          <w:noProof w:val="0"/>
          <w:sz w:val="22"/>
          <w:szCs w:val="22"/>
          <w:lang w:val="en-GB"/>
        </w:rPr>
        <w:t xml:space="preserve"> </w:t>
      </w:r>
      <w:r w:rsidRPr="008E6EE2" w:rsidR="28C80A05">
        <w:rPr>
          <w:rFonts w:ascii="Arial" w:hAnsi="Arial" w:eastAsia="Arial" w:cs="Arial"/>
          <w:noProof w:val="0"/>
          <w:sz w:val="22"/>
          <w:szCs w:val="22"/>
          <w:lang w:val="en-GB"/>
        </w:rPr>
        <w:t xml:space="preserve">Sidebotham, P., Brandon, M., Bailey, S., </w:t>
      </w:r>
      <w:r w:rsidRPr="008E6EE2" w:rsidR="28C80A05">
        <w:rPr>
          <w:rFonts w:ascii="Arial" w:hAnsi="Arial" w:eastAsia="Arial" w:cs="Arial"/>
          <w:noProof w:val="0"/>
          <w:sz w:val="22"/>
          <w:szCs w:val="22"/>
          <w:lang w:val="en-GB"/>
        </w:rPr>
        <w:t>Belderson</w:t>
      </w:r>
      <w:r w:rsidRPr="008E6EE2" w:rsidR="28C80A05">
        <w:rPr>
          <w:rFonts w:ascii="Arial" w:hAnsi="Arial" w:eastAsia="Arial" w:cs="Arial"/>
          <w:noProof w:val="0"/>
          <w:sz w:val="22"/>
          <w:szCs w:val="22"/>
          <w:lang w:val="en-GB"/>
        </w:rPr>
        <w:t xml:space="preserve">, P., Dodsworth, J., Garstang, J., Harrison, E., Retzer, A. and Sorensen, P. (2016) Pathways to harm, pathways to protection: A triennial analysis of serious case reviews 2011–2014. London: Department for Education. Available at: </w:t>
      </w:r>
      <w:hyperlink r:id="R7b9148f5dd46479b">
        <w:r w:rsidRPr="008E6EE2" w:rsidR="28C80A05">
          <w:rPr>
            <w:rStyle w:val="Hyperlink"/>
            <w:rFonts w:ascii="Arial" w:hAnsi="Arial" w:eastAsia="Arial" w:cs="Arial"/>
            <w:noProof w:val="0"/>
            <w:color w:val="auto"/>
            <w:sz w:val="22"/>
            <w:szCs w:val="22"/>
            <w:lang w:val="en-GB"/>
          </w:rPr>
          <w:t>https://www.gov.uk/government/publications/analysis-of-</w:t>
        </w:r>
        <w:r w:rsidRPr="008E6EE2" w:rsidR="28C80A05">
          <w:rPr>
            <w:rStyle w:val="Hyperlink"/>
            <w:rFonts w:ascii="Arial" w:hAnsi="Arial" w:eastAsia="Arial" w:cs="Arial"/>
            <w:noProof w:val="0"/>
            <w:color w:val="auto"/>
            <w:sz w:val="22"/>
            <w:szCs w:val="22"/>
            <w:lang w:val="en-GB"/>
          </w:rPr>
          <w:t>serious</w:t>
        </w:r>
        <w:r w:rsidRPr="008E6EE2" w:rsidR="28C80A05">
          <w:rPr>
            <w:rStyle w:val="Hyperlink"/>
            <w:rFonts w:ascii="Arial" w:hAnsi="Arial" w:eastAsia="Arial" w:cs="Arial"/>
            <w:noProof w:val="0"/>
            <w:color w:val="auto"/>
            <w:sz w:val="22"/>
            <w:szCs w:val="22"/>
            <w:lang w:val="en-GB"/>
          </w:rPr>
          <w:t>-case-reviews-2011-to-2014</w:t>
        </w:r>
      </w:hyperlink>
      <w:r w:rsidRPr="008E6EE2" w:rsidR="28C80A05">
        <w:rPr>
          <w:rFonts w:ascii="Arial" w:hAnsi="Arial" w:eastAsia="Arial" w:cs="Arial"/>
          <w:noProof w:val="0"/>
          <w:color w:val="auto"/>
          <w:sz w:val="22"/>
          <w:szCs w:val="22"/>
          <w:lang w:val="en-GB"/>
        </w:rPr>
        <w:t xml:space="preserve"> (</w:t>
      </w:r>
      <w:r w:rsidRPr="008E6EE2" w:rsidR="28C80A05">
        <w:rPr>
          <w:rFonts w:ascii="Arial" w:hAnsi="Arial" w:eastAsia="Arial" w:cs="Arial"/>
          <w:noProof w:val="0"/>
          <w:sz w:val="22"/>
          <w:szCs w:val="22"/>
          <w:lang w:val="en-GB"/>
        </w:rPr>
        <w:t>Accessed: 12 August 2026).</w:t>
      </w:r>
    </w:p>
    <w:p w:rsidR="28C80A05" w:rsidP="008E6EE2" w:rsidRDefault="28C80A05" w14:paraId="43B5906C" w14:textId="4BFC4B9D">
      <w:pPr>
        <w:pStyle w:val="Normal"/>
        <w:spacing w:before="240" w:beforeAutospacing="off" w:after="240" w:afterAutospacing="off" w:line="360" w:lineRule="auto"/>
        <w:jc w:val="both"/>
        <w:rPr>
          <w:rFonts w:ascii="Arial" w:hAnsi="Arial" w:eastAsia="Arial" w:cs="Arial"/>
          <w:noProof w:val="0"/>
          <w:sz w:val="22"/>
          <w:szCs w:val="22"/>
          <w:lang w:val="en-GB"/>
        </w:rPr>
      </w:pPr>
      <w:r w:rsidRPr="008E6EE2" w:rsidR="28C80A05">
        <w:rPr>
          <w:rFonts w:ascii="Arial" w:hAnsi="Arial" w:eastAsia="Arial" w:cs="Arial"/>
          <w:noProof w:val="0"/>
          <w:sz w:val="22"/>
          <w:szCs w:val="22"/>
          <w:lang w:val="en-GB"/>
        </w:rPr>
        <w:t>Southwark Council (2024) About Early Help. London: Southwark Council. Available at:</w:t>
      </w:r>
      <w:r w:rsidRPr="008E6EE2" w:rsidR="28C80A05">
        <w:rPr>
          <w:rFonts w:ascii="Arial" w:hAnsi="Arial" w:eastAsia="Arial" w:cs="Arial"/>
          <w:noProof w:val="0"/>
          <w:sz w:val="22"/>
          <w:szCs w:val="22"/>
          <w:lang w:val="en-GB"/>
        </w:rPr>
        <w:t xml:space="preserve"> </w:t>
      </w:r>
      <w:r w:rsidRPr="008E6EE2" w:rsidR="6633AE67">
        <w:rPr>
          <w:rFonts w:ascii="Arial" w:hAnsi="Arial" w:eastAsia="Arial" w:cs="Arial"/>
          <w:noProof w:val="0"/>
          <w:sz w:val="22"/>
          <w:szCs w:val="22"/>
          <w:u w:val="single"/>
          <w:lang w:val="en-GB"/>
        </w:rPr>
        <w:t xml:space="preserve">https://www.southwark.gov.uk/children-and-families/childrens-social-care/early-help/about-early-help </w:t>
      </w:r>
      <w:r w:rsidRPr="008E6EE2" w:rsidR="6633AE67">
        <w:rPr>
          <w:rFonts w:ascii="Arial" w:hAnsi="Arial" w:eastAsia="Arial" w:cs="Arial"/>
          <w:noProof w:val="0"/>
          <w:sz w:val="22"/>
          <w:szCs w:val="22"/>
          <w:lang w:val="en-GB"/>
        </w:rPr>
        <w:t xml:space="preserve">  (</w:t>
      </w:r>
      <w:r w:rsidRPr="008E6EE2" w:rsidR="28C80A05">
        <w:rPr>
          <w:rFonts w:ascii="Arial" w:hAnsi="Arial" w:eastAsia="Arial" w:cs="Arial"/>
          <w:noProof w:val="0"/>
          <w:sz w:val="22"/>
          <w:szCs w:val="22"/>
          <w:lang w:val="en-GB"/>
        </w:rPr>
        <w:t>Accessed: 1</w:t>
      </w:r>
      <w:r w:rsidRPr="008E6EE2" w:rsidR="13B00A5D">
        <w:rPr>
          <w:rFonts w:ascii="Arial" w:hAnsi="Arial" w:eastAsia="Arial" w:cs="Arial"/>
          <w:noProof w:val="0"/>
          <w:sz w:val="22"/>
          <w:szCs w:val="22"/>
          <w:lang w:val="en-GB"/>
        </w:rPr>
        <w:t>2</w:t>
      </w:r>
      <w:r w:rsidRPr="008E6EE2" w:rsidR="28C80A05">
        <w:rPr>
          <w:rFonts w:ascii="Arial" w:hAnsi="Arial" w:eastAsia="Arial" w:cs="Arial"/>
          <w:noProof w:val="0"/>
          <w:sz w:val="22"/>
          <w:szCs w:val="22"/>
          <w:lang w:val="en-GB"/>
        </w:rPr>
        <w:t xml:space="preserve"> August 2026).</w:t>
      </w:r>
    </w:p>
    <w:sectPr w:rsidR="00114199">
      <w:pgSz w:w="11906" w:h="16838" w:orient="portrait"/>
      <w:pgMar w:top="720" w:right="720" w:bottom="720" w:left="720" w:header="708" w:footer="708" w:gutter="0"/>
      <w:cols w:space="708"/>
      <w:docGrid w:linePitch="360"/>
      <w:headerReference w:type="default" r:id="R9341d778ac4143b9"/>
      <w:footerReference w:type="default" r:id="R8b4c3f1a71b3408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485"/>
      <w:gridCol w:w="3485"/>
      <w:gridCol w:w="3485"/>
    </w:tblGrid>
    <w:tr w:rsidR="1EB49B2D" w:rsidTr="1EB49B2D" w14:paraId="5EB85651">
      <w:trPr>
        <w:trHeight w:val="300"/>
      </w:trPr>
      <w:tc>
        <w:tcPr>
          <w:tcW w:w="3485" w:type="dxa"/>
          <w:tcMar/>
        </w:tcPr>
        <w:p w:rsidR="1EB49B2D" w:rsidP="1EB49B2D" w:rsidRDefault="1EB49B2D" w14:paraId="58B7F6E6" w14:textId="22837032">
          <w:pPr>
            <w:pStyle w:val="Header"/>
            <w:bidi w:val="0"/>
            <w:ind w:left="-115"/>
            <w:jc w:val="left"/>
          </w:pPr>
        </w:p>
      </w:tc>
      <w:tc>
        <w:tcPr>
          <w:tcW w:w="3485" w:type="dxa"/>
          <w:tcMar/>
        </w:tcPr>
        <w:p w:rsidR="1EB49B2D" w:rsidP="1EB49B2D" w:rsidRDefault="1EB49B2D" w14:paraId="1DC54895" w14:textId="3F7A232E">
          <w:pPr>
            <w:pStyle w:val="Header"/>
            <w:bidi w:val="0"/>
            <w:jc w:val="center"/>
          </w:pPr>
          <w:r>
            <w:fldChar w:fldCharType="begin"/>
          </w:r>
          <w:r>
            <w:instrText xml:space="preserve">PAGE</w:instrText>
          </w:r>
          <w:r>
            <w:fldChar w:fldCharType="separate"/>
          </w:r>
          <w:r>
            <w:fldChar w:fldCharType="end"/>
          </w:r>
        </w:p>
      </w:tc>
      <w:tc>
        <w:tcPr>
          <w:tcW w:w="3485" w:type="dxa"/>
          <w:tcMar/>
        </w:tcPr>
        <w:p w:rsidR="1EB49B2D" w:rsidP="1EB49B2D" w:rsidRDefault="1EB49B2D" w14:paraId="5FFC8E1F" w14:textId="6100F12C">
          <w:pPr>
            <w:pStyle w:val="Header"/>
            <w:bidi w:val="0"/>
            <w:ind w:right="-115"/>
            <w:jc w:val="right"/>
          </w:pPr>
        </w:p>
      </w:tc>
    </w:tr>
  </w:tbl>
  <w:p w:rsidR="1EB49B2D" w:rsidP="1EB49B2D" w:rsidRDefault="1EB49B2D" w14:paraId="78B53F29" w14:textId="0FC30F5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485"/>
      <w:gridCol w:w="3485"/>
      <w:gridCol w:w="3485"/>
    </w:tblGrid>
    <w:tr w:rsidR="1EB49B2D" w:rsidTr="1EB49B2D" w14:paraId="5E8949A9">
      <w:trPr>
        <w:trHeight w:val="300"/>
      </w:trPr>
      <w:tc>
        <w:tcPr>
          <w:tcW w:w="3485" w:type="dxa"/>
          <w:tcMar/>
        </w:tcPr>
        <w:p w:rsidR="1EB49B2D" w:rsidP="1EB49B2D" w:rsidRDefault="1EB49B2D" w14:paraId="76881758" w14:textId="44515CF2">
          <w:pPr>
            <w:pStyle w:val="Header"/>
            <w:bidi w:val="0"/>
            <w:ind w:left="-115"/>
            <w:jc w:val="left"/>
          </w:pPr>
        </w:p>
      </w:tc>
      <w:tc>
        <w:tcPr>
          <w:tcW w:w="3485" w:type="dxa"/>
          <w:tcMar/>
        </w:tcPr>
        <w:p w:rsidR="1EB49B2D" w:rsidP="1EB49B2D" w:rsidRDefault="1EB49B2D" w14:paraId="2C77E46E" w14:textId="01E14804">
          <w:pPr>
            <w:pStyle w:val="Header"/>
            <w:bidi w:val="0"/>
            <w:jc w:val="center"/>
          </w:pPr>
        </w:p>
      </w:tc>
      <w:tc>
        <w:tcPr>
          <w:tcW w:w="3485" w:type="dxa"/>
          <w:tcMar/>
        </w:tcPr>
        <w:p w:rsidR="1EB49B2D" w:rsidP="1EB49B2D" w:rsidRDefault="1EB49B2D" w14:paraId="21935FF6" w14:textId="26722BE3">
          <w:pPr>
            <w:pStyle w:val="Header"/>
            <w:bidi w:val="0"/>
            <w:ind w:right="-115"/>
            <w:jc w:val="right"/>
          </w:pPr>
        </w:p>
      </w:tc>
    </w:tr>
  </w:tbl>
  <w:p w:rsidR="1EB49B2D" w:rsidP="1EB49B2D" w:rsidRDefault="1EB49B2D" w14:paraId="66A7F8FA" w14:textId="0769DE7D">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3">
    <w:nsid w:val="7278e89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7335EAF"/>
    <w:multiLevelType w:val="hybridMultilevel"/>
    <w:tmpl w:val="75605F9C"/>
    <w:lvl w:ilvl="0" w:tplc="824655D6">
      <w:start w:val="1"/>
      <w:numFmt w:val="bullet"/>
      <w:lvlText w:val="-"/>
      <w:lvlJc w:val="left"/>
      <w:pPr>
        <w:ind w:left="720" w:hanging="360"/>
      </w:pPr>
      <w:rPr>
        <w:rFonts w:hint="default" w:ascii="Segoe UI" w:hAnsi="Segoe UI" w:eastAsia="Times New Roman" w:cs="Segoe U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F7E0968"/>
    <w:multiLevelType w:val="multilevel"/>
    <w:tmpl w:val="E4820C7C"/>
    <w:lvl w:ilvl="0">
      <w:start w:val="1"/>
      <w:numFmt w:val="bullet"/>
      <w:lvlText w:val=""/>
      <w:lvlJc w:val="left"/>
      <w:pPr>
        <w:tabs>
          <w:tab w:val="num" w:pos="720"/>
        </w:tabs>
        <w:ind w:left="720" w:hanging="360"/>
      </w:pPr>
      <w:rPr>
        <w:rFonts w:hint="default" w:ascii="Symbol" w:hAnsi="Symbol"/>
        <w:sz w:val="20"/>
      </w:rPr>
    </w:lvl>
    <w:lvl w:ilvl="1">
      <w:start w:val="1"/>
      <w:numFmt w:val="decimal"/>
      <w:lvlText w:val="%2."/>
      <w:lvlJc w:val="left"/>
      <w:pPr>
        <w:tabs>
          <w:tab w:val="num" w:pos="1440"/>
        </w:tabs>
        <w:ind w:left="1440" w:hanging="360"/>
      </w:pPr>
      <w:rPr>
        <w:rFonts w:ascii="Times New Roman" w:hAnsi="Times New Roman" w:eastAsia="Times New Roman" w:cs="Times New Roman"/>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3F55746"/>
    <w:multiLevelType w:val="hybridMultilevel"/>
    <w:tmpl w:val="C468400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2C354B9"/>
    <w:multiLevelType w:val="hybridMultilevel"/>
    <w:tmpl w:val="B05079CA"/>
    <w:lvl w:ilvl="0" w:tplc="824655D6">
      <w:start w:val="1"/>
      <w:numFmt w:val="bullet"/>
      <w:lvlText w:val="-"/>
      <w:lvlJc w:val="left"/>
      <w:pPr>
        <w:ind w:left="720" w:hanging="360"/>
      </w:pPr>
      <w:rPr>
        <w:rFonts w:hint="default" w:ascii="Segoe UI" w:hAnsi="Segoe UI" w:eastAsia="Times New Roman" w:cs="Segoe U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35427507"/>
    <w:multiLevelType w:val="hybridMultilevel"/>
    <w:tmpl w:val="A252A55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36080395"/>
    <w:multiLevelType w:val="hybridMultilevel"/>
    <w:tmpl w:val="5578447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36E51AB7"/>
    <w:multiLevelType w:val="hybridMultilevel"/>
    <w:tmpl w:val="476E9F0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3A313A6A"/>
    <w:multiLevelType w:val="hybridMultilevel"/>
    <w:tmpl w:val="4F40D174"/>
    <w:lvl w:ilvl="0" w:tplc="824655D6">
      <w:start w:val="1"/>
      <w:numFmt w:val="bullet"/>
      <w:lvlText w:val="-"/>
      <w:lvlJc w:val="left"/>
      <w:pPr>
        <w:ind w:left="720" w:hanging="360"/>
      </w:pPr>
      <w:rPr>
        <w:rFonts w:hint="default" w:ascii="Segoe UI" w:hAnsi="Segoe UI" w:eastAsia="Times New Roman" w:cs="Segoe U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488F6AF8"/>
    <w:multiLevelType w:val="hybridMultilevel"/>
    <w:tmpl w:val="143697D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4B5D016C"/>
    <w:multiLevelType w:val="hybridMultilevel"/>
    <w:tmpl w:val="8BA48804"/>
    <w:lvl w:ilvl="0" w:tplc="824655D6">
      <w:start w:val="1"/>
      <w:numFmt w:val="bullet"/>
      <w:lvlText w:val="-"/>
      <w:lvlJc w:val="left"/>
      <w:pPr>
        <w:ind w:left="720" w:hanging="360"/>
      </w:pPr>
      <w:rPr>
        <w:rFonts w:hint="default" w:ascii="Segoe UI" w:hAnsi="Segoe UI" w:eastAsia="Times New Roman" w:cs="Segoe U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75BD1935"/>
    <w:multiLevelType w:val="hybridMultilevel"/>
    <w:tmpl w:val="965A9A5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76E7580C"/>
    <w:multiLevelType w:val="hybridMultilevel"/>
    <w:tmpl w:val="89888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DF15123"/>
    <w:multiLevelType w:val="hybridMultilevel"/>
    <w:tmpl w:val="047679A6"/>
    <w:lvl w:ilvl="0" w:tplc="824655D6">
      <w:start w:val="1"/>
      <w:numFmt w:val="bullet"/>
      <w:lvlText w:val="-"/>
      <w:lvlJc w:val="left"/>
      <w:pPr>
        <w:ind w:left="720" w:hanging="360"/>
      </w:pPr>
      <w:rPr>
        <w:rFonts w:hint="default" w:ascii="Segoe UI" w:hAnsi="Segoe UI" w:eastAsia="Times New Roman" w:cs="Segoe U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4">
    <w:abstractNumId w:val="13"/>
  </w:num>
  <w:num w:numId="1" w16cid:durableId="1218783713">
    <w:abstractNumId w:val="7"/>
  </w:num>
  <w:num w:numId="2" w16cid:durableId="1622766073">
    <w:abstractNumId w:val="3"/>
  </w:num>
  <w:num w:numId="3" w16cid:durableId="521866105">
    <w:abstractNumId w:val="0"/>
  </w:num>
  <w:num w:numId="4" w16cid:durableId="1518612884">
    <w:abstractNumId w:val="9"/>
  </w:num>
  <w:num w:numId="5" w16cid:durableId="1113476408">
    <w:abstractNumId w:val="12"/>
  </w:num>
  <w:num w:numId="6" w16cid:durableId="2142140862">
    <w:abstractNumId w:val="11"/>
  </w:num>
  <w:num w:numId="7" w16cid:durableId="2060398449">
    <w:abstractNumId w:val="1"/>
  </w:num>
  <w:num w:numId="8" w16cid:durableId="1191258451">
    <w:abstractNumId w:val="2"/>
  </w:num>
  <w:num w:numId="9" w16cid:durableId="1457792697">
    <w:abstractNumId w:val="8"/>
  </w:num>
  <w:num w:numId="10" w16cid:durableId="78447588">
    <w:abstractNumId w:val="10"/>
  </w:num>
  <w:num w:numId="11" w16cid:durableId="1342471444">
    <w:abstractNumId w:val="5"/>
  </w:num>
  <w:num w:numId="12" w16cid:durableId="521866661">
    <w:abstractNumId w:val="6"/>
  </w:num>
  <w:num w:numId="13" w16cid:durableId="22842247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8"/>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199"/>
    <w:rsid w:val="000812B9"/>
    <w:rsid w:val="000B1AFC"/>
    <w:rsid w:val="00114199"/>
    <w:rsid w:val="005C28E8"/>
    <w:rsid w:val="007472D0"/>
    <w:rsid w:val="00804E06"/>
    <w:rsid w:val="008E6EE2"/>
    <w:rsid w:val="00B44499"/>
    <w:rsid w:val="00B86147"/>
    <w:rsid w:val="00D46920"/>
    <w:rsid w:val="00E831D8"/>
    <w:rsid w:val="0136E0F5"/>
    <w:rsid w:val="01484F8B"/>
    <w:rsid w:val="0196D85F"/>
    <w:rsid w:val="01DB9D48"/>
    <w:rsid w:val="0262189F"/>
    <w:rsid w:val="027FAFCA"/>
    <w:rsid w:val="030FEA4F"/>
    <w:rsid w:val="037F4500"/>
    <w:rsid w:val="037F4500"/>
    <w:rsid w:val="0416A6F4"/>
    <w:rsid w:val="0416A6F4"/>
    <w:rsid w:val="045CE40F"/>
    <w:rsid w:val="046379FF"/>
    <w:rsid w:val="04FDFEF9"/>
    <w:rsid w:val="051E5837"/>
    <w:rsid w:val="05441ED0"/>
    <w:rsid w:val="05D0522E"/>
    <w:rsid w:val="05DF02E6"/>
    <w:rsid w:val="06078F49"/>
    <w:rsid w:val="0677DAEB"/>
    <w:rsid w:val="06BC2225"/>
    <w:rsid w:val="0716FE62"/>
    <w:rsid w:val="072C1D71"/>
    <w:rsid w:val="077EFEED"/>
    <w:rsid w:val="0792E6FE"/>
    <w:rsid w:val="07DC05EC"/>
    <w:rsid w:val="0854F8AE"/>
    <w:rsid w:val="087BA4C7"/>
    <w:rsid w:val="08806BAE"/>
    <w:rsid w:val="08ED1230"/>
    <w:rsid w:val="094EE6F9"/>
    <w:rsid w:val="098CE627"/>
    <w:rsid w:val="0A5FEE9D"/>
    <w:rsid w:val="0A812D0F"/>
    <w:rsid w:val="0AA1E4B9"/>
    <w:rsid w:val="0B01AC75"/>
    <w:rsid w:val="0B2D5865"/>
    <w:rsid w:val="0C305D74"/>
    <w:rsid w:val="0CD6FEA0"/>
    <w:rsid w:val="0E4D034C"/>
    <w:rsid w:val="0E7A764E"/>
    <w:rsid w:val="0ECEC7A9"/>
    <w:rsid w:val="0FFA456D"/>
    <w:rsid w:val="10AD5760"/>
    <w:rsid w:val="10B08258"/>
    <w:rsid w:val="10D0661C"/>
    <w:rsid w:val="110432DB"/>
    <w:rsid w:val="117B9C56"/>
    <w:rsid w:val="11B0F6FB"/>
    <w:rsid w:val="11DF6980"/>
    <w:rsid w:val="12403A3C"/>
    <w:rsid w:val="12403A3C"/>
    <w:rsid w:val="1304C257"/>
    <w:rsid w:val="131F4503"/>
    <w:rsid w:val="1337DABC"/>
    <w:rsid w:val="134CC067"/>
    <w:rsid w:val="13B00A5D"/>
    <w:rsid w:val="13B7EFAA"/>
    <w:rsid w:val="13B82E7C"/>
    <w:rsid w:val="13C3DB4D"/>
    <w:rsid w:val="13E2AD66"/>
    <w:rsid w:val="13E2AD66"/>
    <w:rsid w:val="141BF41E"/>
    <w:rsid w:val="1529FDA9"/>
    <w:rsid w:val="1554C2A7"/>
    <w:rsid w:val="1579A450"/>
    <w:rsid w:val="16360E14"/>
    <w:rsid w:val="165ED645"/>
    <w:rsid w:val="1691E6DD"/>
    <w:rsid w:val="16F296E6"/>
    <w:rsid w:val="1739D208"/>
    <w:rsid w:val="17D5732C"/>
    <w:rsid w:val="18347F7A"/>
    <w:rsid w:val="186668B5"/>
    <w:rsid w:val="18AAE429"/>
    <w:rsid w:val="18B0FE53"/>
    <w:rsid w:val="18C6FE18"/>
    <w:rsid w:val="18CCA330"/>
    <w:rsid w:val="19679303"/>
    <w:rsid w:val="19679303"/>
    <w:rsid w:val="196C78C7"/>
    <w:rsid w:val="197EED4E"/>
    <w:rsid w:val="19BAB37C"/>
    <w:rsid w:val="19DB73E0"/>
    <w:rsid w:val="19EA7150"/>
    <w:rsid w:val="1A485B7A"/>
    <w:rsid w:val="1A5585FF"/>
    <w:rsid w:val="1A7D6BE4"/>
    <w:rsid w:val="1AB88BF8"/>
    <w:rsid w:val="1AEA8803"/>
    <w:rsid w:val="1AF7BDC1"/>
    <w:rsid w:val="1B09409C"/>
    <w:rsid w:val="1B2C266F"/>
    <w:rsid w:val="1B7EA17B"/>
    <w:rsid w:val="1B8340FF"/>
    <w:rsid w:val="1BD4CD98"/>
    <w:rsid w:val="1BFE324D"/>
    <w:rsid w:val="1CD9D7FD"/>
    <w:rsid w:val="1CD9D7FD"/>
    <w:rsid w:val="1CE3D850"/>
    <w:rsid w:val="1CED78EF"/>
    <w:rsid w:val="1D0FD9C9"/>
    <w:rsid w:val="1D1D9D63"/>
    <w:rsid w:val="1DC2CE36"/>
    <w:rsid w:val="1E39E405"/>
    <w:rsid w:val="1EB49B2D"/>
    <w:rsid w:val="1ED2F403"/>
    <w:rsid w:val="1EFD8FB1"/>
    <w:rsid w:val="1F23DA26"/>
    <w:rsid w:val="1F8B4D5D"/>
    <w:rsid w:val="1FB60D1A"/>
    <w:rsid w:val="1FDA8FF7"/>
    <w:rsid w:val="204EACFF"/>
    <w:rsid w:val="2055FB1F"/>
    <w:rsid w:val="2192A590"/>
    <w:rsid w:val="21C549BB"/>
    <w:rsid w:val="221ADA09"/>
    <w:rsid w:val="22474DF5"/>
    <w:rsid w:val="229E6FFA"/>
    <w:rsid w:val="24082D48"/>
    <w:rsid w:val="24DA1E91"/>
    <w:rsid w:val="253247A6"/>
    <w:rsid w:val="253B0610"/>
    <w:rsid w:val="25C49687"/>
    <w:rsid w:val="25F8C816"/>
    <w:rsid w:val="2640DC43"/>
    <w:rsid w:val="264F8827"/>
    <w:rsid w:val="26AAE08E"/>
    <w:rsid w:val="27820221"/>
    <w:rsid w:val="27C7E740"/>
    <w:rsid w:val="28198A79"/>
    <w:rsid w:val="2826E020"/>
    <w:rsid w:val="28C670B0"/>
    <w:rsid w:val="28C80A05"/>
    <w:rsid w:val="28F1B9CE"/>
    <w:rsid w:val="296F1938"/>
    <w:rsid w:val="2987D40F"/>
    <w:rsid w:val="29AB181D"/>
    <w:rsid w:val="29AEEBCC"/>
    <w:rsid w:val="2AA2062E"/>
    <w:rsid w:val="2B1CB599"/>
    <w:rsid w:val="2B1FF8F9"/>
    <w:rsid w:val="2B3BD8AF"/>
    <w:rsid w:val="2B4EEC34"/>
    <w:rsid w:val="2B9D89EC"/>
    <w:rsid w:val="2C03DCEF"/>
    <w:rsid w:val="2C346451"/>
    <w:rsid w:val="2C346451"/>
    <w:rsid w:val="2C494F5C"/>
    <w:rsid w:val="2C889C4B"/>
    <w:rsid w:val="2CC6F745"/>
    <w:rsid w:val="2CE4D9AF"/>
    <w:rsid w:val="2D21DB15"/>
    <w:rsid w:val="2D464992"/>
    <w:rsid w:val="2E033204"/>
    <w:rsid w:val="2E6A37C0"/>
    <w:rsid w:val="2E6F0110"/>
    <w:rsid w:val="2F02561B"/>
    <w:rsid w:val="2F61F663"/>
    <w:rsid w:val="2FAA588C"/>
    <w:rsid w:val="2FDA6BD6"/>
    <w:rsid w:val="308E96FD"/>
    <w:rsid w:val="30A5E409"/>
    <w:rsid w:val="30B3554D"/>
    <w:rsid w:val="30B7902D"/>
    <w:rsid w:val="30D69BA2"/>
    <w:rsid w:val="3243184C"/>
    <w:rsid w:val="325ABCBC"/>
    <w:rsid w:val="328ED7C5"/>
    <w:rsid w:val="328ED7C5"/>
    <w:rsid w:val="3380943F"/>
    <w:rsid w:val="33F3BB1E"/>
    <w:rsid w:val="354A05D2"/>
    <w:rsid w:val="356630B9"/>
    <w:rsid w:val="3580586B"/>
    <w:rsid w:val="35846B2D"/>
    <w:rsid w:val="35A0D68D"/>
    <w:rsid w:val="35B990B3"/>
    <w:rsid w:val="368F276A"/>
    <w:rsid w:val="36CC1F30"/>
    <w:rsid w:val="36E12672"/>
    <w:rsid w:val="383D704D"/>
    <w:rsid w:val="3897B1A1"/>
    <w:rsid w:val="38D98A36"/>
    <w:rsid w:val="38FB0075"/>
    <w:rsid w:val="38FB0075"/>
    <w:rsid w:val="3966DD75"/>
    <w:rsid w:val="39771442"/>
    <w:rsid w:val="39FA8250"/>
    <w:rsid w:val="3A05CA4C"/>
    <w:rsid w:val="3A3F9E03"/>
    <w:rsid w:val="3A638E76"/>
    <w:rsid w:val="3AB3B67E"/>
    <w:rsid w:val="3B8A1387"/>
    <w:rsid w:val="3BBDAB86"/>
    <w:rsid w:val="3BDE4652"/>
    <w:rsid w:val="3C80EB87"/>
    <w:rsid w:val="3C93AE50"/>
    <w:rsid w:val="3CCAFCE9"/>
    <w:rsid w:val="3CE400A7"/>
    <w:rsid w:val="3CF76A6F"/>
    <w:rsid w:val="3D1B5BB8"/>
    <w:rsid w:val="3D889692"/>
    <w:rsid w:val="3DFEF633"/>
    <w:rsid w:val="3E03953F"/>
    <w:rsid w:val="3E68B2FB"/>
    <w:rsid w:val="3E7E537A"/>
    <w:rsid w:val="3ED3AFA5"/>
    <w:rsid w:val="3F114C27"/>
    <w:rsid w:val="4004C6D7"/>
    <w:rsid w:val="4013A0A0"/>
    <w:rsid w:val="40A19A06"/>
    <w:rsid w:val="40E55CBB"/>
    <w:rsid w:val="413C7F75"/>
    <w:rsid w:val="41769385"/>
    <w:rsid w:val="417DF533"/>
    <w:rsid w:val="41987DDD"/>
    <w:rsid w:val="41B9DB9E"/>
    <w:rsid w:val="42871B56"/>
    <w:rsid w:val="428D312A"/>
    <w:rsid w:val="42BDA978"/>
    <w:rsid w:val="42C4D12F"/>
    <w:rsid w:val="43C9EDC0"/>
    <w:rsid w:val="43D486BA"/>
    <w:rsid w:val="4413164F"/>
    <w:rsid w:val="44E7CD14"/>
    <w:rsid w:val="44FFD744"/>
    <w:rsid w:val="45397B81"/>
    <w:rsid w:val="4593F80F"/>
    <w:rsid w:val="46097C5A"/>
    <w:rsid w:val="4641A0A4"/>
    <w:rsid w:val="4657D96C"/>
    <w:rsid w:val="468C6B97"/>
    <w:rsid w:val="46C52F41"/>
    <w:rsid w:val="46E6F3D4"/>
    <w:rsid w:val="470ED7CA"/>
    <w:rsid w:val="4719AFFC"/>
    <w:rsid w:val="47BF78CD"/>
    <w:rsid w:val="48091F86"/>
    <w:rsid w:val="481E52D1"/>
    <w:rsid w:val="48720988"/>
    <w:rsid w:val="48E81297"/>
    <w:rsid w:val="4952E609"/>
    <w:rsid w:val="49AD610B"/>
    <w:rsid w:val="49C16A59"/>
    <w:rsid w:val="49C56D07"/>
    <w:rsid w:val="49F82587"/>
    <w:rsid w:val="4A307061"/>
    <w:rsid w:val="4A710691"/>
    <w:rsid w:val="4AEA243B"/>
    <w:rsid w:val="4AF7715F"/>
    <w:rsid w:val="4BD5CDC2"/>
    <w:rsid w:val="4BD72F2B"/>
    <w:rsid w:val="4C5B0FB9"/>
    <w:rsid w:val="4C7919A6"/>
    <w:rsid w:val="4CF5307C"/>
    <w:rsid w:val="4D24C457"/>
    <w:rsid w:val="4E263C69"/>
    <w:rsid w:val="4F3C6410"/>
    <w:rsid w:val="4F60C417"/>
    <w:rsid w:val="4FD0CE93"/>
    <w:rsid w:val="503BC96A"/>
    <w:rsid w:val="5071A302"/>
    <w:rsid w:val="5080DCD8"/>
    <w:rsid w:val="518D8CE5"/>
    <w:rsid w:val="519A4319"/>
    <w:rsid w:val="51B69C29"/>
    <w:rsid w:val="525DD675"/>
    <w:rsid w:val="52C41E14"/>
    <w:rsid w:val="5302D204"/>
    <w:rsid w:val="5366941C"/>
    <w:rsid w:val="53853675"/>
    <w:rsid w:val="53DDCF1D"/>
    <w:rsid w:val="549BC1C7"/>
    <w:rsid w:val="549EDFC7"/>
    <w:rsid w:val="54CA1A25"/>
    <w:rsid w:val="54DD303C"/>
    <w:rsid w:val="551D15C2"/>
    <w:rsid w:val="5542A9D9"/>
    <w:rsid w:val="554AD225"/>
    <w:rsid w:val="55719EBA"/>
    <w:rsid w:val="55F7CD11"/>
    <w:rsid w:val="56080FF2"/>
    <w:rsid w:val="5609AC7B"/>
    <w:rsid w:val="56389911"/>
    <w:rsid w:val="56A8E8C0"/>
    <w:rsid w:val="56C10E2C"/>
    <w:rsid w:val="56F67E03"/>
    <w:rsid w:val="575F884B"/>
    <w:rsid w:val="577BDEB9"/>
    <w:rsid w:val="578232A7"/>
    <w:rsid w:val="57B44C00"/>
    <w:rsid w:val="57C47085"/>
    <w:rsid w:val="57DA297D"/>
    <w:rsid w:val="580AA5B6"/>
    <w:rsid w:val="58CCF3A6"/>
    <w:rsid w:val="58DEE473"/>
    <w:rsid w:val="58FC8F22"/>
    <w:rsid w:val="598B7AB6"/>
    <w:rsid w:val="5AE26AB7"/>
    <w:rsid w:val="5B224DD6"/>
    <w:rsid w:val="5BB04FA8"/>
    <w:rsid w:val="5BDC5307"/>
    <w:rsid w:val="5BEBB8AF"/>
    <w:rsid w:val="5CB01AAB"/>
    <w:rsid w:val="5D6F5045"/>
    <w:rsid w:val="5D90C635"/>
    <w:rsid w:val="5FEC8F11"/>
    <w:rsid w:val="6015026D"/>
    <w:rsid w:val="606B9947"/>
    <w:rsid w:val="608DEDBC"/>
    <w:rsid w:val="60EC4748"/>
    <w:rsid w:val="62791E97"/>
    <w:rsid w:val="627C7A77"/>
    <w:rsid w:val="62CAC9E5"/>
    <w:rsid w:val="62E54AAD"/>
    <w:rsid w:val="633035F3"/>
    <w:rsid w:val="63DE81A6"/>
    <w:rsid w:val="63F1C6AD"/>
    <w:rsid w:val="64A1AF02"/>
    <w:rsid w:val="64C6EDDB"/>
    <w:rsid w:val="65EA70C9"/>
    <w:rsid w:val="66005681"/>
    <w:rsid w:val="6633AE67"/>
    <w:rsid w:val="66873F31"/>
    <w:rsid w:val="668BB650"/>
    <w:rsid w:val="66972FD8"/>
    <w:rsid w:val="672B3891"/>
    <w:rsid w:val="6746C490"/>
    <w:rsid w:val="684D59EC"/>
    <w:rsid w:val="68ADF863"/>
    <w:rsid w:val="69BA581B"/>
    <w:rsid w:val="6AAE118E"/>
    <w:rsid w:val="6B286CDA"/>
    <w:rsid w:val="6B4451A2"/>
    <w:rsid w:val="6C823D77"/>
    <w:rsid w:val="6D2E017C"/>
    <w:rsid w:val="6D480D53"/>
    <w:rsid w:val="6D8CA0E9"/>
    <w:rsid w:val="6DB41035"/>
    <w:rsid w:val="6DEE4430"/>
    <w:rsid w:val="6E082F84"/>
    <w:rsid w:val="6E78D008"/>
    <w:rsid w:val="6E7C687F"/>
    <w:rsid w:val="6E7C687F"/>
    <w:rsid w:val="6F5365F4"/>
    <w:rsid w:val="705A2679"/>
    <w:rsid w:val="70D77DA6"/>
    <w:rsid w:val="710EEB1A"/>
    <w:rsid w:val="717A1675"/>
    <w:rsid w:val="71F3C52C"/>
    <w:rsid w:val="7331A87D"/>
    <w:rsid w:val="7383EC46"/>
    <w:rsid w:val="7620E87D"/>
    <w:rsid w:val="764D870E"/>
    <w:rsid w:val="77425601"/>
    <w:rsid w:val="783B33CD"/>
    <w:rsid w:val="78A79C5D"/>
    <w:rsid w:val="78A9B8B3"/>
    <w:rsid w:val="7A0439A3"/>
    <w:rsid w:val="7A3879A5"/>
    <w:rsid w:val="7A8900E2"/>
    <w:rsid w:val="7A9D7387"/>
    <w:rsid w:val="7A9D7387"/>
    <w:rsid w:val="7BAD3946"/>
    <w:rsid w:val="7C266F21"/>
    <w:rsid w:val="7C29524C"/>
    <w:rsid w:val="7C3BB29B"/>
    <w:rsid w:val="7C8A39EE"/>
    <w:rsid w:val="7CA24B30"/>
    <w:rsid w:val="7CC5D9F6"/>
    <w:rsid w:val="7CD8FFCB"/>
    <w:rsid w:val="7D213492"/>
    <w:rsid w:val="7D2552FC"/>
    <w:rsid w:val="7D449A92"/>
    <w:rsid w:val="7E160D1C"/>
    <w:rsid w:val="7E2F0016"/>
    <w:rsid w:val="7E85F977"/>
    <w:rsid w:val="7EA47B40"/>
    <w:rsid w:val="7F6A66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56403"/>
  <w15:chartTrackingRefBased/>
  <w15:docId w15:val="{0D21DA34-CA0B-5749-8CA9-691230381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14199"/>
    <w:rPr>
      <w:rFonts w:ascii="Aptos" w:hAnsi="Aptos" w:eastAsia="Aptos" w:cs="Times New Roman"/>
      <w14:ligatures w14:val="none"/>
    </w:rPr>
  </w:style>
  <w:style w:type="paragraph" w:styleId="Heading1">
    <w:name w:val="heading 1"/>
    <w:basedOn w:val="Normal"/>
    <w:next w:val="Normal"/>
    <w:link w:val="Heading1Char"/>
    <w:uiPriority w:val="9"/>
    <w:qFormat/>
    <w:rsid w:val="00114199"/>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4199"/>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41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1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1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1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1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1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199"/>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11419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11419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11419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11419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114199"/>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11419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114199"/>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11419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114199"/>
    <w:rPr>
      <w:rFonts w:eastAsiaTheme="majorEastAsia" w:cstheme="majorBidi"/>
      <w:color w:val="272727" w:themeColor="text1" w:themeTint="D8"/>
    </w:rPr>
  </w:style>
  <w:style w:type="paragraph" w:styleId="Title">
    <w:name w:val="Title"/>
    <w:basedOn w:val="Normal"/>
    <w:next w:val="Normal"/>
    <w:link w:val="TitleChar"/>
    <w:uiPriority w:val="10"/>
    <w:qFormat/>
    <w:rsid w:val="00114199"/>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114199"/>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114199"/>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1141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199"/>
    <w:pPr>
      <w:spacing w:before="160"/>
      <w:jc w:val="center"/>
    </w:pPr>
    <w:rPr>
      <w:i/>
      <w:iCs/>
      <w:color w:val="404040" w:themeColor="text1" w:themeTint="BF"/>
    </w:rPr>
  </w:style>
  <w:style w:type="character" w:styleId="QuoteChar" w:customStyle="1">
    <w:name w:val="Quote Char"/>
    <w:basedOn w:val="DefaultParagraphFont"/>
    <w:link w:val="Quote"/>
    <w:uiPriority w:val="29"/>
    <w:rsid w:val="00114199"/>
    <w:rPr>
      <w:i/>
      <w:iCs/>
      <w:color w:val="404040" w:themeColor="text1" w:themeTint="BF"/>
    </w:rPr>
  </w:style>
  <w:style w:type="paragraph" w:styleId="ListParagraph">
    <w:name w:val="List Paragraph"/>
    <w:basedOn w:val="Normal"/>
    <w:uiPriority w:val="34"/>
    <w:qFormat/>
    <w:rsid w:val="00114199"/>
    <w:pPr>
      <w:ind w:left="720"/>
      <w:contextualSpacing/>
    </w:pPr>
  </w:style>
  <w:style w:type="character" w:styleId="IntenseEmphasis">
    <w:name w:val="Intense Emphasis"/>
    <w:basedOn w:val="DefaultParagraphFont"/>
    <w:uiPriority w:val="21"/>
    <w:qFormat/>
    <w:rsid w:val="00114199"/>
    <w:rPr>
      <w:i/>
      <w:iCs/>
      <w:color w:val="0F4761" w:themeColor="accent1" w:themeShade="BF"/>
    </w:rPr>
  </w:style>
  <w:style w:type="paragraph" w:styleId="IntenseQuote">
    <w:name w:val="Intense Quote"/>
    <w:basedOn w:val="Normal"/>
    <w:next w:val="Normal"/>
    <w:link w:val="IntenseQuoteChar"/>
    <w:uiPriority w:val="30"/>
    <w:qFormat/>
    <w:rsid w:val="00114199"/>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114199"/>
    <w:rPr>
      <w:i/>
      <w:iCs/>
      <w:color w:val="0F4761" w:themeColor="accent1" w:themeShade="BF"/>
    </w:rPr>
  </w:style>
  <w:style w:type="character" w:styleId="IntenseReference">
    <w:name w:val="Intense Reference"/>
    <w:basedOn w:val="DefaultParagraphFont"/>
    <w:uiPriority w:val="32"/>
    <w:qFormat/>
    <w:rsid w:val="00114199"/>
    <w:rPr>
      <w:b/>
      <w:bCs/>
      <w:smallCaps/>
      <w:color w:val="0F4761" w:themeColor="accent1" w:themeShade="BF"/>
      <w:spacing w:val="5"/>
    </w:rPr>
  </w:style>
  <w:style w:type="table" w:styleId="TableGrid">
    <w:name w:val="Table Grid"/>
    <w:basedOn w:val="TableNormal"/>
    <w:uiPriority w:val="39"/>
    <w:rsid w:val="0011419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Spacing">
    <w:name w:val="No Spacing"/>
    <w:uiPriority w:val="1"/>
    <w:qFormat/>
    <w:rsid w:val="00114199"/>
    <w:pPr>
      <w:spacing w:after="0" w:line="240" w:lineRule="auto"/>
    </w:pPr>
    <w:rPr>
      <w:rFonts w:ascii="Aptos" w:hAnsi="Aptos" w:eastAsia="Aptos" w:cs="Times New Roman"/>
      <w14:ligatures w14:val="none"/>
    </w:rPr>
  </w:style>
  <w:style w:type="character" w:styleId="Strong">
    <w:name w:val="Strong"/>
    <w:uiPriority w:val="22"/>
    <w:qFormat/>
    <w:rsid w:val="00114199"/>
    <w:rPr>
      <w:b/>
      <w:bCs/>
    </w:rPr>
  </w:style>
  <w:style w:type="paragraph" w:styleId="NormalWeb">
    <w:name w:val="Normal (Web)"/>
    <w:basedOn w:val="Normal"/>
    <w:uiPriority w:val="99"/>
    <w:unhideWhenUsed/>
    <w:rsid w:val="000B1AFC"/>
    <w:pPr>
      <w:spacing w:before="100" w:beforeAutospacing="1" w:after="100" w:afterAutospacing="1" w:line="240" w:lineRule="auto"/>
    </w:pPr>
    <w:rPr>
      <w:rFonts w:ascii="Times New Roman" w:hAnsi="Times New Roman" w:eastAsia="Times New Roman"/>
      <w:kern w:val="0"/>
      <w:lang w:eastAsia="en-GB"/>
    </w:rPr>
  </w:style>
  <w:style w:type="character" w:styleId="apple-converted-space" w:customStyle="1">
    <w:name w:val="apple-converted-space"/>
    <w:basedOn w:val="DefaultParagraphFont"/>
    <w:rsid w:val="000B1AFC"/>
  </w:style>
  <w:style w:type="character" w:styleId="Hyperlink">
    <w:uiPriority w:val="99"/>
    <w:name w:val="Hyperlink"/>
    <w:basedOn w:val="DefaultParagraphFont"/>
    <w:unhideWhenUsed/>
    <w:rsid w:val="633035F3"/>
    <w:rPr>
      <w:color w:val="467886"/>
      <w:u w:val="single"/>
    </w:rPr>
  </w:style>
  <w:style w:type="paragraph" w:styleId="Header">
    <w:uiPriority w:val="99"/>
    <w:name w:val="header"/>
    <w:basedOn w:val="Normal"/>
    <w:unhideWhenUsed/>
    <w:rsid w:val="1EB49B2D"/>
    <w:pPr>
      <w:tabs>
        <w:tab w:val="center" w:leader="none" w:pos="4680"/>
        <w:tab w:val="right" w:leader="none" w:pos="9360"/>
      </w:tabs>
      <w:spacing w:after="0" w:line="240" w:lineRule="auto"/>
    </w:pPr>
  </w:style>
  <w:style w:type="paragraph" w:styleId="Footer">
    <w:uiPriority w:val="99"/>
    <w:name w:val="footer"/>
    <w:basedOn w:val="Normal"/>
    <w:unhideWhenUsed/>
    <w:rsid w:val="1EB49B2D"/>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jpeg" Id="rId5" /><Relationship Type="http://schemas.openxmlformats.org/officeDocument/2006/relationships/webSettings" Target="webSettings.xml" Id="rId4" /><Relationship Type="http://schemas.openxmlformats.org/officeDocument/2006/relationships/header" Target="header.xml" Id="R9341d778ac4143b9" /><Relationship Type="http://schemas.openxmlformats.org/officeDocument/2006/relationships/footer" Target="footer.xml" Id="R8b4c3f1a71b34086" /><Relationship Type="http://schemas.openxmlformats.org/officeDocument/2006/relationships/hyperlink" Target="https://www.routledge.com/Working-with-children-and-families-Assessing-needs-and-planning-help/Daniel-Barnes/p/book/9780415537061" TargetMode="External" Id="R01d8bc96b3544f89" /><Relationship Type="http://schemas.openxmlformats.org/officeDocument/2006/relationships/hyperlink" Target="https://dera.ioe.ac.uk/id/eprint/11157/1/DCSF-RR114.pdf" TargetMode="External" Id="R2c09b46772f8475f" /><Relationship Type="http://schemas.openxmlformats.org/officeDocument/2006/relationships/hyperlink" Target="https://www.education.gov.uk/publications/standard/publicationDetail/Page1/DFE-RR226" TargetMode="External" Id="R7d25322ae92044d8" /><Relationship Type="http://schemas.openxmlformats.org/officeDocument/2006/relationships/hyperlink" Target="https://doi.org/10.1177/106342660301100202" TargetMode="External" Id="Re5c652c9d1a049da" /><Relationship Type="http://schemas.openxmlformats.org/officeDocument/2006/relationships/hyperlink" Target="https://assets.publishing.service.gov.uk/media/657b183d0467eb001355f870/Working_together_to_safeguard_children_2023_-_statutory_guidance.pdf" TargetMode="External" Id="Rdac906e24181470d" /><Relationship Type="http://schemas.openxmlformats.org/officeDocument/2006/relationships/hyperlink" Target="https://www.gov.uk/government/publications/supporting-families-early-help-system-guide" TargetMode="External" Id="R98da8ba3135046d7" /><Relationship Type="http://schemas.openxmlformats.org/officeDocument/2006/relationships/hyperlink" Target="https://www.ippr.org/research/publications/parents-at-the-centre-supporting-families-through-family-hubs" TargetMode="External" Id="R103ea4b65cd9410f" /><Relationship Type="http://schemas.openxmlformats.org/officeDocument/2006/relationships/hyperlink" Target="https://www.leeds.gov.uk/children-and-families/services-for-families" TargetMode="External" Id="R52958d6dbed44039" /><Relationship Type="http://schemas.openxmlformats.org/officeDocument/2006/relationships/hyperlink" Target="https://www.gov.uk/government/publications/munro-review-of-child-protection-final-report-a-child-centred-system" TargetMode="External" Id="R614c6e27cbb64833" /><Relationship Type="http://schemas.openxmlformats.org/officeDocument/2006/relationships/hyperlink" Target="https://norfolklscp.org.uk/parents-carers-the-community/where-to-go-to-get-help" TargetMode="External" Id="R97b2484a5b634c46" /><Relationship Type="http://schemas.openxmlformats.org/officeDocument/2006/relationships/hyperlink" Target="https://www.gov.uk/government/publications/analysis-of-serious-case-reviews-2011-to-2014" TargetMode="External" Id="R7b9148f5dd46479b"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Caroline Salami</dc:creator>
  <keywords/>
  <dc:description/>
  <lastModifiedBy>Alexandra Elena Chiran (2410882)</lastModifiedBy>
  <revision>5</revision>
  <dcterms:created xsi:type="dcterms:W3CDTF">2026-02-17T21:23:00.0000000Z</dcterms:created>
  <dcterms:modified xsi:type="dcterms:W3CDTF">2026-08-14T08:23:59.4833417Z</dcterms:modified>
</coreProperties>
</file>