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816B7" w14:textId="77777777" w:rsidR="00036F53" w:rsidRPr="00171B79" w:rsidRDefault="00036F53" w:rsidP="00036F53">
      <w:pPr>
        <w:pBdr>
          <w:bottom w:val="single" w:sz="6" w:space="0" w:color="FFFFFF"/>
        </w:pBdr>
        <w:spacing w:after="120" w:line="240" w:lineRule="auto"/>
        <w:rPr>
          <w:rFonts w:ascii="-webkit-standard" w:eastAsia="Times New Roman" w:hAnsi="-webkit-standard" w:cs="Times New Roman"/>
          <w:color w:val="000000"/>
          <w:kern w:val="0"/>
          <w:sz w:val="27"/>
          <w:szCs w:val="27"/>
          <w:lang w:eastAsia="en-GB"/>
          <w14:ligatures w14:val="none"/>
        </w:rPr>
      </w:pPr>
      <w:r w:rsidRPr="00171B79">
        <w:rPr>
          <w:rFonts w:ascii="Arial" w:eastAsia="Times New Roman" w:hAnsi="Arial" w:cs="Arial"/>
          <w:b/>
          <w:bCs/>
          <w:color w:val="000000"/>
          <w:kern w:val="0"/>
          <w:sz w:val="32"/>
          <w:szCs w:val="32"/>
          <w:lang w:eastAsia="en-GB"/>
          <w14:ligatures w14:val="none"/>
        </w:rPr>
        <w:t>Student name</w:t>
      </w:r>
      <w:r w:rsidRPr="00171B79">
        <w:rPr>
          <w:rFonts w:ascii="Arial" w:eastAsia="Times New Roman" w:hAnsi="Arial" w:cs="Arial"/>
          <w:color w:val="000000"/>
          <w:kern w:val="0"/>
          <w:sz w:val="32"/>
          <w:szCs w:val="32"/>
          <w:lang w:eastAsia="en-GB"/>
          <w14:ligatures w14:val="none"/>
        </w:rPr>
        <w:t>: </w:t>
      </w:r>
      <w:r>
        <w:rPr>
          <w:rFonts w:ascii="Arial" w:eastAsia="Times New Roman" w:hAnsi="Arial" w:cs="Arial"/>
          <w:color w:val="000000"/>
          <w:kern w:val="0"/>
          <w:sz w:val="32"/>
          <w:szCs w:val="32"/>
          <w:lang w:eastAsia="en-GB"/>
          <w14:ligatures w14:val="none"/>
        </w:rPr>
        <w:t>Osazee Iyamu</w:t>
      </w:r>
    </w:p>
    <w:p w14:paraId="349C4E10" w14:textId="77777777" w:rsidR="00036F53" w:rsidRPr="00171B79" w:rsidRDefault="00036F53" w:rsidP="00036F53">
      <w:pPr>
        <w:pBdr>
          <w:bottom w:val="single" w:sz="6" w:space="0" w:color="FFFFFF"/>
        </w:pBdr>
        <w:spacing w:after="120" w:line="240" w:lineRule="auto"/>
        <w:rPr>
          <w:rFonts w:ascii="-webkit-standard" w:eastAsia="Times New Roman" w:hAnsi="-webkit-standard" w:cs="Times New Roman"/>
          <w:color w:val="000000"/>
          <w:kern w:val="0"/>
          <w:sz w:val="27"/>
          <w:szCs w:val="27"/>
          <w:lang w:eastAsia="en-GB"/>
          <w14:ligatures w14:val="none"/>
        </w:rPr>
      </w:pPr>
      <w:r w:rsidRPr="00171B79">
        <w:rPr>
          <w:rFonts w:ascii="Arial" w:eastAsia="Times New Roman" w:hAnsi="Arial" w:cs="Arial"/>
          <w:b/>
          <w:bCs/>
          <w:color w:val="000000"/>
          <w:kern w:val="0"/>
          <w:sz w:val="32"/>
          <w:szCs w:val="32"/>
          <w:lang w:eastAsia="en-GB"/>
          <w14:ligatures w14:val="none"/>
        </w:rPr>
        <w:t>Student ID</w:t>
      </w:r>
      <w:r w:rsidRPr="00171B79">
        <w:rPr>
          <w:rFonts w:ascii="Arial" w:eastAsia="Times New Roman" w:hAnsi="Arial" w:cs="Arial"/>
          <w:color w:val="000000"/>
          <w:kern w:val="0"/>
          <w:sz w:val="32"/>
          <w:szCs w:val="32"/>
          <w:lang w:eastAsia="en-GB"/>
          <w14:ligatures w14:val="none"/>
        </w:rPr>
        <w:t>:</w:t>
      </w:r>
      <w:r>
        <w:rPr>
          <w:rFonts w:ascii="Arial" w:eastAsia="Times New Roman" w:hAnsi="Arial" w:cs="Arial"/>
          <w:color w:val="000000"/>
          <w:kern w:val="0"/>
          <w:sz w:val="32"/>
          <w:szCs w:val="32"/>
          <w:lang w:eastAsia="en-GB"/>
          <w14:ligatures w14:val="none"/>
        </w:rPr>
        <w:t>2438257</w:t>
      </w:r>
    </w:p>
    <w:p w14:paraId="6B6B7EA5" w14:textId="77777777" w:rsidR="00036F53" w:rsidRPr="00171B79" w:rsidRDefault="00036F53" w:rsidP="00036F53">
      <w:pPr>
        <w:pBdr>
          <w:bottom w:val="single" w:sz="6" w:space="0" w:color="FFFFFF"/>
        </w:pBdr>
        <w:spacing w:after="120" w:line="240" w:lineRule="auto"/>
        <w:rPr>
          <w:rFonts w:ascii="-webkit-standard" w:eastAsia="Times New Roman" w:hAnsi="-webkit-standard" w:cs="Times New Roman"/>
          <w:color w:val="000000"/>
          <w:kern w:val="0"/>
          <w:sz w:val="27"/>
          <w:szCs w:val="27"/>
          <w:lang w:eastAsia="en-GB"/>
          <w14:ligatures w14:val="none"/>
        </w:rPr>
      </w:pPr>
      <w:r w:rsidRPr="00171B79">
        <w:rPr>
          <w:rFonts w:ascii="Arial" w:eastAsia="Times New Roman" w:hAnsi="Arial" w:cs="Arial"/>
          <w:b/>
          <w:bCs/>
          <w:color w:val="000000"/>
          <w:kern w:val="0"/>
          <w:sz w:val="32"/>
          <w:szCs w:val="32"/>
          <w:lang w:eastAsia="en-GB"/>
          <w14:ligatures w14:val="none"/>
        </w:rPr>
        <w:t>Module name</w:t>
      </w:r>
      <w:r w:rsidRPr="00171B79">
        <w:rPr>
          <w:rFonts w:ascii="Arial" w:eastAsia="Times New Roman" w:hAnsi="Arial" w:cs="Arial"/>
          <w:color w:val="000000"/>
          <w:kern w:val="0"/>
          <w:sz w:val="32"/>
          <w:szCs w:val="32"/>
          <w:lang w:eastAsia="en-GB"/>
          <w14:ligatures w14:val="none"/>
        </w:rPr>
        <w:t xml:space="preserve">: </w:t>
      </w:r>
      <w:r>
        <w:rPr>
          <w:rFonts w:ascii="Arial" w:eastAsia="Times New Roman" w:hAnsi="Arial" w:cs="Arial"/>
          <w:color w:val="000000"/>
          <w:kern w:val="0"/>
          <w:sz w:val="32"/>
          <w:szCs w:val="32"/>
          <w:lang w:eastAsia="en-GB"/>
          <w14:ligatures w14:val="none"/>
        </w:rPr>
        <w:t>Introduction to health and social care</w:t>
      </w:r>
    </w:p>
    <w:p w14:paraId="15E6810C" w14:textId="77777777" w:rsidR="00036F53" w:rsidRPr="00171B79" w:rsidRDefault="00036F53" w:rsidP="00036F53">
      <w:pPr>
        <w:pBdr>
          <w:bottom w:val="single" w:sz="6" w:space="0" w:color="FFFFFF"/>
        </w:pBdr>
        <w:spacing w:after="120" w:line="240" w:lineRule="auto"/>
        <w:rPr>
          <w:rFonts w:ascii="-webkit-standard" w:eastAsia="Times New Roman" w:hAnsi="-webkit-standard" w:cs="Times New Roman"/>
          <w:color w:val="000000"/>
          <w:kern w:val="0"/>
          <w:sz w:val="27"/>
          <w:szCs w:val="27"/>
          <w:lang w:eastAsia="en-GB"/>
          <w14:ligatures w14:val="none"/>
        </w:rPr>
      </w:pPr>
      <w:r w:rsidRPr="00171B79">
        <w:rPr>
          <w:rFonts w:ascii="Arial" w:eastAsia="Times New Roman" w:hAnsi="Arial" w:cs="Arial"/>
          <w:b/>
          <w:bCs/>
          <w:color w:val="000000"/>
          <w:kern w:val="0"/>
          <w:sz w:val="32"/>
          <w:szCs w:val="32"/>
          <w:lang w:eastAsia="en-GB"/>
          <w14:ligatures w14:val="none"/>
        </w:rPr>
        <w:t>Module code</w:t>
      </w:r>
      <w:r>
        <w:rPr>
          <w:rFonts w:ascii="Arial" w:eastAsia="Times New Roman" w:hAnsi="Arial" w:cs="Arial"/>
          <w:color w:val="000000"/>
          <w:kern w:val="0"/>
          <w:sz w:val="32"/>
          <w:szCs w:val="32"/>
          <w:lang w:eastAsia="en-GB"/>
          <w14:ligatures w14:val="none"/>
        </w:rPr>
        <w:t>: LCHS4003_LON</w:t>
      </w:r>
    </w:p>
    <w:p w14:paraId="46F15BA3" w14:textId="77777777" w:rsidR="00036F53" w:rsidRPr="00171B79" w:rsidRDefault="00036F53" w:rsidP="00036F53">
      <w:pPr>
        <w:pBdr>
          <w:bottom w:val="single" w:sz="6" w:space="0" w:color="FFFFFF"/>
        </w:pBdr>
        <w:spacing w:after="120" w:line="240" w:lineRule="auto"/>
        <w:rPr>
          <w:rFonts w:ascii="-webkit-standard" w:eastAsia="Times New Roman" w:hAnsi="-webkit-standard" w:cs="Times New Roman"/>
          <w:color w:val="000000"/>
          <w:kern w:val="0"/>
          <w:sz w:val="27"/>
          <w:szCs w:val="27"/>
          <w:lang w:eastAsia="en-GB"/>
          <w14:ligatures w14:val="none"/>
        </w:rPr>
      </w:pPr>
      <w:r w:rsidRPr="00171B79">
        <w:rPr>
          <w:rFonts w:ascii="Arial" w:eastAsia="Times New Roman" w:hAnsi="Arial" w:cs="Arial"/>
          <w:b/>
          <w:bCs/>
          <w:color w:val="000000"/>
          <w:kern w:val="0"/>
          <w:sz w:val="32"/>
          <w:szCs w:val="32"/>
          <w:lang w:eastAsia="en-GB"/>
          <w14:ligatures w14:val="none"/>
        </w:rPr>
        <w:t>Lecturer name</w:t>
      </w:r>
      <w:r w:rsidRPr="00171B79">
        <w:rPr>
          <w:rFonts w:ascii="Calibri" w:eastAsia="Times New Roman" w:hAnsi="Calibri" w:cs="Calibri"/>
          <w:color w:val="000000"/>
          <w:kern w:val="0"/>
          <w:sz w:val="26"/>
          <w:szCs w:val="26"/>
          <w:lang w:eastAsia="en-GB"/>
          <w14:ligatures w14:val="none"/>
        </w:rPr>
        <w:t>:  </w:t>
      </w:r>
      <w:r>
        <w:rPr>
          <w:rFonts w:ascii="Calibri" w:eastAsia="Times New Roman" w:hAnsi="Calibri" w:cs="Calibri"/>
          <w:color w:val="000000"/>
          <w:kern w:val="0"/>
          <w:sz w:val="26"/>
          <w:szCs w:val="26"/>
          <w:lang w:eastAsia="en-GB"/>
          <w14:ligatures w14:val="none"/>
        </w:rPr>
        <w:t>Dr Christopher</w:t>
      </w:r>
    </w:p>
    <w:p w14:paraId="64F9CE4B" w14:textId="77777777" w:rsidR="00EC279E" w:rsidRDefault="00EC279E"/>
    <w:p w14:paraId="369BF083" w14:textId="77154B2F" w:rsidR="00036F53" w:rsidRPr="00036F53" w:rsidRDefault="00036F53">
      <w:pPr>
        <w:rPr>
          <w:color w:val="4C94D8" w:themeColor="text2" w:themeTint="80"/>
        </w:rPr>
      </w:pPr>
      <w:r>
        <w:rPr>
          <w:color w:val="4C94D8" w:themeColor="text2" w:themeTint="80"/>
        </w:rPr>
        <w:t>Introduction</w:t>
      </w:r>
    </w:p>
    <w:p w14:paraId="66CFD14D" w14:textId="77777777" w:rsidR="00036F53" w:rsidRDefault="00036F53" w:rsidP="00036F53">
      <w:r>
        <w:t>In today’s healthcare and social support profession, communication is vital to the provision of high-quality support to individuals, including Mrs. Mann, who needs a significant amount of support to assist her with communication issues related to her hearing impairment and to enhance her overall quality of life (Bramhall, 2014; RNID, 2023). This paper will evaluate the effects of Mrs. Mann’s and her family’s communication skills, including the development of effective empathetic communication, as it relates to Mrs. Mann’s need for clear channels of communication and how these already established methods of communicating with Mrs. Mann may assist with the process of establishing supports for both Mrs. Mann and her family (Skills for Care, 2021).</w:t>
      </w:r>
    </w:p>
    <w:p w14:paraId="4D9D7334" w14:textId="77777777" w:rsidR="00036F53" w:rsidRDefault="00036F53" w:rsidP="00036F53"/>
    <w:p w14:paraId="58C2CD05" w14:textId="2C5971E0" w:rsidR="00036F53" w:rsidRDefault="00036F53" w:rsidP="00036F53">
      <w:r>
        <w:t>Additionally, the paper will include a discussion of Berlo’s model of communication and the role each element (Source, Message, Channel, and Receiver) has in defining the process of communication as it relates to Mrs. Mann and her communication disability (Berlo, 1960). Finally, the paper will discuss the provision of equivalent protections under the Equality Act 2010 and examine how the Act protects individuals with disabilities by ensuring they are not treated less favourably than individuals without disabilities, including within health and social care settings (Equality Act 2010; NHS England, 2016). The information provided in this paper will help to establish an environment of continued support for Mrs. Mann and her family, thereby improving the quality of life for both Mrs. Mann and her family (Department of Health and Social Care, 2012).</w:t>
      </w:r>
    </w:p>
    <w:p w14:paraId="17C7DB2A" w14:textId="77777777" w:rsidR="00036F53" w:rsidRDefault="00036F53" w:rsidP="00036F53"/>
    <w:p w14:paraId="2F18ED41" w14:textId="77777777" w:rsidR="00036F53" w:rsidRPr="00036F53" w:rsidRDefault="00036F53" w:rsidP="00036F53">
      <w:pPr>
        <w:rPr>
          <w:color w:val="4C94D8" w:themeColor="text2" w:themeTint="80"/>
        </w:rPr>
      </w:pPr>
      <w:r w:rsidRPr="00036F53">
        <w:rPr>
          <w:color w:val="4C94D8" w:themeColor="text2" w:themeTint="80"/>
        </w:rPr>
        <w:t>Effective Communication</w:t>
      </w:r>
    </w:p>
    <w:p w14:paraId="6A52982D" w14:textId="77777777" w:rsidR="00036F53" w:rsidRDefault="00036F53" w:rsidP="00036F53"/>
    <w:p w14:paraId="49C4777F" w14:textId="77777777" w:rsidR="00036F53" w:rsidRDefault="00036F53" w:rsidP="00036F53">
      <w:pPr>
        <w:rPr>
          <w:color w:val="4C94D8" w:themeColor="text2" w:themeTint="80"/>
        </w:rPr>
      </w:pPr>
      <w:r w:rsidRPr="00036F53">
        <w:rPr>
          <w:color w:val="4C94D8" w:themeColor="text2" w:themeTint="80"/>
        </w:rPr>
        <w:t>Importance of Communication Skills</w:t>
      </w:r>
    </w:p>
    <w:p w14:paraId="39E72FAD" w14:textId="11C1902B" w:rsidR="00036F53" w:rsidRPr="00036F53" w:rsidRDefault="00036F53" w:rsidP="00036F53">
      <w:pPr>
        <w:rPr>
          <w:color w:val="4C94D8" w:themeColor="text2" w:themeTint="80"/>
        </w:rPr>
      </w:pPr>
      <w:r>
        <w:lastRenderedPageBreak/>
        <w:t>Having a good relationship with Mrs. Mann and her family would enable the application of communication skills for the effective delivery of assistance (Health and Care Professions Council (HCPC), 2023). Mrs. Mann would rely on her healthcare provider for information on the type of medications that would be of great help in addressing her health issues, which highlights the importance of clear, accurate, and accessible information sharing (NHS England, 2019). This would enable Mrs. Mann to address her health issues by taking into consideration the various options of treatment that exist through informed decision-making (Department of Health and Social Care, 2012). Additionally, the doctor would visit the Manns for the purpose of identifying the most appropriate plan of action, demonstrating the value of person-centred communication (NHS England, 2019).</w:t>
      </w:r>
    </w:p>
    <w:p w14:paraId="751CC89A" w14:textId="77777777" w:rsidR="00036F53" w:rsidRDefault="00036F53" w:rsidP="00036F53"/>
    <w:p w14:paraId="6C48A418" w14:textId="1CCB9E89" w:rsidR="00036F53" w:rsidRDefault="00036F53" w:rsidP="00036F53">
      <w:r>
        <w:t xml:space="preserve">Hence, by allowing the caregiver to communicate with Mrs. Mann regularly, there is a possibility that the caregiver would be able to make informed judgements regarding Mrs. Mann’s health status, as well as the challenges she faces </w:t>
      </w:r>
      <w:r>
        <w:t>daily</w:t>
      </w:r>
      <w:r>
        <w:t xml:space="preserve"> (Skills for Care, 2021). Furthermore, through the process of communication that takes place between Mrs. Mann and her family members, it is possible for Mrs. Mann to inform her family about her situation and to receive and provide emotional support, which is essential for holistic care (Bramhall, 2014).</w:t>
      </w:r>
    </w:p>
    <w:p w14:paraId="39CC18FE" w14:textId="77777777" w:rsidR="00036F53" w:rsidRDefault="00036F53" w:rsidP="00036F53"/>
    <w:p w14:paraId="6162CB33" w14:textId="2CBA6683" w:rsidR="00036F53" w:rsidRDefault="00036F53" w:rsidP="00036F53">
      <w:r>
        <w:t xml:space="preserve">If effective communication is to occur between me and Mrs. Mann, the following must take place. Firstly, clarity of communication is essential, which can be achieved by using simple, non-technical language that is easy to understand (Royal College of Nursing (RCN), 2021). Secondly, effective listening must be demonstrated, showing care and attention through both verbal and non-verbal communication and by asking questions to clarify understanding (Bramhall, 2014). Lastly, it is crucial to demonstrate empathy and compassion through communication </w:t>
      </w:r>
      <w:r>
        <w:t>to</w:t>
      </w:r>
      <w:r>
        <w:t xml:space="preserve"> meet Mrs. Mann’s emotional and communication needs, particularly in relation to her hearing impairment (RNID, 2023).</w:t>
      </w:r>
    </w:p>
    <w:p w14:paraId="4753F224" w14:textId="77777777" w:rsidR="00036F53" w:rsidRDefault="00036F53" w:rsidP="00036F53"/>
    <w:p w14:paraId="031F045B" w14:textId="3E5B157B" w:rsidR="00036F53" w:rsidRDefault="00036F53" w:rsidP="00036F53">
      <w:r>
        <w:t>Under the Equality Act 2010, everyone has a right to equal treatment, and people with disabilities are protected from discrimination in areas such as education, employment, and access to services in the United Kingdom (Equality Act 2010). People with disabilities enjoy the same rights in accessing educational institutions and employment opportunities as individuals without disabilities; however, the Act also places a legal duty on service providers to prevent discrimination and promote equality (Gov.uk, 2013). The Act requires service providers to take all reasonable steps necessary to reduce any substantial disadvantage that a person with a disability may face when accessing services (Equality Act 2010).</w:t>
      </w:r>
    </w:p>
    <w:p w14:paraId="57F6B960" w14:textId="77777777" w:rsidR="00036F53" w:rsidRDefault="00036F53" w:rsidP="00036F53"/>
    <w:p w14:paraId="408FE2EB" w14:textId="2F327910" w:rsidR="00036F53" w:rsidRDefault="00036F53" w:rsidP="00036F53">
      <w:r>
        <w:t>Examples of reasonable adjustments that may be made by service providers include providing written information in alternative formats, such as large print or braille, and offering additional communication support where required by individual service users (NHS England, 2016; RNID, 2023). These adjustments help ensure that individuals with communication or sensory impairments can access services on an equal basis with others, supporting inclusion and person-centred care (Department of Health and Social Care, 2012).</w:t>
      </w:r>
    </w:p>
    <w:p w14:paraId="36C659F5" w14:textId="77777777" w:rsidR="00036F53" w:rsidRPr="00036F53" w:rsidRDefault="00036F53" w:rsidP="00036F53">
      <w:pPr>
        <w:rPr>
          <w:color w:val="4C94D8" w:themeColor="text2" w:themeTint="80"/>
        </w:rPr>
      </w:pPr>
      <w:r w:rsidRPr="00036F53">
        <w:rPr>
          <w:color w:val="4C94D8" w:themeColor="text2" w:themeTint="80"/>
        </w:rPr>
        <w:t>Berlo Model of Communication</w:t>
      </w:r>
    </w:p>
    <w:p w14:paraId="2FEF91E4" w14:textId="77777777" w:rsidR="00036F53" w:rsidRDefault="00036F53" w:rsidP="00036F53">
      <w:r>
        <w:t>In 1960, David Berlo created the Berlo Model of Communication (SMCR), which explains how communication is transmitted through a four-stage process consisting of Source, Message, Channel, and Receiver (Berlo, 1960). The Source refers to where the communication originates and includes factors such as the source’s communication skills, attitudes, and feelings toward the receiver (Berlo, 1960). Additionally, the source must possess sufficient knowledge of the subject being communicated and be influenced by their social system and cultural background, such as ethnicity (Communication Theory, 2023).</w:t>
      </w:r>
    </w:p>
    <w:p w14:paraId="2415D486" w14:textId="77777777" w:rsidR="00036F53" w:rsidRDefault="00036F53" w:rsidP="00036F53">
      <w:r>
        <w:t>The Message represents the information being sent and includes its elements, structure, treatment, and the code used to convey meaning (Berlo, 1960). The Channel refers to how the message is delivered from the sender to the receiver, such as through spoken language, written communication, or visual methods (Bramhall, 2014). The Receiver must also possess appropriate communication skills, a basic understanding of the subject, and exist within a supportive social and cultural context to ensure accurate interpretation of the message (Berlo, 1960).</w:t>
      </w:r>
    </w:p>
    <w:p w14:paraId="6746D477" w14:textId="7BC64ADD" w:rsidR="00036F53" w:rsidRDefault="00731BAE" w:rsidP="00036F53">
      <w:r>
        <w:t>I</w:t>
      </w:r>
      <w:r w:rsidR="00036F53">
        <w:t>n the present context, Mrs. Mann’s situation can be analysed using Berlo’s model, as it demonstrates how various factors can either support or hinder effective communication (Skills for Care, 2021). As Mrs. Mann is deaf, it is essential that both the source and the message are accurate and appropriately delivered, as misunderstandings could significantly affect how information is interpreted by a person with a hearing impairment (RNID, 2023; NHS England, 2016).</w:t>
      </w:r>
    </w:p>
    <w:p w14:paraId="660467C0" w14:textId="26E14672" w:rsidR="00731BAE" w:rsidRDefault="00036F53" w:rsidP="00036F53">
      <w:r>
        <w:t xml:space="preserve">It is essential to keep accurate records of Mrs. Mann’s progress, pain levels, and functionality </w:t>
      </w:r>
      <w:r w:rsidR="003D7A80">
        <w:t>to</w:t>
      </w:r>
      <w:r>
        <w:t xml:space="preserve"> determine the most effective treatment for her condition and to support safe, evidence-based decision-making (National Institute for Health and Care Excellence (NICE), 2018). Furthermore, all documentation collected about Mrs. Mann must comply with the requirements of the Mental Capacity Act 2005, particularly when obtaining informed consent and ensuring that decisions are made in her best interests where necessary (Department of Health, 2005).</w:t>
      </w:r>
    </w:p>
    <w:p w14:paraId="6E8C1BFB" w14:textId="1BA6B898" w:rsidR="00036F53" w:rsidRDefault="00036F53" w:rsidP="00036F53">
      <w:r>
        <w:lastRenderedPageBreak/>
        <w:t>Mrs. Mann’s private information and rights regarding her personal wishes must also be protected in line with the Data Protection Act 2018 and the General Data Protection Regulation (GDPR), which set out legal requirements for the lawful, fair, and transparent handling of personal data (Data Protection Act 2018). Under this legislation, any documentation relating to Mrs. Mann must be stored securely, accessed only by individuals with a legitimate professional reason, and managed in a way that prevents unlawful or unfair treatment (Information Commissioner’s Office (ICO), 2018).</w:t>
      </w:r>
    </w:p>
    <w:p w14:paraId="4CA41C1B" w14:textId="31C3BCBE" w:rsidR="00036F53" w:rsidRDefault="00036F53" w:rsidP="00036F53">
      <w:r>
        <w:t>Mrs. Mann has the right to access her records, request corrections if inaccuracies are identified, and object to the way her personal information is processed (ICO, 2018). In view of her hearing impairment, it is essential that Mrs. Mann is supported to access, understand, and engage with her records through appropriate communication methods and accessible formats (NHS England, 2016). To ensure accessibility and compliance with legislation, her records should be accurate, clearly presented, provided in a timely manner, and protected by appropriate confidentiality measures. In addition, all records relating to Mrs. Mann must be factual, complete, and kept up to date to ensure continuity and quality of care (NICE, 2018).</w:t>
      </w:r>
    </w:p>
    <w:p w14:paraId="7F8FFD92" w14:textId="05C3108A" w:rsidR="0054354D" w:rsidRDefault="0054354D" w:rsidP="0054354D">
      <w:r>
        <w:t>Recordkeeping is not the only way administrative skills support the healthcare delivery system; they also provide healthcare professionals with a means to support all services delivered within care settings (Skills for Care, 2021). It is critical for healthcare practitioners to establish and maintain accurate patient records for individuals with hearing impairments, such as Mrs. Mann, as this ensures continuity of care and enables all members of the multidisciplinary team to track the patient’s progress, treatment plans, and responses to medications (National Institute for Health and Care Excellence (NICE), 2018). This continuity strengthens communication between healthcare professionals and supports safe, coordinated care delivery (NHS England, 2019).</w:t>
      </w:r>
    </w:p>
    <w:p w14:paraId="5A185C18" w14:textId="77777777" w:rsidR="00731BAE" w:rsidRDefault="00731BAE" w:rsidP="0054354D"/>
    <w:p w14:paraId="5E37D019" w14:textId="6E066795" w:rsidR="0054354D" w:rsidRDefault="0054354D" w:rsidP="0054354D">
      <w:r>
        <w:t xml:space="preserve">By maintaining accurate documentation, physiotherapists </w:t>
      </w:r>
      <w:r w:rsidR="003D7A80">
        <w:t>can</w:t>
      </w:r>
      <w:r>
        <w:t xml:space="preserve"> establish stronger communication links with general practitioners (GPs) and home-based care staff who support Mrs. Mann, ensuring that care is consistent and responsive to her needs (Department of Health and Social Care, 2018). Accurate documentation also supports the effective coordination of Mrs. Mann’s treatment, allowing healthcare professionals to adapt interventions to meet her individual needs, including her hearing impairment, and to provide person-centred care (RNID, 2023; NHS England, 2016).</w:t>
      </w:r>
    </w:p>
    <w:p w14:paraId="3E5322C7" w14:textId="77777777" w:rsidR="00731BAE" w:rsidRDefault="00731BAE" w:rsidP="0054354D"/>
    <w:p w14:paraId="7D2241EC" w14:textId="77777777" w:rsidR="002D5DC7" w:rsidRDefault="0054354D" w:rsidP="0054354D">
      <w:r>
        <w:t>The ability to maintain accurate documentation also has significant legal implications. Clear and accurate records provide evidence of the care and treatment delivered and can protect healthcare professionals in the event of complaints, investigations, or medical negligence claims (Health and Care Professions Council (HCPC), 2023).</w:t>
      </w:r>
    </w:p>
    <w:p w14:paraId="716A71E4" w14:textId="0105E5C4" w:rsidR="00036F53" w:rsidRDefault="0039243E" w:rsidP="0054354D">
      <w:r>
        <w:lastRenderedPageBreak/>
        <w:t>In</w:t>
      </w:r>
      <w:r w:rsidR="002D5DC7">
        <w:t xml:space="preserve"> addition</w:t>
      </w:r>
      <w:r w:rsidR="0054354D">
        <w:t>, accurate documentation of Mrs. Mann’s medication demonstrates that healthcare practitioners have complied with legal and professional requirements for prescribing and administering medication safely and appropriately (NICE, 2015; Nursing and Midwifery Council (NMC), 2018).</w:t>
      </w:r>
    </w:p>
    <w:p w14:paraId="7B8C2330" w14:textId="77777777" w:rsidR="0054354D" w:rsidRDefault="0054354D" w:rsidP="0054354D">
      <w:r>
        <w:t>Collaborative Work</w:t>
      </w:r>
    </w:p>
    <w:p w14:paraId="4A2EF288" w14:textId="77777777" w:rsidR="0054354D" w:rsidRDefault="0054354D" w:rsidP="0054354D"/>
    <w:p w14:paraId="061B1C42" w14:textId="77777777" w:rsidR="0054354D" w:rsidRDefault="0054354D" w:rsidP="0054354D">
      <w:r>
        <w:t>In the healthcare system, collaboration is necessary to provide comprehensive care to the patient (World Health Organization (WHO), 2016). In the example of Mrs. Mann, who suffers from vision impairment, the physiotherapist, General Practitioner, and support worker all work together to meet her individual needs alongside her other disabilities (Department of Health and Social Care, 2018). By working collaboratively, the healthcare team can provide Mrs. Mann with care that addresses not only her medical needs but also her physical and daily living needs, taking into consideration the challenges associated with her vision impairment (NHS England, 2022). A collaborative approach to care minimises fragmentation, decreases the risk of error, and improves patient outcomes (Health Foundation, 2020).</w:t>
      </w:r>
    </w:p>
    <w:p w14:paraId="5917C314" w14:textId="77777777" w:rsidR="0054354D" w:rsidRDefault="0054354D" w:rsidP="0054354D"/>
    <w:p w14:paraId="0601871D" w14:textId="7FA3AB75" w:rsidR="0054354D" w:rsidRDefault="0054354D" w:rsidP="0054354D">
      <w:r>
        <w:t>There are several benefits to the collaborative approach to care. The physiotherapist can develop a mobility plan for Mrs. Mann that accommodates her poor vision, the General Practitioner manages her medical conditions, and the support worker assists with daily living activities and ensures her living environment is safe and accessible (Skills for Care, 2021). Ongoing communication keeps the healthcare team aware of any improvements or challenges Mrs. Mann experiences. For example, if a paramedic notices Mrs. Mann having difficulty navigating her home, this information would be communicated to the physiotherapist and General Practitioner, who may then adjust the physiotherapy plan or recommend additional support (WHO, 2016). This integrated approach ultimately improves health outcomes and enhances Mrs. Mann’s quality of life (Department of Health and Social Care, 2018).</w:t>
      </w:r>
    </w:p>
    <w:p w14:paraId="6E4233A7" w14:textId="77777777" w:rsidR="00514CDA" w:rsidRDefault="0054354D" w:rsidP="00514CDA">
      <w:r w:rsidRPr="0054354D">
        <w:t>In conclusion, in the example of Mrs. Mann, it is evident that by relying on a healthcare team through integrated services, the situation demonstrates the value of teamwork in providing holistic support for an individual with complex needs, such as a visual impairment (World Health Organization (WHO), 2016; Health Foundation, 2020). The ability of members of the healthcare team to communicate and work together results in improved patient outcomes and reduces the risk of error, thereby enhancing the overall quality of healthcare (NHS England, 2022; Department of Health and Social Care, 2018). The legal framework, including the Equality Act 2010, supports the formation of collaborative healthcare teams and provides guidance for establishing inclusive and coordinated care (Equality Act 2010; Skills for Care, 2021).</w:t>
      </w:r>
    </w:p>
    <w:p w14:paraId="1AC16E74" w14:textId="3F10DB1F" w:rsidR="00514CDA" w:rsidRPr="00514CDA" w:rsidRDefault="00514CDA" w:rsidP="00514CDA">
      <w:pPr>
        <w:rPr>
          <w:color w:val="4C94D8" w:themeColor="text2" w:themeTint="80"/>
        </w:rPr>
      </w:pPr>
      <w:r w:rsidRPr="00514CDA">
        <w:rPr>
          <w:color w:val="4C94D8" w:themeColor="text2" w:themeTint="80"/>
        </w:rPr>
        <w:lastRenderedPageBreak/>
        <w:t>References</w:t>
      </w:r>
    </w:p>
    <w:p w14:paraId="19BC127E" w14:textId="7CC488CF" w:rsidR="00514CDA" w:rsidRDefault="00514CDA" w:rsidP="00514CDA">
      <w:r>
        <w:t>Health and Care Professions Council (HCPC) (2023) Standards of conduct, performance and ethics. Available at:</w:t>
      </w:r>
    </w:p>
    <w:p w14:paraId="5F1E398C" w14:textId="77777777" w:rsidR="00514CDA" w:rsidRDefault="00514CDA" w:rsidP="00514CDA">
      <w:r>
        <w:t>https://www.hcpc-uk.org/standards/standards-of-conduct-performance-and-ethics/</w:t>
      </w:r>
    </w:p>
    <w:p w14:paraId="25929E88" w14:textId="084C2412" w:rsidR="00514CDA" w:rsidRDefault="00514CDA" w:rsidP="00514CDA">
      <w:r>
        <w:t>(Accessed: 1</w:t>
      </w:r>
      <w:r w:rsidR="003D7A80">
        <w:t xml:space="preserve">1 </w:t>
      </w:r>
      <w:r>
        <w:t>November 202</w:t>
      </w:r>
      <w:r w:rsidR="003D7A80">
        <w:t>5</w:t>
      </w:r>
      <w:r>
        <w:t>).</w:t>
      </w:r>
    </w:p>
    <w:p w14:paraId="04D885C0" w14:textId="77777777" w:rsidR="00514CDA" w:rsidRDefault="00514CDA" w:rsidP="00514CDA">
      <w:r>
        <w:t>NHS England (2016) Accessible Information Standard. Available at:</w:t>
      </w:r>
    </w:p>
    <w:p w14:paraId="018FCF06" w14:textId="77777777" w:rsidR="00514CDA" w:rsidRDefault="00514CDA" w:rsidP="00514CDA">
      <w:r>
        <w:t>https://www.england.nhs.uk/accessibleinfo/</w:t>
      </w:r>
    </w:p>
    <w:p w14:paraId="0505DC78" w14:textId="5A22F0FB" w:rsidR="00514CDA" w:rsidRDefault="00514CDA" w:rsidP="00514CDA">
      <w:r>
        <w:t xml:space="preserve">(Accessed: 20 </w:t>
      </w:r>
      <w:r w:rsidR="003D7A80">
        <w:t>December</w:t>
      </w:r>
      <w:r>
        <w:t xml:space="preserve"> 2024).</w:t>
      </w:r>
    </w:p>
    <w:p w14:paraId="4CE79F6B" w14:textId="77777777" w:rsidR="00514CDA" w:rsidRDefault="00514CDA" w:rsidP="00514CDA">
      <w:r>
        <w:t>Royal National Institute for Deaf People (RNID) (2023) Communication tips for people with hearing loss. Available at:</w:t>
      </w:r>
    </w:p>
    <w:p w14:paraId="6CDB9736" w14:textId="77777777" w:rsidR="00514CDA" w:rsidRDefault="00514CDA" w:rsidP="00514CDA">
      <w:r>
        <w:t>https://rnid.org.uk/information-and-support/communication/</w:t>
      </w:r>
    </w:p>
    <w:p w14:paraId="32480498" w14:textId="40D33CF4" w:rsidR="00E349D9" w:rsidRDefault="00514CDA" w:rsidP="00514CDA">
      <w:r>
        <w:t xml:space="preserve">(Accessed: 14 </w:t>
      </w:r>
      <w:r w:rsidR="003D7A80">
        <w:t xml:space="preserve">June </w:t>
      </w:r>
      <w:r>
        <w:t>202</w:t>
      </w:r>
      <w:r w:rsidR="003D7A80">
        <w:t>2</w:t>
      </w:r>
      <w:r>
        <w:t>).</w:t>
      </w:r>
    </w:p>
    <w:p w14:paraId="3F8E1E14" w14:textId="77777777" w:rsidR="00514CDA" w:rsidRDefault="00514CDA" w:rsidP="00514CDA">
      <w:r>
        <w:t>Bramhall, E. (2014) Effective communication skills in healthcare. Available at:</w:t>
      </w:r>
    </w:p>
    <w:p w14:paraId="4A24B8F6" w14:textId="77777777" w:rsidR="00514CDA" w:rsidRDefault="00514CDA" w:rsidP="00514CDA">
      <w:r>
        <w:t>https://www.nursingstandard.com/content/professional/effective-communication-skills-in-healthcare/</w:t>
      </w:r>
    </w:p>
    <w:p w14:paraId="7DD88B15" w14:textId="77777777" w:rsidR="00514CDA" w:rsidRDefault="00514CDA" w:rsidP="00514CDA">
      <w:r>
        <w:t>(Accessed: 4 December 2024).</w:t>
      </w:r>
    </w:p>
    <w:p w14:paraId="775C9D09" w14:textId="77777777" w:rsidR="00514CDA" w:rsidRDefault="00514CDA" w:rsidP="00514CDA"/>
    <w:p w14:paraId="37015E94" w14:textId="77777777" w:rsidR="00514CDA" w:rsidRDefault="00514CDA" w:rsidP="00514CDA">
      <w:r>
        <w:t>Department of Health and Social Care (2012) Compassion in Practice. Available at:</w:t>
      </w:r>
    </w:p>
    <w:p w14:paraId="4A96146E" w14:textId="77777777" w:rsidR="00514CDA" w:rsidRDefault="00514CDA" w:rsidP="00514CDA">
      <w:r>
        <w:t>https://www.gov.uk/government/publications/compassion-in-practice</w:t>
      </w:r>
    </w:p>
    <w:p w14:paraId="7A9A906E" w14:textId="0F352526" w:rsidR="00514CDA" w:rsidRDefault="00514CDA" w:rsidP="00514CDA">
      <w:r>
        <w:t>(Accessed</w:t>
      </w:r>
      <w:r w:rsidR="003D7A80">
        <w:t xml:space="preserve">16 </w:t>
      </w:r>
      <w:r>
        <w:t>December 2024).</w:t>
      </w:r>
    </w:p>
    <w:p w14:paraId="16A3CF50" w14:textId="77777777" w:rsidR="00514CDA" w:rsidRDefault="00514CDA" w:rsidP="00514CDA"/>
    <w:p w14:paraId="2554F393" w14:textId="77777777" w:rsidR="00514CDA" w:rsidRDefault="00514CDA" w:rsidP="00514CDA">
      <w:r>
        <w:t>Health and Care Professions Council (HCPC) (2023) Standards of conduct, performance and ethics. Available at:</w:t>
      </w:r>
    </w:p>
    <w:p w14:paraId="47111B21" w14:textId="77777777" w:rsidR="00514CDA" w:rsidRDefault="00514CDA" w:rsidP="00514CDA">
      <w:r>
        <w:t>https://www.hcpc-uk.org/standards/standards-of-conduct-performance-and-ethics/</w:t>
      </w:r>
    </w:p>
    <w:p w14:paraId="764A9AD3" w14:textId="1B7E5894" w:rsidR="00514CDA" w:rsidRDefault="00514CDA" w:rsidP="00514CDA">
      <w:r>
        <w:t xml:space="preserve">(Accessed: 2 </w:t>
      </w:r>
      <w:r w:rsidR="003D7A80">
        <w:t>February</w:t>
      </w:r>
      <w:r>
        <w:t>2024).</w:t>
      </w:r>
    </w:p>
    <w:p w14:paraId="272288B0" w14:textId="77777777" w:rsidR="00514CDA" w:rsidRDefault="00514CDA" w:rsidP="00514CDA"/>
    <w:p w14:paraId="72E2A153" w14:textId="77777777" w:rsidR="00514CDA" w:rsidRDefault="00514CDA" w:rsidP="00514CDA">
      <w:r>
        <w:t>NHS England (2019) Person-centred care. Available at:</w:t>
      </w:r>
    </w:p>
    <w:p w14:paraId="7B53E1BD" w14:textId="77777777" w:rsidR="00514CDA" w:rsidRDefault="00514CDA" w:rsidP="00514CDA">
      <w:r>
        <w:t>https://www.england.nhs.uk/personalisedcare/</w:t>
      </w:r>
    </w:p>
    <w:p w14:paraId="5C0801C6" w14:textId="5B1F9CA7" w:rsidR="00514CDA" w:rsidRDefault="00514CDA" w:rsidP="00514CDA">
      <w:r>
        <w:t xml:space="preserve">(Accessed: 11 </w:t>
      </w:r>
      <w:r w:rsidR="003D7A80">
        <w:t xml:space="preserve">October </w:t>
      </w:r>
      <w:r>
        <w:t>2024).</w:t>
      </w:r>
    </w:p>
    <w:p w14:paraId="2EBDB839" w14:textId="77777777" w:rsidR="00514CDA" w:rsidRDefault="00514CDA" w:rsidP="00514CDA">
      <w:r>
        <w:lastRenderedPageBreak/>
        <w:t xml:space="preserve">Health Foundation (2020) What is integrated </w:t>
      </w:r>
      <w:proofErr w:type="gramStart"/>
      <w:r>
        <w:t>care?.</w:t>
      </w:r>
      <w:proofErr w:type="gramEnd"/>
      <w:r>
        <w:t xml:space="preserve"> Available at:</w:t>
      </w:r>
    </w:p>
    <w:p w14:paraId="3F512A57" w14:textId="77777777" w:rsidR="00514CDA" w:rsidRDefault="00514CDA" w:rsidP="00514CDA">
      <w:r>
        <w:t>https://www.health.org.uk/news-and-comment/charts-and-infographics/what-is-integrated-care</w:t>
      </w:r>
    </w:p>
    <w:p w14:paraId="27D217F6" w14:textId="5F594F4A" w:rsidR="00514CDA" w:rsidRDefault="00514CDA" w:rsidP="00514CDA">
      <w:r>
        <w:t>(Accessed: 28 November 202</w:t>
      </w:r>
      <w:r w:rsidR="003D7A80">
        <w:t>3</w:t>
      </w:r>
      <w:r>
        <w:t>).</w:t>
      </w:r>
    </w:p>
    <w:p w14:paraId="41EDEF5D" w14:textId="77777777" w:rsidR="00514CDA" w:rsidRDefault="00514CDA" w:rsidP="00514CDA"/>
    <w:p w14:paraId="6004A910" w14:textId="77777777" w:rsidR="00514CDA" w:rsidRDefault="00514CDA" w:rsidP="00514CDA">
      <w:r>
        <w:t>NHS England (2022) Working in partnership: integrated care. Available at:</w:t>
      </w:r>
    </w:p>
    <w:p w14:paraId="2DD6A255" w14:textId="77777777" w:rsidR="00514CDA" w:rsidRDefault="00514CDA" w:rsidP="00514CDA">
      <w:r>
        <w:t>https://www.england.nhs.uk/integratedcare/</w:t>
      </w:r>
    </w:p>
    <w:p w14:paraId="1E1E505A" w14:textId="7768FB4F" w:rsidR="00514CDA" w:rsidRDefault="00514CDA" w:rsidP="00514CDA">
      <w:r>
        <w:t>(Accessed: 7 December 202</w:t>
      </w:r>
      <w:r w:rsidR="003D7A80">
        <w:t>0</w:t>
      </w:r>
      <w:r>
        <w:t>).</w:t>
      </w:r>
    </w:p>
    <w:p w14:paraId="0BFD4C63" w14:textId="77777777" w:rsidR="00514CDA" w:rsidRDefault="00514CDA" w:rsidP="00514CDA"/>
    <w:p w14:paraId="0F683494" w14:textId="77777777" w:rsidR="00514CDA" w:rsidRDefault="00514CDA" w:rsidP="00514CDA">
      <w:r>
        <w:t>World Health Organization (WHO) (2016) Framework on integrated, people-centred health services. Available at:</w:t>
      </w:r>
    </w:p>
    <w:p w14:paraId="2BB5D79A" w14:textId="77777777" w:rsidR="00514CDA" w:rsidRDefault="00514CDA" w:rsidP="00514CDA">
      <w:r>
        <w:t>https://www.who.int/publications/i/item/WHO-HIS-SDS-2016.8</w:t>
      </w:r>
    </w:p>
    <w:p w14:paraId="3A38FB59" w14:textId="20802F0B" w:rsidR="00514CDA" w:rsidRDefault="00514CDA" w:rsidP="00514CDA">
      <w:r>
        <w:t xml:space="preserve">(Accessed: 26 </w:t>
      </w:r>
      <w:r w:rsidR="003D7A80">
        <w:t xml:space="preserve">September </w:t>
      </w:r>
      <w:r>
        <w:t>2025).</w:t>
      </w:r>
    </w:p>
    <w:p w14:paraId="370F46D2" w14:textId="77777777" w:rsidR="00514CDA" w:rsidRDefault="00514CDA" w:rsidP="00514CDA">
      <w:r>
        <w:t>Royal College of Nursing (RCN) (2021) Communication skills. Available at:</w:t>
      </w:r>
    </w:p>
    <w:p w14:paraId="601CB6AF" w14:textId="77777777" w:rsidR="00514CDA" w:rsidRDefault="00514CDA" w:rsidP="00514CDA">
      <w:r>
        <w:t>https://www.rcn.org.uk/clinical-topics/communication</w:t>
      </w:r>
    </w:p>
    <w:p w14:paraId="489953F4" w14:textId="3E13F152" w:rsidR="00514CDA" w:rsidRDefault="00514CDA" w:rsidP="00514CDA">
      <w:r>
        <w:t xml:space="preserve">(Accessed: </w:t>
      </w:r>
      <w:r w:rsidR="003D7A80">
        <w:t>4</w:t>
      </w:r>
      <w:r>
        <w:t xml:space="preserve"> </w:t>
      </w:r>
      <w:r w:rsidR="003D7A80">
        <w:t>March</w:t>
      </w:r>
      <w:r>
        <w:t xml:space="preserve"> 2024).</w:t>
      </w:r>
    </w:p>
    <w:p w14:paraId="3D36A590" w14:textId="77777777" w:rsidR="00514CDA" w:rsidRDefault="00514CDA" w:rsidP="00514CDA"/>
    <w:p w14:paraId="747A4AB1" w14:textId="77777777" w:rsidR="00514CDA" w:rsidRDefault="00514CDA" w:rsidP="00514CDA">
      <w:r>
        <w:t>Royal National Institute for Deaf People (RNID) (2023) Communicating with people who have hearing loss. Available at:</w:t>
      </w:r>
    </w:p>
    <w:p w14:paraId="12907026" w14:textId="77777777" w:rsidR="00514CDA" w:rsidRDefault="00514CDA" w:rsidP="00514CDA">
      <w:r>
        <w:t>https://rnid.org.uk/information-and-support/communication/</w:t>
      </w:r>
    </w:p>
    <w:p w14:paraId="4A2B216B" w14:textId="38BDEED9" w:rsidR="00514CDA" w:rsidRDefault="00514CDA" w:rsidP="00514CDA">
      <w:r>
        <w:t xml:space="preserve">(Accessed: 14 </w:t>
      </w:r>
      <w:r w:rsidR="003D7A80">
        <w:t xml:space="preserve">October </w:t>
      </w:r>
      <w:r>
        <w:t>202</w:t>
      </w:r>
      <w:r w:rsidR="003D7A80">
        <w:t>0</w:t>
      </w:r>
      <w:r>
        <w:t>).</w:t>
      </w:r>
    </w:p>
    <w:p w14:paraId="73ADE7E0" w14:textId="77777777" w:rsidR="00514CDA" w:rsidRDefault="00514CDA" w:rsidP="00514CDA"/>
    <w:p w14:paraId="71A56CB1" w14:textId="77777777" w:rsidR="00514CDA" w:rsidRDefault="00514CDA" w:rsidP="00514CDA">
      <w:r>
        <w:t>Skills for Care (2021) Effective communication in care settings. Available at:</w:t>
      </w:r>
    </w:p>
    <w:p w14:paraId="7247A6ED" w14:textId="77777777" w:rsidR="00514CDA" w:rsidRDefault="00514CDA" w:rsidP="00514CDA">
      <w:r>
        <w:t>https://www.skillsforcare.org.uk/Learning-development/Effective-communication.aspx</w:t>
      </w:r>
    </w:p>
    <w:p w14:paraId="25E71DBD" w14:textId="7DB05A0B" w:rsidR="00514CDA" w:rsidRDefault="00514CDA" w:rsidP="00514CDA">
      <w:r>
        <w:t xml:space="preserve">(Accessed: 18 </w:t>
      </w:r>
      <w:r w:rsidR="003D7A80">
        <w:t>April</w:t>
      </w:r>
      <w:r>
        <w:t xml:space="preserve"> 202</w:t>
      </w:r>
      <w:r w:rsidR="003D7A80">
        <w:t>1</w:t>
      </w:r>
      <w:r>
        <w:t>).</w:t>
      </w:r>
    </w:p>
    <w:p w14:paraId="2B38220B" w14:textId="77777777" w:rsidR="003D7A80" w:rsidRDefault="003D7A80" w:rsidP="00514CDA"/>
    <w:p w14:paraId="5394A2A1" w14:textId="77777777" w:rsidR="003D7A80" w:rsidRDefault="003D7A80" w:rsidP="00514CDA"/>
    <w:p w14:paraId="30ABECC3" w14:textId="77777777" w:rsidR="003D7A80" w:rsidRDefault="003D7A80" w:rsidP="00514CDA"/>
    <w:p w14:paraId="215CB350" w14:textId="77777777" w:rsidR="003D7A80" w:rsidRDefault="003D7A80" w:rsidP="00514CDA"/>
    <w:p w14:paraId="556AFDAE" w14:textId="77777777" w:rsidR="003D7A80" w:rsidRDefault="003D7A80" w:rsidP="003D7A80">
      <w:r>
        <w:lastRenderedPageBreak/>
        <w:t>Berlo, D.K. (1960) The Process of Communication. Available at:</w:t>
      </w:r>
    </w:p>
    <w:p w14:paraId="0492DAB3" w14:textId="77777777" w:rsidR="003D7A80" w:rsidRDefault="003D7A80" w:rsidP="003D7A80">
      <w:r>
        <w:t>https://www.communicationtheory.org/berlos-model-of-communication/</w:t>
      </w:r>
    </w:p>
    <w:p w14:paraId="10DCBA61" w14:textId="093F30C3" w:rsidR="003D7A80" w:rsidRDefault="003D7A80" w:rsidP="003D7A80">
      <w:r>
        <w:t xml:space="preserve">(Accessed: 15 </w:t>
      </w:r>
      <w:r>
        <w:t xml:space="preserve">July </w:t>
      </w:r>
      <w:r>
        <w:t>2024).</w:t>
      </w:r>
    </w:p>
    <w:p w14:paraId="7EE6DB4C" w14:textId="77777777" w:rsidR="003D7A80" w:rsidRDefault="003D7A80" w:rsidP="003D7A80"/>
    <w:p w14:paraId="7977FE6C" w14:textId="77777777" w:rsidR="003D7A80" w:rsidRDefault="003D7A80" w:rsidP="003D7A80">
      <w:r>
        <w:t>Department of Health and Social Care (2012) Compassion in Practice. Available at:</w:t>
      </w:r>
    </w:p>
    <w:p w14:paraId="0B687331" w14:textId="77777777" w:rsidR="003D7A80" w:rsidRDefault="003D7A80" w:rsidP="003D7A80">
      <w:r>
        <w:t>https://www.gov.uk/government/publications/compassion-in-practice</w:t>
      </w:r>
    </w:p>
    <w:p w14:paraId="4117DF50" w14:textId="62E5CCB5" w:rsidR="003D7A80" w:rsidRDefault="003D7A80" w:rsidP="003D7A80">
      <w:r>
        <w:t>(Accessed: 1</w:t>
      </w:r>
      <w:r>
        <w:t>3</w:t>
      </w:r>
      <w:r>
        <w:t xml:space="preserve"> November 20</w:t>
      </w:r>
      <w:r>
        <w:t>19</w:t>
      </w:r>
      <w:r>
        <w:t>).</w:t>
      </w:r>
    </w:p>
    <w:p w14:paraId="4BDEE8F6" w14:textId="77777777" w:rsidR="003D7A80" w:rsidRDefault="003D7A80" w:rsidP="003D7A80"/>
    <w:p w14:paraId="419C0A98" w14:textId="77777777" w:rsidR="003D7A80" w:rsidRDefault="003D7A80" w:rsidP="003D7A80">
      <w:r>
        <w:t>Equality Act 2010. Available at:</w:t>
      </w:r>
    </w:p>
    <w:p w14:paraId="1A4F5245" w14:textId="77777777" w:rsidR="003D7A80" w:rsidRDefault="003D7A80" w:rsidP="003D7A80">
      <w:r>
        <w:t>https://www.legislation.gov.uk/ukpga/2010/15/contents</w:t>
      </w:r>
    </w:p>
    <w:p w14:paraId="4DA469BC" w14:textId="7013EDDE" w:rsidR="003D7A80" w:rsidRDefault="003D7A80" w:rsidP="003D7A80">
      <w:r>
        <w:t>(Accessed: 18 November 2024).</w:t>
      </w:r>
    </w:p>
    <w:sectPr w:rsidR="003D7A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F53"/>
    <w:rsid w:val="00036F53"/>
    <w:rsid w:val="002D0A4A"/>
    <w:rsid w:val="002D5DC7"/>
    <w:rsid w:val="0039243E"/>
    <w:rsid w:val="003D7A80"/>
    <w:rsid w:val="00514CDA"/>
    <w:rsid w:val="0054354D"/>
    <w:rsid w:val="00577037"/>
    <w:rsid w:val="00731BAE"/>
    <w:rsid w:val="0078621C"/>
    <w:rsid w:val="00D44715"/>
    <w:rsid w:val="00E349D9"/>
    <w:rsid w:val="00EC2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41BB50"/>
  <w15:chartTrackingRefBased/>
  <w15:docId w15:val="{92F0F1CA-CF49-FE47-AFE8-E13EAC6E8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F53"/>
  </w:style>
  <w:style w:type="paragraph" w:styleId="Heading1">
    <w:name w:val="heading 1"/>
    <w:basedOn w:val="Normal"/>
    <w:next w:val="Normal"/>
    <w:link w:val="Heading1Char"/>
    <w:uiPriority w:val="9"/>
    <w:qFormat/>
    <w:rsid w:val="00036F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6F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6F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6F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6F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6F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6F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6F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6F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F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6F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6F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6F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6F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6F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6F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6F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6F53"/>
    <w:rPr>
      <w:rFonts w:eastAsiaTheme="majorEastAsia" w:cstheme="majorBidi"/>
      <w:color w:val="272727" w:themeColor="text1" w:themeTint="D8"/>
    </w:rPr>
  </w:style>
  <w:style w:type="paragraph" w:styleId="Title">
    <w:name w:val="Title"/>
    <w:basedOn w:val="Normal"/>
    <w:next w:val="Normal"/>
    <w:link w:val="TitleChar"/>
    <w:uiPriority w:val="10"/>
    <w:qFormat/>
    <w:rsid w:val="00036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F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6F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F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6F53"/>
    <w:pPr>
      <w:spacing w:before="160"/>
      <w:jc w:val="center"/>
    </w:pPr>
    <w:rPr>
      <w:i/>
      <w:iCs/>
      <w:color w:val="404040" w:themeColor="text1" w:themeTint="BF"/>
    </w:rPr>
  </w:style>
  <w:style w:type="character" w:customStyle="1" w:styleId="QuoteChar">
    <w:name w:val="Quote Char"/>
    <w:basedOn w:val="DefaultParagraphFont"/>
    <w:link w:val="Quote"/>
    <w:uiPriority w:val="29"/>
    <w:rsid w:val="00036F53"/>
    <w:rPr>
      <w:i/>
      <w:iCs/>
      <w:color w:val="404040" w:themeColor="text1" w:themeTint="BF"/>
    </w:rPr>
  </w:style>
  <w:style w:type="paragraph" w:styleId="ListParagraph">
    <w:name w:val="List Paragraph"/>
    <w:basedOn w:val="Normal"/>
    <w:uiPriority w:val="34"/>
    <w:qFormat/>
    <w:rsid w:val="00036F53"/>
    <w:pPr>
      <w:ind w:left="720"/>
      <w:contextualSpacing/>
    </w:pPr>
  </w:style>
  <w:style w:type="character" w:styleId="IntenseEmphasis">
    <w:name w:val="Intense Emphasis"/>
    <w:basedOn w:val="DefaultParagraphFont"/>
    <w:uiPriority w:val="21"/>
    <w:qFormat/>
    <w:rsid w:val="00036F53"/>
    <w:rPr>
      <w:i/>
      <w:iCs/>
      <w:color w:val="0F4761" w:themeColor="accent1" w:themeShade="BF"/>
    </w:rPr>
  </w:style>
  <w:style w:type="paragraph" w:styleId="IntenseQuote">
    <w:name w:val="Intense Quote"/>
    <w:basedOn w:val="Normal"/>
    <w:next w:val="Normal"/>
    <w:link w:val="IntenseQuoteChar"/>
    <w:uiPriority w:val="30"/>
    <w:qFormat/>
    <w:rsid w:val="00036F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6F53"/>
    <w:rPr>
      <w:i/>
      <w:iCs/>
      <w:color w:val="0F4761" w:themeColor="accent1" w:themeShade="BF"/>
    </w:rPr>
  </w:style>
  <w:style w:type="character" w:styleId="IntenseReference">
    <w:name w:val="Intense Reference"/>
    <w:basedOn w:val="DefaultParagraphFont"/>
    <w:uiPriority w:val="32"/>
    <w:qFormat/>
    <w:rsid w:val="00036F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8</Pages>
  <Words>2387</Words>
  <Characters>13611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Osazee Iyamu (2438257)</dc:creator>
  <cp:keywords/>
  <dc:description/>
  <cp:lastModifiedBy>Osazee Iyamu (2438257)</cp:lastModifiedBy>
  <cp:revision>1</cp:revision>
  <dcterms:created xsi:type="dcterms:W3CDTF">2025-12-19T01:19:00Z</dcterms:created>
  <dcterms:modified xsi:type="dcterms:W3CDTF">2025-12-19T11:11:00Z</dcterms:modified>
</cp:coreProperties>
</file>