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1AE8B6" w14:textId="243A537C" w:rsidR="00BA15A5" w:rsidRDefault="00BA15A5" w:rsidP="00BA15A5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5D5CBF11" wp14:editId="7689EC47">
            <wp:extent cx="1905000" cy="632460"/>
            <wp:effectExtent l="19050" t="19050" r="19050" b="15240"/>
            <wp:docPr id="937498995" name="Picture 1" descr="A black and white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7498995" name="Picture 1" descr="A black and white logo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246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055E596D" w14:textId="77777777" w:rsidR="00BA15A5" w:rsidRDefault="00BA15A5" w:rsidP="00BA15A5">
      <w:pPr>
        <w:pStyle w:val="NormalWeb"/>
        <w:spacing w:before="0" w:beforeAutospacing="0" w:after="0" w:afterAutospacing="0"/>
        <w:ind w:left="-180" w:right="-334"/>
      </w:pPr>
    </w:p>
    <w:p w14:paraId="0F994CC5" w14:textId="77777777" w:rsidR="00BA15A5" w:rsidRDefault="00BA15A5" w:rsidP="00BA15A5">
      <w:pPr>
        <w:pStyle w:val="NormalWeb"/>
        <w:spacing w:before="0" w:beforeAutospacing="0" w:after="0" w:afterAutospacing="0"/>
        <w:ind w:left="-180" w:right="-334"/>
      </w:pPr>
    </w:p>
    <w:p w14:paraId="0722CE74" w14:textId="77777777" w:rsidR="00BA15A5" w:rsidRDefault="00BA15A5" w:rsidP="00BA15A5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5D56E40C" w14:textId="77777777" w:rsidR="00BA15A5" w:rsidRPr="00230F35" w:rsidRDefault="00BA15A5" w:rsidP="00BA15A5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69778B21" w14:textId="77777777" w:rsidR="00BA15A5" w:rsidRPr="00230F35" w:rsidRDefault="00BA15A5" w:rsidP="00BA15A5">
      <w:pPr>
        <w:rPr>
          <w:rFonts w:ascii="Arial" w:hAnsi="Arial" w:cs="Arial"/>
          <w:sz w:val="28"/>
          <w:szCs w:val="28"/>
          <w:lang w:val="cy-GB"/>
        </w:rPr>
      </w:pPr>
    </w:p>
    <w:p w14:paraId="2A216AF9" w14:textId="77777777" w:rsidR="00BA15A5" w:rsidRDefault="00BA15A5" w:rsidP="00BA15A5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5F11A135" w14:textId="77777777" w:rsidR="00BA15A5" w:rsidRDefault="00BA15A5" w:rsidP="00BA15A5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BA15A5" w:rsidRPr="00230F35" w14:paraId="4EE7B8BA" w14:textId="77777777" w:rsidTr="006D3CCE">
        <w:trPr>
          <w:trHeight w:val="614"/>
        </w:trPr>
        <w:tc>
          <w:tcPr>
            <w:tcW w:w="8856" w:type="dxa"/>
            <w:gridSpan w:val="5"/>
          </w:tcPr>
          <w:p w14:paraId="4262446C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BA15A5" w:rsidRPr="00230F35" w14:paraId="3C0784CF" w14:textId="77777777" w:rsidTr="006D3CCE">
        <w:trPr>
          <w:trHeight w:val="718"/>
        </w:trPr>
        <w:tc>
          <w:tcPr>
            <w:tcW w:w="8856" w:type="dxa"/>
            <w:gridSpan w:val="5"/>
          </w:tcPr>
          <w:p w14:paraId="2AA69B14" w14:textId="77777777" w:rsidR="00BA15A5" w:rsidRDefault="00BA15A5" w:rsidP="006D3CC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 Sarah Bisby</w:t>
            </w:r>
          </w:p>
          <w:p w14:paraId="54980A22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7C99935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>
              <w:rPr>
                <w:rFonts w:ascii="Arial" w:hAnsi="Arial" w:cs="Arial"/>
                <w:sz w:val="22"/>
                <w:szCs w:val="22"/>
              </w:rPr>
              <w:t>2113745@student.uwtsd.ac.uk</w:t>
            </w:r>
          </w:p>
        </w:tc>
      </w:tr>
      <w:tr w:rsidR="00BA15A5" w:rsidRPr="00230F35" w14:paraId="63742447" w14:textId="77777777" w:rsidTr="006D3CCE">
        <w:trPr>
          <w:trHeight w:val="849"/>
        </w:trPr>
        <w:tc>
          <w:tcPr>
            <w:tcW w:w="4788" w:type="dxa"/>
          </w:tcPr>
          <w:p w14:paraId="077ECB06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  HPCA7016</w:t>
            </w:r>
          </w:p>
          <w:p w14:paraId="263F6625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93E5F6C" w14:textId="77777777" w:rsidR="00BA15A5" w:rsidRDefault="00BA15A5" w:rsidP="006D3CC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Researching Contemporary Cosmologies</w:t>
            </w:r>
          </w:p>
          <w:p w14:paraId="18DFA51A" w14:textId="77777777" w:rsidR="00BA15A5" w:rsidRDefault="00BA15A5" w:rsidP="006D3CC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6CD9B61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28CEB646" w14:textId="77777777" w:rsidR="00BA15A5" w:rsidRDefault="00BA15A5" w:rsidP="006D3CC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1D3373B3" w14:textId="77777777" w:rsidR="00BA15A5" w:rsidRDefault="00BA15A5" w:rsidP="006D3CC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9EA4C74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2113745</w:t>
            </w:r>
          </w:p>
        </w:tc>
        <w:tc>
          <w:tcPr>
            <w:tcW w:w="1802" w:type="dxa"/>
          </w:tcPr>
          <w:p w14:paraId="0C83E159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3A68D9B1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BA15A5" w:rsidRPr="00230F35" w14:paraId="678EC962" w14:textId="77777777" w:rsidTr="006D3CCE">
        <w:trPr>
          <w:trHeight w:val="1139"/>
        </w:trPr>
        <w:tc>
          <w:tcPr>
            <w:tcW w:w="8856" w:type="dxa"/>
            <w:gridSpan w:val="5"/>
          </w:tcPr>
          <w:p w14:paraId="79A0B4D8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A Critical Comparison of Two Secondary Sources</w:t>
            </w:r>
          </w:p>
          <w:p w14:paraId="2546C8BE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78FE7AF" w14:textId="77777777" w:rsidR="00BA15A5" w:rsidRDefault="00BA15A5" w:rsidP="006D3CC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6B7E310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15</w:t>
            </w:r>
            <w:r w:rsidRPr="00027B7B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March 2024</w:t>
            </w:r>
          </w:p>
        </w:tc>
      </w:tr>
      <w:tr w:rsidR="00BA15A5" w:rsidRPr="00230F35" w14:paraId="3C17A9A9" w14:textId="77777777" w:rsidTr="006D3CCE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6BD09602" w14:textId="77777777" w:rsidR="00BA15A5" w:rsidRPr="00230F35" w:rsidRDefault="00BA15A5" w:rsidP="006D3CCE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This assignment is for the       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>
              <w:rPr>
                <w:rFonts w:ascii="Arial" w:hAnsi="Arial" w:cs="Arial"/>
                <w:vertAlign w:val="superscript"/>
              </w:rPr>
              <w:t>x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5B0AA9">
              <w:rPr>
                <w:rFonts w:ascii="Arial" w:hAnsi="Arial" w:cs="Arial"/>
              </w:rPr>
            </w:r>
            <w:r w:rsidR="005B0AA9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0"/>
            <w:r w:rsidRPr="00230F35">
              <w:rPr>
                <w:rFonts w:ascii="Arial" w:hAnsi="Arial" w:cs="Arial"/>
              </w:rPr>
              <w:t xml:space="preserve"> 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5B0AA9">
              <w:rPr>
                <w:rFonts w:ascii="Arial" w:hAnsi="Arial" w:cs="Arial"/>
              </w:rPr>
            </w:r>
            <w:r w:rsidR="005B0AA9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5B0AA9">
              <w:rPr>
                <w:rFonts w:ascii="Arial" w:hAnsi="Arial" w:cs="Arial"/>
              </w:rPr>
            </w:r>
            <w:r w:rsidR="005B0AA9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5B0AA9">
              <w:rPr>
                <w:rFonts w:ascii="Arial" w:hAnsi="Arial" w:cs="Arial"/>
              </w:rPr>
            </w:r>
            <w:r w:rsidR="005B0AA9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5B0AA9">
              <w:rPr>
                <w:rFonts w:ascii="Arial" w:hAnsi="Arial" w:cs="Arial"/>
              </w:rPr>
            </w:r>
            <w:r w:rsidR="005B0AA9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5B0AA9">
              <w:rPr>
                <w:rFonts w:ascii="Arial" w:hAnsi="Arial" w:cs="Arial"/>
              </w:rPr>
            </w:r>
            <w:r w:rsidR="005B0AA9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5"/>
            <w:r w:rsidRPr="00230F35">
              <w:rPr>
                <w:rFonts w:ascii="Arial" w:hAnsi="Arial" w:cs="Arial"/>
                <w:b/>
              </w:rPr>
              <w:t xml:space="preserve">   </w:t>
            </w:r>
            <w:r w:rsidRPr="00230F35">
              <w:rPr>
                <w:rFonts w:ascii="Arial" w:hAnsi="Arial" w:cs="Arial"/>
              </w:rPr>
              <w:t>module of the degre</w:t>
            </w:r>
            <w:r>
              <w:rPr>
                <w:rFonts w:ascii="Arial" w:hAnsi="Arial" w:cs="Arial"/>
              </w:rPr>
              <w:t>e     first</w:t>
            </w:r>
          </w:p>
        </w:tc>
      </w:tr>
      <w:tr w:rsidR="00BA15A5" w:rsidRPr="00230F35" w14:paraId="25FF3C08" w14:textId="77777777" w:rsidTr="006D3CCE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72D497A0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60C9D028" w14:textId="77777777" w:rsidR="00BA15A5" w:rsidRDefault="00BA15A5" w:rsidP="006D3CC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</w:t>
            </w:r>
            <w:r>
              <w:rPr>
                <w:rFonts w:ascii="Arial" w:hAnsi="Arial" w:cs="Arial"/>
                <w:sz w:val="22"/>
                <w:szCs w:val="22"/>
              </w:rPr>
              <w:t>Sarah Bisby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</w:t>
            </w:r>
          </w:p>
          <w:p w14:paraId="39437243" w14:textId="77777777" w:rsidR="00BA15A5" w:rsidRDefault="00BA15A5" w:rsidP="006D3CCE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if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  <w:r>
              <w:rPr>
                <w:rFonts w:ascii="Calibri" w:hAnsi="Calibri" w:cs="Calibri"/>
                <w:b/>
                <w:sz w:val="44"/>
                <w:szCs w:val="44"/>
              </w:rPr>
              <w:t>x</w:t>
            </w:r>
          </w:p>
          <w:p w14:paraId="6B83451C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BA15A5" w:rsidRPr="00230F35" w14:paraId="0B0B3429" w14:textId="77777777" w:rsidTr="006D3CCE">
        <w:trPr>
          <w:trHeight w:val="3972"/>
        </w:trPr>
        <w:tc>
          <w:tcPr>
            <w:tcW w:w="8856" w:type="dxa"/>
            <w:gridSpan w:val="5"/>
          </w:tcPr>
          <w:p w14:paraId="4BAED84C" w14:textId="77777777" w:rsidR="00BA15A5" w:rsidRDefault="00BA15A5" w:rsidP="006D3CCE">
            <w:pPr>
              <w:rPr>
                <w:rFonts w:ascii="Arial" w:hAnsi="Arial"/>
                <w:b/>
              </w:rPr>
            </w:pPr>
          </w:p>
          <w:p w14:paraId="0DACA9D7" w14:textId="77777777" w:rsidR="00BA15A5" w:rsidRPr="00116CE6" w:rsidRDefault="00BA15A5" w:rsidP="006D3CCE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BA15A5" w:rsidRPr="00116CE6" w14:paraId="73D35076" w14:textId="77777777" w:rsidTr="006D3CCE">
              <w:tc>
                <w:tcPr>
                  <w:tcW w:w="6970" w:type="dxa"/>
                </w:tcPr>
                <w:p w14:paraId="33FC427F" w14:textId="77777777" w:rsidR="00BA15A5" w:rsidRPr="00116CE6" w:rsidRDefault="00BA15A5" w:rsidP="006D3CC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F8FCE1D" w14:textId="77777777" w:rsidR="00BA15A5" w:rsidRPr="00116CE6" w:rsidRDefault="00BA15A5" w:rsidP="006D3CC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7AE30F6A" w14:textId="77777777" w:rsidR="00BA15A5" w:rsidRPr="00116CE6" w:rsidRDefault="00BA15A5" w:rsidP="006D3CC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BA15A5" w:rsidRPr="00116CE6" w14:paraId="7AB1588B" w14:textId="77777777" w:rsidTr="006D3CCE">
              <w:tc>
                <w:tcPr>
                  <w:tcW w:w="6970" w:type="dxa"/>
                </w:tcPr>
                <w:p w14:paraId="0CC2C1EC" w14:textId="77777777" w:rsidR="00BA15A5" w:rsidRPr="00116CE6" w:rsidRDefault="00BA15A5" w:rsidP="006D3CC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6962260" w14:textId="77777777" w:rsidR="00BA15A5" w:rsidRPr="00116CE6" w:rsidRDefault="00BA15A5" w:rsidP="006D3CC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68B173B8" w14:textId="77777777" w:rsidR="00BA15A5" w:rsidRPr="00116CE6" w:rsidRDefault="00BA15A5" w:rsidP="006D3CC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BA15A5" w:rsidRPr="00116CE6" w14:paraId="65D5B25C" w14:textId="77777777" w:rsidTr="006D3CCE">
              <w:tc>
                <w:tcPr>
                  <w:tcW w:w="6970" w:type="dxa"/>
                </w:tcPr>
                <w:p w14:paraId="009ED29F" w14:textId="77777777" w:rsidR="00BA15A5" w:rsidRPr="00116CE6" w:rsidRDefault="00BA15A5" w:rsidP="006D3CC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802D6A1" w14:textId="77777777" w:rsidR="00BA15A5" w:rsidRPr="00116CE6" w:rsidRDefault="00BA15A5" w:rsidP="006D3CC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4FF0D985" w14:textId="77777777" w:rsidR="00BA15A5" w:rsidRPr="00116CE6" w:rsidRDefault="00BA15A5" w:rsidP="006D3CC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BA15A5" w:rsidRPr="00116CE6" w14:paraId="05C6A96F" w14:textId="77777777" w:rsidTr="006D3CCE">
              <w:tc>
                <w:tcPr>
                  <w:tcW w:w="6970" w:type="dxa"/>
                </w:tcPr>
                <w:p w14:paraId="5228549A" w14:textId="77777777" w:rsidR="00BA15A5" w:rsidRDefault="00BA15A5" w:rsidP="006D3CC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0428856" w14:textId="77777777" w:rsidR="00BA15A5" w:rsidRPr="00022345" w:rsidRDefault="00BA15A5" w:rsidP="006D3CCE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437536C4" w14:textId="77777777" w:rsidR="00BA15A5" w:rsidRPr="00116CE6" w:rsidRDefault="00BA15A5" w:rsidP="006D3CC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02C2C9DC" w14:textId="77777777" w:rsidR="00BA15A5" w:rsidRPr="00116CE6" w:rsidRDefault="00BA15A5" w:rsidP="006D3CC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315EB6C2" w14:textId="77777777" w:rsidR="00BA15A5" w:rsidRDefault="00BA15A5" w:rsidP="006D3CCE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995FA20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29A9570F" w14:textId="77777777" w:rsidR="00BA15A5" w:rsidRDefault="00BA15A5" w:rsidP="006D3CC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07DA9D6" w14:textId="77777777" w:rsidR="00BA15A5" w:rsidRDefault="00BA15A5" w:rsidP="006D3CC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FE94E98" w14:textId="77777777" w:rsidR="00BA15A5" w:rsidRDefault="00BA15A5" w:rsidP="006D3CC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4790944" w14:textId="77777777" w:rsidR="00BA15A5" w:rsidRDefault="00BA15A5" w:rsidP="006D3CC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2654CB1" w14:textId="77777777" w:rsidR="00BA15A5" w:rsidRDefault="00BA15A5" w:rsidP="006D3CC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33C1E15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14:paraId="245AE82B" w14:textId="77777777" w:rsidR="00BA15A5" w:rsidRDefault="00BA15A5" w:rsidP="006D3CC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4E89799C" w14:textId="77777777" w:rsidR="00BA15A5" w:rsidRPr="00001C3B" w:rsidRDefault="00BA15A5" w:rsidP="006D3CC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A15A5" w:rsidRPr="00230F35" w14:paraId="63F7EDBA" w14:textId="77777777" w:rsidTr="006D3CCE">
        <w:trPr>
          <w:trHeight w:val="492"/>
        </w:trPr>
        <w:tc>
          <w:tcPr>
            <w:tcW w:w="6768" w:type="dxa"/>
            <w:gridSpan w:val="3"/>
          </w:tcPr>
          <w:p w14:paraId="47DCBE3E" w14:textId="77777777" w:rsidR="00BA15A5" w:rsidRPr="00230F35" w:rsidRDefault="00BA15A5" w:rsidP="006D3CCE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7A7B36F2" w14:textId="77777777" w:rsidR="00BA15A5" w:rsidRPr="00230F35" w:rsidRDefault="00BA15A5" w:rsidP="006D3CCE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BA15A5" w:rsidRPr="002F467C" w14:paraId="2F82CCA0" w14:textId="77777777" w:rsidTr="006D3CCE">
        <w:tc>
          <w:tcPr>
            <w:tcW w:w="8856" w:type="dxa"/>
            <w:gridSpan w:val="5"/>
          </w:tcPr>
          <w:p w14:paraId="3967F6AD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646F1939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15277966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66901CB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25768404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EB35AEE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1B42F42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885C5CE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F02269D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090000B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F5E89E1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8DC3516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2ED573E" w14:textId="77777777" w:rsidR="00BA15A5" w:rsidRDefault="00BA15A5" w:rsidP="006D3CC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638E5F4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FDA8202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CBA3B54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A15A5" w:rsidRPr="002F467C" w14:paraId="25B55DB0" w14:textId="77777777" w:rsidTr="006D3CCE">
        <w:trPr>
          <w:trHeight w:val="720"/>
        </w:trPr>
        <w:tc>
          <w:tcPr>
            <w:tcW w:w="5211" w:type="dxa"/>
            <w:gridSpan w:val="2"/>
          </w:tcPr>
          <w:p w14:paraId="47F0D810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7D9DB1A7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BA15A5" w:rsidRPr="002F467C" w14:paraId="648487DE" w14:textId="77777777" w:rsidTr="006D3CCE">
        <w:trPr>
          <w:trHeight w:val="720"/>
        </w:trPr>
        <w:tc>
          <w:tcPr>
            <w:tcW w:w="8856" w:type="dxa"/>
            <w:gridSpan w:val="5"/>
          </w:tcPr>
          <w:p w14:paraId="39D7F2E4" w14:textId="77777777" w:rsidR="00BA15A5" w:rsidRPr="00B34964" w:rsidRDefault="00BA15A5" w:rsidP="006D3CCE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14:paraId="2C8DF962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DA4F54C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C635681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9FA49F0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1F34313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C60DCEF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B089D08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47D3583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27ADB3A" w14:textId="77777777" w:rsidR="00BA15A5" w:rsidRDefault="00BA15A5" w:rsidP="006D3CC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E3904A1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C73760C" w14:textId="77777777" w:rsidR="00BA15A5" w:rsidRPr="00230F35" w:rsidRDefault="00BA15A5" w:rsidP="006D3CC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A15A5" w:rsidRPr="002F467C" w14:paraId="4FB00288" w14:textId="77777777" w:rsidTr="006D3CCE">
        <w:trPr>
          <w:trHeight w:val="720"/>
        </w:trPr>
        <w:tc>
          <w:tcPr>
            <w:tcW w:w="5211" w:type="dxa"/>
            <w:gridSpan w:val="2"/>
          </w:tcPr>
          <w:p w14:paraId="4B5D43DD" w14:textId="77777777" w:rsidR="00BA15A5" w:rsidRPr="00230F35" w:rsidRDefault="00BA15A5" w:rsidP="006D3CCE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lastRenderedPageBreak/>
              <w:t>External Examiner’s Signature:</w:t>
            </w:r>
          </w:p>
        </w:tc>
        <w:tc>
          <w:tcPr>
            <w:tcW w:w="3645" w:type="dxa"/>
            <w:gridSpan w:val="3"/>
          </w:tcPr>
          <w:p w14:paraId="5401448F" w14:textId="77777777" w:rsidR="00BA15A5" w:rsidRPr="00230F35" w:rsidRDefault="00BA15A5" w:rsidP="006D3CCE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2E5DFA6B" w14:textId="77777777" w:rsidR="00BA15A5" w:rsidRPr="00D67BF8" w:rsidRDefault="00BA15A5" w:rsidP="00BA15A5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487C2323" w14:textId="77777777" w:rsidR="00BA15A5" w:rsidRDefault="00BA15A5"/>
    <w:p w14:paraId="0277CD38" w14:textId="12AA25B7" w:rsidR="006F56B6" w:rsidRPr="005B04E8" w:rsidRDefault="00126E37">
      <w:pPr>
        <w:rPr>
          <w:i/>
          <w:iCs/>
        </w:rPr>
      </w:pPr>
      <w:r w:rsidRPr="005B04E8">
        <w:rPr>
          <w:i/>
          <w:iCs/>
        </w:rPr>
        <w:t>Introduction</w:t>
      </w:r>
    </w:p>
    <w:p w14:paraId="5C6AB7A2" w14:textId="06D4F344" w:rsidR="00200280" w:rsidRPr="00AC5CBA" w:rsidRDefault="006F56B6">
      <w:r>
        <w:t xml:space="preserve">This essay critically compares </w:t>
      </w:r>
      <w:r w:rsidR="008117EC">
        <w:t>T.L. Brink, ‘</w:t>
      </w:r>
      <w:r w:rsidR="005A607F">
        <w:t>Inconsistency of Belief among Roman Catholic Girls</w:t>
      </w:r>
      <w:r w:rsidR="00A16BFF">
        <w:t>:</w:t>
      </w:r>
      <w:r w:rsidR="005A607F">
        <w:t xml:space="preserve"> Concerning Religion, Astrology, Reincarnation</w:t>
      </w:r>
      <w:r w:rsidR="00A16BFF">
        <w:t>,’</w:t>
      </w:r>
      <w:r w:rsidR="005A607F">
        <w:t xml:space="preserve"> </w:t>
      </w:r>
      <w:r w:rsidR="005A607F" w:rsidRPr="00E234C2">
        <w:rPr>
          <w:i/>
          <w:iCs/>
        </w:rPr>
        <w:t xml:space="preserve">Review of Religious Research </w:t>
      </w:r>
      <w:r w:rsidR="005A607F">
        <w:t xml:space="preserve">, Vol. 20, No. 1 (Autumn, 1978) </w:t>
      </w:r>
      <w:r w:rsidR="00E842A1">
        <w:t xml:space="preserve">with </w:t>
      </w:r>
      <w:r w:rsidR="00296B31">
        <w:t>Gillian Bennett,</w:t>
      </w:r>
      <w:r w:rsidR="00B02119">
        <w:t xml:space="preserve"> </w:t>
      </w:r>
      <w:r w:rsidR="001B4F59" w:rsidRPr="00CB2466">
        <w:rPr>
          <w:i/>
          <w:iCs/>
        </w:rPr>
        <w:t>If</w:t>
      </w:r>
      <w:r w:rsidR="00380457" w:rsidRPr="00CB2466">
        <w:rPr>
          <w:i/>
          <w:iCs/>
        </w:rPr>
        <w:t xml:space="preserve"> </w:t>
      </w:r>
      <w:r w:rsidR="001B4F59" w:rsidRPr="00CB2466">
        <w:rPr>
          <w:i/>
          <w:iCs/>
        </w:rPr>
        <w:t>I Knew You Were Coming, I'd Have Baked a Cake": The Folklore of Foreknowledge in a Neighborhood Group</w:t>
      </w:r>
      <w:r w:rsidR="00D02385">
        <w:rPr>
          <w:i/>
          <w:iCs/>
        </w:rPr>
        <w:t xml:space="preserve">, in </w:t>
      </w:r>
      <w:r w:rsidR="00AC5CBA">
        <w:t xml:space="preserve">Walker, B. </w:t>
      </w:r>
      <w:r w:rsidR="00AC5CBA" w:rsidRPr="001618BE">
        <w:rPr>
          <w:i/>
          <w:iCs/>
        </w:rPr>
        <w:t>Out of the ordinary: Folklore and the supernatural</w:t>
      </w:r>
      <w:r w:rsidR="001618BE">
        <w:rPr>
          <w:i/>
          <w:iCs/>
        </w:rPr>
        <w:t>, (</w:t>
      </w:r>
      <w:r w:rsidR="00AC5CBA">
        <w:t>Logan, Utah: Utah State University Press</w:t>
      </w:r>
      <w:r w:rsidR="00926F41">
        <w:t>, 1995)</w:t>
      </w:r>
      <w:r w:rsidR="00F11BB2">
        <w:t>.</w:t>
      </w:r>
    </w:p>
    <w:p w14:paraId="3E4198BB" w14:textId="66485578" w:rsidR="000C60A7" w:rsidRDefault="00F24C7B">
      <w:r>
        <w:t xml:space="preserve">According to </w:t>
      </w:r>
      <w:r w:rsidR="00B20076">
        <w:t>Monique Henn</w:t>
      </w:r>
      <w:r w:rsidR="001C1AE1">
        <w:t>ink, Inge Hutter and Ajay Bailey,</w:t>
      </w:r>
      <w:r>
        <w:t xml:space="preserve"> qualitative research allows us to examine peoples</w:t>
      </w:r>
      <w:r w:rsidR="00BA4CF4">
        <w:t>’</w:t>
      </w:r>
      <w:r>
        <w:t xml:space="preserve"> beliefs by using qualitative methods, including questionnaires and interviews, but also taking an interpretive approach</w:t>
      </w:r>
      <w:r w:rsidR="00C17E31">
        <w:t>, which they describe as</w:t>
      </w:r>
      <w:r>
        <w:t xml:space="preserve"> identifying issues from the perspective of the pa</w:t>
      </w:r>
      <w:r w:rsidR="00753D33">
        <w:t>r</w:t>
      </w:r>
      <w:r>
        <w:t>ticipants.</w:t>
      </w:r>
      <w:r w:rsidR="00753D33">
        <w:rPr>
          <w:rStyle w:val="FootnoteReference"/>
        </w:rPr>
        <w:footnoteReference w:id="1"/>
      </w:r>
      <w:r>
        <w:t xml:space="preserve"> </w:t>
      </w:r>
      <w:r w:rsidR="00C108CE">
        <w:t xml:space="preserve">It </w:t>
      </w:r>
      <w:r w:rsidR="00FA3CA7">
        <w:t>uses both</w:t>
      </w:r>
      <w:r w:rsidR="0095235A">
        <w:t xml:space="preserve"> inductive and deductive </w:t>
      </w:r>
      <w:r w:rsidR="006E0AB4">
        <w:t>reasoning</w:t>
      </w:r>
      <w:r w:rsidR="00997F67">
        <w:t xml:space="preserve">, </w:t>
      </w:r>
      <w:r w:rsidR="00F17335">
        <w:t>as the data</w:t>
      </w:r>
      <w:r w:rsidR="00BB389B">
        <w:t xml:space="preserve"> </w:t>
      </w:r>
      <w:r w:rsidR="00F17335">
        <w:t xml:space="preserve">collection cycle begins with </w:t>
      </w:r>
      <w:r w:rsidR="007D3A39">
        <w:t>de</w:t>
      </w:r>
      <w:r w:rsidR="00F25FD7">
        <w:t>ductive reasoning ‘and continues with an inductive process that refines and reshapes the data collection process</w:t>
      </w:r>
      <w:r w:rsidR="0095235A">
        <w:t>.</w:t>
      </w:r>
      <w:r w:rsidR="008E457E">
        <w:t xml:space="preserve">’ </w:t>
      </w:r>
      <w:r w:rsidR="00E7202F">
        <w:rPr>
          <w:rStyle w:val="FootnoteReference"/>
        </w:rPr>
        <w:footnoteReference w:id="2"/>
      </w:r>
      <w:r w:rsidR="00B3442D">
        <w:t xml:space="preserve"> </w:t>
      </w:r>
      <w:r w:rsidR="005F078A">
        <w:t xml:space="preserve">It seeks to </w:t>
      </w:r>
      <w:r w:rsidR="00B13E00">
        <w:t>s</w:t>
      </w:r>
      <w:r w:rsidR="008E7E91">
        <w:t>tudy people’s lived experience</w:t>
      </w:r>
      <w:r w:rsidR="00B13E00">
        <w:t xml:space="preserve"> as it occurs</w:t>
      </w:r>
      <w:r w:rsidR="008E7E91">
        <w:t xml:space="preserve"> in a specific histori</w:t>
      </w:r>
      <w:r w:rsidR="004B499C">
        <w:t>c</w:t>
      </w:r>
      <w:r w:rsidR="008E7E91">
        <w:t>al and social context</w:t>
      </w:r>
      <w:r w:rsidR="008C3B2D">
        <w:t xml:space="preserve">, </w:t>
      </w:r>
      <w:r w:rsidR="00B84C99">
        <w:t xml:space="preserve">exploring </w:t>
      </w:r>
      <w:r w:rsidR="009749A9">
        <w:t>what Dermot Moran calls ‘a way of seeing rather</w:t>
      </w:r>
      <w:r w:rsidR="00440456">
        <w:t xml:space="preserve"> than a set of doctrines,’ characteristic of a </w:t>
      </w:r>
      <w:r w:rsidR="008C3B2D">
        <w:t>phenomenological</w:t>
      </w:r>
      <w:r w:rsidR="00440456">
        <w:t xml:space="preserve"> approach</w:t>
      </w:r>
      <w:r w:rsidR="008E7E91">
        <w:t>.</w:t>
      </w:r>
      <w:r w:rsidR="00B13E00">
        <w:rPr>
          <w:rStyle w:val="FootnoteReference"/>
        </w:rPr>
        <w:footnoteReference w:id="3"/>
      </w:r>
      <w:r w:rsidR="00EF3488">
        <w:t xml:space="preserve"> </w:t>
      </w:r>
      <w:r w:rsidR="009522BF">
        <w:t>Th</w:t>
      </w:r>
      <w:r w:rsidR="00F92505">
        <w:t>e</w:t>
      </w:r>
      <w:r w:rsidR="00EF3488">
        <w:t xml:space="preserve"> researcher </w:t>
      </w:r>
      <w:r w:rsidR="001D1CF3">
        <w:t xml:space="preserve">is encouraged </w:t>
      </w:r>
      <w:r w:rsidR="00EF3488">
        <w:t>to examine their own position on the outsider/insider continuum</w:t>
      </w:r>
      <w:r w:rsidR="00AF7FE9">
        <w:t xml:space="preserve">, </w:t>
      </w:r>
      <w:r w:rsidR="00EF3488">
        <w:t xml:space="preserve">and </w:t>
      </w:r>
      <w:r w:rsidR="008C3B2D">
        <w:t xml:space="preserve">to </w:t>
      </w:r>
      <w:r w:rsidR="00AC6011">
        <w:t>be reflexive by</w:t>
      </w:r>
      <w:r w:rsidR="0074507F">
        <w:t>, in the words of K</w:t>
      </w:r>
      <w:r w:rsidR="008D1285">
        <w:t xml:space="preserve">athryn Haynes, </w:t>
      </w:r>
      <w:r w:rsidR="00AC6011">
        <w:t xml:space="preserve">examining their </w:t>
      </w:r>
      <w:r w:rsidR="008260D3">
        <w:t xml:space="preserve">role in the practice of research and the way this is influenced by the object of the research. </w:t>
      </w:r>
      <w:r w:rsidR="004021AC">
        <w:rPr>
          <w:rStyle w:val="FootnoteReference"/>
        </w:rPr>
        <w:footnoteReference w:id="4"/>
      </w:r>
      <w:r w:rsidR="009F7B67">
        <w:t xml:space="preserve"> </w:t>
      </w:r>
      <w:r w:rsidR="00852B54">
        <w:t>Qual</w:t>
      </w:r>
      <w:r w:rsidR="00693C92">
        <w:t xml:space="preserve">itative research seeks to develop what Michael York calls </w:t>
      </w:r>
      <w:r w:rsidR="00363DFB">
        <w:t>‘</w:t>
      </w:r>
      <w:r w:rsidR="00B66A1A">
        <w:t>Verstehen,</w:t>
      </w:r>
      <w:r w:rsidR="00363DFB">
        <w:t xml:space="preserve">’ </w:t>
      </w:r>
      <w:r w:rsidR="00B66A1A">
        <w:t xml:space="preserve">not just </w:t>
      </w:r>
      <w:r w:rsidR="00590F18">
        <w:t>‘</w:t>
      </w:r>
      <w:r w:rsidR="00B66A1A">
        <w:t>understanding.</w:t>
      </w:r>
      <w:r w:rsidR="00590F18">
        <w:t>’</w:t>
      </w:r>
      <w:r w:rsidR="00E02694">
        <w:rPr>
          <w:rStyle w:val="FootnoteReference"/>
        </w:rPr>
        <w:footnoteReference w:id="5"/>
      </w:r>
      <w:r w:rsidR="00B66A1A">
        <w:t xml:space="preserve"> </w:t>
      </w:r>
      <w:r w:rsidR="00D175B5">
        <w:t>T</w:t>
      </w:r>
      <w:r w:rsidR="009F7B67">
        <w:t xml:space="preserve">he academic rationale of this </w:t>
      </w:r>
      <w:r w:rsidR="002B6570">
        <w:t xml:space="preserve">essay will be to </w:t>
      </w:r>
      <w:r w:rsidR="00EB33F0">
        <w:t xml:space="preserve">compare the key principles and practices of qualitative research outlined above in the context of the </w:t>
      </w:r>
      <w:r w:rsidR="00781CDF">
        <w:t xml:space="preserve">two </w:t>
      </w:r>
      <w:r w:rsidR="00852B54">
        <w:t>selected</w:t>
      </w:r>
      <w:r w:rsidR="00781CDF">
        <w:t xml:space="preserve"> papers</w:t>
      </w:r>
      <w:r w:rsidR="00DB028A">
        <w:t>.</w:t>
      </w:r>
      <w:r w:rsidR="00781CDF">
        <w:t xml:space="preserve"> </w:t>
      </w:r>
      <w:r w:rsidR="000067C7">
        <w:t xml:space="preserve">The </w:t>
      </w:r>
      <w:r w:rsidR="009F7B67">
        <w:t>chose</w:t>
      </w:r>
      <w:r w:rsidR="000067C7">
        <w:t>n</w:t>
      </w:r>
      <w:r w:rsidR="009F7B67">
        <w:t xml:space="preserve"> methodology of the writers will be critically evaluated, </w:t>
      </w:r>
      <w:r w:rsidR="00D37A92">
        <w:t xml:space="preserve">along with </w:t>
      </w:r>
      <w:r w:rsidR="00752A08">
        <w:t xml:space="preserve">the structure of the papers and </w:t>
      </w:r>
      <w:r w:rsidR="00133EC0">
        <w:t xml:space="preserve">their use of </w:t>
      </w:r>
      <w:r w:rsidR="00133EC0">
        <w:lastRenderedPageBreak/>
        <w:t>academic literature</w:t>
      </w:r>
      <w:r w:rsidR="004C3B4B">
        <w:t>.</w:t>
      </w:r>
      <w:r w:rsidR="00EA5BB6">
        <w:t xml:space="preserve"> </w:t>
      </w:r>
      <w:r w:rsidR="009F7B67">
        <w:t>The ethic</w:t>
      </w:r>
      <w:r w:rsidR="001E558F">
        <w:t>s arising from their methodology</w:t>
      </w:r>
      <w:r w:rsidR="009F7B67">
        <w:t xml:space="preserve"> will also be examined along with a consideration of the relationship of the researchers with their subjects. </w:t>
      </w:r>
    </w:p>
    <w:p w14:paraId="578AC410" w14:textId="64109108" w:rsidR="00AD5FAA" w:rsidRPr="00F22355" w:rsidRDefault="00076556" w:rsidP="008619EF">
      <w:pPr>
        <w:rPr>
          <w:i/>
          <w:iCs/>
        </w:rPr>
      </w:pPr>
      <w:r>
        <w:rPr>
          <w:i/>
          <w:iCs/>
        </w:rPr>
        <w:t>Background</w:t>
      </w:r>
    </w:p>
    <w:p w14:paraId="0D89CAFA" w14:textId="74B6653B" w:rsidR="004E2032" w:rsidRDefault="00BA506A" w:rsidP="008619EF">
      <w:r>
        <w:t>Gillian Bennett</w:t>
      </w:r>
      <w:r w:rsidR="00AE081D">
        <w:t xml:space="preserve"> was a folklorist </w:t>
      </w:r>
      <w:r w:rsidR="00537BE4">
        <w:t xml:space="preserve">who </w:t>
      </w:r>
      <w:r w:rsidR="005355D0">
        <w:t>investigat</w:t>
      </w:r>
      <w:r w:rsidR="00271225">
        <w:t>ed</w:t>
      </w:r>
      <w:r w:rsidR="005355D0">
        <w:t xml:space="preserve"> </w:t>
      </w:r>
      <w:r w:rsidR="00D720CE">
        <w:t xml:space="preserve">modern attitudes </w:t>
      </w:r>
      <w:r w:rsidR="00F9742F">
        <w:t>towards the folk</w:t>
      </w:r>
      <w:r w:rsidR="00451FC4">
        <w:t>l</w:t>
      </w:r>
      <w:r w:rsidR="00F9742F">
        <w:t xml:space="preserve">ore of the supernatural. </w:t>
      </w:r>
      <w:r w:rsidR="00DD3C2B">
        <w:t xml:space="preserve">She held </w:t>
      </w:r>
      <w:r w:rsidR="005B0629">
        <w:t>a PhD from the Centre for English Cultural Tradition and Language (</w:t>
      </w:r>
      <w:r w:rsidR="00024D26">
        <w:t>CECT</w:t>
      </w:r>
      <w:r w:rsidR="00C26426">
        <w:t>A</w:t>
      </w:r>
      <w:r w:rsidR="00024D26">
        <w:t>L) at the University of Sheffield</w:t>
      </w:r>
      <w:r w:rsidR="00537BE4">
        <w:t xml:space="preserve"> and </w:t>
      </w:r>
      <w:r w:rsidR="00451FC4" w:rsidRPr="00803C57">
        <w:rPr>
          <w:rFonts w:ascii="Arial" w:hAnsi="Arial" w:cs="Arial"/>
          <w:color w:val="202122"/>
          <w:sz w:val="21"/>
          <w:szCs w:val="21"/>
          <w:shd w:val="clear" w:color="auto" w:fill="FFFFFF"/>
        </w:rPr>
        <w:t>served as the editor of the journal </w:t>
      </w:r>
      <w:r w:rsidR="00451FC4" w:rsidRPr="00803C57">
        <w:rPr>
          <w:rFonts w:ascii="Arial" w:hAnsi="Arial" w:cs="Arial"/>
          <w:i/>
          <w:iCs/>
          <w:color w:val="202122"/>
          <w:sz w:val="21"/>
          <w:szCs w:val="21"/>
          <w:shd w:val="clear" w:color="auto" w:fill="FFFFFF"/>
        </w:rPr>
        <w:t>Folklore</w:t>
      </w:r>
      <w:r w:rsidR="00451FC4" w:rsidRPr="00803C57">
        <w:rPr>
          <w:rFonts w:ascii="Arial" w:hAnsi="Arial" w:cs="Arial"/>
          <w:color w:val="202122"/>
          <w:sz w:val="21"/>
          <w:szCs w:val="21"/>
          <w:shd w:val="clear" w:color="auto" w:fill="FFFFFF"/>
        </w:rPr>
        <w:t> from 1994 to 2004.</w:t>
      </w:r>
      <w:r w:rsidR="009106A4">
        <w:rPr>
          <w:rStyle w:val="FootnoteReference"/>
          <w:rFonts w:ascii="Arial" w:hAnsi="Arial" w:cs="Arial"/>
          <w:color w:val="3366CC"/>
          <w:sz w:val="17"/>
          <w:szCs w:val="17"/>
          <w:u w:val="single"/>
          <w:shd w:val="clear" w:color="auto" w:fill="FFFFFF"/>
        </w:rPr>
        <w:footnoteReference w:id="6"/>
      </w:r>
      <w:r w:rsidR="00ED0381" w:rsidRPr="00803C57">
        <w:t>In comparison,</w:t>
      </w:r>
      <w:r w:rsidR="00B3377C">
        <w:t xml:space="preserve"> </w:t>
      </w:r>
      <w:r w:rsidR="00586A32">
        <w:t>T</w:t>
      </w:r>
      <w:r w:rsidR="004E2032" w:rsidRPr="00B3377C">
        <w:rPr>
          <w:rStyle w:val="Strong"/>
          <w:rFonts w:ascii="Roboto" w:hAnsi="Roboto"/>
          <w:b w:val="0"/>
          <w:bCs w:val="0"/>
          <w:color w:val="111111"/>
          <w:sz w:val="21"/>
          <w:szCs w:val="21"/>
          <w:shd w:val="clear" w:color="auto" w:fill="F3F3F3"/>
        </w:rPr>
        <w:t>homas L. Brink</w:t>
      </w:r>
      <w:r w:rsidR="004E2032" w:rsidRPr="00803C57">
        <w:rPr>
          <w:rFonts w:ascii="Roboto" w:hAnsi="Roboto"/>
          <w:color w:val="111111"/>
          <w:sz w:val="21"/>
          <w:szCs w:val="21"/>
          <w:shd w:val="clear" w:color="auto" w:fill="F3F3F3"/>
        </w:rPr>
        <w:t xml:space="preserve"> was a </w:t>
      </w:r>
      <w:r w:rsidR="00BA3F4A">
        <w:rPr>
          <w:rFonts w:ascii="Roboto" w:hAnsi="Roboto"/>
          <w:color w:val="111111"/>
          <w:sz w:val="21"/>
          <w:szCs w:val="21"/>
          <w:shd w:val="clear" w:color="auto" w:fill="F3F3F3"/>
        </w:rPr>
        <w:t>multi-disciplinary</w:t>
      </w:r>
      <w:r w:rsidR="004E2032" w:rsidRPr="00803C57">
        <w:rPr>
          <w:rFonts w:ascii="Roboto" w:hAnsi="Roboto"/>
          <w:color w:val="111111"/>
          <w:sz w:val="21"/>
          <w:szCs w:val="21"/>
          <w:shd w:val="clear" w:color="auto" w:fill="F3F3F3"/>
        </w:rPr>
        <w:t> </w:t>
      </w:r>
      <w:r w:rsidR="004E2032" w:rsidRPr="00B3377C">
        <w:rPr>
          <w:rStyle w:val="Strong"/>
          <w:rFonts w:ascii="Roboto" w:hAnsi="Roboto"/>
          <w:b w:val="0"/>
          <w:bCs w:val="0"/>
          <w:color w:val="111111"/>
          <w:sz w:val="21"/>
          <w:szCs w:val="21"/>
          <w:shd w:val="clear" w:color="auto" w:fill="F3F3F3"/>
        </w:rPr>
        <w:t>social scientist</w:t>
      </w:r>
      <w:r w:rsidR="004E2032" w:rsidRPr="00803C57">
        <w:rPr>
          <w:rFonts w:ascii="Roboto" w:hAnsi="Roboto"/>
          <w:color w:val="111111"/>
          <w:sz w:val="21"/>
          <w:szCs w:val="21"/>
          <w:shd w:val="clear" w:color="auto" w:fill="F3F3F3"/>
        </w:rPr>
        <w:t> </w:t>
      </w:r>
      <w:r w:rsidR="007A6577">
        <w:rPr>
          <w:rFonts w:ascii="Roboto" w:hAnsi="Roboto"/>
          <w:color w:val="111111"/>
          <w:sz w:val="21"/>
          <w:szCs w:val="21"/>
          <w:shd w:val="clear" w:color="auto" w:fill="F3F3F3"/>
        </w:rPr>
        <w:t xml:space="preserve">with degrees from </w:t>
      </w:r>
      <w:r w:rsidR="007A6577" w:rsidRPr="00803C57">
        <w:rPr>
          <w:rFonts w:ascii="Roboto" w:eastAsia="Times New Roman" w:hAnsi="Roboto" w:cs="Times New Roman"/>
          <w:color w:val="111111"/>
          <w:kern w:val="0"/>
          <w:sz w:val="21"/>
          <w:szCs w:val="21"/>
          <w:lang w:eastAsia="en-GB"/>
          <w14:ligatures w14:val="none"/>
        </w:rPr>
        <w:t>several institutions, including Santa Clara University, and the University of Chicago.</w:t>
      </w:r>
      <w:r w:rsidR="000D610D">
        <w:rPr>
          <w:rFonts w:ascii="Roboto" w:eastAsia="Times New Roman" w:hAnsi="Roboto" w:cs="Times New Roman"/>
          <w:color w:val="111111"/>
          <w:kern w:val="0"/>
          <w:sz w:val="21"/>
          <w:szCs w:val="21"/>
          <w:lang w:eastAsia="en-GB"/>
          <w14:ligatures w14:val="none"/>
        </w:rPr>
        <w:t xml:space="preserve"> </w:t>
      </w:r>
      <w:r w:rsidR="004E2032" w:rsidRPr="00803C57">
        <w:rPr>
          <w:rFonts w:ascii="Roboto" w:hAnsi="Roboto"/>
          <w:color w:val="111111"/>
          <w:sz w:val="21"/>
          <w:szCs w:val="21"/>
          <w:shd w:val="clear" w:color="auto" w:fill="F3F3F3"/>
        </w:rPr>
        <w:t xml:space="preserve">His </w:t>
      </w:r>
      <w:r w:rsidR="005950AF">
        <w:rPr>
          <w:rFonts w:ascii="Roboto" w:hAnsi="Roboto"/>
          <w:color w:val="111111"/>
          <w:sz w:val="21"/>
          <w:szCs w:val="21"/>
          <w:shd w:val="clear" w:color="auto" w:fill="F3F3F3"/>
        </w:rPr>
        <w:t>particular interest was the</w:t>
      </w:r>
      <w:r w:rsidR="004E2032">
        <w:t xml:space="preserve"> intersection of Psychology and Religion</w:t>
      </w:r>
      <w:r w:rsidR="005950AF">
        <w:t>, and he</w:t>
      </w:r>
      <w:r w:rsidR="004E2032">
        <w:t xml:space="preserve"> authored educational resources on research methods for social sciences.</w:t>
      </w:r>
      <w:r w:rsidR="005C1613">
        <w:rPr>
          <w:rStyle w:val="FootnoteReference"/>
        </w:rPr>
        <w:footnoteReference w:id="7"/>
      </w:r>
    </w:p>
    <w:p w14:paraId="2F403231" w14:textId="61BDD44A" w:rsidR="00AA394D" w:rsidRDefault="008619EF">
      <w:r>
        <w:t>Bennett’s</w:t>
      </w:r>
      <w:r w:rsidR="001D0979">
        <w:t xml:space="preserve"> </w:t>
      </w:r>
      <w:r w:rsidR="00B00A17">
        <w:t>paper</w:t>
      </w:r>
      <w:r w:rsidR="001D0979">
        <w:t xml:space="preserve"> was published in </w:t>
      </w:r>
      <w:r w:rsidR="000A160A">
        <w:t>a</w:t>
      </w:r>
      <w:r w:rsidR="00271427">
        <w:t xml:space="preserve"> book edited by </w:t>
      </w:r>
      <w:r w:rsidR="00B94C81">
        <w:t>eminent folklorist</w:t>
      </w:r>
      <w:r w:rsidR="006C1D44">
        <w:t xml:space="preserve"> </w:t>
      </w:r>
      <w:r w:rsidR="00271427">
        <w:t>Barbara Walker</w:t>
      </w:r>
      <w:r w:rsidR="003448A4">
        <w:t>,</w:t>
      </w:r>
      <w:r w:rsidR="008C41CF">
        <w:t xml:space="preserve"> based on a series of lectures delivered </w:t>
      </w:r>
      <w:r w:rsidR="003F043C">
        <w:t>in 1991 at the Utah State University conference</w:t>
      </w:r>
      <w:r w:rsidR="005C1613">
        <w:t xml:space="preserve"> on the supernatural.</w:t>
      </w:r>
      <w:r w:rsidR="003F043C">
        <w:t xml:space="preserve"> </w:t>
      </w:r>
      <w:r w:rsidR="006C1D44">
        <w:rPr>
          <w:rStyle w:val="FootnoteReference"/>
        </w:rPr>
        <w:footnoteReference w:id="8"/>
      </w:r>
      <w:r w:rsidR="00A93D50">
        <w:t xml:space="preserve"> </w:t>
      </w:r>
      <w:r w:rsidR="002F1269">
        <w:t xml:space="preserve">Her </w:t>
      </w:r>
      <w:r w:rsidR="00E450A6">
        <w:t xml:space="preserve">target audience was </w:t>
      </w:r>
      <w:r w:rsidR="0099161A">
        <w:t xml:space="preserve">both </w:t>
      </w:r>
      <w:r w:rsidR="00A06B31">
        <w:t xml:space="preserve">academics </w:t>
      </w:r>
      <w:r w:rsidR="00B11792">
        <w:t>and the general</w:t>
      </w:r>
      <w:r w:rsidR="0099161A">
        <w:t xml:space="preserve"> public with </w:t>
      </w:r>
      <w:r w:rsidR="006609DC">
        <w:t xml:space="preserve">an </w:t>
      </w:r>
      <w:r w:rsidR="00E450A6">
        <w:t>interest in the supernatural</w:t>
      </w:r>
      <w:r w:rsidR="006609DC">
        <w:t xml:space="preserve"> and </w:t>
      </w:r>
      <w:r w:rsidR="00A27C17">
        <w:t>folklore</w:t>
      </w:r>
      <w:r w:rsidR="00AA5EC3">
        <w:t>, as reflected in her</w:t>
      </w:r>
      <w:r w:rsidR="008D0EFD">
        <w:t xml:space="preserve"> jargon free and </w:t>
      </w:r>
      <w:r w:rsidR="0028586A">
        <w:t>prosaic writing style</w:t>
      </w:r>
      <w:r w:rsidR="00E050A3">
        <w:t>.</w:t>
      </w:r>
      <w:r w:rsidR="00A27C17">
        <w:t xml:space="preserve"> </w:t>
      </w:r>
      <w:r w:rsidR="00AA394D">
        <w:t xml:space="preserve"> Brink’s </w:t>
      </w:r>
      <w:r w:rsidR="00E050A3">
        <w:t xml:space="preserve">paper on the other hand </w:t>
      </w:r>
      <w:r w:rsidR="00AA394D">
        <w:t>was</w:t>
      </w:r>
      <w:r w:rsidR="001E5FF8">
        <w:t xml:space="preserve"> written for </w:t>
      </w:r>
      <w:r w:rsidR="00C36AD2">
        <w:t>a</w:t>
      </w:r>
      <w:r w:rsidR="00B94C81">
        <w:t xml:space="preserve"> religious research journal and his </w:t>
      </w:r>
      <w:r w:rsidR="00A91238">
        <w:t xml:space="preserve">target </w:t>
      </w:r>
      <w:r w:rsidR="001E5FF8">
        <w:t xml:space="preserve">audience was primarily </w:t>
      </w:r>
      <w:r w:rsidR="00A91238">
        <w:t>academics interested in the study of religion</w:t>
      </w:r>
      <w:r w:rsidR="00930C83">
        <w:t xml:space="preserve">, </w:t>
      </w:r>
      <w:r w:rsidR="000D7F35">
        <w:t xml:space="preserve">hence </w:t>
      </w:r>
      <w:r w:rsidR="00263833">
        <w:t xml:space="preserve">he adopted </w:t>
      </w:r>
      <w:r w:rsidR="000D7F35">
        <w:t xml:space="preserve">a </w:t>
      </w:r>
      <w:r w:rsidR="00930C83">
        <w:t>more formal style</w:t>
      </w:r>
      <w:r w:rsidR="006609DC">
        <w:t>.</w:t>
      </w:r>
    </w:p>
    <w:p w14:paraId="6C9BE72D" w14:textId="6661AF41" w:rsidR="003B3564" w:rsidRDefault="00064B1F">
      <w:pPr>
        <w:rPr>
          <w:i/>
          <w:iCs/>
        </w:rPr>
      </w:pPr>
      <w:r w:rsidRPr="00F22355">
        <w:rPr>
          <w:i/>
          <w:iCs/>
        </w:rPr>
        <w:t>Methodology</w:t>
      </w:r>
    </w:p>
    <w:p w14:paraId="47896DDE" w14:textId="3D2A8489" w:rsidR="000326F0" w:rsidRDefault="005D2CCC" w:rsidP="000326F0">
      <w:r>
        <w:t xml:space="preserve">According to </w:t>
      </w:r>
      <w:r w:rsidR="000D2B31">
        <w:t xml:space="preserve">James </w:t>
      </w:r>
      <w:r>
        <w:t>Cresswell</w:t>
      </w:r>
      <w:r w:rsidR="000D2B31">
        <w:t xml:space="preserve"> the </w:t>
      </w:r>
      <w:r>
        <w:t>five main approaches to qualitative research a</w:t>
      </w:r>
      <w:r w:rsidR="000D2B31">
        <w:t>re</w:t>
      </w:r>
      <w:r>
        <w:t xml:space="preserve"> narrative, phenomenological, grounded theory, ethnography and case study.</w:t>
      </w:r>
      <w:r w:rsidR="006B2D8B">
        <w:rPr>
          <w:rStyle w:val="FootnoteReference"/>
        </w:rPr>
        <w:footnoteReference w:id="9"/>
      </w:r>
      <w:r w:rsidR="0026261B">
        <w:t xml:space="preserve"> </w:t>
      </w:r>
      <w:r w:rsidR="00BA57B5">
        <w:t>Bennett</w:t>
      </w:r>
      <w:r w:rsidR="00A8704A">
        <w:t xml:space="preserve"> used </w:t>
      </w:r>
      <w:r w:rsidR="00F1616E">
        <w:t xml:space="preserve">grounded theory in that she </w:t>
      </w:r>
      <w:r w:rsidR="0051007E">
        <w:t xml:space="preserve">‘built up theory from data’ and </w:t>
      </w:r>
      <w:r w:rsidR="005221FB">
        <w:t>carried o</w:t>
      </w:r>
      <w:r w:rsidR="005B6592">
        <w:t>ut</w:t>
      </w:r>
      <w:r w:rsidR="005221FB">
        <w:t xml:space="preserve"> analysis as data was collected.</w:t>
      </w:r>
      <w:r w:rsidR="00AD4DC6">
        <w:rPr>
          <w:rStyle w:val="FootnoteReference"/>
        </w:rPr>
        <w:footnoteReference w:id="10"/>
      </w:r>
      <w:r w:rsidR="00566D5E">
        <w:t xml:space="preserve"> </w:t>
      </w:r>
      <w:r w:rsidR="00EE19D5">
        <w:t xml:space="preserve">In </w:t>
      </w:r>
      <w:r w:rsidR="001D1C0A">
        <w:t xml:space="preserve">the words of </w:t>
      </w:r>
      <w:r w:rsidR="00EE19D5">
        <w:t xml:space="preserve"> </w:t>
      </w:r>
      <w:r w:rsidR="001D1C0A">
        <w:t xml:space="preserve">Hennink (2020), </w:t>
      </w:r>
      <w:r w:rsidR="00EE19D5">
        <w:t xml:space="preserve">she used deductive reasoning </w:t>
      </w:r>
      <w:r w:rsidR="00F35FEC">
        <w:t>to begin the process, then</w:t>
      </w:r>
      <w:r w:rsidR="0061559F">
        <w:t xml:space="preserve"> </w:t>
      </w:r>
      <w:r w:rsidR="00927F54">
        <w:t xml:space="preserve">an </w:t>
      </w:r>
      <w:r w:rsidR="00F35FEC">
        <w:t>inductive</w:t>
      </w:r>
      <w:r w:rsidR="00927F54">
        <w:t xml:space="preserve"> process to refine</w:t>
      </w:r>
      <w:r w:rsidR="0061559F">
        <w:t xml:space="preserve"> and shape the data collection process.</w:t>
      </w:r>
      <w:r w:rsidR="00A82A5C">
        <w:rPr>
          <w:rStyle w:val="FootnoteReference"/>
        </w:rPr>
        <w:footnoteReference w:id="11"/>
      </w:r>
      <w:r w:rsidR="00EE19D5">
        <w:t xml:space="preserve"> </w:t>
      </w:r>
      <w:r w:rsidR="0041584F">
        <w:t>She took a phenomenological approach by examin</w:t>
      </w:r>
      <w:r w:rsidR="00E04D6D">
        <w:t>ing</w:t>
      </w:r>
      <w:r w:rsidR="0041584F">
        <w:t xml:space="preserve"> the lived experience of a chosen study group, and it was</w:t>
      </w:r>
      <w:r w:rsidR="00D434A0">
        <w:t xml:space="preserve"> therefore also ethnogra</w:t>
      </w:r>
      <w:r w:rsidR="00220285">
        <w:t>phic as she attempted to understand how a particular culture</w:t>
      </w:r>
      <w:r w:rsidR="00F87468">
        <w:t xml:space="preserve"> worked.</w:t>
      </w:r>
      <w:r w:rsidR="00F87468">
        <w:rPr>
          <w:rStyle w:val="FootnoteReference"/>
        </w:rPr>
        <w:footnoteReference w:id="12"/>
      </w:r>
      <w:r w:rsidR="0041584F">
        <w:t xml:space="preserve"> </w:t>
      </w:r>
      <w:r w:rsidR="00D423DD">
        <w:t xml:space="preserve">She used </w:t>
      </w:r>
      <w:r w:rsidR="009030B1">
        <w:t>narrative inquiry to explore her informants beliefs around second sight</w:t>
      </w:r>
      <w:r w:rsidR="0018308A">
        <w:t xml:space="preserve"> through a series of intervie</w:t>
      </w:r>
      <w:r w:rsidR="00161F58">
        <w:t>ws</w:t>
      </w:r>
      <w:r w:rsidR="003228DB">
        <w:t xml:space="preserve">, </w:t>
      </w:r>
      <w:r w:rsidR="00A20F33">
        <w:t xml:space="preserve">then examined the themes in detail to build what Clifford Geertz called </w:t>
      </w:r>
      <w:r w:rsidR="0064799D">
        <w:t>a ‘thick description.’</w:t>
      </w:r>
      <w:r w:rsidR="00976D2B">
        <w:t xml:space="preserve"> </w:t>
      </w:r>
      <w:r w:rsidR="00976D2B">
        <w:rPr>
          <w:rStyle w:val="FootnoteReference"/>
        </w:rPr>
        <w:footnoteReference w:id="13"/>
      </w:r>
      <w:r w:rsidR="00000425">
        <w:t xml:space="preserve"> </w:t>
      </w:r>
      <w:r w:rsidR="00E431AB">
        <w:t>The</w:t>
      </w:r>
      <w:r w:rsidR="008C11F9">
        <w:t>se</w:t>
      </w:r>
      <w:r w:rsidR="00E431AB">
        <w:t xml:space="preserve"> are all key components of Henni</w:t>
      </w:r>
      <w:r w:rsidR="0083648D">
        <w:t>n</w:t>
      </w:r>
      <w:r w:rsidR="00E431AB">
        <w:t>k</w:t>
      </w:r>
      <w:r w:rsidR="0075780F">
        <w:t>’s</w:t>
      </w:r>
      <w:r w:rsidR="0078472F">
        <w:t xml:space="preserve"> (2020)</w:t>
      </w:r>
      <w:r w:rsidR="00E431AB">
        <w:t xml:space="preserve"> </w:t>
      </w:r>
      <w:r w:rsidR="00C21E1F">
        <w:t>‘</w:t>
      </w:r>
      <w:r w:rsidR="0033760E">
        <w:t>interpretive paradigm</w:t>
      </w:r>
      <w:r w:rsidR="00C21E1F">
        <w:t xml:space="preserve">.’ </w:t>
      </w:r>
      <w:r w:rsidR="00C21E1F">
        <w:rPr>
          <w:rStyle w:val="FootnoteReference"/>
        </w:rPr>
        <w:footnoteReference w:id="14"/>
      </w:r>
      <w:r w:rsidR="0033760E">
        <w:t xml:space="preserve"> </w:t>
      </w:r>
      <w:r w:rsidR="00973DA9">
        <w:t xml:space="preserve">One of the strengths of this approach is that it leads to </w:t>
      </w:r>
      <w:r w:rsidR="00EB30C8">
        <w:t>‘</w:t>
      </w:r>
      <w:r w:rsidR="004772EB">
        <w:t>Verstehen,</w:t>
      </w:r>
      <w:r w:rsidR="00EB30C8">
        <w:t>’</w:t>
      </w:r>
      <w:r w:rsidR="004772EB">
        <w:t xml:space="preserve"> defined as ‘</w:t>
      </w:r>
      <w:r w:rsidR="00E01B88">
        <w:t>understanding the issues from the interpreti</w:t>
      </w:r>
      <w:r w:rsidR="00FD71D9">
        <w:t xml:space="preserve">ve framework of the study population, as opposed to </w:t>
      </w:r>
      <w:r w:rsidR="00DC17D7">
        <w:t xml:space="preserve">seeking an </w:t>
      </w:r>
      <w:r w:rsidR="00FD71D9">
        <w:t xml:space="preserve">‘understanding’ </w:t>
      </w:r>
      <w:r w:rsidR="00C15DC9">
        <w:t xml:space="preserve">from </w:t>
      </w:r>
      <w:r w:rsidR="00294735">
        <w:t>the researcher</w:t>
      </w:r>
      <w:r w:rsidR="003F366F">
        <w:t>’</w:t>
      </w:r>
      <w:r w:rsidR="00294735">
        <w:t>s interpretive framework.</w:t>
      </w:r>
      <w:r w:rsidR="00C15DC9">
        <w:rPr>
          <w:rStyle w:val="FootnoteReference"/>
        </w:rPr>
        <w:footnoteReference w:id="15"/>
      </w:r>
      <w:r w:rsidR="00294735">
        <w:t xml:space="preserve"> </w:t>
      </w:r>
      <w:r w:rsidR="00506562">
        <w:t xml:space="preserve">According to </w:t>
      </w:r>
      <w:r w:rsidR="00506562">
        <w:lastRenderedPageBreak/>
        <w:t xml:space="preserve">Judith Bell, problems with this approach are </w:t>
      </w:r>
      <w:r w:rsidR="00FA7A93">
        <w:t xml:space="preserve">a danger of bias that could affect the results, and </w:t>
      </w:r>
      <w:r w:rsidR="006B78D2">
        <w:t xml:space="preserve">that </w:t>
      </w:r>
      <w:r w:rsidR="008F66CD">
        <w:t>findings cannot be generalised to whole populations.</w:t>
      </w:r>
      <w:r w:rsidR="008F66CD">
        <w:rPr>
          <w:rStyle w:val="FootnoteReference"/>
        </w:rPr>
        <w:footnoteReference w:id="16"/>
      </w:r>
    </w:p>
    <w:p w14:paraId="005B5B57" w14:textId="7CCAA655" w:rsidR="005A4792" w:rsidRDefault="00051BFD" w:rsidP="005A4792">
      <w:r>
        <w:t xml:space="preserve">Brink </w:t>
      </w:r>
      <w:r w:rsidR="00E901A3">
        <w:t xml:space="preserve">on the other hand </w:t>
      </w:r>
      <w:r w:rsidR="00AF1553">
        <w:t>used quantitative analysis</w:t>
      </w:r>
      <w:r w:rsidR="00183AEF">
        <w:t>,</w:t>
      </w:r>
      <w:r w:rsidR="00AF1553">
        <w:t xml:space="preserve"> </w:t>
      </w:r>
      <w:r w:rsidR="009E6AB6">
        <w:t xml:space="preserve">following the </w:t>
      </w:r>
      <w:r>
        <w:t>positivist paradigm</w:t>
      </w:r>
      <w:r w:rsidR="00AF1553">
        <w:t xml:space="preserve">, the aim of which was to </w:t>
      </w:r>
      <w:r w:rsidR="00D733AD">
        <w:t>‘</w:t>
      </w:r>
      <w:r w:rsidR="007D4EDE">
        <w:t xml:space="preserve">formulate a hypothesis.. </w:t>
      </w:r>
      <w:r w:rsidR="00BF3B12">
        <w:t>..</w:t>
      </w:r>
      <w:r w:rsidR="007D4EDE">
        <w:t xml:space="preserve">then operationalise </w:t>
      </w:r>
      <w:r w:rsidR="00A47857">
        <w:t xml:space="preserve">and </w:t>
      </w:r>
      <w:r w:rsidR="007D4EDE">
        <w:t>test the hypothesis</w:t>
      </w:r>
      <w:r w:rsidR="00080FAA">
        <w:t xml:space="preserve"> by gathering empirical data </w:t>
      </w:r>
      <w:r w:rsidR="00E93655">
        <w:t>and evaluating whether the evidence support the hypothesis</w:t>
      </w:r>
      <w:r w:rsidR="00D733AD">
        <w:t xml:space="preserve">.’ </w:t>
      </w:r>
      <w:r w:rsidR="00D733AD">
        <w:rPr>
          <w:rStyle w:val="FootnoteReference"/>
        </w:rPr>
        <w:footnoteReference w:id="17"/>
      </w:r>
      <w:r w:rsidR="00CE305B">
        <w:t xml:space="preserve"> </w:t>
      </w:r>
      <w:r w:rsidR="00CE1A3D">
        <w:t xml:space="preserve">Brink </w:t>
      </w:r>
      <w:r w:rsidR="00A21C73">
        <w:t xml:space="preserve">uses deductive </w:t>
      </w:r>
      <w:r w:rsidR="00CE1A3D">
        <w:t>reasoning</w:t>
      </w:r>
      <w:r w:rsidR="00D32561">
        <w:t xml:space="preserve"> and</w:t>
      </w:r>
      <w:r w:rsidR="00A21C73">
        <w:t xml:space="preserve"> survey</w:t>
      </w:r>
      <w:r w:rsidR="00252C1E">
        <w:t>s</w:t>
      </w:r>
      <w:r w:rsidR="00A21C73">
        <w:t xml:space="preserve"> </w:t>
      </w:r>
      <w:r w:rsidR="0026375F">
        <w:t>high school students</w:t>
      </w:r>
      <w:r w:rsidR="00DC4DA6">
        <w:t xml:space="preserve"> </w:t>
      </w:r>
      <w:r w:rsidR="000227B3">
        <w:t>with a q</w:t>
      </w:r>
      <w:r w:rsidR="004001FE">
        <w:t>uestionnaire consisting of 14</w:t>
      </w:r>
      <w:r w:rsidR="004F2EC2">
        <w:t xml:space="preserve"> closed questions</w:t>
      </w:r>
      <w:r w:rsidR="000C72D4">
        <w:t>.</w:t>
      </w:r>
      <w:r w:rsidR="00DF4A2A">
        <w:t xml:space="preserve"> </w:t>
      </w:r>
      <w:r w:rsidR="00AC1B7D">
        <w:t xml:space="preserve">Bell criticised this </w:t>
      </w:r>
      <w:r w:rsidR="005A4792">
        <w:t>approach</w:t>
      </w:r>
      <w:r w:rsidR="00AC1B7D">
        <w:t>, saying</w:t>
      </w:r>
      <w:r w:rsidR="005A4792">
        <w:t xml:space="preserve"> is that it </w:t>
      </w:r>
      <w:r w:rsidR="006839E5">
        <w:t>doesn’t take human feelings into account.</w:t>
      </w:r>
      <w:r w:rsidR="006839E5">
        <w:rPr>
          <w:rStyle w:val="FootnoteReference"/>
        </w:rPr>
        <w:footnoteReference w:id="18"/>
      </w:r>
      <w:r w:rsidR="005A4792">
        <w:t xml:space="preserve"> It is </w:t>
      </w:r>
      <w:r w:rsidR="000C72D4">
        <w:t xml:space="preserve">also </w:t>
      </w:r>
      <w:r w:rsidR="005A4792">
        <w:t>assumed to be value</w:t>
      </w:r>
      <w:r w:rsidR="00963D0A">
        <w:t>-</w:t>
      </w:r>
      <w:r w:rsidR="005A4792">
        <w:t>free but it doesn’t account for contextual influence and ignores the interactive nature of data collection.</w:t>
      </w:r>
      <w:r w:rsidR="009A2E19">
        <w:rPr>
          <w:rStyle w:val="FootnoteReference"/>
        </w:rPr>
        <w:footnoteReference w:id="19"/>
      </w:r>
      <w:r w:rsidR="005A4792">
        <w:t xml:space="preserve"> </w:t>
      </w:r>
    </w:p>
    <w:p w14:paraId="5FF6EE2C" w14:textId="30EA8ED4" w:rsidR="00F37B01" w:rsidRDefault="00F5426A" w:rsidP="00F37B01">
      <w:r>
        <w:t>Neither Bennett nor Brink justify the</w:t>
      </w:r>
      <w:r w:rsidR="003651D4">
        <w:t xml:space="preserve"> rationale for choosing their respective methodologies, neither do they reflect on the suitability of these methods given the remit of their papers. </w:t>
      </w:r>
      <w:r w:rsidR="00F37B01">
        <w:t>Bennett</w:t>
      </w:r>
      <w:r w:rsidR="006F7CD9">
        <w:t xml:space="preserve"> </w:t>
      </w:r>
      <w:r w:rsidR="00F37B01">
        <w:t>conduct</w:t>
      </w:r>
      <w:r w:rsidR="006F7CD9">
        <w:t>ed</w:t>
      </w:r>
      <w:r w:rsidR="00F37B01">
        <w:t xml:space="preserve"> in-depth interviews using, presumably, unstructured or semi-structured and open</w:t>
      </w:r>
      <w:r w:rsidR="00ED4743">
        <w:t>-</w:t>
      </w:r>
      <w:r w:rsidR="00F37B01">
        <w:t>ended questions</w:t>
      </w:r>
      <w:r w:rsidR="006F7CD9">
        <w:t xml:space="preserve">, whereas </w:t>
      </w:r>
      <w:r w:rsidR="00DC4DA6">
        <w:t>Brink used closed questions</w:t>
      </w:r>
      <w:r w:rsidR="00333371">
        <w:t xml:space="preserve">. </w:t>
      </w:r>
      <w:r w:rsidR="00F37B01">
        <w:t>Like Brink, Bennett does not give an account of the questions she asked or her rationale for choosing them.</w:t>
      </w:r>
      <w:r w:rsidR="00B9223B">
        <w:t xml:space="preserve"> As both chose to study the nature of belief, Bennett’s methods were probably more suited to </w:t>
      </w:r>
      <w:r w:rsidR="001D244C">
        <w:t>‘</w:t>
      </w:r>
      <w:r w:rsidR="00E26611">
        <w:t>exploring the theory of behaviour in the field.</w:t>
      </w:r>
      <w:r w:rsidR="001D244C">
        <w:t xml:space="preserve">’ </w:t>
      </w:r>
      <w:r w:rsidR="001D244C">
        <w:rPr>
          <w:rStyle w:val="FootnoteReference"/>
        </w:rPr>
        <w:footnoteReference w:id="20"/>
      </w:r>
      <w:r w:rsidR="00F60AD3">
        <w:t xml:space="preserve"> She studied </w:t>
      </w:r>
      <w:r w:rsidR="00DD487A">
        <w:t>meaning, whereas Brink emphasised measurement</w:t>
      </w:r>
      <w:r w:rsidR="00D749B8">
        <w:t xml:space="preserve">, </w:t>
      </w:r>
      <w:r w:rsidR="00896664">
        <w:t>he ha</w:t>
      </w:r>
      <w:r w:rsidR="00E44B67">
        <w:t xml:space="preserve">d </w:t>
      </w:r>
      <w:r w:rsidR="009A7AB8">
        <w:t xml:space="preserve">a </w:t>
      </w:r>
      <w:r w:rsidR="00896664">
        <w:t xml:space="preserve">reductive </w:t>
      </w:r>
      <w:r w:rsidR="009A7AB8">
        <w:t xml:space="preserve">approach and </w:t>
      </w:r>
      <w:r w:rsidR="00940A8E">
        <w:t xml:space="preserve">tested a hypothesis </w:t>
      </w:r>
      <w:r w:rsidR="00F42CA9">
        <w:t>which he does not build on</w:t>
      </w:r>
      <w:r w:rsidR="009A7AB8">
        <w:t>,</w:t>
      </w:r>
      <w:r w:rsidR="00ED4D66">
        <w:t xml:space="preserve"> whereas Bennett’s work was </w:t>
      </w:r>
      <w:r w:rsidR="00A54097">
        <w:t>abductive and recursive,</w:t>
      </w:r>
      <w:r w:rsidR="006D30A7">
        <w:t xml:space="preserve"> in that she </w:t>
      </w:r>
      <w:r w:rsidR="0080433A">
        <w:t xml:space="preserve">used inductive inferences to </w:t>
      </w:r>
      <w:r w:rsidR="00F104D1">
        <w:t>develop a circular process, as described by Hennink (2020)</w:t>
      </w:r>
      <w:r w:rsidR="002A7F17">
        <w:t xml:space="preserve">, her approach also </w:t>
      </w:r>
      <w:r w:rsidR="00A54097">
        <w:t>risked bias.</w:t>
      </w:r>
      <w:r w:rsidR="002A7F17">
        <w:rPr>
          <w:rStyle w:val="FootnoteReference"/>
        </w:rPr>
        <w:footnoteReference w:id="21"/>
      </w:r>
    </w:p>
    <w:p w14:paraId="188FE001" w14:textId="54751E08" w:rsidR="00E93DB2" w:rsidRDefault="00223DF3" w:rsidP="00B52322">
      <w:r>
        <w:t xml:space="preserve">With both papers, </w:t>
      </w:r>
      <w:r w:rsidR="00066F5A">
        <w:t xml:space="preserve">there are </w:t>
      </w:r>
      <w:r>
        <w:t>nu</w:t>
      </w:r>
      <w:r w:rsidR="00BD3972">
        <w:t xml:space="preserve">merous issues </w:t>
      </w:r>
      <w:r w:rsidR="00A30585">
        <w:t xml:space="preserve">with </w:t>
      </w:r>
      <w:r w:rsidR="00BD3972">
        <w:t>regards to how they chose their study groups</w:t>
      </w:r>
      <w:r w:rsidR="00B1722D">
        <w:t xml:space="preserve"> and</w:t>
      </w:r>
      <w:r w:rsidR="00926D6A">
        <w:t xml:space="preserve"> </w:t>
      </w:r>
      <w:r w:rsidR="00066F5A">
        <w:t>resulting</w:t>
      </w:r>
      <w:r w:rsidR="00E520D4">
        <w:t xml:space="preserve"> </w:t>
      </w:r>
      <w:r w:rsidR="005D1767">
        <w:t>ethic</w:t>
      </w:r>
      <w:r w:rsidR="00D10A91">
        <w:t>al consideration</w:t>
      </w:r>
      <w:r w:rsidR="005D1767">
        <w:t>s</w:t>
      </w:r>
      <w:r w:rsidR="00B1722D">
        <w:t xml:space="preserve">. </w:t>
      </w:r>
      <w:r w:rsidR="000A7ABE">
        <w:t>Brink</w:t>
      </w:r>
      <w:r w:rsidR="00BA2125">
        <w:t xml:space="preserve">’s </w:t>
      </w:r>
      <w:r w:rsidR="00E51E44">
        <w:t>study group were</w:t>
      </w:r>
      <w:r w:rsidR="00BA2125">
        <w:t xml:space="preserve"> </w:t>
      </w:r>
      <w:r w:rsidR="000A7ABE">
        <w:t xml:space="preserve">227 </w:t>
      </w:r>
      <w:r w:rsidR="00A21C73">
        <w:t xml:space="preserve">students at a Catholic Girls High School (16 – 18 years old) in the NW part of Chicago where, he states, ‘most of the inhabits were of working class, Polish/Italian extraction.’ </w:t>
      </w:r>
      <w:r w:rsidR="000A7ABE">
        <w:rPr>
          <w:rStyle w:val="FootnoteReference"/>
        </w:rPr>
        <w:footnoteReference w:id="22"/>
      </w:r>
      <w:r w:rsidR="00644B1F">
        <w:t xml:space="preserve"> The questionnaire was delivered in a R</w:t>
      </w:r>
      <w:r w:rsidR="0015313E">
        <w:t>.</w:t>
      </w:r>
      <w:r w:rsidR="00644B1F">
        <w:t>E</w:t>
      </w:r>
      <w:r w:rsidR="0015313E">
        <w:t>.</w:t>
      </w:r>
      <w:r w:rsidR="00644B1F">
        <w:t xml:space="preserve"> lesson</w:t>
      </w:r>
      <w:r w:rsidR="00E8122B">
        <w:t xml:space="preserve"> </w:t>
      </w:r>
      <w:r w:rsidR="007C5549">
        <w:t>so the power</w:t>
      </w:r>
      <w:r w:rsidR="00644B1F">
        <w:t xml:space="preserve"> dynamics were asymmetric</w:t>
      </w:r>
      <w:r w:rsidR="007C5549">
        <w:t xml:space="preserve">, </w:t>
      </w:r>
      <w:r w:rsidR="0090634A">
        <w:t xml:space="preserve">and </w:t>
      </w:r>
      <w:r w:rsidR="007C5549">
        <w:t>not in favour of the informants. I</w:t>
      </w:r>
      <w:r w:rsidR="0043617E">
        <w:t xml:space="preserve">t </w:t>
      </w:r>
      <w:r w:rsidR="007C5549">
        <w:t>was</w:t>
      </w:r>
      <w:r w:rsidR="0043617E">
        <w:t xml:space="preserve"> not apparent if the students were told about the nature of the research, </w:t>
      </w:r>
      <w:r w:rsidR="00281B90">
        <w:t>whether informed consent</w:t>
      </w:r>
      <w:r w:rsidR="005604F2">
        <w:t xml:space="preserve"> was gained,</w:t>
      </w:r>
      <w:r w:rsidR="001C7753">
        <w:t xml:space="preserve"> </w:t>
      </w:r>
      <w:r w:rsidR="00E520D4">
        <w:t>or if</w:t>
      </w:r>
      <w:r w:rsidR="00281B90">
        <w:t xml:space="preserve"> anonymity was guaranteed</w:t>
      </w:r>
      <w:r w:rsidR="00962151">
        <w:t>.</w:t>
      </w:r>
      <w:r w:rsidR="00281B90">
        <w:t xml:space="preserve"> </w:t>
      </w:r>
      <w:r w:rsidR="00001D0D">
        <w:t>Bennett on the other hand cho</w:t>
      </w:r>
      <w:r w:rsidR="00A84D87">
        <w:t>se</w:t>
      </w:r>
      <w:r w:rsidR="00E867E1">
        <w:t xml:space="preserve"> patients of her father, </w:t>
      </w:r>
      <w:r w:rsidR="00FD0FA1">
        <w:t>a well</w:t>
      </w:r>
      <w:r w:rsidR="001E29FB">
        <w:t>-</w:t>
      </w:r>
      <w:r w:rsidR="00FD0FA1">
        <w:t>respected podia</w:t>
      </w:r>
      <w:r w:rsidR="00A35E14">
        <w:t>trist</w:t>
      </w:r>
      <w:r w:rsidR="001E29FB">
        <w:t xml:space="preserve"> ‘near retirement age’</w:t>
      </w:r>
      <w:r w:rsidR="00290AB2">
        <w:t>,</w:t>
      </w:r>
      <w:r w:rsidR="00411005">
        <w:t xml:space="preserve"> and delivers her inte</w:t>
      </w:r>
      <w:r w:rsidR="00716679">
        <w:t>rviews during treatments.</w:t>
      </w:r>
      <w:r w:rsidR="00A562F7">
        <w:rPr>
          <w:rStyle w:val="FootnoteReference"/>
        </w:rPr>
        <w:footnoteReference w:id="23"/>
      </w:r>
      <w:r w:rsidR="00A562F7">
        <w:t xml:space="preserve"> </w:t>
      </w:r>
      <w:r w:rsidR="001B008E">
        <w:t xml:space="preserve">She states this was with the permission of the women, </w:t>
      </w:r>
      <w:r w:rsidR="005E4ADC">
        <w:t xml:space="preserve">who were </w:t>
      </w:r>
      <w:r w:rsidR="00732F85">
        <w:t xml:space="preserve">‘happy to discuss with her.’ </w:t>
      </w:r>
      <w:r w:rsidR="00516C32">
        <w:rPr>
          <w:rStyle w:val="FootnoteReference"/>
        </w:rPr>
        <w:footnoteReference w:id="24"/>
      </w:r>
      <w:r w:rsidR="00AC34B3">
        <w:t xml:space="preserve"> She </w:t>
      </w:r>
      <w:r w:rsidR="003A4133">
        <w:t xml:space="preserve">justifies the choice of this </w:t>
      </w:r>
      <w:r w:rsidR="00AC5D3E">
        <w:t>particular study group as ‘they formed a fairly homogeneous social and cultural group based on the local neighbourhood.</w:t>
      </w:r>
      <w:r w:rsidR="00FB7458">
        <w:t>’</w:t>
      </w:r>
      <w:r w:rsidR="00FB7458">
        <w:rPr>
          <w:rStyle w:val="FootnoteReference"/>
        </w:rPr>
        <w:footnoteReference w:id="25"/>
      </w:r>
      <w:r w:rsidR="00AC5D3E">
        <w:t xml:space="preserve"> </w:t>
      </w:r>
      <w:r w:rsidR="00FB7458">
        <w:t>However, s</w:t>
      </w:r>
      <w:r w:rsidR="00416B3B">
        <w:t>he d</w:t>
      </w:r>
      <w:r w:rsidR="00E556A5">
        <w:t xml:space="preserve">id </w:t>
      </w:r>
      <w:r w:rsidR="00416B3B">
        <w:t xml:space="preserve">not consider the ethics of gathering information from people while they are having treatments, </w:t>
      </w:r>
      <w:r w:rsidR="00A41276">
        <w:t>neither d</w:t>
      </w:r>
      <w:r w:rsidR="00E556A5">
        <w:t>id</w:t>
      </w:r>
      <w:r w:rsidR="00A41276">
        <w:t xml:space="preserve"> she consider that harvesting the</w:t>
      </w:r>
      <w:r w:rsidR="00E556A5">
        <w:t>ir</w:t>
      </w:r>
      <w:r w:rsidR="00A41276">
        <w:t xml:space="preserve"> demographic data </w:t>
      </w:r>
      <w:r w:rsidR="0000730C">
        <w:t>from her father</w:t>
      </w:r>
      <w:r w:rsidR="009C2140">
        <w:t xml:space="preserve">, as she </w:t>
      </w:r>
      <w:r w:rsidR="008E317E">
        <w:t>described,</w:t>
      </w:r>
      <w:r w:rsidR="0000730C">
        <w:t xml:space="preserve"> </w:t>
      </w:r>
      <w:r w:rsidR="008E317E">
        <w:t>could raise</w:t>
      </w:r>
      <w:r w:rsidR="0000730C">
        <w:t xml:space="preserve"> questions about confidentiality and informed consent.</w:t>
      </w:r>
      <w:r w:rsidR="00E577E1">
        <w:rPr>
          <w:rStyle w:val="FootnoteReference"/>
        </w:rPr>
        <w:footnoteReference w:id="26"/>
      </w:r>
    </w:p>
    <w:p w14:paraId="55FEB37C" w14:textId="4F6626C6" w:rsidR="00157F50" w:rsidRPr="008F5CB3" w:rsidRDefault="001F340F">
      <w:r>
        <w:lastRenderedPageBreak/>
        <w:t>It should</w:t>
      </w:r>
      <w:r w:rsidR="00393D76">
        <w:t>,</w:t>
      </w:r>
      <w:r>
        <w:t xml:space="preserve"> however</w:t>
      </w:r>
      <w:r w:rsidR="00393D76">
        <w:t>,</w:t>
      </w:r>
      <w:r>
        <w:t xml:space="preserve"> be noted that both Brink and Bennett were </w:t>
      </w:r>
      <w:r w:rsidR="00393D76">
        <w:t>working</w:t>
      </w:r>
      <w:r>
        <w:t xml:space="preserve"> before the implementation of the </w:t>
      </w:r>
      <w:r w:rsidR="003041B7">
        <w:t>Belmont Report in 1979</w:t>
      </w:r>
      <w:r w:rsidR="00AE7BCB">
        <w:t xml:space="preserve">, which </w:t>
      </w:r>
      <w:r w:rsidR="00AE3DFE">
        <w:t xml:space="preserve">now operates </w:t>
      </w:r>
      <w:r w:rsidR="005E2F5A">
        <w:t>as a binding</w:t>
      </w:r>
      <w:r w:rsidR="00AE7BCB">
        <w:t xml:space="preserve"> ethical framework for researchers.</w:t>
      </w:r>
      <w:r w:rsidR="003041B7">
        <w:t xml:space="preserve"> </w:t>
      </w:r>
    </w:p>
    <w:p w14:paraId="5710E640" w14:textId="49150A7E" w:rsidR="00290CF0" w:rsidRPr="0045116B" w:rsidRDefault="0045116B">
      <w:pPr>
        <w:rPr>
          <w:i/>
          <w:iCs/>
        </w:rPr>
      </w:pPr>
      <w:r w:rsidRPr="0045116B">
        <w:rPr>
          <w:i/>
          <w:iCs/>
        </w:rPr>
        <w:t xml:space="preserve">Literature Review </w:t>
      </w:r>
    </w:p>
    <w:p w14:paraId="713B8B79" w14:textId="26C9190E" w:rsidR="00FF7DEA" w:rsidRDefault="00E14793">
      <w:r>
        <w:t>Bennett investigated</w:t>
      </w:r>
      <w:r w:rsidR="008E7530">
        <w:t xml:space="preserve"> how the kno</w:t>
      </w:r>
      <w:r w:rsidR="00B108D8">
        <w:t>wledge of the future experienced by older women was shaped by their social situation and moral code</w:t>
      </w:r>
      <w:r w:rsidR="00B1590A">
        <w:t xml:space="preserve">. </w:t>
      </w:r>
      <w:r w:rsidR="002C2D35">
        <w:t>She state</w:t>
      </w:r>
      <w:r w:rsidR="006D4E6A">
        <w:t>d</w:t>
      </w:r>
      <w:r w:rsidR="002C2D35">
        <w:t xml:space="preserve"> her theoretical approach at the outset </w:t>
      </w:r>
      <w:r w:rsidR="004F736A">
        <w:t xml:space="preserve">using a quote from </w:t>
      </w:r>
      <w:r w:rsidR="006F27D8">
        <w:t>British Antiquarian</w:t>
      </w:r>
      <w:r w:rsidR="003143E1">
        <w:t>,</w:t>
      </w:r>
      <w:r w:rsidR="005B4E89">
        <w:t xml:space="preserve"> ‘that to deny the future can be foreseen goes against the Common</w:t>
      </w:r>
      <w:r w:rsidR="008350F1">
        <w:t xml:space="preserve"> Consent and Agreement of Mankind.’</w:t>
      </w:r>
      <w:r w:rsidR="002E7532">
        <w:rPr>
          <w:rStyle w:val="FootnoteReference"/>
        </w:rPr>
        <w:footnoteReference w:id="27"/>
      </w:r>
      <w:r w:rsidR="00747371">
        <w:t xml:space="preserve"> </w:t>
      </w:r>
      <w:r w:rsidR="00202CFC">
        <w:t>She then continue</w:t>
      </w:r>
      <w:r w:rsidR="005B6E06">
        <w:t>d</w:t>
      </w:r>
      <w:r w:rsidR="0054174A">
        <w:t>, albeit ‘obliquely’</w:t>
      </w:r>
      <w:r w:rsidR="00202CFC">
        <w:t xml:space="preserve"> </w:t>
      </w:r>
      <w:r w:rsidR="00BB296C">
        <w:t>with a review of the histori</w:t>
      </w:r>
      <w:r w:rsidR="002E7532">
        <w:t>c</w:t>
      </w:r>
      <w:r w:rsidR="00BB296C">
        <w:t xml:space="preserve">al perspective </w:t>
      </w:r>
      <w:r w:rsidR="002E7532">
        <w:t xml:space="preserve">around beliefs </w:t>
      </w:r>
      <w:r w:rsidR="00BB296C">
        <w:t>on second sight</w:t>
      </w:r>
      <w:r w:rsidR="00E221F4">
        <w:t xml:space="preserve">, from the perspective of </w:t>
      </w:r>
      <w:r w:rsidR="004647D0">
        <w:t>antiquarians and folklorists</w:t>
      </w:r>
      <w:r w:rsidR="00C758FC">
        <w:t>. This comprise</w:t>
      </w:r>
      <w:r w:rsidR="00D10A91">
        <w:t>d</w:t>
      </w:r>
      <w:r w:rsidR="00C758FC">
        <w:t xml:space="preserve"> her literature review, which </w:t>
      </w:r>
      <w:r w:rsidR="0055594B">
        <w:t xml:space="preserve">she </w:t>
      </w:r>
      <w:r w:rsidR="0095115E">
        <w:t>ground</w:t>
      </w:r>
      <w:r w:rsidR="0055594B">
        <w:t>ed</w:t>
      </w:r>
      <w:r w:rsidR="0095115E">
        <w:t xml:space="preserve"> in </w:t>
      </w:r>
      <w:r w:rsidR="0055594B">
        <w:t>quan</w:t>
      </w:r>
      <w:r w:rsidR="006B097F">
        <w:t xml:space="preserve">titative data gathered </w:t>
      </w:r>
      <w:r w:rsidR="00DB36A5">
        <w:t xml:space="preserve">from surveys </w:t>
      </w:r>
      <w:r w:rsidR="00544D0F">
        <w:t>b</w:t>
      </w:r>
      <w:r w:rsidR="00DB36A5">
        <w:t>etween 1925 and 1985 on astrology</w:t>
      </w:r>
      <w:r w:rsidR="00544D0F">
        <w:t>,</w:t>
      </w:r>
      <w:r w:rsidR="00DB36A5">
        <w:t xml:space="preserve"> fortune</w:t>
      </w:r>
      <w:r w:rsidR="00AE6E52">
        <w:t xml:space="preserve"> and </w:t>
      </w:r>
      <w:r w:rsidR="00030870">
        <w:t>ESP</w:t>
      </w:r>
      <w:r w:rsidR="001805F5">
        <w:t>, relating this to her own work</w:t>
      </w:r>
      <w:r w:rsidR="004A46BE">
        <w:t xml:space="preserve"> and therefore </w:t>
      </w:r>
      <w:r w:rsidR="00373CB6">
        <w:t>placing it</w:t>
      </w:r>
      <w:r w:rsidR="004A46BE">
        <w:t xml:space="preserve"> skilfully within a solid academic framework</w:t>
      </w:r>
      <w:r w:rsidR="00030870">
        <w:t xml:space="preserve">. </w:t>
      </w:r>
      <w:r w:rsidR="00030870">
        <w:rPr>
          <w:rStyle w:val="FootnoteReference"/>
        </w:rPr>
        <w:footnoteReference w:id="28"/>
      </w:r>
      <w:r w:rsidR="00030870">
        <w:t xml:space="preserve"> </w:t>
      </w:r>
    </w:p>
    <w:p w14:paraId="3B605729" w14:textId="404F2FB8" w:rsidR="00E14793" w:rsidRDefault="0001530D">
      <w:r>
        <w:t>Brink</w:t>
      </w:r>
      <w:r w:rsidR="00EC0370">
        <w:t xml:space="preserve"> on the other hand uses a more theoretical </w:t>
      </w:r>
      <w:r w:rsidR="00373CB6">
        <w:t>structure</w:t>
      </w:r>
      <w:r w:rsidR="00EC0370">
        <w:t xml:space="preserve"> and </w:t>
      </w:r>
      <w:r w:rsidR="00006FDB">
        <w:t>start</w:t>
      </w:r>
      <w:r w:rsidR="00962454">
        <w:t>ed</w:t>
      </w:r>
      <w:r w:rsidR="00006FDB">
        <w:t xml:space="preserve"> by placing his paper</w:t>
      </w:r>
      <w:r w:rsidR="00FF7DEA">
        <w:t xml:space="preserve"> within </w:t>
      </w:r>
      <w:r w:rsidR="00E26603">
        <w:t xml:space="preserve">the context of </w:t>
      </w:r>
      <w:r w:rsidR="00756D28">
        <w:t xml:space="preserve">social </w:t>
      </w:r>
      <w:r w:rsidR="00E26603">
        <w:t xml:space="preserve">psychological theories </w:t>
      </w:r>
      <w:r w:rsidR="00B07B21">
        <w:t>formulated by scholars during the 1950s and 1960s</w:t>
      </w:r>
      <w:r w:rsidR="00756D28">
        <w:t xml:space="preserve">, </w:t>
      </w:r>
      <w:r w:rsidR="00161BCE">
        <w:t>including ‘cognitive dissonance,’ affective-cognitive consistency and belief congruence</w:t>
      </w:r>
      <w:r w:rsidR="004534E9">
        <w:t>.</w:t>
      </w:r>
      <w:r w:rsidR="004534E9">
        <w:rPr>
          <w:rStyle w:val="FootnoteReference"/>
        </w:rPr>
        <w:footnoteReference w:id="29"/>
      </w:r>
      <w:r w:rsidR="00B07B21">
        <w:t xml:space="preserve"> </w:t>
      </w:r>
      <w:r w:rsidR="00611BEF">
        <w:t xml:space="preserve"> </w:t>
      </w:r>
      <w:r w:rsidR="00E434CD">
        <w:t xml:space="preserve">His literature review is scant and he largely uses his own </w:t>
      </w:r>
      <w:r w:rsidR="00085038">
        <w:t>religious education theories or th</w:t>
      </w:r>
      <w:r w:rsidR="00E22099">
        <w:t xml:space="preserve">ose of Robert </w:t>
      </w:r>
      <w:r w:rsidR="00085038">
        <w:t>Wuthrow</w:t>
      </w:r>
      <w:r w:rsidR="008C0714">
        <w:t xml:space="preserve"> (1976)</w:t>
      </w:r>
      <w:r w:rsidR="00F60D1C">
        <w:t xml:space="preserve">, </w:t>
      </w:r>
      <w:r w:rsidR="00F531AC">
        <w:t>who wrote on the sociology of religion.</w:t>
      </w:r>
      <w:r w:rsidR="005E58A5">
        <w:rPr>
          <w:rStyle w:val="FootnoteReference"/>
        </w:rPr>
        <w:footnoteReference w:id="30"/>
      </w:r>
      <w:r w:rsidR="00BD3B50">
        <w:t xml:space="preserve"> </w:t>
      </w:r>
      <w:r w:rsidR="00085038">
        <w:t>He use</w:t>
      </w:r>
      <w:r w:rsidR="00F531AC">
        <w:t>d</w:t>
      </w:r>
      <w:r w:rsidR="00085038">
        <w:t xml:space="preserve"> the philosophical theory of Sigmund Freud to </w:t>
      </w:r>
      <w:r w:rsidR="009B2CD1">
        <w:t xml:space="preserve">ground </w:t>
      </w:r>
      <w:r w:rsidR="0002182D">
        <w:t xml:space="preserve">what he refers to as </w:t>
      </w:r>
      <w:r w:rsidR="009B2CD1">
        <w:t xml:space="preserve"> ‘function of belief</w:t>
      </w:r>
      <w:r w:rsidR="0002182D">
        <w:t xml:space="preserve"> theory</w:t>
      </w:r>
      <w:r w:rsidR="002B09A5">
        <w:t>’</w:t>
      </w:r>
      <w:r w:rsidR="007C7E63">
        <w:t xml:space="preserve"> to explain </w:t>
      </w:r>
      <w:r w:rsidR="006847F7">
        <w:t>why his informants,</w:t>
      </w:r>
      <w:r w:rsidR="00CB4825">
        <w:t xml:space="preserve"> ‘in response to confusion and uncertainty</w:t>
      </w:r>
      <w:r w:rsidR="009A2669">
        <w:t xml:space="preserve">’ </w:t>
      </w:r>
      <w:r w:rsidR="00CB4825">
        <w:t xml:space="preserve">linked to </w:t>
      </w:r>
      <w:r w:rsidR="00FC08F7">
        <w:t xml:space="preserve">what he calls </w:t>
      </w:r>
      <w:r w:rsidR="009A2669">
        <w:t>a</w:t>
      </w:r>
      <w:r w:rsidR="00F6128F">
        <w:t xml:space="preserve"> </w:t>
      </w:r>
      <w:r w:rsidR="008465CD">
        <w:t>‘</w:t>
      </w:r>
      <w:r w:rsidR="0000122A">
        <w:t>fragmentation of American socie</w:t>
      </w:r>
      <w:r w:rsidR="00F6128F">
        <w:t>t</w:t>
      </w:r>
      <w:r w:rsidR="00113A61">
        <w:t>y</w:t>
      </w:r>
      <w:r w:rsidR="00F6128F">
        <w:t>,</w:t>
      </w:r>
      <w:r w:rsidR="008465CD">
        <w:t>’</w:t>
      </w:r>
      <w:r w:rsidR="00F6128F">
        <w:t xml:space="preserve"> </w:t>
      </w:r>
      <w:r w:rsidR="002308C0">
        <w:t>adopted religious attitudes that were ‘structurally inconsistent and functionally similar.</w:t>
      </w:r>
      <w:r w:rsidR="00D136A3">
        <w:t>’</w:t>
      </w:r>
      <w:r w:rsidR="00835C6E">
        <w:t xml:space="preserve"> </w:t>
      </w:r>
      <w:r w:rsidR="00835C6E">
        <w:rPr>
          <w:rStyle w:val="FootnoteReference"/>
        </w:rPr>
        <w:footnoteReference w:id="31"/>
      </w:r>
      <w:r w:rsidR="0065651F">
        <w:t xml:space="preserve"> </w:t>
      </w:r>
      <w:r w:rsidR="00013A18">
        <w:t>He d</w:t>
      </w:r>
      <w:r w:rsidR="008465CD">
        <w:t>id</w:t>
      </w:r>
      <w:r w:rsidR="00013A18">
        <w:t xml:space="preserve"> not place his research </w:t>
      </w:r>
      <w:r w:rsidR="00F73817">
        <w:t>within the broader context of religious belief and as such it lack</w:t>
      </w:r>
      <w:r w:rsidR="00DA549B">
        <w:t xml:space="preserve">ed </w:t>
      </w:r>
      <w:r w:rsidR="00F73817">
        <w:t>depth and academic rationale</w:t>
      </w:r>
      <w:r w:rsidR="00FC08F7">
        <w:t>.</w:t>
      </w:r>
    </w:p>
    <w:p w14:paraId="6CAF2D30" w14:textId="77777777" w:rsidR="00160AE9" w:rsidRDefault="00775AC5">
      <w:pPr>
        <w:rPr>
          <w:i/>
          <w:iCs/>
        </w:rPr>
      </w:pPr>
      <w:r>
        <w:rPr>
          <w:i/>
          <w:iCs/>
        </w:rPr>
        <w:t>Structure</w:t>
      </w:r>
    </w:p>
    <w:p w14:paraId="2DF7F90B" w14:textId="201A72A0" w:rsidR="001A4783" w:rsidRDefault="00F323F3" w:rsidP="001A4783">
      <w:r>
        <w:t>Brink</w:t>
      </w:r>
      <w:r w:rsidR="001D045A">
        <w:t>’s paper is well structured and clear</w:t>
      </w:r>
      <w:r w:rsidR="00653C6F">
        <w:t>, largely free of jargon</w:t>
      </w:r>
      <w:r w:rsidR="002D32A6">
        <w:t>,</w:t>
      </w:r>
      <w:r w:rsidR="00DC61DD">
        <w:t xml:space="preserve"> </w:t>
      </w:r>
      <w:r w:rsidR="00653C6F">
        <w:t>easy to understand</w:t>
      </w:r>
      <w:r w:rsidR="00DC61DD">
        <w:t xml:space="preserve">, </w:t>
      </w:r>
      <w:r w:rsidR="00D06188">
        <w:t>and very short.</w:t>
      </w:r>
      <w:r w:rsidR="00653C6F">
        <w:t xml:space="preserve"> In following the positivist approach, he start</w:t>
      </w:r>
      <w:r w:rsidR="006314C0">
        <w:t>ed</w:t>
      </w:r>
      <w:r w:rsidR="00653C6F">
        <w:t xml:space="preserve"> with an abstract</w:t>
      </w:r>
      <w:r w:rsidR="00F7227F">
        <w:t>, state</w:t>
      </w:r>
      <w:r w:rsidR="00E204DD">
        <w:t>d</w:t>
      </w:r>
      <w:r w:rsidR="00F7227F">
        <w:t xml:space="preserve"> a clear hypothesis then </w:t>
      </w:r>
      <w:r w:rsidR="00423B22">
        <w:t>report</w:t>
      </w:r>
      <w:r w:rsidR="00E204DD">
        <w:t>ed</w:t>
      </w:r>
      <w:r w:rsidR="00F7227F">
        <w:t>, albeit briefly,</w:t>
      </w:r>
      <w:r w:rsidR="00423B22">
        <w:t xml:space="preserve"> </w:t>
      </w:r>
      <w:r>
        <w:t xml:space="preserve">his </w:t>
      </w:r>
      <w:r w:rsidR="00423B22">
        <w:t>methods of data collection</w:t>
      </w:r>
      <w:r w:rsidR="00F7227F">
        <w:t>. He present</w:t>
      </w:r>
      <w:r w:rsidR="00E204DD">
        <w:t>ed</w:t>
      </w:r>
      <w:r w:rsidR="00F7227F">
        <w:t xml:space="preserve"> his findings in a clear table, including some statistical analysis which he d</w:t>
      </w:r>
      <w:r w:rsidR="0033281E">
        <w:t>id</w:t>
      </w:r>
      <w:r w:rsidR="00F7227F">
        <w:t xml:space="preserve"> not </w:t>
      </w:r>
      <w:r w:rsidR="0014373F">
        <w:t xml:space="preserve">give details on. </w:t>
      </w:r>
    </w:p>
    <w:p w14:paraId="6483641E" w14:textId="5E204093" w:rsidR="00423B22" w:rsidRDefault="000E4A99">
      <w:r>
        <w:t>He s</w:t>
      </w:r>
      <w:r w:rsidR="00C7172A">
        <w:t>aw</w:t>
      </w:r>
      <w:r>
        <w:t xml:space="preserve"> belief in Roman Catholic doctrine, astrology and reincarnation as being logically incompatible and expect</w:t>
      </w:r>
      <w:r w:rsidR="006E27A8">
        <w:t>ed</w:t>
      </w:r>
      <w:r>
        <w:t xml:space="preserve"> that the </w:t>
      </w:r>
      <w:r w:rsidR="006E27A8">
        <w:t>students</w:t>
      </w:r>
      <w:r>
        <w:t xml:space="preserve"> w</w:t>
      </w:r>
      <w:r w:rsidR="006E27A8">
        <w:t>oul</w:t>
      </w:r>
      <w:r w:rsidR="00DF5BBC">
        <w:t xml:space="preserve">d </w:t>
      </w:r>
      <w:r>
        <w:t>only accept one of the belief sets</w:t>
      </w:r>
      <w:r w:rsidR="009F71C5">
        <w:t>, re</w:t>
      </w:r>
      <w:r>
        <w:t>ject</w:t>
      </w:r>
      <w:r w:rsidR="009F71C5">
        <w:t>ing</w:t>
      </w:r>
      <w:r>
        <w:t xml:space="preserve"> all others. </w:t>
      </w:r>
      <w:r w:rsidR="00963D00">
        <w:rPr>
          <w:rStyle w:val="FootnoteReference"/>
        </w:rPr>
        <w:footnoteReference w:id="32"/>
      </w:r>
      <w:r w:rsidR="00FA7D3E">
        <w:t xml:space="preserve"> </w:t>
      </w:r>
      <w:r>
        <w:t>He base</w:t>
      </w:r>
      <w:r w:rsidR="00C7172A">
        <w:t xml:space="preserve">d </w:t>
      </w:r>
      <w:r>
        <w:t xml:space="preserve">this on an assumption that astrology is fatalistic and </w:t>
      </w:r>
      <w:r w:rsidR="000C203A">
        <w:t xml:space="preserve">other reductive interpretations of </w:t>
      </w:r>
      <w:r>
        <w:t>karma, reincarnation</w:t>
      </w:r>
      <w:r w:rsidR="000C203A">
        <w:t xml:space="preserve"> and</w:t>
      </w:r>
      <w:r>
        <w:t xml:space="preserve"> fate and </w:t>
      </w:r>
      <w:r w:rsidR="000C203A">
        <w:t>how they are at odds with Catholic</w:t>
      </w:r>
      <w:r>
        <w:t xml:space="preserve"> dogma.</w:t>
      </w:r>
      <w:r w:rsidR="00025FCD">
        <w:t xml:space="preserve"> </w:t>
      </w:r>
      <w:r w:rsidR="00FA7D3E">
        <w:t xml:space="preserve">His </w:t>
      </w:r>
      <w:r w:rsidR="008F4D82">
        <w:t>results</w:t>
      </w:r>
      <w:r w:rsidR="00FA7D3E">
        <w:t xml:space="preserve">, however, </w:t>
      </w:r>
      <w:r w:rsidR="005C4D2B">
        <w:t xml:space="preserve">showed that </w:t>
      </w:r>
      <w:r w:rsidR="00C47245">
        <w:t>the a</w:t>
      </w:r>
      <w:r w:rsidR="0019387A">
        <w:t>cceptance of one belief system was no assurance that incompatible beliefs</w:t>
      </w:r>
      <w:r w:rsidR="00C47245">
        <w:t xml:space="preserve"> </w:t>
      </w:r>
      <w:r w:rsidR="005A72A6">
        <w:t>would be rejected</w:t>
      </w:r>
      <w:r w:rsidR="00390B83">
        <w:t>,</w:t>
      </w:r>
      <w:r w:rsidR="005A72A6">
        <w:t xml:space="preserve"> and his hypothesis was not confirmed</w:t>
      </w:r>
      <w:r w:rsidR="00FB518F">
        <w:t xml:space="preserve">. </w:t>
      </w:r>
      <w:r w:rsidR="00242175">
        <w:t>Though he expresse</w:t>
      </w:r>
      <w:r w:rsidR="000D46F2">
        <w:t>d</w:t>
      </w:r>
      <w:r w:rsidR="00242175">
        <w:t xml:space="preserve"> surprise that ‘many students did not strictly believe Roman Catholic dogma</w:t>
      </w:r>
      <w:r w:rsidR="00943B23">
        <w:t>,’ he d</w:t>
      </w:r>
      <w:r w:rsidR="000D46F2">
        <w:t>id</w:t>
      </w:r>
      <w:r w:rsidR="001C5C9C">
        <w:t xml:space="preserve"> not consider that </w:t>
      </w:r>
      <w:r w:rsidR="006E667E">
        <w:t>his chosen</w:t>
      </w:r>
      <w:r w:rsidR="00480B37">
        <w:t xml:space="preserve"> methods m</w:t>
      </w:r>
      <w:r w:rsidR="00C53BE6">
        <w:t xml:space="preserve">ight not have best suited his </w:t>
      </w:r>
      <w:r w:rsidR="00480B37">
        <w:t>stated</w:t>
      </w:r>
      <w:r w:rsidR="00C53BE6">
        <w:t xml:space="preserve"> aim.</w:t>
      </w:r>
      <w:r w:rsidR="003419CF">
        <w:t xml:space="preserve"> </w:t>
      </w:r>
      <w:r w:rsidR="00D7792D">
        <w:t xml:space="preserve">He himself </w:t>
      </w:r>
      <w:r w:rsidR="00797367">
        <w:lastRenderedPageBreak/>
        <w:t>acknowledge</w:t>
      </w:r>
      <w:r w:rsidR="00D71759">
        <w:t>d</w:t>
      </w:r>
      <w:r w:rsidR="00797367">
        <w:t xml:space="preserve"> </w:t>
      </w:r>
      <w:r w:rsidR="00D7792D">
        <w:t>that his paper ‘raises more questions than it answers</w:t>
      </w:r>
      <w:r w:rsidR="0056472C">
        <w:t>,</w:t>
      </w:r>
      <w:r w:rsidR="00D7792D">
        <w:t>’</w:t>
      </w:r>
      <w:r w:rsidR="00381D4E">
        <w:t xml:space="preserve"> </w:t>
      </w:r>
      <w:r w:rsidR="00797367">
        <w:t>but</w:t>
      </w:r>
      <w:r w:rsidR="00BB6A20">
        <w:t xml:space="preserve"> d</w:t>
      </w:r>
      <w:r w:rsidR="000D46F2">
        <w:t>id</w:t>
      </w:r>
      <w:r w:rsidR="00BB6A20">
        <w:t xml:space="preserve"> not make suggestions for</w:t>
      </w:r>
      <w:r w:rsidR="00F26061">
        <w:t xml:space="preserve"> future studies.</w:t>
      </w:r>
      <w:r w:rsidR="00381D4E">
        <w:rPr>
          <w:rStyle w:val="FootnoteReference"/>
        </w:rPr>
        <w:footnoteReference w:id="33"/>
      </w:r>
    </w:p>
    <w:p w14:paraId="60AE7BDE" w14:textId="620A605A" w:rsidR="006A1357" w:rsidRDefault="006A1357">
      <w:r>
        <w:t>Bennett chose a more informal structure, as suit</w:t>
      </w:r>
      <w:r w:rsidR="00F93E6F">
        <w:t>ed</w:t>
      </w:r>
      <w:r>
        <w:t xml:space="preserve"> her phenomenol</w:t>
      </w:r>
      <w:r w:rsidR="00053C3C">
        <w:t>o</w:t>
      </w:r>
      <w:r>
        <w:t>gical</w:t>
      </w:r>
      <w:r w:rsidR="00D03FE2">
        <w:t xml:space="preserve"> a</w:t>
      </w:r>
      <w:r w:rsidR="00003ECF">
        <w:t xml:space="preserve">nd </w:t>
      </w:r>
      <w:r w:rsidR="00B52707">
        <w:t xml:space="preserve">narrative analysis </w:t>
      </w:r>
      <w:r w:rsidR="00750CD5">
        <w:t>methodology</w:t>
      </w:r>
      <w:r w:rsidR="004018CA">
        <w:t xml:space="preserve">, but </w:t>
      </w:r>
      <w:r w:rsidR="00D67192">
        <w:t xml:space="preserve">her writing </w:t>
      </w:r>
      <w:r w:rsidR="00FF54D0">
        <w:t>is</w:t>
      </w:r>
      <w:r w:rsidR="00DB4634">
        <w:t xml:space="preserve"> sometimes</w:t>
      </w:r>
      <w:r w:rsidR="004018CA">
        <w:t xml:space="preserve"> hard to follow</w:t>
      </w:r>
      <w:r w:rsidR="00DB4634">
        <w:t>.</w:t>
      </w:r>
      <w:r w:rsidR="004018CA">
        <w:t xml:space="preserve"> </w:t>
      </w:r>
      <w:r w:rsidR="0071637C">
        <w:t>She sta</w:t>
      </w:r>
      <w:r w:rsidR="00FF54D0">
        <w:t>ted h</w:t>
      </w:r>
      <w:r w:rsidR="0071637C">
        <w:t>er aim</w:t>
      </w:r>
      <w:r w:rsidR="00FF54D0">
        <w:t xml:space="preserve"> at the outset</w:t>
      </w:r>
      <w:r w:rsidR="00053C3C">
        <w:t xml:space="preserve">, </w:t>
      </w:r>
      <w:r w:rsidR="00451439">
        <w:t xml:space="preserve">gives a historical perspective on </w:t>
      </w:r>
      <w:r w:rsidR="008C051C">
        <w:t xml:space="preserve">belief in second sight, </w:t>
      </w:r>
      <w:r w:rsidR="00303B3D">
        <w:t>ground</w:t>
      </w:r>
      <w:r w:rsidR="00866232">
        <w:t xml:space="preserve">ed </w:t>
      </w:r>
      <w:r w:rsidR="00303B3D">
        <w:t xml:space="preserve">in </w:t>
      </w:r>
      <w:r w:rsidR="00451439">
        <w:t xml:space="preserve">data </w:t>
      </w:r>
      <w:r w:rsidR="00303B3D">
        <w:t>from</w:t>
      </w:r>
      <w:r w:rsidR="00451439">
        <w:t xml:space="preserve"> previous studies</w:t>
      </w:r>
      <w:r w:rsidR="00EA1709">
        <w:t>, and relate</w:t>
      </w:r>
      <w:r w:rsidR="00866232">
        <w:t>d</w:t>
      </w:r>
      <w:r w:rsidR="00EA1709">
        <w:t xml:space="preserve"> both back to her own work. She</w:t>
      </w:r>
      <w:r w:rsidR="00866232">
        <w:t xml:space="preserve"> went</w:t>
      </w:r>
      <w:r w:rsidR="00EA1709">
        <w:t xml:space="preserve"> on to </w:t>
      </w:r>
      <w:r w:rsidR="00B26D95">
        <w:t>discuss the context of her study and how she chose her informants</w:t>
      </w:r>
      <w:r w:rsidR="00FA37B1">
        <w:t xml:space="preserve">, </w:t>
      </w:r>
      <w:r w:rsidR="00370F78">
        <w:t>giving some brief</w:t>
      </w:r>
      <w:r w:rsidR="009C593D">
        <w:t xml:space="preserve"> demographics</w:t>
      </w:r>
      <w:r w:rsidR="00DA299D">
        <w:t>.</w:t>
      </w:r>
      <w:r w:rsidR="009A0B5B">
        <w:rPr>
          <w:rStyle w:val="FootnoteReference"/>
        </w:rPr>
        <w:footnoteReference w:id="34"/>
      </w:r>
      <w:r w:rsidR="00206D1B">
        <w:t xml:space="preserve"> </w:t>
      </w:r>
      <w:r w:rsidR="004B3F6B">
        <w:t>Her discussion is rich and detailed</w:t>
      </w:r>
      <w:r w:rsidR="00390B83">
        <w:t>,</w:t>
      </w:r>
      <w:r w:rsidR="004B3F6B">
        <w:t xml:space="preserve"> and </w:t>
      </w:r>
      <w:r w:rsidR="004D703B">
        <w:t xml:space="preserve">she </w:t>
      </w:r>
      <w:r w:rsidR="004B3F6B">
        <w:t>use</w:t>
      </w:r>
      <w:r w:rsidR="003027DD">
        <w:t>d</w:t>
      </w:r>
      <w:r w:rsidR="004B3F6B">
        <w:t xml:space="preserve"> </w:t>
      </w:r>
      <w:r w:rsidR="001E718D">
        <w:t>long quotes from the women, whom she name</w:t>
      </w:r>
      <w:r w:rsidR="003027DD">
        <w:t>d</w:t>
      </w:r>
      <w:r w:rsidR="001E718D">
        <w:t xml:space="preserve">, presumably to give them voice. </w:t>
      </w:r>
      <w:r w:rsidR="009A0B5B">
        <w:t>She use</w:t>
      </w:r>
      <w:r w:rsidR="003027DD">
        <w:t>d</w:t>
      </w:r>
      <w:r w:rsidR="009A0B5B">
        <w:t xml:space="preserve"> thematic analysis (again no details given) to </w:t>
      </w:r>
      <w:r w:rsidR="00E721F1">
        <w:t xml:space="preserve">group her discussion into themes, </w:t>
      </w:r>
      <w:r w:rsidR="00B35E2D">
        <w:t xml:space="preserve">but </w:t>
      </w:r>
      <w:r w:rsidR="00E721F1">
        <w:t xml:space="preserve">it is not always easy to follow given the long anecdotal quotes and her subheadings </w:t>
      </w:r>
      <w:r w:rsidR="00063198">
        <w:t>sometimes seem</w:t>
      </w:r>
      <w:r w:rsidR="007A0439">
        <w:t xml:space="preserve"> </w:t>
      </w:r>
      <w:r w:rsidR="00E721F1">
        <w:t>arbitrary</w:t>
      </w:r>
      <w:r w:rsidR="00F75C8E">
        <w:t>,</w:t>
      </w:r>
      <w:r w:rsidR="00B35E2D">
        <w:t xml:space="preserve"> </w:t>
      </w:r>
      <w:r w:rsidR="00BE5F94">
        <w:t>for example, ‘Negative Aspects of Psychic Power.’</w:t>
      </w:r>
      <w:r w:rsidR="00BE5F94">
        <w:rPr>
          <w:rStyle w:val="FootnoteReference"/>
        </w:rPr>
        <w:footnoteReference w:id="35"/>
      </w:r>
      <w:r w:rsidR="00E721F1">
        <w:t xml:space="preserve"> Neve</w:t>
      </w:r>
      <w:r w:rsidR="00C53551">
        <w:t>r</w:t>
      </w:r>
      <w:r w:rsidR="00E721F1">
        <w:t>theless</w:t>
      </w:r>
      <w:r w:rsidR="00C53551">
        <w:t xml:space="preserve">, she </w:t>
      </w:r>
      <w:r w:rsidR="00E721F1">
        <w:t>summarise</w:t>
      </w:r>
      <w:r w:rsidR="00F75C8E">
        <w:t>d</w:t>
      </w:r>
      <w:r w:rsidR="00E721F1">
        <w:t xml:space="preserve"> each section before </w:t>
      </w:r>
      <w:r w:rsidR="00D953F8">
        <w:t>starting the next and her writing has flow</w:t>
      </w:r>
      <w:r w:rsidR="00E721F1">
        <w:t xml:space="preserve">. </w:t>
      </w:r>
      <w:r w:rsidR="00C335C1">
        <w:t>She ground</w:t>
      </w:r>
      <w:r w:rsidR="00F75C8E">
        <w:t xml:space="preserve">ed </w:t>
      </w:r>
      <w:r w:rsidR="00C335C1">
        <w:t xml:space="preserve">thematic analysis in a discussion of the social background of the women, </w:t>
      </w:r>
      <w:r w:rsidR="00C02EAD">
        <w:t xml:space="preserve">based </w:t>
      </w:r>
      <w:r w:rsidR="00C335C1">
        <w:t>around their age and marital status. This she justifie</w:t>
      </w:r>
      <w:r w:rsidR="00F46366">
        <w:t>d</w:t>
      </w:r>
      <w:r w:rsidR="00C335C1">
        <w:t xml:space="preserve"> by saying,’ </w:t>
      </w:r>
      <w:r w:rsidR="00604605">
        <w:t>like it or not, these women’s lives were geared to traditional roles and pursuits.</w:t>
      </w:r>
      <w:r w:rsidR="007B3BF1">
        <w:t xml:space="preserve">’ </w:t>
      </w:r>
      <w:r w:rsidR="007B3BF1">
        <w:rPr>
          <w:rStyle w:val="FootnoteReference"/>
        </w:rPr>
        <w:footnoteReference w:id="36"/>
      </w:r>
      <w:r w:rsidR="00604605">
        <w:t xml:space="preserve"> She ma</w:t>
      </w:r>
      <w:r w:rsidR="00F46366">
        <w:t>de</w:t>
      </w:r>
      <w:r w:rsidR="00604605">
        <w:t xml:space="preserve"> assumptions about their </w:t>
      </w:r>
      <w:r w:rsidR="002646E7">
        <w:t>backgrounds and childhoods, though she d</w:t>
      </w:r>
      <w:r w:rsidR="00F46366">
        <w:t>id</w:t>
      </w:r>
      <w:r w:rsidR="002646E7">
        <w:t xml:space="preserve"> try and relate this to some of the information given by the women in their interviews.</w:t>
      </w:r>
      <w:r w:rsidR="00D953F8">
        <w:rPr>
          <w:rStyle w:val="FootnoteReference"/>
        </w:rPr>
        <w:footnoteReference w:id="37"/>
      </w:r>
    </w:p>
    <w:p w14:paraId="4C4202B3" w14:textId="126CFC7D" w:rsidR="002646E7" w:rsidRDefault="00707BCE">
      <w:r>
        <w:t>In her conclusion, she admit</w:t>
      </w:r>
      <w:r w:rsidR="00001B77">
        <w:t>ted</w:t>
      </w:r>
      <w:r>
        <w:t xml:space="preserve"> that her study can on</w:t>
      </w:r>
      <w:r w:rsidR="00B14F27">
        <w:t>ly give an ‘impressionistic’ discussion.</w:t>
      </w:r>
      <w:r w:rsidR="009909B6">
        <w:rPr>
          <w:rStyle w:val="FootnoteReference"/>
        </w:rPr>
        <w:footnoteReference w:id="38"/>
      </w:r>
      <w:r w:rsidR="00EC77AE">
        <w:t xml:space="preserve"> </w:t>
      </w:r>
      <w:r w:rsidR="00B14F27">
        <w:t xml:space="preserve">Nevertheless she </w:t>
      </w:r>
      <w:r w:rsidR="00944213">
        <w:t>identifie</w:t>
      </w:r>
      <w:r w:rsidR="00001B77">
        <w:t>d</w:t>
      </w:r>
      <w:r w:rsidR="00944213">
        <w:t xml:space="preserve"> some </w:t>
      </w:r>
      <w:r w:rsidR="002701E4">
        <w:t>trends and conclude</w:t>
      </w:r>
      <w:r w:rsidR="00001B77">
        <w:t>d</w:t>
      </w:r>
      <w:r w:rsidR="002701E4">
        <w:t xml:space="preserve"> broadly that the folklore of the older women was in</w:t>
      </w:r>
      <w:r w:rsidR="00EE481C">
        <w:t xml:space="preserve">fluenced by social background, though she </w:t>
      </w:r>
      <w:r w:rsidR="00F82D4B">
        <w:t xml:space="preserve">justifies this </w:t>
      </w:r>
      <w:r w:rsidR="00EE481C">
        <w:t>by making comparisons with younger women and men who weren’t part of the original study group</w:t>
      </w:r>
      <w:r w:rsidR="00800A76">
        <w:t xml:space="preserve">, </w:t>
      </w:r>
      <w:r w:rsidR="00510AF1">
        <w:t xml:space="preserve">weakening the </w:t>
      </w:r>
      <w:r w:rsidR="0067064D">
        <w:t>conclusion</w:t>
      </w:r>
      <w:r w:rsidR="00EE481C">
        <w:t>.</w:t>
      </w:r>
      <w:r w:rsidR="00D96F21">
        <w:rPr>
          <w:rStyle w:val="FootnoteReference"/>
        </w:rPr>
        <w:footnoteReference w:id="39"/>
      </w:r>
      <w:r w:rsidR="00EE481C">
        <w:t xml:space="preserve"> </w:t>
      </w:r>
      <w:r w:rsidR="004E69A5">
        <w:t>She admit</w:t>
      </w:r>
      <w:r w:rsidR="00510AF1">
        <w:t>ted</w:t>
      </w:r>
      <w:r w:rsidR="004E69A5">
        <w:t xml:space="preserve"> that her results cannot be fully extrapolated and welcome</w:t>
      </w:r>
      <w:r w:rsidR="00510AF1">
        <w:t>d</w:t>
      </w:r>
      <w:r w:rsidR="004E69A5">
        <w:t xml:space="preserve"> future studies to </w:t>
      </w:r>
      <w:r w:rsidR="0000798A">
        <w:t>pick up on trends</w:t>
      </w:r>
      <w:r w:rsidR="00594CF1">
        <w:t>.</w:t>
      </w:r>
      <w:r w:rsidR="00376958">
        <w:t xml:space="preserve"> She d</w:t>
      </w:r>
      <w:r w:rsidR="00510AF1">
        <w:t>id</w:t>
      </w:r>
      <w:r w:rsidR="00376958">
        <w:t xml:space="preserve"> not, however, address the issue of bias in her conclusion.</w:t>
      </w:r>
    </w:p>
    <w:p w14:paraId="37F7B260" w14:textId="35426085" w:rsidR="003916AF" w:rsidRDefault="003916AF">
      <w:r>
        <w:t>Brink, on the other hand, ha</w:t>
      </w:r>
      <w:r w:rsidR="00510AF1">
        <w:t>d</w:t>
      </w:r>
      <w:r>
        <w:t xml:space="preserve"> a clear conclusion in that he </w:t>
      </w:r>
      <w:r w:rsidR="00B548C9">
        <w:t>state</w:t>
      </w:r>
      <w:r w:rsidR="00791ABA">
        <w:t>d</w:t>
      </w:r>
      <w:r w:rsidR="00B548C9">
        <w:t xml:space="preserve"> that his ‘hypothesis was not confirmed.</w:t>
      </w:r>
      <w:r w:rsidR="0067064D">
        <w:t>’</w:t>
      </w:r>
      <w:r w:rsidR="00B548C9">
        <w:t xml:space="preserve"> </w:t>
      </w:r>
      <w:r w:rsidR="00DE4E87">
        <w:t>Still, he ma</w:t>
      </w:r>
      <w:r w:rsidR="00791ABA">
        <w:t>de</w:t>
      </w:r>
      <w:r w:rsidR="00DE4E87">
        <w:t xml:space="preserve"> extrapolations to the wider community in that he use</w:t>
      </w:r>
      <w:r w:rsidR="00791ABA">
        <w:t>d</w:t>
      </w:r>
      <w:r w:rsidR="00DE4E87">
        <w:t xml:space="preserve"> </w:t>
      </w:r>
      <w:r>
        <w:t xml:space="preserve">‘function of belief’ theory to explain his </w:t>
      </w:r>
      <w:r w:rsidR="00DE4E87">
        <w:t xml:space="preserve">how </w:t>
      </w:r>
      <w:r w:rsidR="000E32D8">
        <w:t>two sets of incompatible beliefs can be held at the same time</w:t>
      </w:r>
      <w:r w:rsidR="00991D17">
        <w:t xml:space="preserve">, though the evidence his relies upon does not </w:t>
      </w:r>
      <w:r w:rsidR="00941FAF">
        <w:t>necessarily warrant this broad comparison.</w:t>
      </w:r>
    </w:p>
    <w:p w14:paraId="661D136B" w14:textId="546ECA0E" w:rsidR="00703C25" w:rsidRDefault="00A21281">
      <w:pPr>
        <w:rPr>
          <w:i/>
          <w:iCs/>
        </w:rPr>
      </w:pPr>
      <w:r>
        <w:rPr>
          <w:i/>
          <w:iCs/>
        </w:rPr>
        <w:t xml:space="preserve">Reflexivity and the </w:t>
      </w:r>
      <w:r w:rsidR="00703C25" w:rsidRPr="00703C25">
        <w:rPr>
          <w:i/>
          <w:iCs/>
        </w:rPr>
        <w:t>inside/outsider continuum</w:t>
      </w:r>
    </w:p>
    <w:p w14:paraId="464FDA43" w14:textId="791CCB65" w:rsidR="00272DD5" w:rsidRDefault="00984D38" w:rsidP="00984D38">
      <w:r>
        <w:t xml:space="preserve">According to Adler and Adler’s (1987) research </w:t>
      </w:r>
      <w:r w:rsidR="00AD00B2">
        <w:t xml:space="preserve">on insider/outsider perspectives, researchers fall into one of three groupings: peripheral, </w:t>
      </w:r>
      <w:r w:rsidR="00355E64">
        <w:t>active or complete members of the group they are reaching.</w:t>
      </w:r>
      <w:r w:rsidR="0092422D">
        <w:rPr>
          <w:rStyle w:val="FootnoteReference"/>
        </w:rPr>
        <w:footnoteReference w:id="40"/>
      </w:r>
      <w:r w:rsidR="00355E64">
        <w:t xml:space="preserve"> Using this </w:t>
      </w:r>
      <w:r w:rsidR="007D12AE">
        <w:t xml:space="preserve">epistemological </w:t>
      </w:r>
      <w:r w:rsidR="007D23EA">
        <w:t>viewpoint</w:t>
      </w:r>
      <w:r w:rsidR="00355E64">
        <w:t xml:space="preserve">, both Brink and Bennett </w:t>
      </w:r>
      <w:r w:rsidR="009D66C8">
        <w:t xml:space="preserve">could be classed as </w:t>
      </w:r>
      <w:r>
        <w:t xml:space="preserve">peripheral members </w:t>
      </w:r>
      <w:r w:rsidR="00142D53">
        <w:t>as they didn’t</w:t>
      </w:r>
      <w:r>
        <w:t xml:space="preserve"> participate in the core activities</w:t>
      </w:r>
      <w:r w:rsidR="004F33A4">
        <w:t xml:space="preserve"> of their research group</w:t>
      </w:r>
      <w:r w:rsidR="006962BD">
        <w:t xml:space="preserve">, and therefore </w:t>
      </w:r>
      <w:r w:rsidR="005C1F98">
        <w:t>‘</w:t>
      </w:r>
      <w:r w:rsidR="00FC2706">
        <w:t>etic</w:t>
      </w:r>
      <w:r w:rsidR="005C1F98">
        <w:t>’</w:t>
      </w:r>
      <w:r w:rsidR="0047294C">
        <w:t>.</w:t>
      </w:r>
      <w:r>
        <w:t xml:space="preserve"> </w:t>
      </w:r>
      <w:r w:rsidR="001D7AAF">
        <w:t xml:space="preserve">Bennett, </w:t>
      </w:r>
      <w:r w:rsidR="0086421D">
        <w:t>however, d</w:t>
      </w:r>
      <w:r w:rsidR="00310358">
        <w:t>id</w:t>
      </w:r>
      <w:r w:rsidR="0086421D">
        <w:t xml:space="preserve"> have some insider knowledge, which was an advantage as she </w:t>
      </w:r>
      <w:r w:rsidR="003170CB">
        <w:t>was able to find common ground with which to conduct the research</w:t>
      </w:r>
      <w:r w:rsidR="00FD6A0C">
        <w:t xml:space="preserve">, though </w:t>
      </w:r>
      <w:r w:rsidR="00310358">
        <w:t xml:space="preserve">this </w:t>
      </w:r>
      <w:r w:rsidR="00FD6A0C">
        <w:t xml:space="preserve">could also lead to </w:t>
      </w:r>
      <w:r w:rsidR="00F00D19">
        <w:t>what Bell calls ‘bias due to personal experience.’</w:t>
      </w:r>
      <w:r w:rsidR="000753E3">
        <w:rPr>
          <w:rStyle w:val="FootnoteReference"/>
        </w:rPr>
        <w:footnoteReference w:id="41"/>
      </w:r>
      <w:r w:rsidR="00090AEC">
        <w:t xml:space="preserve"> </w:t>
      </w:r>
      <w:r w:rsidR="002351DA">
        <w:t xml:space="preserve">Her descriptions are sometimes patronising, ‘the women showed otherwise curious lack of descriptive detail…’ and she </w:t>
      </w:r>
      <w:r w:rsidR="002351DA">
        <w:lastRenderedPageBreak/>
        <w:t>describe</w:t>
      </w:r>
      <w:r w:rsidR="00310358">
        <w:t>d</w:t>
      </w:r>
      <w:r w:rsidR="002351DA">
        <w:t xml:space="preserve"> some of their opinions as ‘strange,’ though she d</w:t>
      </w:r>
      <w:r w:rsidR="00125585">
        <w:t>id</w:t>
      </w:r>
      <w:r w:rsidR="002351DA">
        <w:t xml:space="preserve"> add ‘at least to her,’ which demonstrate</w:t>
      </w:r>
      <w:r w:rsidR="00125585">
        <w:t>d</w:t>
      </w:r>
      <w:r w:rsidR="002351DA">
        <w:t xml:space="preserve"> some awareness of her position as a researcher.</w:t>
      </w:r>
      <w:r w:rsidR="002351DA">
        <w:rPr>
          <w:rStyle w:val="FootnoteReference"/>
        </w:rPr>
        <w:footnoteReference w:id="42"/>
      </w:r>
      <w:r w:rsidR="002351DA">
        <w:t xml:space="preserve">  </w:t>
      </w:r>
      <w:r w:rsidR="00090AEC">
        <w:t>Brink on the other hand d</w:t>
      </w:r>
      <w:r w:rsidR="00125585">
        <w:t xml:space="preserve">id </w:t>
      </w:r>
      <w:r w:rsidR="00090AEC">
        <w:t>not seek to identify</w:t>
      </w:r>
      <w:r w:rsidR="00FB647F">
        <w:t xml:space="preserve"> with his study group</w:t>
      </w:r>
      <w:r w:rsidR="00EB78C7">
        <w:t xml:space="preserve"> and s</w:t>
      </w:r>
      <w:r w:rsidR="00125585">
        <w:t>at</w:t>
      </w:r>
      <w:r w:rsidR="00EB78C7">
        <w:t xml:space="preserve"> firmly on the outside looking in.</w:t>
      </w:r>
    </w:p>
    <w:p w14:paraId="73B49FD9" w14:textId="5B43621D" w:rsidR="007A7CAF" w:rsidRDefault="00806C0B">
      <w:r>
        <w:t>Neither Brink nor Bennett reflect</w:t>
      </w:r>
      <w:r w:rsidR="00125585">
        <w:t>ed</w:t>
      </w:r>
      <w:r>
        <w:t xml:space="preserve"> on their impact on the research process, or at least demonstrate that they d</w:t>
      </w:r>
      <w:r w:rsidR="00D96C31">
        <w:t>id.</w:t>
      </w:r>
      <w:r>
        <w:t xml:space="preserve"> </w:t>
      </w:r>
      <w:r w:rsidR="00C95F9A">
        <w:t xml:space="preserve">According to Haynes, </w:t>
      </w:r>
      <w:r w:rsidR="00E03B91">
        <w:t>‘</w:t>
      </w:r>
      <w:r w:rsidR="00C95F9A">
        <w:t>reflexivity is an awareness of the researcher’s role in the practice of research and the way this is influenced by the object of the research.</w:t>
      </w:r>
      <w:r w:rsidR="00E03B91">
        <w:t>’</w:t>
      </w:r>
      <w:r w:rsidR="0087677D">
        <w:rPr>
          <w:rStyle w:val="FootnoteReference"/>
        </w:rPr>
        <w:footnoteReference w:id="43"/>
      </w:r>
      <w:r w:rsidR="00C95F9A">
        <w:t xml:space="preserve"> </w:t>
      </w:r>
      <w:r w:rsidR="00DF2C89">
        <w:t>Bennett did</w:t>
      </w:r>
      <w:r w:rsidR="006F613B">
        <w:t>, though,</w:t>
      </w:r>
      <w:r w:rsidR="00DF2C89">
        <w:t xml:space="preserve"> de</w:t>
      </w:r>
      <w:r w:rsidR="007372BD">
        <w:t>velop a rich and detailed understanding of the beliefs of her study group</w:t>
      </w:r>
      <w:r w:rsidR="009E6D4F">
        <w:t>, and therefore</w:t>
      </w:r>
      <w:r w:rsidR="003141E5">
        <w:t>, as York described, ‘</w:t>
      </w:r>
      <w:r w:rsidR="006B23C3">
        <w:t>Verstehen</w:t>
      </w:r>
      <w:r w:rsidR="003338A0">
        <w:t>,</w:t>
      </w:r>
      <w:r w:rsidR="003141E5">
        <w:t>’</w:t>
      </w:r>
      <w:r w:rsidR="003338A0">
        <w:t xml:space="preserve"> demonstrat</w:t>
      </w:r>
      <w:r w:rsidR="004772C2">
        <w:t>ing possibly</w:t>
      </w:r>
      <w:r w:rsidR="003338A0">
        <w:t xml:space="preserve"> a measure of </w:t>
      </w:r>
      <w:r w:rsidR="00EA43A7">
        <w:t>reflexivity and emic</w:t>
      </w:r>
      <w:r w:rsidR="004772C2">
        <w:t xml:space="preserve"> positioning</w:t>
      </w:r>
      <w:r w:rsidR="002F4BF8">
        <w:t>.</w:t>
      </w:r>
      <w:r w:rsidR="00806301">
        <w:t>’</w:t>
      </w:r>
      <w:r w:rsidR="00806301">
        <w:rPr>
          <w:rStyle w:val="FootnoteReference"/>
        </w:rPr>
        <w:footnoteReference w:id="44"/>
      </w:r>
      <w:r w:rsidR="00EC77AE">
        <w:t xml:space="preserve"> </w:t>
      </w:r>
      <w:r w:rsidR="00736790">
        <w:t xml:space="preserve">Brink on the other hand </w:t>
      </w:r>
      <w:r w:rsidR="003D22B7">
        <w:t>stuck to</w:t>
      </w:r>
      <w:r w:rsidR="00831FFC">
        <w:t xml:space="preserve"> what he perceived as ‘facts.’ </w:t>
      </w:r>
      <w:r w:rsidR="00B22646">
        <w:t xml:space="preserve">Quoting folklorist </w:t>
      </w:r>
      <w:r w:rsidR="003D22B7">
        <w:t>David Hufford</w:t>
      </w:r>
      <w:r w:rsidR="0069797D">
        <w:t>,</w:t>
      </w:r>
      <w:r w:rsidR="003D22B7">
        <w:t xml:space="preserve"> ‘If we manage to make our facts speak for themselves, these ‘facts’ cease to be evidence in an argument and we become ventriloquists instead of scholars.</w:t>
      </w:r>
      <w:r w:rsidR="00B22646">
        <w:t>’</w:t>
      </w:r>
      <w:r w:rsidR="0064440E">
        <w:rPr>
          <w:rStyle w:val="FootnoteReference"/>
        </w:rPr>
        <w:footnoteReference w:id="45"/>
      </w:r>
      <w:r w:rsidR="003D22B7">
        <w:t xml:space="preserve"> </w:t>
      </w:r>
      <w:r w:rsidR="008713AF">
        <w:t xml:space="preserve"> This summarises quite succinctly </w:t>
      </w:r>
      <w:r w:rsidR="00612397">
        <w:t xml:space="preserve">Brink’s </w:t>
      </w:r>
      <w:r w:rsidR="00A21281">
        <w:t>approach</w:t>
      </w:r>
      <w:r w:rsidR="0060706A">
        <w:t xml:space="preserve">, and how it </w:t>
      </w:r>
      <w:r w:rsidR="00A21281">
        <w:t xml:space="preserve">influenced </w:t>
      </w:r>
      <w:r w:rsidR="0060706A">
        <w:t>the outcome of his</w:t>
      </w:r>
      <w:r w:rsidR="00A21281">
        <w:t xml:space="preserve"> </w:t>
      </w:r>
      <w:r w:rsidR="00612397">
        <w:t>paper.</w:t>
      </w:r>
    </w:p>
    <w:p w14:paraId="766DE669" w14:textId="40C82E17" w:rsidR="005967F2" w:rsidRPr="00481AD7" w:rsidRDefault="00822AAA">
      <w:pPr>
        <w:rPr>
          <w:i/>
          <w:iCs/>
        </w:rPr>
      </w:pPr>
      <w:r w:rsidRPr="00481AD7">
        <w:rPr>
          <w:i/>
          <w:iCs/>
        </w:rPr>
        <w:t>Conclusion</w:t>
      </w:r>
    </w:p>
    <w:p w14:paraId="664C0792" w14:textId="7213F7A6" w:rsidR="00F5260B" w:rsidRDefault="00F9344B">
      <w:r>
        <w:t>To conclude, Bennett</w:t>
      </w:r>
      <w:r w:rsidR="00441E1F">
        <w:t xml:space="preserve"> used qualitative </w:t>
      </w:r>
      <w:r w:rsidR="00D96A2B">
        <w:t>methodolog</w:t>
      </w:r>
      <w:r w:rsidR="00441E1F">
        <w:t xml:space="preserve">ical </w:t>
      </w:r>
      <w:r w:rsidR="00323D27">
        <w:t>techniques that included</w:t>
      </w:r>
      <w:r w:rsidR="000A4AD7">
        <w:t xml:space="preserve"> </w:t>
      </w:r>
      <w:r w:rsidR="00B20677">
        <w:t xml:space="preserve">narrative inquiry and </w:t>
      </w:r>
      <w:r w:rsidR="001F289B">
        <w:t>grounded theory</w:t>
      </w:r>
      <w:r w:rsidR="003A2571">
        <w:t xml:space="preserve"> to </w:t>
      </w:r>
      <w:r w:rsidR="00B34759">
        <w:t xml:space="preserve">explore a cultural </w:t>
      </w:r>
      <w:r w:rsidR="003D6070">
        <w:t>phenomenon</w:t>
      </w:r>
      <w:r w:rsidR="001B4BC8">
        <w:t>, though she does not name either</w:t>
      </w:r>
      <w:r w:rsidR="00604DFD">
        <w:t>.</w:t>
      </w:r>
      <w:r w:rsidR="006E0006">
        <w:t xml:space="preserve"> Brink’s approach was purely quantitative</w:t>
      </w:r>
      <w:r w:rsidR="004254EA">
        <w:t xml:space="preserve">, using </w:t>
      </w:r>
      <w:r w:rsidR="00604DFD">
        <w:t>closed questions which he analysed statistically</w:t>
      </w:r>
      <w:r w:rsidR="007F115D">
        <w:t xml:space="preserve"> </w:t>
      </w:r>
      <w:r w:rsidR="00E26FF6">
        <w:t xml:space="preserve">to </w:t>
      </w:r>
      <w:r w:rsidR="0048210D">
        <w:t xml:space="preserve">prove </w:t>
      </w:r>
      <w:r w:rsidR="007F115D">
        <w:t>a</w:t>
      </w:r>
      <w:r w:rsidR="0048210D">
        <w:t xml:space="preserve"> hypothesis. </w:t>
      </w:r>
      <w:r w:rsidR="00FE79F0">
        <w:t>He uses psychological theor</w:t>
      </w:r>
      <w:r w:rsidR="00F040A0">
        <w:t>ies and</w:t>
      </w:r>
      <w:r w:rsidR="00FE79F0">
        <w:t xml:space="preserve"> Freud</w:t>
      </w:r>
      <w:r w:rsidR="00664522">
        <w:t>’s work as a philosophical basis</w:t>
      </w:r>
      <w:r w:rsidR="009D14EE">
        <w:t xml:space="preserve"> for his work, though neither</w:t>
      </w:r>
      <w:r w:rsidR="0054555E">
        <w:t xml:space="preserve"> </w:t>
      </w:r>
      <w:r w:rsidR="007C61AA">
        <w:t xml:space="preserve">add any real insights into the phenomena he was exploring. </w:t>
      </w:r>
    </w:p>
    <w:p w14:paraId="6C49CD46" w14:textId="2EE5E5D3" w:rsidR="001213DC" w:rsidRDefault="007C61AA">
      <w:r>
        <w:t>Bennett took a</w:t>
      </w:r>
      <w:r w:rsidR="002D680E">
        <w:t>n interpretivist approach</w:t>
      </w:r>
      <w:r w:rsidR="0050495E">
        <w:t xml:space="preserve">, </w:t>
      </w:r>
      <w:r w:rsidR="0019546B">
        <w:t>which suited the aim of her paper</w:t>
      </w:r>
      <w:r w:rsidR="00CB1150">
        <w:t>, and</w:t>
      </w:r>
      <w:r w:rsidR="001650BD">
        <w:t xml:space="preserve"> using both deductive </w:t>
      </w:r>
      <w:r w:rsidR="007F5ABB">
        <w:t xml:space="preserve">and inductive </w:t>
      </w:r>
      <w:r w:rsidR="001650BD">
        <w:t xml:space="preserve">reasoning, </w:t>
      </w:r>
      <w:r w:rsidR="00CB1150">
        <w:t xml:space="preserve">she was able to build a </w:t>
      </w:r>
      <w:r w:rsidR="00540D15">
        <w:t>‘</w:t>
      </w:r>
      <w:r w:rsidR="00CB1150">
        <w:t>thick description</w:t>
      </w:r>
      <w:r w:rsidR="0019546B">
        <w:t>.</w:t>
      </w:r>
      <w:r w:rsidR="00540D15">
        <w:t>’</w:t>
      </w:r>
      <w:r w:rsidR="0019546B">
        <w:t xml:space="preserve"> </w:t>
      </w:r>
      <w:r w:rsidR="002D680E">
        <w:t>Brink’s pos</w:t>
      </w:r>
      <w:r w:rsidR="0091115C">
        <w:t>i</w:t>
      </w:r>
      <w:r w:rsidR="002D680E">
        <w:t>tivist</w:t>
      </w:r>
      <w:r w:rsidR="00F7579D">
        <w:t xml:space="preserve">, deductive </w:t>
      </w:r>
      <w:r w:rsidR="002D680E">
        <w:t xml:space="preserve">approach </w:t>
      </w:r>
      <w:r w:rsidR="000F03B4">
        <w:t>answered his research question but did not</w:t>
      </w:r>
      <w:r w:rsidR="002D680E">
        <w:t xml:space="preserve"> shed any deep insights into </w:t>
      </w:r>
      <w:r w:rsidR="00D776BE">
        <w:t>the belief of this participants</w:t>
      </w:r>
      <w:r w:rsidR="000F03B4">
        <w:t xml:space="preserve">. </w:t>
      </w:r>
      <w:r w:rsidR="002359B8">
        <w:t xml:space="preserve"> </w:t>
      </w:r>
      <w:r w:rsidR="00757EB6">
        <w:t xml:space="preserve">Neither researcher </w:t>
      </w:r>
      <w:r w:rsidR="0033380F">
        <w:t>demonstrate</w:t>
      </w:r>
      <w:r w:rsidR="001B4BC8">
        <w:t>d</w:t>
      </w:r>
      <w:r w:rsidR="00921CED">
        <w:t xml:space="preserve"> an understanding of the role of </w:t>
      </w:r>
      <w:r w:rsidR="00F47261">
        <w:t>the</w:t>
      </w:r>
      <w:r w:rsidR="00EE3325">
        <w:t xml:space="preserve"> researcher in the practice of research</w:t>
      </w:r>
      <w:r w:rsidR="00F47261">
        <w:t xml:space="preserve">, </w:t>
      </w:r>
      <w:r w:rsidR="0074602C">
        <w:t xml:space="preserve">though Bennett at least </w:t>
      </w:r>
      <w:r w:rsidR="00C43F20">
        <w:t>took care to put her participants at ease and</w:t>
      </w:r>
      <w:r w:rsidR="005E3B6C">
        <w:t xml:space="preserve"> quotes them in their own words</w:t>
      </w:r>
      <w:r w:rsidR="00E01A09">
        <w:t>, giving them voice.</w:t>
      </w:r>
      <w:r w:rsidR="000B7830">
        <w:t xml:space="preserve"> </w:t>
      </w:r>
      <w:r w:rsidR="00985618">
        <w:t xml:space="preserve">Both </w:t>
      </w:r>
      <w:r w:rsidR="00381833">
        <w:t xml:space="preserve">positioned themselves, albeit unconsciously, on the more etic </w:t>
      </w:r>
      <w:r w:rsidR="000E33EB">
        <w:t>side of the outsider/insider continuum</w:t>
      </w:r>
      <w:r w:rsidR="005F6FCF">
        <w:t xml:space="preserve">, though Bennett at least does have some </w:t>
      </w:r>
      <w:r w:rsidR="002837A7">
        <w:t xml:space="preserve">‘insider’ knowledge about the beliefs of her study group. </w:t>
      </w:r>
      <w:r w:rsidR="005031F9">
        <w:t xml:space="preserve">Both researchers were </w:t>
      </w:r>
      <w:r w:rsidR="003408F8">
        <w:t xml:space="preserve">writing before the publication of the Belmont report in 1979 and do not have a structured ethical framework, though Bennett at </w:t>
      </w:r>
      <w:r w:rsidR="0019121A">
        <w:t xml:space="preserve">least </w:t>
      </w:r>
      <w:r w:rsidR="00374A65">
        <w:t xml:space="preserve">gets informed consent from her participants, </w:t>
      </w:r>
      <w:r w:rsidR="000B187A">
        <w:t xml:space="preserve">whereas Brink </w:t>
      </w:r>
      <w:r w:rsidR="002037B0">
        <w:t>appears not to</w:t>
      </w:r>
      <w:r w:rsidR="000B187A">
        <w:t xml:space="preserve">. </w:t>
      </w:r>
      <w:r w:rsidR="00E051A4">
        <w:t>A</w:t>
      </w:r>
      <w:r w:rsidR="00A96D56">
        <w:t>nonymity and a consideration of the impact of the project on the wellbeing of the particip</w:t>
      </w:r>
      <w:r w:rsidR="00832D59">
        <w:t xml:space="preserve">ants was not a priority of either author. </w:t>
      </w:r>
    </w:p>
    <w:p w14:paraId="545F1CB2" w14:textId="69AA8B4D" w:rsidR="008D5CBD" w:rsidRDefault="00832D59">
      <w:r>
        <w:t>Brink does get a</w:t>
      </w:r>
      <w:r w:rsidR="00B52E3C">
        <w:t xml:space="preserve"> bias-free</w:t>
      </w:r>
      <w:r>
        <w:t xml:space="preserve"> answer to his research question</w:t>
      </w:r>
      <w:r w:rsidR="00B52E3C">
        <w:t>,</w:t>
      </w:r>
      <w:r>
        <w:t xml:space="preserve"> albeit one that does not confirm his hypothesis, </w:t>
      </w:r>
      <w:r w:rsidR="00D93A2A">
        <w:t xml:space="preserve">and </w:t>
      </w:r>
      <w:r w:rsidR="00622F97">
        <w:t xml:space="preserve">he </w:t>
      </w:r>
      <w:r w:rsidR="00D93A2A">
        <w:t xml:space="preserve">seeks to extrapolate his results to a wider community by using </w:t>
      </w:r>
      <w:r w:rsidR="003A4726">
        <w:t xml:space="preserve">what he calls a </w:t>
      </w:r>
      <w:r w:rsidR="00894261">
        <w:t>‘</w:t>
      </w:r>
      <w:r w:rsidR="003A4726">
        <w:t>functional perspective.</w:t>
      </w:r>
      <w:r w:rsidR="00894261">
        <w:t>’</w:t>
      </w:r>
      <w:r w:rsidR="003A4726">
        <w:t xml:space="preserve"> </w:t>
      </w:r>
      <w:r>
        <w:t xml:space="preserve">Bennett </w:t>
      </w:r>
      <w:r w:rsidR="003A4726">
        <w:t xml:space="preserve">on the other hand </w:t>
      </w:r>
      <w:r>
        <w:t xml:space="preserve">tentatively </w:t>
      </w:r>
      <w:r w:rsidR="006F008C">
        <w:t>concludes that</w:t>
      </w:r>
      <w:r w:rsidR="00C03F69">
        <w:t xml:space="preserve"> though</w:t>
      </w:r>
      <w:r w:rsidR="006F008C">
        <w:t xml:space="preserve"> trends were discern</w:t>
      </w:r>
      <w:r w:rsidR="002E53EB">
        <w:t>i</w:t>
      </w:r>
      <w:r w:rsidR="006F008C">
        <w:t xml:space="preserve">ble in her study, </w:t>
      </w:r>
      <w:r w:rsidR="005E15A3">
        <w:t>her work only gives an impressionistic discussion of the question.</w:t>
      </w:r>
      <w:r w:rsidR="00C03F69">
        <w:t xml:space="preserve"> </w:t>
      </w:r>
      <w:r w:rsidR="00E051A4">
        <w:t>Nevertheless</w:t>
      </w:r>
      <w:r w:rsidR="002E53EB">
        <w:t>,</w:t>
      </w:r>
      <w:r w:rsidR="00E051A4">
        <w:t xml:space="preserve"> her qualitative approach</w:t>
      </w:r>
      <w:r w:rsidR="00C41734">
        <w:t xml:space="preserve"> enabled her to </w:t>
      </w:r>
      <w:r w:rsidR="0083548C">
        <w:t>buil</w:t>
      </w:r>
      <w:r w:rsidR="00C41734">
        <w:t>d</w:t>
      </w:r>
      <w:r w:rsidR="0083548C">
        <w:t xml:space="preserve"> up a rich picture of the beliefs of the </w:t>
      </w:r>
      <w:r w:rsidR="0083548C">
        <w:lastRenderedPageBreak/>
        <w:t>women she studied</w:t>
      </w:r>
      <w:r w:rsidR="009518FE">
        <w:t xml:space="preserve"> </w:t>
      </w:r>
      <w:r w:rsidR="006000BE">
        <w:t>in a particular histori</w:t>
      </w:r>
      <w:r w:rsidR="00546D2A">
        <w:t>c</w:t>
      </w:r>
      <w:r w:rsidR="006000BE">
        <w:t xml:space="preserve">al and social context, and </w:t>
      </w:r>
      <w:r w:rsidR="009518FE">
        <w:t>the</w:t>
      </w:r>
      <w:r w:rsidR="00354E1B">
        <w:t xml:space="preserve">refore resulted in </w:t>
      </w:r>
      <w:r w:rsidR="00540D15">
        <w:t>‘</w:t>
      </w:r>
      <w:r w:rsidR="00354E1B">
        <w:t>Verstehen</w:t>
      </w:r>
      <w:r w:rsidR="00540D15">
        <w:t>’</w:t>
      </w:r>
      <w:r w:rsidR="00546D2A">
        <w:t xml:space="preserve">, whereas Brink’s paper did not result in </w:t>
      </w:r>
      <w:r w:rsidR="007C07E4">
        <w:t xml:space="preserve">much </w:t>
      </w:r>
      <w:r w:rsidR="00546D2A">
        <w:t>‘understanding</w:t>
      </w:r>
      <w:r w:rsidR="006000BE">
        <w:t>.</w:t>
      </w:r>
      <w:r w:rsidR="00546D2A">
        <w:t>’</w:t>
      </w:r>
    </w:p>
    <w:p w14:paraId="3889D2F5" w14:textId="300D2B52" w:rsidR="00D4356B" w:rsidRDefault="007F7E6A">
      <w:r>
        <w:t>2</w:t>
      </w:r>
      <w:r w:rsidR="005279FE">
        <w:t>6</w:t>
      </w:r>
      <w:r w:rsidR="007921A3">
        <w:t xml:space="preserve">24 </w:t>
      </w:r>
      <w:r w:rsidR="00883879">
        <w:t>words</w:t>
      </w:r>
    </w:p>
    <w:p w14:paraId="536E40A6" w14:textId="77777777" w:rsidR="006C3840" w:rsidRDefault="006C3840">
      <w:pPr>
        <w:rPr>
          <w:i/>
          <w:iCs/>
        </w:rPr>
      </w:pPr>
    </w:p>
    <w:p w14:paraId="3C40E06D" w14:textId="77777777" w:rsidR="006C3840" w:rsidRDefault="006C3840">
      <w:pPr>
        <w:rPr>
          <w:i/>
          <w:iCs/>
        </w:rPr>
      </w:pPr>
    </w:p>
    <w:p w14:paraId="56792DA2" w14:textId="47B31531" w:rsidR="006F56B6" w:rsidRDefault="004F7FB1">
      <w:pPr>
        <w:rPr>
          <w:i/>
          <w:iCs/>
        </w:rPr>
      </w:pPr>
      <w:r>
        <w:rPr>
          <w:i/>
          <w:iCs/>
        </w:rPr>
        <w:t>Bibliography</w:t>
      </w:r>
    </w:p>
    <w:p w14:paraId="11D09A78" w14:textId="392A9655" w:rsidR="00621235" w:rsidRPr="00621235" w:rsidRDefault="00621235">
      <w:r>
        <w:t>Adl</w:t>
      </w:r>
      <w:r w:rsidR="002B2956">
        <w:t xml:space="preserve">er, P., Adler, P., </w:t>
      </w:r>
      <w:r w:rsidR="002B2956" w:rsidRPr="00FA6520">
        <w:rPr>
          <w:i/>
          <w:iCs/>
        </w:rPr>
        <w:t>Membership roles in field research</w:t>
      </w:r>
      <w:r w:rsidR="002B2956">
        <w:t>, (Newbury</w:t>
      </w:r>
      <w:r w:rsidR="00A51326">
        <w:t xml:space="preserve"> Park, CA: Sage, 1987).</w:t>
      </w:r>
    </w:p>
    <w:p w14:paraId="1F351F86" w14:textId="35834C22" w:rsidR="006C3840" w:rsidRDefault="006C3840">
      <w:r>
        <w:t>Bell</w:t>
      </w:r>
      <w:r w:rsidR="001E3B57">
        <w:t xml:space="preserve"> </w:t>
      </w:r>
      <w:r w:rsidR="000B6B48">
        <w:t>Judith</w:t>
      </w:r>
      <w:r w:rsidR="00B32B6E">
        <w:t>;</w:t>
      </w:r>
      <w:r>
        <w:t xml:space="preserve"> </w:t>
      </w:r>
      <w:r w:rsidR="000B6B48">
        <w:t xml:space="preserve">Waters </w:t>
      </w:r>
      <w:r>
        <w:t xml:space="preserve">Stephen, </w:t>
      </w:r>
      <w:r w:rsidRPr="00C07BCD">
        <w:rPr>
          <w:i/>
          <w:iCs/>
        </w:rPr>
        <w:t>Doing Your Research Project: A Guide For First-time Researchers</w:t>
      </w:r>
      <w:r>
        <w:t>, (McGraw Hill, 2018</w:t>
      </w:r>
      <w:r w:rsidR="000B6B48">
        <w:t>).</w:t>
      </w:r>
    </w:p>
    <w:p w14:paraId="4409A207" w14:textId="6E510CC2" w:rsidR="004A0FA3" w:rsidRPr="004A0FA3" w:rsidRDefault="004A0FA3">
      <w:r>
        <w:t>Bennett, Gillian, ‘</w:t>
      </w:r>
      <w:r w:rsidR="00F11BB2" w:rsidRPr="0033139E">
        <w:t xml:space="preserve">If I Knew You Were Coming, I'd Have Baked a Cake": The Folklore </w:t>
      </w:r>
      <w:r w:rsidR="0033139E" w:rsidRPr="0033139E">
        <w:t>O</w:t>
      </w:r>
      <w:r w:rsidR="00F11BB2" w:rsidRPr="0033139E">
        <w:t xml:space="preserve">f Foreknowledge </w:t>
      </w:r>
      <w:r w:rsidR="0033139E" w:rsidRPr="0033139E">
        <w:t>I</w:t>
      </w:r>
      <w:r w:rsidR="00F11BB2" w:rsidRPr="0033139E">
        <w:t xml:space="preserve">n </w:t>
      </w:r>
      <w:r w:rsidR="0033139E" w:rsidRPr="0033139E">
        <w:t>A</w:t>
      </w:r>
      <w:r w:rsidR="00F11BB2" w:rsidRPr="0033139E">
        <w:t xml:space="preserve"> Neighborhood Group</w:t>
      </w:r>
      <w:r w:rsidR="00F11BB2">
        <w:rPr>
          <w:i/>
          <w:iCs/>
        </w:rPr>
        <w:t>,</w:t>
      </w:r>
      <w:r w:rsidR="0033139E">
        <w:rPr>
          <w:i/>
          <w:iCs/>
        </w:rPr>
        <w:t>’</w:t>
      </w:r>
      <w:r w:rsidR="00F11BB2">
        <w:rPr>
          <w:i/>
          <w:iCs/>
        </w:rPr>
        <w:t xml:space="preserve"> in </w:t>
      </w:r>
      <w:r w:rsidR="00F11BB2">
        <w:t xml:space="preserve">Walker, B. </w:t>
      </w:r>
      <w:r w:rsidR="00F11BB2" w:rsidRPr="001618BE">
        <w:rPr>
          <w:i/>
          <w:iCs/>
        </w:rPr>
        <w:t>Out of the ordinary: Folklore and the supernatural</w:t>
      </w:r>
      <w:r w:rsidR="00F11BB2">
        <w:rPr>
          <w:i/>
          <w:iCs/>
        </w:rPr>
        <w:t>, (</w:t>
      </w:r>
      <w:r w:rsidR="00F11BB2">
        <w:t>Logan, Utah: Utah State University Press, 1995).</w:t>
      </w:r>
    </w:p>
    <w:p w14:paraId="65479F2A" w14:textId="3E13C8D0" w:rsidR="00C804CC" w:rsidRDefault="00C804CC">
      <w:r>
        <w:t>Brink,</w:t>
      </w:r>
      <w:r w:rsidR="00F85815">
        <w:t xml:space="preserve"> T.L.,</w:t>
      </w:r>
      <w:r>
        <w:t xml:space="preserve"> ‘Inconsistency of Belief among Roman Catholic Girls: Concerning Religion, Astrology, Reincarnation,’ </w:t>
      </w:r>
      <w:r w:rsidRPr="00E234C2">
        <w:rPr>
          <w:i/>
          <w:iCs/>
        </w:rPr>
        <w:t xml:space="preserve">Review of Religious Research </w:t>
      </w:r>
      <w:r>
        <w:t>, Vol. 20, No. 1 (Autumn, 1978), pp. 82-85</w:t>
      </w:r>
      <w:r w:rsidR="00397FA2">
        <w:t>.</w:t>
      </w:r>
    </w:p>
    <w:p w14:paraId="292C8505" w14:textId="2979B559" w:rsidR="00F85815" w:rsidRDefault="00F85815">
      <w:r>
        <w:t>Cresswell, James</w:t>
      </w:r>
      <w:r w:rsidR="00D20811">
        <w:t>,</w:t>
      </w:r>
      <w:r>
        <w:t xml:space="preserve"> </w:t>
      </w:r>
      <w:r w:rsidRPr="003A124F">
        <w:rPr>
          <w:i/>
          <w:iCs/>
        </w:rPr>
        <w:t>Qualitative Inquiry and Research Design: Choosing Among Five Approaches</w:t>
      </w:r>
      <w:r>
        <w:t>, (London: Sage, 2007).</w:t>
      </w:r>
    </w:p>
    <w:p w14:paraId="38527476" w14:textId="07574A5B" w:rsidR="00D20811" w:rsidRDefault="00D20811">
      <w:r>
        <w:t xml:space="preserve">Geertz, Clifford, </w:t>
      </w:r>
      <w:r w:rsidRPr="00181B4A">
        <w:rPr>
          <w:i/>
          <w:iCs/>
        </w:rPr>
        <w:t>The Interpretation Of Cultures</w:t>
      </w:r>
      <w:r>
        <w:t>, (New York: Basic Books).</w:t>
      </w:r>
    </w:p>
    <w:p w14:paraId="77C13A9D" w14:textId="090C7911" w:rsidR="004A0FA3" w:rsidRPr="004A0FA3" w:rsidRDefault="004A0FA3">
      <w:r>
        <w:t>Haynes</w:t>
      </w:r>
      <w:r w:rsidR="00B32B6E">
        <w:t>,</w:t>
      </w:r>
      <w:r>
        <w:t xml:space="preserve"> Kathryn, ‘Reflexivity in Qualitative Research’ in ‘</w:t>
      </w:r>
      <w:r w:rsidRPr="00F5714B">
        <w:rPr>
          <w:i/>
          <w:iCs/>
        </w:rPr>
        <w:t>Qualitative Organizational Research: Core Methods And Current Challenges,</w:t>
      </w:r>
      <w:r>
        <w:t xml:space="preserve"> edited by Gillian Symon, Catherine Cassell (London: Sage Publications, 2012), pp. 72 – 89.</w:t>
      </w:r>
    </w:p>
    <w:p w14:paraId="24E3031B" w14:textId="5AD68313" w:rsidR="004F7FB1" w:rsidRDefault="004F7FB1">
      <w:r>
        <w:t>Hennick</w:t>
      </w:r>
      <w:r w:rsidR="004B5FD0">
        <w:t xml:space="preserve">, </w:t>
      </w:r>
      <w:r w:rsidR="004E034C">
        <w:t>Monique</w:t>
      </w:r>
      <w:r w:rsidR="004B5FD0">
        <w:t>;</w:t>
      </w:r>
      <w:r>
        <w:t xml:space="preserve"> Hutter,</w:t>
      </w:r>
      <w:r w:rsidR="004B5FD0">
        <w:t xml:space="preserve"> </w:t>
      </w:r>
      <w:r w:rsidR="00B32B6E">
        <w:t xml:space="preserve">Inge; </w:t>
      </w:r>
      <w:r>
        <w:t xml:space="preserve"> Bailey</w:t>
      </w:r>
      <w:r w:rsidR="00B32B6E">
        <w:t>,</w:t>
      </w:r>
      <w:r w:rsidR="004E034C">
        <w:t xml:space="preserve"> Ajay</w:t>
      </w:r>
      <w:r>
        <w:t xml:space="preserve">, </w:t>
      </w:r>
      <w:r w:rsidRPr="00BD7E0D">
        <w:rPr>
          <w:i/>
          <w:iCs/>
        </w:rPr>
        <w:t>Qualitative Research Methods</w:t>
      </w:r>
      <w:r>
        <w:t>, (London: Sage Publications Ltd, 2020)</w:t>
      </w:r>
      <w:r w:rsidR="00C07207">
        <w:t>.</w:t>
      </w:r>
    </w:p>
    <w:p w14:paraId="0A8CCC49" w14:textId="3E8D23F1" w:rsidR="004A0FA3" w:rsidRDefault="004A0FA3">
      <w:r>
        <w:t>Hufford</w:t>
      </w:r>
      <w:r w:rsidR="00B32B6E">
        <w:t>,</w:t>
      </w:r>
      <w:r>
        <w:t xml:space="preserve"> David, ‘The Scholarly Voice and the Personal Voice: Reflexivity in Belief Studies,’ </w:t>
      </w:r>
      <w:r w:rsidR="00F5714B">
        <w:t xml:space="preserve">Vol. </w:t>
      </w:r>
      <w:r>
        <w:t>20, No. 1 (Autumn, 1978)</w:t>
      </w:r>
      <w:r w:rsidR="00621235">
        <w:t>.</w:t>
      </w:r>
    </w:p>
    <w:p w14:paraId="25D50300" w14:textId="2ED4F161" w:rsidR="00EB1D7D" w:rsidRPr="00F9344B" w:rsidRDefault="00EB1D7D">
      <w:pPr>
        <w:rPr>
          <w:i/>
          <w:iCs/>
        </w:rPr>
      </w:pPr>
      <w:r>
        <w:t>Moran</w:t>
      </w:r>
      <w:r w:rsidR="00B32B6E">
        <w:t>,</w:t>
      </w:r>
      <w:r w:rsidR="004E034C">
        <w:t xml:space="preserve"> Dermot</w:t>
      </w:r>
      <w:r>
        <w:t xml:space="preserve"> and Mooney</w:t>
      </w:r>
      <w:r w:rsidR="00B32B6E">
        <w:t>,</w:t>
      </w:r>
      <w:r w:rsidR="00D5557B">
        <w:t xml:space="preserve"> Tim</w:t>
      </w:r>
      <w:r>
        <w:t xml:space="preserve">, </w:t>
      </w:r>
      <w:r w:rsidRPr="00ED73D2">
        <w:rPr>
          <w:i/>
          <w:iCs/>
        </w:rPr>
        <w:t>The Phenomenology Reader</w:t>
      </w:r>
      <w:r>
        <w:t>, (Routledge, 2002)</w:t>
      </w:r>
      <w:r w:rsidR="000242CF">
        <w:t>.</w:t>
      </w:r>
    </w:p>
    <w:p w14:paraId="63A0057A" w14:textId="1490002F" w:rsidR="001F17E8" w:rsidRDefault="00B17BA3">
      <w:r>
        <w:t>York, Michael, ‘</w:t>
      </w:r>
      <w:r w:rsidR="001F17E8">
        <w:t>Insider/Outsider Methodological Problems with the Study of Astrology</w:t>
      </w:r>
      <w:r>
        <w:t>,’</w:t>
      </w:r>
      <w:r w:rsidR="001F17E8">
        <w:t xml:space="preserve"> Bath Spa University College</w:t>
      </w:r>
      <w:r w:rsidR="005D58B6">
        <w:t>,</w:t>
      </w:r>
      <w:r w:rsidR="001F17E8">
        <w:t xml:space="preserve"> British Association for the Study of Religion 50th Anniversary Conference, Oxford (13-16 September 2004).</w:t>
      </w:r>
    </w:p>
    <w:p w14:paraId="09BF4357" w14:textId="77777777" w:rsidR="00D150F5" w:rsidRDefault="00D150F5"/>
    <w:p w14:paraId="08A70E62" w14:textId="77777777" w:rsidR="001739B9" w:rsidRDefault="001739B9"/>
    <w:sectPr w:rsidR="001739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E2C08D" w14:textId="77777777" w:rsidR="00BA0648" w:rsidRDefault="00BA0648" w:rsidP="00753D33">
      <w:pPr>
        <w:spacing w:after="0" w:line="240" w:lineRule="auto"/>
      </w:pPr>
      <w:r>
        <w:separator/>
      </w:r>
    </w:p>
  </w:endnote>
  <w:endnote w:type="continuationSeparator" w:id="0">
    <w:p w14:paraId="76B72361" w14:textId="77777777" w:rsidR="00BA0648" w:rsidRDefault="00BA0648" w:rsidP="00753D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C19F5F" w14:textId="77777777" w:rsidR="00BA0648" w:rsidRDefault="00BA0648" w:rsidP="00753D33">
      <w:pPr>
        <w:spacing w:after="0" w:line="240" w:lineRule="auto"/>
      </w:pPr>
      <w:r>
        <w:separator/>
      </w:r>
    </w:p>
  </w:footnote>
  <w:footnote w:type="continuationSeparator" w:id="0">
    <w:p w14:paraId="6487D271" w14:textId="77777777" w:rsidR="00BA0648" w:rsidRDefault="00BA0648" w:rsidP="00753D33">
      <w:pPr>
        <w:spacing w:after="0" w:line="240" w:lineRule="auto"/>
      </w:pPr>
      <w:r>
        <w:continuationSeparator/>
      </w:r>
    </w:p>
  </w:footnote>
  <w:footnote w:id="1">
    <w:p w14:paraId="2A23DCAA" w14:textId="10C58D60" w:rsidR="00753D33" w:rsidRDefault="00753D3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F6B59">
        <w:t>Monique</w:t>
      </w:r>
      <w:r w:rsidR="00C823AC">
        <w:t xml:space="preserve"> </w:t>
      </w:r>
      <w:r>
        <w:t>Hennick</w:t>
      </w:r>
      <w:r w:rsidR="00C823AC">
        <w:t xml:space="preserve">, Inge Hutter, Ajay Bailey, </w:t>
      </w:r>
      <w:r w:rsidR="00C823AC" w:rsidRPr="00BD7E0D">
        <w:rPr>
          <w:i/>
          <w:iCs/>
        </w:rPr>
        <w:t>Qualitative Research Methods</w:t>
      </w:r>
      <w:r w:rsidR="00606403">
        <w:t xml:space="preserve">, (London: </w:t>
      </w:r>
      <w:r w:rsidR="009B7C9B">
        <w:t xml:space="preserve">Sage Publications Ltd, </w:t>
      </w:r>
      <w:r w:rsidR="00BD7E0D">
        <w:t>2020),</w:t>
      </w:r>
      <w:r>
        <w:t xml:space="preserve"> p. 10</w:t>
      </w:r>
      <w:r w:rsidR="00BD7E0D">
        <w:t>.</w:t>
      </w:r>
    </w:p>
  </w:footnote>
  <w:footnote w:id="2">
    <w:p w14:paraId="1079F3FC" w14:textId="1D0B5CE2" w:rsidR="00E7202F" w:rsidRDefault="00E7202F">
      <w:pPr>
        <w:pStyle w:val="FootnoteText"/>
      </w:pPr>
      <w:r>
        <w:rPr>
          <w:rStyle w:val="FootnoteReference"/>
        </w:rPr>
        <w:footnoteRef/>
      </w:r>
      <w:r>
        <w:t xml:space="preserve"> Hennick,</w:t>
      </w:r>
      <w:r w:rsidR="00CB2466">
        <w:t xml:space="preserve"> Hutter a</w:t>
      </w:r>
      <w:r w:rsidR="00FE39EF">
        <w:t>nd Bailey,</w:t>
      </w:r>
      <w:r>
        <w:t xml:space="preserve"> p. 6</w:t>
      </w:r>
    </w:p>
  </w:footnote>
  <w:footnote w:id="3">
    <w:p w14:paraId="20651CF8" w14:textId="17EBC4DF" w:rsidR="00B13E00" w:rsidRDefault="00B13E0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27C87">
        <w:t>D</w:t>
      </w:r>
      <w:r w:rsidR="005C590E">
        <w:t>ermot</w:t>
      </w:r>
      <w:r w:rsidR="00A27C87">
        <w:t xml:space="preserve"> Moran and T</w:t>
      </w:r>
      <w:r w:rsidR="005C590E">
        <w:t>im</w:t>
      </w:r>
      <w:r w:rsidR="00A27C87">
        <w:t xml:space="preserve"> Moo</w:t>
      </w:r>
      <w:r w:rsidR="00D07BCF">
        <w:t xml:space="preserve">ney, </w:t>
      </w:r>
      <w:r w:rsidR="00D07BCF" w:rsidRPr="00ED73D2">
        <w:rPr>
          <w:i/>
          <w:iCs/>
        </w:rPr>
        <w:t xml:space="preserve">The </w:t>
      </w:r>
      <w:r w:rsidR="00114A07" w:rsidRPr="00ED73D2">
        <w:rPr>
          <w:i/>
          <w:iCs/>
        </w:rPr>
        <w:t>Phenomenology Reader</w:t>
      </w:r>
      <w:r w:rsidR="00114A07">
        <w:t xml:space="preserve">, </w:t>
      </w:r>
      <w:r w:rsidR="000C0FA6">
        <w:t>(</w:t>
      </w:r>
      <w:r w:rsidR="00114A07">
        <w:t>Routledge,</w:t>
      </w:r>
      <w:r w:rsidR="005C590E">
        <w:t xml:space="preserve"> 2002)</w:t>
      </w:r>
      <w:r w:rsidR="00A92C17">
        <w:t>,</w:t>
      </w:r>
      <w:r w:rsidR="00114A07">
        <w:t xml:space="preserve"> </w:t>
      </w:r>
      <w:r w:rsidR="00ED73D2">
        <w:t>p. 1.</w:t>
      </w:r>
    </w:p>
  </w:footnote>
  <w:footnote w:id="4">
    <w:p w14:paraId="6EA7D280" w14:textId="4BE50491" w:rsidR="004021AC" w:rsidRDefault="004021AC" w:rsidP="00C21324">
      <w:r>
        <w:rPr>
          <w:rStyle w:val="FootnoteReference"/>
        </w:rPr>
        <w:footnoteRef/>
      </w:r>
      <w:r>
        <w:t xml:space="preserve"> </w:t>
      </w:r>
      <w:r w:rsidR="00C21324">
        <w:t xml:space="preserve">Kathryn Haynes ‘Reflexivity in Qualitative Research’, </w:t>
      </w:r>
      <w:r w:rsidR="005A5EA9">
        <w:t>in ‘</w:t>
      </w:r>
      <w:r w:rsidR="005A5EA9" w:rsidRPr="00F5714B">
        <w:rPr>
          <w:i/>
          <w:iCs/>
        </w:rPr>
        <w:t>Qualitative Organizational Research: Core Methods And Current Challenges,</w:t>
      </w:r>
      <w:r w:rsidR="005A5EA9">
        <w:t xml:space="preserve"> edited by Gillian Symon</w:t>
      </w:r>
      <w:r w:rsidR="00A92C17">
        <w:t xml:space="preserve"> and </w:t>
      </w:r>
      <w:r w:rsidR="005A5EA9">
        <w:t>Catherine Cassell (London: Sage Publications, 2012), p</w:t>
      </w:r>
      <w:r w:rsidR="00B424FA">
        <w:t xml:space="preserve"> 72.</w:t>
      </w:r>
    </w:p>
  </w:footnote>
  <w:footnote w:id="5">
    <w:p w14:paraId="2DE8A779" w14:textId="77777777" w:rsidR="00E02694" w:rsidRDefault="00E02694" w:rsidP="00E02694">
      <w:r>
        <w:rPr>
          <w:rStyle w:val="FootnoteReference"/>
        </w:rPr>
        <w:footnoteRef/>
      </w:r>
      <w:r>
        <w:t xml:space="preserve"> Michael York, ‘Insider/Outsider Methodological Problems with the Study of Astrology’, Bath Spa University College British Association for the Study of Religion 50th Anniversary Conference, (Oxford,13-16 September, 2004), p. 13.</w:t>
      </w:r>
    </w:p>
    <w:p w14:paraId="0003B89C" w14:textId="516DA61F" w:rsidR="00E02694" w:rsidRDefault="00E02694">
      <w:pPr>
        <w:pStyle w:val="FootnoteText"/>
      </w:pPr>
    </w:p>
  </w:footnote>
  <w:footnote w:id="6">
    <w:p w14:paraId="07B58807" w14:textId="48C2E066" w:rsidR="009106A4" w:rsidRDefault="009106A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816D2" w:rsidRPr="00482388">
        <w:rPr>
          <w:rFonts w:ascii="Arial" w:hAnsi="Arial" w:cs="Arial"/>
          <w:color w:val="202122"/>
          <w:shd w:val="clear" w:color="auto" w:fill="FFFFFF"/>
        </w:rPr>
        <w:t>Wikipedia contributors, 'Gillian Bennett', </w:t>
      </w:r>
      <w:r w:rsidR="009816D2" w:rsidRPr="00482388">
        <w:rPr>
          <w:rFonts w:ascii="Arial" w:hAnsi="Arial" w:cs="Arial"/>
          <w:i/>
          <w:iCs/>
          <w:color w:val="202122"/>
          <w:shd w:val="clear" w:color="auto" w:fill="FFFFFF"/>
        </w:rPr>
        <w:t>Wikipedia, The Free Encyclopedia,</w:t>
      </w:r>
      <w:r w:rsidR="009816D2" w:rsidRPr="00482388">
        <w:rPr>
          <w:rFonts w:ascii="Arial" w:hAnsi="Arial" w:cs="Arial"/>
          <w:color w:val="202122"/>
          <w:shd w:val="clear" w:color="auto" w:fill="FFFFFF"/>
        </w:rPr>
        <w:t xml:space="preserve"> &lt;</w:t>
      </w:r>
      <w:hyperlink r:id="rId1" w:history="1">
        <w:r w:rsidR="009816D2" w:rsidRPr="00482388">
          <w:rPr>
            <w:rStyle w:val="Hyperlink"/>
            <w:rFonts w:ascii="Arial" w:hAnsi="Arial" w:cs="Arial"/>
            <w:color w:val="3366CC"/>
            <w:shd w:val="clear" w:color="auto" w:fill="FFFFFF"/>
          </w:rPr>
          <w:t>https://en.wikipedia.org/w/index.php?title=Gillian_Bennett&amp;oldid=1194466107</w:t>
        </w:r>
      </w:hyperlink>
      <w:r w:rsidR="009816D2" w:rsidRPr="00482388">
        <w:rPr>
          <w:rFonts w:ascii="Arial" w:hAnsi="Arial" w:cs="Arial"/>
          <w:color w:val="202122"/>
          <w:shd w:val="clear" w:color="auto" w:fill="FFFFFF"/>
        </w:rPr>
        <w:t xml:space="preserve">&gt; [accessed 15 </w:t>
      </w:r>
      <w:r w:rsidR="00C84D74" w:rsidRPr="00482388">
        <w:rPr>
          <w:rFonts w:ascii="Arial" w:hAnsi="Arial" w:cs="Arial"/>
          <w:color w:val="202122"/>
          <w:shd w:val="clear" w:color="auto" w:fill="FFFFFF"/>
        </w:rPr>
        <w:t>February</w:t>
      </w:r>
      <w:r w:rsidR="009816D2" w:rsidRPr="00482388">
        <w:rPr>
          <w:rFonts w:ascii="Arial" w:hAnsi="Arial" w:cs="Arial"/>
          <w:color w:val="202122"/>
          <w:shd w:val="clear" w:color="auto" w:fill="FFFFFF"/>
        </w:rPr>
        <w:t xml:space="preserve"> 2024]</w:t>
      </w:r>
      <w:r w:rsidR="00C84D74" w:rsidRPr="00482388">
        <w:rPr>
          <w:rFonts w:ascii="Arial" w:hAnsi="Arial" w:cs="Arial"/>
          <w:color w:val="202122"/>
          <w:shd w:val="clear" w:color="auto" w:fill="FFFFFF"/>
        </w:rPr>
        <w:t>.</w:t>
      </w:r>
      <w:r w:rsidR="009816D2">
        <w:t xml:space="preserve">     </w:t>
      </w:r>
    </w:p>
  </w:footnote>
  <w:footnote w:id="7">
    <w:p w14:paraId="14568365" w14:textId="4C50C862" w:rsidR="005C1613" w:rsidRDefault="005C161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27BFD">
        <w:t xml:space="preserve">   </w:t>
      </w:r>
      <w:r w:rsidR="00D512AB">
        <w:t xml:space="preserve">Selected Works </w:t>
      </w:r>
      <w:r w:rsidR="008A581C">
        <w:t>O</w:t>
      </w:r>
      <w:r w:rsidR="00D512AB">
        <w:t xml:space="preserve">f T L Brink, </w:t>
      </w:r>
      <w:r w:rsidR="00AE693C">
        <w:t>&lt;</w:t>
      </w:r>
      <w:hyperlink r:id="rId2" w:history="1">
        <w:r w:rsidR="00527BFD">
          <w:rPr>
            <w:rStyle w:val="Hyperlink"/>
          </w:rPr>
          <w:t>SelectedWorks - T. L. Brink (bepress.com)</w:t>
        </w:r>
      </w:hyperlink>
      <w:r w:rsidR="00AE693C">
        <w:t>&gt; [accessed 2.2.2024]</w:t>
      </w:r>
    </w:p>
  </w:footnote>
  <w:footnote w:id="8">
    <w:p w14:paraId="7C93F4A6" w14:textId="60C4D977" w:rsidR="006C1D44" w:rsidRDefault="006C1D4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E1937">
        <w:t xml:space="preserve">Barbara Walker, </w:t>
      </w:r>
      <w:r w:rsidR="00AE1937" w:rsidRPr="001618BE">
        <w:rPr>
          <w:i/>
          <w:iCs/>
        </w:rPr>
        <w:t xml:space="preserve">Out </w:t>
      </w:r>
      <w:r w:rsidR="007C2920">
        <w:rPr>
          <w:i/>
          <w:iCs/>
        </w:rPr>
        <w:t>O</w:t>
      </w:r>
      <w:r w:rsidR="00AE1937" w:rsidRPr="001618BE">
        <w:rPr>
          <w:i/>
          <w:iCs/>
        </w:rPr>
        <w:t xml:space="preserve">f </w:t>
      </w:r>
      <w:r w:rsidR="007C2920">
        <w:rPr>
          <w:i/>
          <w:iCs/>
        </w:rPr>
        <w:t>T</w:t>
      </w:r>
      <w:r w:rsidR="00AE1937" w:rsidRPr="001618BE">
        <w:rPr>
          <w:i/>
          <w:iCs/>
        </w:rPr>
        <w:t xml:space="preserve">he </w:t>
      </w:r>
      <w:r w:rsidR="007C2920">
        <w:rPr>
          <w:i/>
          <w:iCs/>
        </w:rPr>
        <w:t>O</w:t>
      </w:r>
      <w:r w:rsidR="00AE1937" w:rsidRPr="001618BE">
        <w:rPr>
          <w:i/>
          <w:iCs/>
        </w:rPr>
        <w:t xml:space="preserve">rdinary: Folklore </w:t>
      </w:r>
      <w:r w:rsidR="007C2920">
        <w:rPr>
          <w:i/>
          <w:iCs/>
        </w:rPr>
        <w:t>A</w:t>
      </w:r>
      <w:r w:rsidR="00AE1937" w:rsidRPr="001618BE">
        <w:rPr>
          <w:i/>
          <w:iCs/>
        </w:rPr>
        <w:t xml:space="preserve">nd </w:t>
      </w:r>
      <w:r w:rsidR="007C2920">
        <w:rPr>
          <w:i/>
          <w:iCs/>
        </w:rPr>
        <w:t>T</w:t>
      </w:r>
      <w:r w:rsidR="00AE1937" w:rsidRPr="001618BE">
        <w:rPr>
          <w:i/>
          <w:iCs/>
        </w:rPr>
        <w:t xml:space="preserve">he </w:t>
      </w:r>
      <w:r w:rsidR="007C2920">
        <w:rPr>
          <w:i/>
          <w:iCs/>
        </w:rPr>
        <w:t>S</w:t>
      </w:r>
      <w:r w:rsidR="00AE1937" w:rsidRPr="001618BE">
        <w:rPr>
          <w:i/>
          <w:iCs/>
        </w:rPr>
        <w:t>upernatural</w:t>
      </w:r>
      <w:r w:rsidR="00AE1937">
        <w:rPr>
          <w:i/>
          <w:iCs/>
        </w:rPr>
        <w:t>, (</w:t>
      </w:r>
      <w:r w:rsidR="00AE1937">
        <w:t>Logan, Utah: Utah State University Press, 1995)</w:t>
      </w:r>
      <w:r>
        <w:t>, p. ix</w:t>
      </w:r>
      <w:r w:rsidR="00885B7C">
        <w:t>.</w:t>
      </w:r>
    </w:p>
  </w:footnote>
  <w:footnote w:id="9">
    <w:p w14:paraId="07068EF1" w14:textId="6E9A8468" w:rsidR="006B2D8B" w:rsidRDefault="006B2D8B">
      <w:pPr>
        <w:pStyle w:val="FootnoteText"/>
      </w:pPr>
      <w:r>
        <w:rPr>
          <w:rStyle w:val="FootnoteReference"/>
        </w:rPr>
        <w:footnoteRef/>
      </w:r>
      <w:r>
        <w:t xml:space="preserve"> James Cresswell, </w:t>
      </w:r>
      <w:r w:rsidR="00ED696B" w:rsidRPr="00CC7A53">
        <w:rPr>
          <w:i/>
          <w:iCs/>
        </w:rPr>
        <w:t xml:space="preserve">Qualitative Inquiry </w:t>
      </w:r>
      <w:r w:rsidR="002B20C3" w:rsidRPr="00CC7A53">
        <w:rPr>
          <w:i/>
          <w:iCs/>
        </w:rPr>
        <w:t>A</w:t>
      </w:r>
      <w:r w:rsidR="00ED696B" w:rsidRPr="00CC7A53">
        <w:rPr>
          <w:i/>
          <w:iCs/>
        </w:rPr>
        <w:t>nd Research Design: Choosing Among Five Approaches</w:t>
      </w:r>
      <w:r w:rsidR="00CC7A53">
        <w:t>, (</w:t>
      </w:r>
      <w:r w:rsidR="00ED696B">
        <w:t>London: Sage</w:t>
      </w:r>
      <w:r w:rsidR="002B09BD">
        <w:t>, 2007)</w:t>
      </w:r>
      <w:r w:rsidR="00FE226C">
        <w:t xml:space="preserve">, </w:t>
      </w:r>
      <w:r w:rsidR="005F36F8">
        <w:t>p.17.</w:t>
      </w:r>
    </w:p>
  </w:footnote>
  <w:footnote w:id="10">
    <w:p w14:paraId="369AF56A" w14:textId="20470CDA" w:rsidR="00AD4DC6" w:rsidRDefault="00AD4DC6">
      <w:pPr>
        <w:pStyle w:val="FootnoteText"/>
      </w:pPr>
      <w:r>
        <w:rPr>
          <w:rStyle w:val="FootnoteReference"/>
        </w:rPr>
        <w:footnoteRef/>
      </w:r>
      <w:r>
        <w:t xml:space="preserve"> Judith Bell, </w:t>
      </w:r>
      <w:r w:rsidR="009661F8">
        <w:t xml:space="preserve">Stephen Waters, </w:t>
      </w:r>
      <w:r w:rsidR="002B20C3" w:rsidRPr="00C07BCD">
        <w:rPr>
          <w:i/>
          <w:iCs/>
        </w:rPr>
        <w:t>Doing Your Research Project: A</w:t>
      </w:r>
      <w:r w:rsidR="005D0B59" w:rsidRPr="00C07BCD">
        <w:rPr>
          <w:i/>
          <w:iCs/>
        </w:rPr>
        <w:t xml:space="preserve"> Guide For First-time Researchers</w:t>
      </w:r>
      <w:r w:rsidR="005D0B59">
        <w:t>,</w:t>
      </w:r>
      <w:r w:rsidR="002B20C3">
        <w:t xml:space="preserve"> </w:t>
      </w:r>
      <w:r w:rsidR="00A1092B">
        <w:t xml:space="preserve">(McGraw Hill, </w:t>
      </w:r>
      <w:r w:rsidR="00CC7A53">
        <w:t xml:space="preserve">2018) </w:t>
      </w:r>
      <w:r w:rsidR="00566D5E">
        <w:t>p. 34</w:t>
      </w:r>
      <w:r w:rsidR="00885B7C">
        <w:t>.</w:t>
      </w:r>
    </w:p>
  </w:footnote>
  <w:footnote w:id="11">
    <w:p w14:paraId="6B115714" w14:textId="692D2F26" w:rsidR="00A82A5C" w:rsidRDefault="00A82A5C">
      <w:pPr>
        <w:pStyle w:val="FootnoteText"/>
      </w:pPr>
      <w:r>
        <w:rPr>
          <w:rStyle w:val="FootnoteReference"/>
        </w:rPr>
        <w:footnoteRef/>
      </w:r>
      <w:r>
        <w:t xml:space="preserve"> Hennink, Hutter and Bailey, p. </w:t>
      </w:r>
      <w:r w:rsidR="00FB048A">
        <w:t>6.</w:t>
      </w:r>
    </w:p>
  </w:footnote>
  <w:footnote w:id="12">
    <w:p w14:paraId="60B6CD47" w14:textId="2F5BCE72" w:rsidR="00F87468" w:rsidRDefault="00F8746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76EAE">
        <w:t xml:space="preserve">Judith </w:t>
      </w:r>
      <w:r>
        <w:t>Bell, p. 33</w:t>
      </w:r>
      <w:r w:rsidR="00885B7C">
        <w:t>.</w:t>
      </w:r>
    </w:p>
  </w:footnote>
  <w:footnote w:id="13">
    <w:p w14:paraId="0AA172E2" w14:textId="1855B903" w:rsidR="00976D2B" w:rsidRDefault="00976D2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228B1">
        <w:t xml:space="preserve">Clifford Geertz, </w:t>
      </w:r>
      <w:r w:rsidR="002C3BE3" w:rsidRPr="00181B4A">
        <w:rPr>
          <w:i/>
          <w:iCs/>
        </w:rPr>
        <w:t>The Interpretation Of Cultures</w:t>
      </w:r>
      <w:r w:rsidR="002C3BE3">
        <w:t>, (New York: Basic Books</w:t>
      </w:r>
      <w:r w:rsidR="00181B4A">
        <w:t>), p. 10.</w:t>
      </w:r>
    </w:p>
  </w:footnote>
  <w:footnote w:id="14">
    <w:p w14:paraId="3980ADB8" w14:textId="134D679C" w:rsidR="00C21E1F" w:rsidRDefault="00C21E1F">
      <w:pPr>
        <w:pStyle w:val="FootnoteText"/>
      </w:pPr>
      <w:r>
        <w:rPr>
          <w:rStyle w:val="FootnoteReference"/>
        </w:rPr>
        <w:footnoteRef/>
      </w:r>
      <w:r>
        <w:t xml:space="preserve"> Henni</w:t>
      </w:r>
      <w:r w:rsidR="006E356A">
        <w:t>nk, Hutter and Bailey, p. 11</w:t>
      </w:r>
      <w:r w:rsidR="00D02719">
        <w:t>.</w:t>
      </w:r>
    </w:p>
  </w:footnote>
  <w:footnote w:id="15">
    <w:p w14:paraId="1D2F3243" w14:textId="255C4E57" w:rsidR="00C15DC9" w:rsidRDefault="00C15DC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85B7C">
        <w:t>Henni</w:t>
      </w:r>
      <w:r w:rsidR="006E356A">
        <w:t>n</w:t>
      </w:r>
      <w:r w:rsidR="00885B7C">
        <w:t>k, Hutter and Bailey, p. 18.</w:t>
      </w:r>
    </w:p>
  </w:footnote>
  <w:footnote w:id="16">
    <w:p w14:paraId="47F50A38" w14:textId="1B8C7B07" w:rsidR="008F66CD" w:rsidRDefault="008F66C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76EAE">
        <w:t xml:space="preserve">Judith </w:t>
      </w:r>
      <w:r>
        <w:t>Bell, p. 29</w:t>
      </w:r>
      <w:r w:rsidR="00D02719">
        <w:t>.</w:t>
      </w:r>
    </w:p>
  </w:footnote>
  <w:footnote w:id="17">
    <w:p w14:paraId="1D88C291" w14:textId="6F5A1C45" w:rsidR="00D733AD" w:rsidRDefault="00D733A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D19F9">
        <w:t>Henni</w:t>
      </w:r>
      <w:r w:rsidR="009B45C9">
        <w:t>n</w:t>
      </w:r>
      <w:r w:rsidR="00AD19F9">
        <w:t>k, Hutter and Bailey, p. 15.</w:t>
      </w:r>
    </w:p>
  </w:footnote>
  <w:footnote w:id="18">
    <w:p w14:paraId="4BC8B405" w14:textId="77588D96" w:rsidR="006839E5" w:rsidRDefault="006839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76EAE">
        <w:t xml:space="preserve">Judith </w:t>
      </w:r>
      <w:r>
        <w:t xml:space="preserve">Bell, </w:t>
      </w:r>
      <w:r w:rsidR="00911D48">
        <w:t>p. 28</w:t>
      </w:r>
      <w:r w:rsidR="00D02719">
        <w:t>.</w:t>
      </w:r>
    </w:p>
  </w:footnote>
  <w:footnote w:id="19">
    <w:p w14:paraId="7A0C43F8" w14:textId="40E7F9A2" w:rsidR="009A2E19" w:rsidRDefault="009A2E1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7103">
        <w:t>Henni</w:t>
      </w:r>
      <w:r w:rsidR="009B45C9">
        <w:t>n</w:t>
      </w:r>
      <w:r w:rsidR="00407103">
        <w:t>k, Hutter and Bailey</w:t>
      </w:r>
      <w:r w:rsidR="00B342E8">
        <w:t xml:space="preserve"> </w:t>
      </w:r>
      <w:r>
        <w:t>p. 14 – 15.</w:t>
      </w:r>
    </w:p>
  </w:footnote>
  <w:footnote w:id="20">
    <w:p w14:paraId="4F37AD29" w14:textId="02F0031A" w:rsidR="001D244C" w:rsidRDefault="001D244C">
      <w:pPr>
        <w:pStyle w:val="FootnoteText"/>
      </w:pPr>
      <w:r>
        <w:rPr>
          <w:rStyle w:val="FootnoteReference"/>
        </w:rPr>
        <w:footnoteRef/>
      </w:r>
      <w:r>
        <w:t xml:space="preserve"> Bell, p. 29</w:t>
      </w:r>
      <w:r w:rsidR="008E317E">
        <w:t>.</w:t>
      </w:r>
    </w:p>
  </w:footnote>
  <w:footnote w:id="21">
    <w:p w14:paraId="31762DAA" w14:textId="545947B1" w:rsidR="002A7F17" w:rsidRDefault="002A7F17">
      <w:pPr>
        <w:pStyle w:val="FootnoteText"/>
      </w:pPr>
      <w:r>
        <w:rPr>
          <w:rStyle w:val="FootnoteReference"/>
        </w:rPr>
        <w:footnoteRef/>
      </w:r>
      <w:r>
        <w:t xml:space="preserve"> Henni</w:t>
      </w:r>
      <w:r w:rsidR="009B45C9">
        <w:t>nk, Hutter and Bailey, p. 5.</w:t>
      </w:r>
    </w:p>
  </w:footnote>
  <w:footnote w:id="22">
    <w:p w14:paraId="684A722E" w14:textId="081C281F" w:rsidR="000A7ABE" w:rsidRDefault="000A7AB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81A53">
        <w:t xml:space="preserve">T.L. Brink, ‘Inconsistency of Belief among Roman Catholic Girls: Concerning Religion, Astrology, Reincarnation,’ </w:t>
      </w:r>
      <w:r w:rsidR="00781A53" w:rsidRPr="00E234C2">
        <w:rPr>
          <w:i/>
          <w:iCs/>
        </w:rPr>
        <w:t xml:space="preserve">Review of Religious Research </w:t>
      </w:r>
      <w:r w:rsidR="00781A53">
        <w:t xml:space="preserve">, Vol. 20, No. 1 (Autumn, 1978), pp. 82-85, </w:t>
      </w:r>
      <w:r w:rsidR="00B378D5">
        <w:t>(</w:t>
      </w:r>
      <w:r w:rsidR="00665058">
        <w:t xml:space="preserve">p. 85) </w:t>
      </w:r>
      <w:r w:rsidR="008E17FB">
        <w:t>&lt;</w:t>
      </w:r>
      <w:hyperlink r:id="rId3" w:history="1">
        <w:r w:rsidR="008E17FB" w:rsidRPr="00976F48">
          <w:rPr>
            <w:rStyle w:val="Hyperlink"/>
          </w:rPr>
          <w:t>https://www.jstor.org/stable/3509943</w:t>
        </w:r>
      </w:hyperlink>
      <w:r w:rsidR="008E17FB">
        <w:t xml:space="preserve">&gt; [Accessed </w:t>
      </w:r>
      <w:r w:rsidR="00A04C32">
        <w:t>3.2.2024]</w:t>
      </w:r>
      <w:r w:rsidR="00665058">
        <w:t>.</w:t>
      </w:r>
    </w:p>
  </w:footnote>
  <w:footnote w:id="23">
    <w:p w14:paraId="16DC171B" w14:textId="4CB3A0DC" w:rsidR="00A562F7" w:rsidRDefault="00A562F7">
      <w:pPr>
        <w:pStyle w:val="FootnoteText"/>
      </w:pPr>
      <w:r>
        <w:rPr>
          <w:rStyle w:val="FootnoteReference"/>
        </w:rPr>
        <w:footnoteRef/>
      </w:r>
      <w:r>
        <w:t xml:space="preserve"> Bennett, p. 127</w:t>
      </w:r>
      <w:r w:rsidR="008E317E">
        <w:t>.</w:t>
      </w:r>
    </w:p>
  </w:footnote>
  <w:footnote w:id="24">
    <w:p w14:paraId="1AC67AAA" w14:textId="222EFC68" w:rsidR="00516C32" w:rsidRDefault="00516C32">
      <w:pPr>
        <w:pStyle w:val="FootnoteText"/>
      </w:pPr>
      <w:r>
        <w:rPr>
          <w:rStyle w:val="FootnoteReference"/>
        </w:rPr>
        <w:footnoteRef/>
      </w:r>
      <w:r>
        <w:t xml:space="preserve"> Bennett, p. 128</w:t>
      </w:r>
      <w:r w:rsidR="008E317E">
        <w:t>.</w:t>
      </w:r>
    </w:p>
  </w:footnote>
  <w:footnote w:id="25">
    <w:p w14:paraId="4ECB0CB4" w14:textId="7F95DC26" w:rsidR="00FB7458" w:rsidRDefault="00FB7458">
      <w:pPr>
        <w:pStyle w:val="FootnoteText"/>
      </w:pPr>
      <w:r>
        <w:rPr>
          <w:rStyle w:val="FootnoteReference"/>
        </w:rPr>
        <w:footnoteRef/>
      </w:r>
      <w:r>
        <w:t xml:space="preserve"> Bennett, p. 125</w:t>
      </w:r>
      <w:r w:rsidR="008E317E">
        <w:t>.</w:t>
      </w:r>
    </w:p>
  </w:footnote>
  <w:footnote w:id="26">
    <w:p w14:paraId="395F27ED" w14:textId="332B8AC0" w:rsidR="00E577E1" w:rsidRDefault="00E577E1">
      <w:pPr>
        <w:pStyle w:val="FootnoteText"/>
      </w:pPr>
      <w:r>
        <w:rPr>
          <w:rStyle w:val="FootnoteReference"/>
        </w:rPr>
        <w:footnoteRef/>
      </w:r>
      <w:r>
        <w:t xml:space="preserve"> Bennett, p. </w:t>
      </w:r>
      <w:r w:rsidR="00756ADF">
        <w:t>127</w:t>
      </w:r>
      <w:r w:rsidR="008E317E">
        <w:t>.</w:t>
      </w:r>
    </w:p>
  </w:footnote>
  <w:footnote w:id="27">
    <w:p w14:paraId="298C8D1D" w14:textId="001F873F" w:rsidR="002E7532" w:rsidRDefault="002E7532">
      <w:pPr>
        <w:pStyle w:val="FootnoteText"/>
      </w:pPr>
      <w:r>
        <w:rPr>
          <w:rStyle w:val="FootnoteReference"/>
        </w:rPr>
        <w:footnoteRef/>
      </w:r>
      <w:r>
        <w:t xml:space="preserve"> Bennett, p. 123</w:t>
      </w:r>
      <w:r w:rsidR="002E7050">
        <w:t>.</w:t>
      </w:r>
    </w:p>
  </w:footnote>
  <w:footnote w:id="28">
    <w:p w14:paraId="26F93F15" w14:textId="5494216D" w:rsidR="00030870" w:rsidRDefault="00030870">
      <w:pPr>
        <w:pStyle w:val="FootnoteText"/>
      </w:pPr>
      <w:r>
        <w:rPr>
          <w:rStyle w:val="FootnoteReference"/>
        </w:rPr>
        <w:footnoteRef/>
      </w:r>
      <w:r>
        <w:t xml:space="preserve"> Bennett, p. 124</w:t>
      </w:r>
      <w:r w:rsidR="002E7050">
        <w:t>.</w:t>
      </w:r>
    </w:p>
  </w:footnote>
  <w:footnote w:id="29">
    <w:p w14:paraId="399DD469" w14:textId="51D32C83" w:rsidR="004534E9" w:rsidRDefault="004534E9">
      <w:pPr>
        <w:pStyle w:val="FootnoteText"/>
      </w:pPr>
      <w:r>
        <w:rPr>
          <w:rStyle w:val="FootnoteReference"/>
        </w:rPr>
        <w:footnoteRef/>
      </w:r>
      <w:r>
        <w:t xml:space="preserve"> Brink, p. 85</w:t>
      </w:r>
      <w:r w:rsidR="002E7050">
        <w:t>.</w:t>
      </w:r>
    </w:p>
  </w:footnote>
  <w:footnote w:id="30">
    <w:p w14:paraId="7E9ABDBF" w14:textId="6BA7120B" w:rsidR="005E58A5" w:rsidRDefault="005E58A5">
      <w:pPr>
        <w:pStyle w:val="FootnoteText"/>
      </w:pPr>
      <w:r>
        <w:rPr>
          <w:rStyle w:val="FootnoteReference"/>
        </w:rPr>
        <w:footnoteRef/>
      </w:r>
      <w:r>
        <w:t xml:space="preserve"> Brink, </w:t>
      </w:r>
      <w:r w:rsidR="00E33B6F">
        <w:t>p. 84.</w:t>
      </w:r>
    </w:p>
  </w:footnote>
  <w:footnote w:id="31">
    <w:p w14:paraId="0B304BD2" w14:textId="2D5F849E" w:rsidR="00835C6E" w:rsidRDefault="00835C6E">
      <w:pPr>
        <w:pStyle w:val="FootnoteText"/>
      </w:pPr>
      <w:r>
        <w:rPr>
          <w:rStyle w:val="FootnoteReference"/>
        </w:rPr>
        <w:footnoteRef/>
      </w:r>
      <w:r>
        <w:t xml:space="preserve"> Brink, p. 84</w:t>
      </w:r>
      <w:r w:rsidR="002E7050">
        <w:t>.</w:t>
      </w:r>
    </w:p>
  </w:footnote>
  <w:footnote w:id="32">
    <w:p w14:paraId="2DCF137E" w14:textId="446F71DF" w:rsidR="00963D00" w:rsidRDefault="00963D0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A7D3E">
        <w:t>Brink, p. 82</w:t>
      </w:r>
      <w:r w:rsidR="002E7050">
        <w:t>.</w:t>
      </w:r>
    </w:p>
  </w:footnote>
  <w:footnote w:id="33">
    <w:p w14:paraId="26381F1B" w14:textId="02705500" w:rsidR="00381D4E" w:rsidRDefault="00381D4E">
      <w:pPr>
        <w:pStyle w:val="FootnoteText"/>
      </w:pPr>
      <w:r>
        <w:rPr>
          <w:rStyle w:val="FootnoteReference"/>
        </w:rPr>
        <w:footnoteRef/>
      </w:r>
      <w:r>
        <w:t xml:space="preserve"> Brink, p. 84</w:t>
      </w:r>
      <w:r w:rsidR="002E7050">
        <w:t>.</w:t>
      </w:r>
    </w:p>
  </w:footnote>
  <w:footnote w:id="34">
    <w:p w14:paraId="1C88C062" w14:textId="14553FC8" w:rsidR="009A0B5B" w:rsidRDefault="009A0B5B">
      <w:pPr>
        <w:pStyle w:val="FootnoteText"/>
      </w:pPr>
      <w:r>
        <w:rPr>
          <w:rStyle w:val="FootnoteReference"/>
        </w:rPr>
        <w:footnoteRef/>
      </w:r>
      <w:r>
        <w:t xml:space="preserve"> Bennett, </w:t>
      </w:r>
      <w:r w:rsidR="00341FAC">
        <w:t>p. 128</w:t>
      </w:r>
      <w:r w:rsidR="00BE5F94">
        <w:t>.</w:t>
      </w:r>
    </w:p>
  </w:footnote>
  <w:footnote w:id="35">
    <w:p w14:paraId="3F8D7309" w14:textId="1A218E1A" w:rsidR="00BE5F94" w:rsidRDefault="00BE5F94">
      <w:pPr>
        <w:pStyle w:val="FootnoteText"/>
      </w:pPr>
      <w:r>
        <w:rPr>
          <w:rStyle w:val="FootnoteReference"/>
        </w:rPr>
        <w:footnoteRef/>
      </w:r>
      <w:r>
        <w:t xml:space="preserve"> Bennett, p. 136.</w:t>
      </w:r>
    </w:p>
  </w:footnote>
  <w:footnote w:id="36">
    <w:p w14:paraId="6FD6A566" w14:textId="73376CA0" w:rsidR="007B3BF1" w:rsidRDefault="007B3BF1">
      <w:pPr>
        <w:pStyle w:val="FootnoteText"/>
      </w:pPr>
      <w:r>
        <w:rPr>
          <w:rStyle w:val="FootnoteReference"/>
        </w:rPr>
        <w:footnoteRef/>
      </w:r>
      <w:r>
        <w:t xml:space="preserve"> Bennett</w:t>
      </w:r>
      <w:r w:rsidR="00C06A24">
        <w:t>, p. 133.</w:t>
      </w:r>
    </w:p>
  </w:footnote>
  <w:footnote w:id="37">
    <w:p w14:paraId="49BC8B74" w14:textId="257CA84F" w:rsidR="00D953F8" w:rsidRDefault="00D953F8">
      <w:pPr>
        <w:pStyle w:val="FootnoteText"/>
      </w:pPr>
      <w:r>
        <w:rPr>
          <w:rStyle w:val="FootnoteReference"/>
        </w:rPr>
        <w:footnoteRef/>
      </w:r>
      <w:r>
        <w:t xml:space="preserve"> Bennett, </w:t>
      </w:r>
      <w:r w:rsidR="00DF157F">
        <w:t>p. 134</w:t>
      </w:r>
      <w:r w:rsidR="00BE5F94">
        <w:t>.</w:t>
      </w:r>
    </w:p>
  </w:footnote>
  <w:footnote w:id="38">
    <w:p w14:paraId="55A80A0B" w14:textId="3A51B192" w:rsidR="009909B6" w:rsidRDefault="009909B6">
      <w:pPr>
        <w:pStyle w:val="FootnoteText"/>
      </w:pPr>
      <w:r>
        <w:rPr>
          <w:rStyle w:val="FootnoteReference"/>
        </w:rPr>
        <w:footnoteRef/>
      </w:r>
      <w:r>
        <w:t xml:space="preserve"> Bennett,</w:t>
      </w:r>
      <w:r w:rsidR="0087078D">
        <w:t xml:space="preserve"> p. 140</w:t>
      </w:r>
      <w:r w:rsidR="00BE5F94">
        <w:t>.</w:t>
      </w:r>
    </w:p>
  </w:footnote>
  <w:footnote w:id="39">
    <w:p w14:paraId="79F3E3FA" w14:textId="07904C08" w:rsidR="00D96F21" w:rsidRDefault="00D96F21">
      <w:pPr>
        <w:pStyle w:val="FootnoteText"/>
      </w:pPr>
      <w:r>
        <w:rPr>
          <w:rStyle w:val="FootnoteReference"/>
        </w:rPr>
        <w:footnoteRef/>
      </w:r>
      <w:r>
        <w:t xml:space="preserve"> Bennett, p. </w:t>
      </w:r>
      <w:r w:rsidR="00861E55">
        <w:t>140.</w:t>
      </w:r>
    </w:p>
  </w:footnote>
  <w:footnote w:id="40">
    <w:p w14:paraId="15081D50" w14:textId="0DB6F0A7" w:rsidR="0092422D" w:rsidRDefault="0092422D">
      <w:pPr>
        <w:pStyle w:val="FootnoteText"/>
      </w:pPr>
      <w:r>
        <w:rPr>
          <w:rStyle w:val="FootnoteReference"/>
        </w:rPr>
        <w:footnoteRef/>
      </w:r>
      <w:r>
        <w:t xml:space="preserve"> P. Adler and P. Adler, </w:t>
      </w:r>
      <w:r w:rsidRPr="003C2A8E">
        <w:rPr>
          <w:i/>
          <w:iCs/>
        </w:rPr>
        <w:t xml:space="preserve">Membership </w:t>
      </w:r>
      <w:r>
        <w:rPr>
          <w:i/>
          <w:iCs/>
        </w:rPr>
        <w:t>R</w:t>
      </w:r>
      <w:r w:rsidRPr="003C2A8E">
        <w:rPr>
          <w:i/>
          <w:iCs/>
        </w:rPr>
        <w:t xml:space="preserve">oles </w:t>
      </w:r>
      <w:r>
        <w:rPr>
          <w:i/>
          <w:iCs/>
        </w:rPr>
        <w:t>I</w:t>
      </w:r>
      <w:r w:rsidRPr="003C2A8E">
        <w:rPr>
          <w:i/>
          <w:iCs/>
        </w:rPr>
        <w:t xml:space="preserve">n </w:t>
      </w:r>
      <w:r>
        <w:rPr>
          <w:i/>
          <w:iCs/>
        </w:rPr>
        <w:t>F</w:t>
      </w:r>
      <w:r w:rsidRPr="003C2A8E">
        <w:rPr>
          <w:i/>
          <w:iCs/>
        </w:rPr>
        <w:t xml:space="preserve">ield </w:t>
      </w:r>
      <w:r>
        <w:rPr>
          <w:i/>
          <w:iCs/>
        </w:rPr>
        <w:t>R</w:t>
      </w:r>
      <w:r w:rsidRPr="003C2A8E">
        <w:rPr>
          <w:i/>
          <w:iCs/>
        </w:rPr>
        <w:t>esearch</w:t>
      </w:r>
      <w:r>
        <w:t>, (Newbury Park, CA: Sage, 1987).</w:t>
      </w:r>
    </w:p>
  </w:footnote>
  <w:footnote w:id="41">
    <w:p w14:paraId="49F03954" w14:textId="7D8E9B3D" w:rsidR="000753E3" w:rsidRDefault="000753E3">
      <w:pPr>
        <w:pStyle w:val="FootnoteText"/>
      </w:pPr>
      <w:r>
        <w:rPr>
          <w:rStyle w:val="FootnoteReference"/>
        </w:rPr>
        <w:footnoteRef/>
      </w:r>
      <w:r>
        <w:t xml:space="preserve"> Judith Bell, p. </w:t>
      </w:r>
      <w:r w:rsidR="00A948AE">
        <w:t>29.</w:t>
      </w:r>
    </w:p>
  </w:footnote>
  <w:footnote w:id="42">
    <w:p w14:paraId="03574527" w14:textId="62E660A1" w:rsidR="002351DA" w:rsidRPr="006F5E05" w:rsidRDefault="002351DA" w:rsidP="002351D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F5E05">
        <w:t>Bennett, p. 125</w:t>
      </w:r>
      <w:r w:rsidR="00A948AE" w:rsidRPr="006F5E05">
        <w:t>.</w:t>
      </w:r>
    </w:p>
  </w:footnote>
  <w:footnote w:id="43">
    <w:p w14:paraId="57EE7771" w14:textId="3B15E8DD" w:rsidR="0087677D" w:rsidRPr="006F5E05" w:rsidRDefault="0087677D">
      <w:pPr>
        <w:pStyle w:val="FootnoteText"/>
      </w:pPr>
      <w:r w:rsidRPr="006F5E05">
        <w:rPr>
          <w:rStyle w:val="FootnoteReference"/>
        </w:rPr>
        <w:footnoteRef/>
      </w:r>
      <w:r w:rsidRPr="006F5E05">
        <w:t xml:space="preserve"> Hayes, p. 72</w:t>
      </w:r>
      <w:r w:rsidR="00A948AE" w:rsidRPr="006F5E05">
        <w:t>.</w:t>
      </w:r>
    </w:p>
  </w:footnote>
  <w:footnote w:id="44">
    <w:p w14:paraId="65F5BE92" w14:textId="2A847134" w:rsidR="00806301" w:rsidRPr="006F5E05" w:rsidRDefault="00806301" w:rsidP="00067BBA">
      <w:pPr>
        <w:rPr>
          <w:sz w:val="20"/>
          <w:szCs w:val="20"/>
        </w:rPr>
      </w:pPr>
      <w:r w:rsidRPr="006F5E05">
        <w:rPr>
          <w:rStyle w:val="FootnoteReference"/>
          <w:sz w:val="20"/>
          <w:szCs w:val="20"/>
        </w:rPr>
        <w:footnoteRef/>
      </w:r>
      <w:r w:rsidRPr="006F5E05">
        <w:rPr>
          <w:sz w:val="20"/>
          <w:szCs w:val="20"/>
        </w:rPr>
        <w:t xml:space="preserve"> Michael York, </w:t>
      </w:r>
      <w:r w:rsidR="00067BBA" w:rsidRPr="006F5E05">
        <w:rPr>
          <w:sz w:val="20"/>
          <w:szCs w:val="20"/>
        </w:rPr>
        <w:t xml:space="preserve">Insider/Outsider Methodological Problems with the Study of Astrology Michael York Bath Spa University College British Association for the Study of Religion 50th Anniversary Conference, Oxford (13-16 September 2004), </w:t>
      </w:r>
      <w:r w:rsidRPr="006F5E05">
        <w:rPr>
          <w:sz w:val="20"/>
          <w:szCs w:val="20"/>
        </w:rPr>
        <w:t>p. 13</w:t>
      </w:r>
      <w:r w:rsidR="006F5E05" w:rsidRPr="006F5E05">
        <w:rPr>
          <w:sz w:val="20"/>
          <w:szCs w:val="20"/>
        </w:rPr>
        <w:t>.</w:t>
      </w:r>
    </w:p>
  </w:footnote>
  <w:footnote w:id="45">
    <w:p w14:paraId="5BF46017" w14:textId="0072D50D" w:rsidR="0064440E" w:rsidRPr="006F5E05" w:rsidRDefault="0064440E" w:rsidP="0004470C">
      <w:pPr>
        <w:rPr>
          <w:sz w:val="20"/>
          <w:szCs w:val="20"/>
        </w:rPr>
      </w:pPr>
      <w:r w:rsidRPr="006F5E05">
        <w:rPr>
          <w:rStyle w:val="FootnoteReference"/>
          <w:sz w:val="20"/>
          <w:szCs w:val="20"/>
        </w:rPr>
        <w:footnoteRef/>
      </w:r>
      <w:r w:rsidRPr="006F5E05">
        <w:rPr>
          <w:sz w:val="20"/>
          <w:szCs w:val="20"/>
        </w:rPr>
        <w:t xml:space="preserve"> </w:t>
      </w:r>
      <w:r w:rsidR="00813F26" w:rsidRPr="006F5E05">
        <w:rPr>
          <w:sz w:val="20"/>
          <w:szCs w:val="20"/>
        </w:rPr>
        <w:t xml:space="preserve">David J Hufford, </w:t>
      </w:r>
      <w:r w:rsidR="00A90CD5" w:rsidRPr="006F5E05">
        <w:rPr>
          <w:sz w:val="20"/>
          <w:szCs w:val="20"/>
        </w:rPr>
        <w:t>‘</w:t>
      </w:r>
      <w:r w:rsidR="00813F26" w:rsidRPr="006F5E05">
        <w:rPr>
          <w:sz w:val="20"/>
          <w:szCs w:val="20"/>
        </w:rPr>
        <w:t>The Scholarly Voice and the Personal Voice: Reflexivity in Belief Studies,</w:t>
      </w:r>
      <w:r w:rsidR="00A90CD5" w:rsidRPr="006F5E05">
        <w:rPr>
          <w:sz w:val="20"/>
          <w:szCs w:val="20"/>
        </w:rPr>
        <w:t>’ Vol</w:t>
      </w:r>
      <w:r w:rsidR="00813F26" w:rsidRPr="006F5E05">
        <w:rPr>
          <w:sz w:val="20"/>
          <w:szCs w:val="20"/>
        </w:rPr>
        <w:t xml:space="preserve"> 20, No. 1 (Autumn, 1978), pp. 82-85</w:t>
      </w:r>
      <w:r w:rsidR="00361F71">
        <w:rPr>
          <w:sz w:val="20"/>
          <w:szCs w:val="20"/>
        </w:rPr>
        <w:t>,</w:t>
      </w:r>
      <w:r w:rsidR="00293356" w:rsidRPr="006F5E05">
        <w:rPr>
          <w:sz w:val="20"/>
          <w:szCs w:val="20"/>
        </w:rPr>
        <w:t xml:space="preserve"> &lt;</w:t>
      </w:r>
      <w:r w:rsidR="00813F26" w:rsidRPr="006F5E05">
        <w:rPr>
          <w:sz w:val="20"/>
          <w:szCs w:val="20"/>
        </w:rPr>
        <w:t xml:space="preserve">: </w:t>
      </w:r>
      <w:hyperlink r:id="rId4" w:history="1">
        <w:r w:rsidR="00A138B9" w:rsidRPr="006F5E05">
          <w:rPr>
            <w:rStyle w:val="Hyperlink"/>
            <w:sz w:val="20"/>
            <w:szCs w:val="20"/>
          </w:rPr>
          <w:t>https://www.jstor.org/stable/3509943</w:t>
        </w:r>
      </w:hyperlink>
      <w:r w:rsidR="00293356" w:rsidRPr="006F5E05">
        <w:rPr>
          <w:sz w:val="20"/>
          <w:szCs w:val="20"/>
        </w:rPr>
        <w:t>&gt;</w:t>
      </w:r>
      <w:r w:rsidR="00A138B9" w:rsidRPr="006F5E05">
        <w:rPr>
          <w:sz w:val="20"/>
          <w:szCs w:val="20"/>
        </w:rPr>
        <w:t xml:space="preserve"> [Accessed 1.3.2024]</w:t>
      </w:r>
      <w:r w:rsidR="00397FA2">
        <w:rPr>
          <w:sz w:val="20"/>
          <w:szCs w:val="20"/>
        </w:rPr>
        <w:t>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161B92"/>
    <w:multiLevelType w:val="multilevel"/>
    <w:tmpl w:val="E95AA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7E77549"/>
    <w:multiLevelType w:val="multilevel"/>
    <w:tmpl w:val="6784A9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8277351">
    <w:abstractNumId w:val="1"/>
  </w:num>
  <w:num w:numId="2" w16cid:durableId="20931191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56B6"/>
    <w:rsid w:val="00000425"/>
    <w:rsid w:val="0000122A"/>
    <w:rsid w:val="00001B77"/>
    <w:rsid w:val="00001D0D"/>
    <w:rsid w:val="00003791"/>
    <w:rsid w:val="00003ECF"/>
    <w:rsid w:val="00004F30"/>
    <w:rsid w:val="0000555E"/>
    <w:rsid w:val="000065A4"/>
    <w:rsid w:val="000067C7"/>
    <w:rsid w:val="00006FDB"/>
    <w:rsid w:val="0000730C"/>
    <w:rsid w:val="00007976"/>
    <w:rsid w:val="0000798A"/>
    <w:rsid w:val="00007DC8"/>
    <w:rsid w:val="00007F38"/>
    <w:rsid w:val="00012803"/>
    <w:rsid w:val="00012EA3"/>
    <w:rsid w:val="00013A18"/>
    <w:rsid w:val="0001530D"/>
    <w:rsid w:val="00015E44"/>
    <w:rsid w:val="00020344"/>
    <w:rsid w:val="0002182D"/>
    <w:rsid w:val="000227B3"/>
    <w:rsid w:val="000242CF"/>
    <w:rsid w:val="0002447D"/>
    <w:rsid w:val="00024D26"/>
    <w:rsid w:val="00025FCD"/>
    <w:rsid w:val="00030870"/>
    <w:rsid w:val="000326F0"/>
    <w:rsid w:val="000356DF"/>
    <w:rsid w:val="0003782A"/>
    <w:rsid w:val="000433D2"/>
    <w:rsid w:val="000434E0"/>
    <w:rsid w:val="0004470C"/>
    <w:rsid w:val="0004590F"/>
    <w:rsid w:val="00051BFD"/>
    <w:rsid w:val="000525EB"/>
    <w:rsid w:val="00052D48"/>
    <w:rsid w:val="0005333C"/>
    <w:rsid w:val="00053C3C"/>
    <w:rsid w:val="00063198"/>
    <w:rsid w:val="000633C3"/>
    <w:rsid w:val="00064B1F"/>
    <w:rsid w:val="00065A61"/>
    <w:rsid w:val="00066F5A"/>
    <w:rsid w:val="00067BBA"/>
    <w:rsid w:val="000753E3"/>
    <w:rsid w:val="00076556"/>
    <w:rsid w:val="00080FAA"/>
    <w:rsid w:val="00081124"/>
    <w:rsid w:val="00084CC5"/>
    <w:rsid w:val="00085038"/>
    <w:rsid w:val="000861D3"/>
    <w:rsid w:val="00086852"/>
    <w:rsid w:val="00090AEC"/>
    <w:rsid w:val="00094144"/>
    <w:rsid w:val="00097380"/>
    <w:rsid w:val="000A160A"/>
    <w:rsid w:val="000A2255"/>
    <w:rsid w:val="000A3E6F"/>
    <w:rsid w:val="000A4AD7"/>
    <w:rsid w:val="000A5F4E"/>
    <w:rsid w:val="000A7ABE"/>
    <w:rsid w:val="000B06FD"/>
    <w:rsid w:val="000B187A"/>
    <w:rsid w:val="000B51AC"/>
    <w:rsid w:val="000B6B48"/>
    <w:rsid w:val="000B7072"/>
    <w:rsid w:val="000B7830"/>
    <w:rsid w:val="000C0FA6"/>
    <w:rsid w:val="000C203A"/>
    <w:rsid w:val="000C2676"/>
    <w:rsid w:val="000C60A7"/>
    <w:rsid w:val="000C6E1C"/>
    <w:rsid w:val="000C72D4"/>
    <w:rsid w:val="000D0375"/>
    <w:rsid w:val="000D2B31"/>
    <w:rsid w:val="000D39B4"/>
    <w:rsid w:val="000D3F27"/>
    <w:rsid w:val="000D46F2"/>
    <w:rsid w:val="000D610D"/>
    <w:rsid w:val="000D7F35"/>
    <w:rsid w:val="000E2BC8"/>
    <w:rsid w:val="000E32D8"/>
    <w:rsid w:val="000E33EB"/>
    <w:rsid w:val="000E361D"/>
    <w:rsid w:val="000E4A99"/>
    <w:rsid w:val="000E61C3"/>
    <w:rsid w:val="000F03B4"/>
    <w:rsid w:val="000F3DE9"/>
    <w:rsid w:val="0010132D"/>
    <w:rsid w:val="0010219E"/>
    <w:rsid w:val="00103F29"/>
    <w:rsid w:val="00113502"/>
    <w:rsid w:val="00113A61"/>
    <w:rsid w:val="00114677"/>
    <w:rsid w:val="00114A07"/>
    <w:rsid w:val="001213DC"/>
    <w:rsid w:val="00122F5A"/>
    <w:rsid w:val="00123AE7"/>
    <w:rsid w:val="00125585"/>
    <w:rsid w:val="00126E37"/>
    <w:rsid w:val="001278AC"/>
    <w:rsid w:val="00133EC0"/>
    <w:rsid w:val="00135722"/>
    <w:rsid w:val="00142D53"/>
    <w:rsid w:val="0014373F"/>
    <w:rsid w:val="001453EE"/>
    <w:rsid w:val="001454B6"/>
    <w:rsid w:val="00146CE9"/>
    <w:rsid w:val="001510A1"/>
    <w:rsid w:val="0015201C"/>
    <w:rsid w:val="0015313E"/>
    <w:rsid w:val="0015360F"/>
    <w:rsid w:val="0015376A"/>
    <w:rsid w:val="001573FC"/>
    <w:rsid w:val="00157F50"/>
    <w:rsid w:val="001601BF"/>
    <w:rsid w:val="001601FF"/>
    <w:rsid w:val="00160AE9"/>
    <w:rsid w:val="001618BE"/>
    <w:rsid w:val="00161BCE"/>
    <w:rsid w:val="00161F58"/>
    <w:rsid w:val="00164072"/>
    <w:rsid w:val="001640A0"/>
    <w:rsid w:val="00164651"/>
    <w:rsid w:val="001650BD"/>
    <w:rsid w:val="001665CD"/>
    <w:rsid w:val="00170132"/>
    <w:rsid w:val="00171197"/>
    <w:rsid w:val="0017134C"/>
    <w:rsid w:val="001739B9"/>
    <w:rsid w:val="00180082"/>
    <w:rsid w:val="001805F5"/>
    <w:rsid w:val="00181B4A"/>
    <w:rsid w:val="0018308A"/>
    <w:rsid w:val="00183AEF"/>
    <w:rsid w:val="00185BB6"/>
    <w:rsid w:val="00187336"/>
    <w:rsid w:val="0019121A"/>
    <w:rsid w:val="0019387A"/>
    <w:rsid w:val="00193EF1"/>
    <w:rsid w:val="0019546B"/>
    <w:rsid w:val="001A4783"/>
    <w:rsid w:val="001A6117"/>
    <w:rsid w:val="001A6743"/>
    <w:rsid w:val="001B008E"/>
    <w:rsid w:val="001B1112"/>
    <w:rsid w:val="001B18F2"/>
    <w:rsid w:val="001B239C"/>
    <w:rsid w:val="001B242D"/>
    <w:rsid w:val="001B3BC5"/>
    <w:rsid w:val="001B4B01"/>
    <w:rsid w:val="001B4BC8"/>
    <w:rsid w:val="001B4F59"/>
    <w:rsid w:val="001B57C3"/>
    <w:rsid w:val="001B603E"/>
    <w:rsid w:val="001B7C88"/>
    <w:rsid w:val="001C1AE1"/>
    <w:rsid w:val="001C4E46"/>
    <w:rsid w:val="001C5C9C"/>
    <w:rsid w:val="001C7753"/>
    <w:rsid w:val="001D045A"/>
    <w:rsid w:val="001D0979"/>
    <w:rsid w:val="001D141E"/>
    <w:rsid w:val="001D1C0A"/>
    <w:rsid w:val="001D1CF3"/>
    <w:rsid w:val="001D244C"/>
    <w:rsid w:val="001D4F12"/>
    <w:rsid w:val="001D7AAF"/>
    <w:rsid w:val="001E29FB"/>
    <w:rsid w:val="001E3B57"/>
    <w:rsid w:val="001E49ED"/>
    <w:rsid w:val="001E558F"/>
    <w:rsid w:val="001E5FF8"/>
    <w:rsid w:val="001E718D"/>
    <w:rsid w:val="001F07D9"/>
    <w:rsid w:val="001F0E98"/>
    <w:rsid w:val="001F17E8"/>
    <w:rsid w:val="001F2451"/>
    <w:rsid w:val="001F289B"/>
    <w:rsid w:val="001F340F"/>
    <w:rsid w:val="001F4056"/>
    <w:rsid w:val="001F5AF2"/>
    <w:rsid w:val="001F7CD5"/>
    <w:rsid w:val="00200280"/>
    <w:rsid w:val="00202CFC"/>
    <w:rsid w:val="002037B0"/>
    <w:rsid w:val="002056F7"/>
    <w:rsid w:val="00205AA4"/>
    <w:rsid w:val="00206D1B"/>
    <w:rsid w:val="00212878"/>
    <w:rsid w:val="0021333B"/>
    <w:rsid w:val="002168C9"/>
    <w:rsid w:val="00217031"/>
    <w:rsid w:val="00220285"/>
    <w:rsid w:val="00221BAB"/>
    <w:rsid w:val="0022333B"/>
    <w:rsid w:val="00223DF3"/>
    <w:rsid w:val="002308C0"/>
    <w:rsid w:val="002350AA"/>
    <w:rsid w:val="002351DA"/>
    <w:rsid w:val="002359B8"/>
    <w:rsid w:val="00236BAE"/>
    <w:rsid w:val="00240253"/>
    <w:rsid w:val="00242175"/>
    <w:rsid w:val="0024496A"/>
    <w:rsid w:val="0024510A"/>
    <w:rsid w:val="00252C1E"/>
    <w:rsid w:val="00255087"/>
    <w:rsid w:val="002557F1"/>
    <w:rsid w:val="00260F6F"/>
    <w:rsid w:val="0026193F"/>
    <w:rsid w:val="0026261B"/>
    <w:rsid w:val="0026375F"/>
    <w:rsid w:val="00263833"/>
    <w:rsid w:val="002646E7"/>
    <w:rsid w:val="002701E4"/>
    <w:rsid w:val="00271225"/>
    <w:rsid w:val="00271427"/>
    <w:rsid w:val="00272DD5"/>
    <w:rsid w:val="00273F05"/>
    <w:rsid w:val="0027644D"/>
    <w:rsid w:val="00281B90"/>
    <w:rsid w:val="002837A7"/>
    <w:rsid w:val="0028586A"/>
    <w:rsid w:val="002867BF"/>
    <w:rsid w:val="00290AB2"/>
    <w:rsid w:val="00290CF0"/>
    <w:rsid w:val="00293356"/>
    <w:rsid w:val="00294735"/>
    <w:rsid w:val="002968C2"/>
    <w:rsid w:val="00296B31"/>
    <w:rsid w:val="002A0553"/>
    <w:rsid w:val="002A7F17"/>
    <w:rsid w:val="002B09A5"/>
    <w:rsid w:val="002B09BD"/>
    <w:rsid w:val="002B20C3"/>
    <w:rsid w:val="002B2956"/>
    <w:rsid w:val="002B6570"/>
    <w:rsid w:val="002B677D"/>
    <w:rsid w:val="002C1D6C"/>
    <w:rsid w:val="002C2D35"/>
    <w:rsid w:val="002C3BE3"/>
    <w:rsid w:val="002C6C23"/>
    <w:rsid w:val="002D32A6"/>
    <w:rsid w:val="002D5B07"/>
    <w:rsid w:val="002D680E"/>
    <w:rsid w:val="002D7CC8"/>
    <w:rsid w:val="002E50C3"/>
    <w:rsid w:val="002E53EB"/>
    <w:rsid w:val="002E5E10"/>
    <w:rsid w:val="002E6854"/>
    <w:rsid w:val="002E7050"/>
    <w:rsid w:val="002E7532"/>
    <w:rsid w:val="002F1269"/>
    <w:rsid w:val="002F3857"/>
    <w:rsid w:val="002F3EE1"/>
    <w:rsid w:val="002F4BF8"/>
    <w:rsid w:val="002F7D24"/>
    <w:rsid w:val="003027DD"/>
    <w:rsid w:val="00303B3D"/>
    <w:rsid w:val="00303BCE"/>
    <w:rsid w:val="003041B7"/>
    <w:rsid w:val="003042A2"/>
    <w:rsid w:val="003067B3"/>
    <w:rsid w:val="00307C9E"/>
    <w:rsid w:val="00307FB4"/>
    <w:rsid w:val="00310358"/>
    <w:rsid w:val="003141E5"/>
    <w:rsid w:val="003143E1"/>
    <w:rsid w:val="003154BE"/>
    <w:rsid w:val="003170CB"/>
    <w:rsid w:val="003228DB"/>
    <w:rsid w:val="00323D27"/>
    <w:rsid w:val="0033139E"/>
    <w:rsid w:val="003319E3"/>
    <w:rsid w:val="0033281E"/>
    <w:rsid w:val="00333371"/>
    <w:rsid w:val="0033380F"/>
    <w:rsid w:val="003338A0"/>
    <w:rsid w:val="00333C62"/>
    <w:rsid w:val="00335DB9"/>
    <w:rsid w:val="0033760E"/>
    <w:rsid w:val="003408C7"/>
    <w:rsid w:val="003408F8"/>
    <w:rsid w:val="003419CF"/>
    <w:rsid w:val="00341FAC"/>
    <w:rsid w:val="00343A82"/>
    <w:rsid w:val="00344592"/>
    <w:rsid w:val="003448A4"/>
    <w:rsid w:val="003505D5"/>
    <w:rsid w:val="00354E1B"/>
    <w:rsid w:val="00355E64"/>
    <w:rsid w:val="00360D2E"/>
    <w:rsid w:val="00361431"/>
    <w:rsid w:val="00361F71"/>
    <w:rsid w:val="00363DFB"/>
    <w:rsid w:val="0036481A"/>
    <w:rsid w:val="003651D4"/>
    <w:rsid w:val="00366547"/>
    <w:rsid w:val="00367AE7"/>
    <w:rsid w:val="0037026F"/>
    <w:rsid w:val="00370A04"/>
    <w:rsid w:val="00370F78"/>
    <w:rsid w:val="00373CB6"/>
    <w:rsid w:val="00374A65"/>
    <w:rsid w:val="00374E01"/>
    <w:rsid w:val="0037536D"/>
    <w:rsid w:val="003759DB"/>
    <w:rsid w:val="00376280"/>
    <w:rsid w:val="00376958"/>
    <w:rsid w:val="00380457"/>
    <w:rsid w:val="003817E3"/>
    <w:rsid w:val="00381833"/>
    <w:rsid w:val="00381D4E"/>
    <w:rsid w:val="00384B1C"/>
    <w:rsid w:val="00390B83"/>
    <w:rsid w:val="003916AF"/>
    <w:rsid w:val="00393D76"/>
    <w:rsid w:val="003968A0"/>
    <w:rsid w:val="00397FA2"/>
    <w:rsid w:val="003A098D"/>
    <w:rsid w:val="003A124F"/>
    <w:rsid w:val="003A2571"/>
    <w:rsid w:val="003A4133"/>
    <w:rsid w:val="003A4726"/>
    <w:rsid w:val="003A5D03"/>
    <w:rsid w:val="003A6BD5"/>
    <w:rsid w:val="003B3564"/>
    <w:rsid w:val="003B5324"/>
    <w:rsid w:val="003C2A8E"/>
    <w:rsid w:val="003D0320"/>
    <w:rsid w:val="003D0FBB"/>
    <w:rsid w:val="003D1309"/>
    <w:rsid w:val="003D22B7"/>
    <w:rsid w:val="003D2880"/>
    <w:rsid w:val="003D6070"/>
    <w:rsid w:val="003E5B65"/>
    <w:rsid w:val="003E7AAD"/>
    <w:rsid w:val="003F043C"/>
    <w:rsid w:val="003F366F"/>
    <w:rsid w:val="003F4B77"/>
    <w:rsid w:val="003F5058"/>
    <w:rsid w:val="004001FE"/>
    <w:rsid w:val="004018CA"/>
    <w:rsid w:val="004021AC"/>
    <w:rsid w:val="00402754"/>
    <w:rsid w:val="0040325D"/>
    <w:rsid w:val="004040F2"/>
    <w:rsid w:val="00407103"/>
    <w:rsid w:val="00411005"/>
    <w:rsid w:val="00411253"/>
    <w:rsid w:val="0041584F"/>
    <w:rsid w:val="00416B3B"/>
    <w:rsid w:val="00416F02"/>
    <w:rsid w:val="00417F4C"/>
    <w:rsid w:val="004231F7"/>
    <w:rsid w:val="00423B22"/>
    <w:rsid w:val="004254EA"/>
    <w:rsid w:val="0042671D"/>
    <w:rsid w:val="0043617E"/>
    <w:rsid w:val="004373C1"/>
    <w:rsid w:val="0043753F"/>
    <w:rsid w:val="00440456"/>
    <w:rsid w:val="00441E1F"/>
    <w:rsid w:val="00444491"/>
    <w:rsid w:val="0044456E"/>
    <w:rsid w:val="0045116B"/>
    <w:rsid w:val="00451439"/>
    <w:rsid w:val="00451FC4"/>
    <w:rsid w:val="004534E9"/>
    <w:rsid w:val="00464237"/>
    <w:rsid w:val="00464300"/>
    <w:rsid w:val="004647D0"/>
    <w:rsid w:val="00464895"/>
    <w:rsid w:val="0047294C"/>
    <w:rsid w:val="00475743"/>
    <w:rsid w:val="00475A51"/>
    <w:rsid w:val="004763F5"/>
    <w:rsid w:val="004772C2"/>
    <w:rsid w:val="004772EB"/>
    <w:rsid w:val="00480B37"/>
    <w:rsid w:val="0048172C"/>
    <w:rsid w:val="00481AD7"/>
    <w:rsid w:val="0048210D"/>
    <w:rsid w:val="00482388"/>
    <w:rsid w:val="0048438E"/>
    <w:rsid w:val="00486D71"/>
    <w:rsid w:val="00491202"/>
    <w:rsid w:val="00493A29"/>
    <w:rsid w:val="004962A8"/>
    <w:rsid w:val="004A0077"/>
    <w:rsid w:val="004A0FA3"/>
    <w:rsid w:val="004A2BA1"/>
    <w:rsid w:val="004A3BBA"/>
    <w:rsid w:val="004A3F39"/>
    <w:rsid w:val="004A46BE"/>
    <w:rsid w:val="004B3F6B"/>
    <w:rsid w:val="004B4043"/>
    <w:rsid w:val="004B499C"/>
    <w:rsid w:val="004B5FD0"/>
    <w:rsid w:val="004C28B0"/>
    <w:rsid w:val="004C2A89"/>
    <w:rsid w:val="004C3B4B"/>
    <w:rsid w:val="004D101E"/>
    <w:rsid w:val="004D290E"/>
    <w:rsid w:val="004D4C6F"/>
    <w:rsid w:val="004D6ABD"/>
    <w:rsid w:val="004D703B"/>
    <w:rsid w:val="004E034C"/>
    <w:rsid w:val="004E160D"/>
    <w:rsid w:val="004E2032"/>
    <w:rsid w:val="004E53D0"/>
    <w:rsid w:val="004E5F67"/>
    <w:rsid w:val="004E69A5"/>
    <w:rsid w:val="004F1D58"/>
    <w:rsid w:val="004F2EC2"/>
    <w:rsid w:val="004F33A4"/>
    <w:rsid w:val="004F736A"/>
    <w:rsid w:val="004F7FB1"/>
    <w:rsid w:val="0050236E"/>
    <w:rsid w:val="005031F9"/>
    <w:rsid w:val="0050495E"/>
    <w:rsid w:val="00505313"/>
    <w:rsid w:val="00506562"/>
    <w:rsid w:val="0051007E"/>
    <w:rsid w:val="00510AF1"/>
    <w:rsid w:val="00516C32"/>
    <w:rsid w:val="00517A31"/>
    <w:rsid w:val="0052031C"/>
    <w:rsid w:val="00520A74"/>
    <w:rsid w:val="005221FB"/>
    <w:rsid w:val="005228B1"/>
    <w:rsid w:val="005243E3"/>
    <w:rsid w:val="00525DCB"/>
    <w:rsid w:val="005275F8"/>
    <w:rsid w:val="005279FE"/>
    <w:rsid w:val="00527BFD"/>
    <w:rsid w:val="005355D0"/>
    <w:rsid w:val="00536439"/>
    <w:rsid w:val="00537BE4"/>
    <w:rsid w:val="00540B4B"/>
    <w:rsid w:val="00540D15"/>
    <w:rsid w:val="0054174A"/>
    <w:rsid w:val="00543252"/>
    <w:rsid w:val="00543CE5"/>
    <w:rsid w:val="00544D0F"/>
    <w:rsid w:val="0054555E"/>
    <w:rsid w:val="005468BF"/>
    <w:rsid w:val="00546D2A"/>
    <w:rsid w:val="00547B67"/>
    <w:rsid w:val="00550DF1"/>
    <w:rsid w:val="00551FFA"/>
    <w:rsid w:val="005534A5"/>
    <w:rsid w:val="0055594B"/>
    <w:rsid w:val="005604F2"/>
    <w:rsid w:val="0056472C"/>
    <w:rsid w:val="00566D5E"/>
    <w:rsid w:val="005705A5"/>
    <w:rsid w:val="0057239C"/>
    <w:rsid w:val="00575898"/>
    <w:rsid w:val="0058046F"/>
    <w:rsid w:val="0058054D"/>
    <w:rsid w:val="005808F0"/>
    <w:rsid w:val="0058191B"/>
    <w:rsid w:val="00583834"/>
    <w:rsid w:val="00586002"/>
    <w:rsid w:val="00586A32"/>
    <w:rsid w:val="00590347"/>
    <w:rsid w:val="00590F18"/>
    <w:rsid w:val="00594CF1"/>
    <w:rsid w:val="005950AF"/>
    <w:rsid w:val="005967F2"/>
    <w:rsid w:val="005A4792"/>
    <w:rsid w:val="005A4A51"/>
    <w:rsid w:val="005A5EA9"/>
    <w:rsid w:val="005A607F"/>
    <w:rsid w:val="005A72A6"/>
    <w:rsid w:val="005B04E8"/>
    <w:rsid w:val="005B0629"/>
    <w:rsid w:val="005B0AA9"/>
    <w:rsid w:val="005B4E89"/>
    <w:rsid w:val="005B5D36"/>
    <w:rsid w:val="005B6592"/>
    <w:rsid w:val="005B6E06"/>
    <w:rsid w:val="005C1613"/>
    <w:rsid w:val="005C1F98"/>
    <w:rsid w:val="005C4D2B"/>
    <w:rsid w:val="005C590E"/>
    <w:rsid w:val="005D0B59"/>
    <w:rsid w:val="005D0EF8"/>
    <w:rsid w:val="005D1767"/>
    <w:rsid w:val="005D2CCC"/>
    <w:rsid w:val="005D2EF6"/>
    <w:rsid w:val="005D4B11"/>
    <w:rsid w:val="005D58B6"/>
    <w:rsid w:val="005E13F6"/>
    <w:rsid w:val="005E15A3"/>
    <w:rsid w:val="005E2F5A"/>
    <w:rsid w:val="005E340E"/>
    <w:rsid w:val="005E3B6C"/>
    <w:rsid w:val="005E4ADC"/>
    <w:rsid w:val="005E58A5"/>
    <w:rsid w:val="005F078A"/>
    <w:rsid w:val="005F36F8"/>
    <w:rsid w:val="005F6FCF"/>
    <w:rsid w:val="006000BE"/>
    <w:rsid w:val="00602AB9"/>
    <w:rsid w:val="0060441E"/>
    <w:rsid w:val="00604605"/>
    <w:rsid w:val="00604DFD"/>
    <w:rsid w:val="00606403"/>
    <w:rsid w:val="0060706A"/>
    <w:rsid w:val="00611BEF"/>
    <w:rsid w:val="00612397"/>
    <w:rsid w:val="006151B1"/>
    <w:rsid w:val="0061559F"/>
    <w:rsid w:val="00617389"/>
    <w:rsid w:val="00621235"/>
    <w:rsid w:val="00622F97"/>
    <w:rsid w:val="0062472E"/>
    <w:rsid w:val="00624B55"/>
    <w:rsid w:val="00625E35"/>
    <w:rsid w:val="006314C0"/>
    <w:rsid w:val="006317AE"/>
    <w:rsid w:val="0064059E"/>
    <w:rsid w:val="0064440E"/>
    <w:rsid w:val="00644B1F"/>
    <w:rsid w:val="00644BC8"/>
    <w:rsid w:val="006455E4"/>
    <w:rsid w:val="0064799D"/>
    <w:rsid w:val="00650DAC"/>
    <w:rsid w:val="006539D6"/>
    <w:rsid w:val="00653C6F"/>
    <w:rsid w:val="00655AF9"/>
    <w:rsid w:val="0065651F"/>
    <w:rsid w:val="0065656D"/>
    <w:rsid w:val="00656E4E"/>
    <w:rsid w:val="006609DC"/>
    <w:rsid w:val="00664522"/>
    <w:rsid w:val="00664A1C"/>
    <w:rsid w:val="00665058"/>
    <w:rsid w:val="0066730C"/>
    <w:rsid w:val="0067064D"/>
    <w:rsid w:val="00672EFE"/>
    <w:rsid w:val="00677AB8"/>
    <w:rsid w:val="006839E5"/>
    <w:rsid w:val="006847F7"/>
    <w:rsid w:val="00684BB3"/>
    <w:rsid w:val="00685FF2"/>
    <w:rsid w:val="00693C92"/>
    <w:rsid w:val="006962BD"/>
    <w:rsid w:val="0069797D"/>
    <w:rsid w:val="006A08DE"/>
    <w:rsid w:val="006A0C65"/>
    <w:rsid w:val="006A10E1"/>
    <w:rsid w:val="006A1357"/>
    <w:rsid w:val="006A1A13"/>
    <w:rsid w:val="006A3447"/>
    <w:rsid w:val="006A368D"/>
    <w:rsid w:val="006A570C"/>
    <w:rsid w:val="006A76F4"/>
    <w:rsid w:val="006B097F"/>
    <w:rsid w:val="006B23C3"/>
    <w:rsid w:val="006B2D8B"/>
    <w:rsid w:val="006B78D2"/>
    <w:rsid w:val="006C08BA"/>
    <w:rsid w:val="006C1D44"/>
    <w:rsid w:val="006C2B03"/>
    <w:rsid w:val="006C3840"/>
    <w:rsid w:val="006D1FB7"/>
    <w:rsid w:val="006D235D"/>
    <w:rsid w:val="006D2C94"/>
    <w:rsid w:val="006D30A7"/>
    <w:rsid w:val="006D33B8"/>
    <w:rsid w:val="006D33E8"/>
    <w:rsid w:val="006D4E6A"/>
    <w:rsid w:val="006E0006"/>
    <w:rsid w:val="006E099C"/>
    <w:rsid w:val="006E0AB4"/>
    <w:rsid w:val="006E27A8"/>
    <w:rsid w:val="006E356A"/>
    <w:rsid w:val="006E4C02"/>
    <w:rsid w:val="006E667E"/>
    <w:rsid w:val="006F008C"/>
    <w:rsid w:val="006F149B"/>
    <w:rsid w:val="006F27D8"/>
    <w:rsid w:val="006F54D0"/>
    <w:rsid w:val="006F56B6"/>
    <w:rsid w:val="006F5E05"/>
    <w:rsid w:val="006F613B"/>
    <w:rsid w:val="006F7CD9"/>
    <w:rsid w:val="00701745"/>
    <w:rsid w:val="00703C25"/>
    <w:rsid w:val="00703DFB"/>
    <w:rsid w:val="00705D26"/>
    <w:rsid w:val="00707BCE"/>
    <w:rsid w:val="00711D29"/>
    <w:rsid w:val="00713EA9"/>
    <w:rsid w:val="0071637C"/>
    <w:rsid w:val="00716679"/>
    <w:rsid w:val="00722543"/>
    <w:rsid w:val="00732001"/>
    <w:rsid w:val="0073209A"/>
    <w:rsid w:val="00732F85"/>
    <w:rsid w:val="00735073"/>
    <w:rsid w:val="00735287"/>
    <w:rsid w:val="0073545E"/>
    <w:rsid w:val="00735FFE"/>
    <w:rsid w:val="00736790"/>
    <w:rsid w:val="007372BD"/>
    <w:rsid w:val="00737BF1"/>
    <w:rsid w:val="00742F22"/>
    <w:rsid w:val="00744316"/>
    <w:rsid w:val="0074507F"/>
    <w:rsid w:val="0074602C"/>
    <w:rsid w:val="0074660B"/>
    <w:rsid w:val="00746B82"/>
    <w:rsid w:val="00747371"/>
    <w:rsid w:val="00750CD5"/>
    <w:rsid w:val="00752A08"/>
    <w:rsid w:val="00753D33"/>
    <w:rsid w:val="00754CE6"/>
    <w:rsid w:val="00756ADF"/>
    <w:rsid w:val="00756D28"/>
    <w:rsid w:val="0075780F"/>
    <w:rsid w:val="00757DCC"/>
    <w:rsid w:val="00757EB6"/>
    <w:rsid w:val="00767493"/>
    <w:rsid w:val="00767DF1"/>
    <w:rsid w:val="0077098F"/>
    <w:rsid w:val="00772842"/>
    <w:rsid w:val="00775AC5"/>
    <w:rsid w:val="00780089"/>
    <w:rsid w:val="00781A53"/>
    <w:rsid w:val="00781CDF"/>
    <w:rsid w:val="00782845"/>
    <w:rsid w:val="0078472F"/>
    <w:rsid w:val="00791ABA"/>
    <w:rsid w:val="007921A3"/>
    <w:rsid w:val="00797367"/>
    <w:rsid w:val="00797C57"/>
    <w:rsid w:val="007A0439"/>
    <w:rsid w:val="007A6577"/>
    <w:rsid w:val="007A7CAF"/>
    <w:rsid w:val="007B00C6"/>
    <w:rsid w:val="007B3BF1"/>
    <w:rsid w:val="007B4E47"/>
    <w:rsid w:val="007C07E4"/>
    <w:rsid w:val="007C2920"/>
    <w:rsid w:val="007C2D89"/>
    <w:rsid w:val="007C4C87"/>
    <w:rsid w:val="007C4F8F"/>
    <w:rsid w:val="007C5549"/>
    <w:rsid w:val="007C61AA"/>
    <w:rsid w:val="007C7E63"/>
    <w:rsid w:val="007D02B9"/>
    <w:rsid w:val="007D12AE"/>
    <w:rsid w:val="007D23EA"/>
    <w:rsid w:val="007D3A39"/>
    <w:rsid w:val="007D4EDE"/>
    <w:rsid w:val="007D7688"/>
    <w:rsid w:val="007E2EDA"/>
    <w:rsid w:val="007E583E"/>
    <w:rsid w:val="007E5C0F"/>
    <w:rsid w:val="007E747C"/>
    <w:rsid w:val="007F115D"/>
    <w:rsid w:val="007F5ABB"/>
    <w:rsid w:val="007F6B59"/>
    <w:rsid w:val="007F7E6A"/>
    <w:rsid w:val="00800A76"/>
    <w:rsid w:val="00803C57"/>
    <w:rsid w:val="0080433A"/>
    <w:rsid w:val="008052E6"/>
    <w:rsid w:val="00806301"/>
    <w:rsid w:val="0080688B"/>
    <w:rsid w:val="00806C0B"/>
    <w:rsid w:val="008117EC"/>
    <w:rsid w:val="00812173"/>
    <w:rsid w:val="00813F26"/>
    <w:rsid w:val="00821286"/>
    <w:rsid w:val="00822AAA"/>
    <w:rsid w:val="008260D3"/>
    <w:rsid w:val="00830576"/>
    <w:rsid w:val="00831FFC"/>
    <w:rsid w:val="00832D59"/>
    <w:rsid w:val="008350F1"/>
    <w:rsid w:val="0083548C"/>
    <w:rsid w:val="00835C6E"/>
    <w:rsid w:val="0083648D"/>
    <w:rsid w:val="00843FAD"/>
    <w:rsid w:val="00843FCA"/>
    <w:rsid w:val="00845E14"/>
    <w:rsid w:val="008465CD"/>
    <w:rsid w:val="00847A6E"/>
    <w:rsid w:val="00852323"/>
    <w:rsid w:val="00852B54"/>
    <w:rsid w:val="00852D63"/>
    <w:rsid w:val="00853D9F"/>
    <w:rsid w:val="00854302"/>
    <w:rsid w:val="008619EF"/>
    <w:rsid w:val="00861E55"/>
    <w:rsid w:val="0086421D"/>
    <w:rsid w:val="008642C4"/>
    <w:rsid w:val="00866232"/>
    <w:rsid w:val="008701F8"/>
    <w:rsid w:val="0087078D"/>
    <w:rsid w:val="008713AF"/>
    <w:rsid w:val="0087438E"/>
    <w:rsid w:val="008758F7"/>
    <w:rsid w:val="0087677D"/>
    <w:rsid w:val="00876D77"/>
    <w:rsid w:val="00876FE3"/>
    <w:rsid w:val="00877C08"/>
    <w:rsid w:val="00883879"/>
    <w:rsid w:val="00883FA5"/>
    <w:rsid w:val="00884A70"/>
    <w:rsid w:val="00885371"/>
    <w:rsid w:val="00885B7C"/>
    <w:rsid w:val="00886F51"/>
    <w:rsid w:val="00893626"/>
    <w:rsid w:val="00893C4F"/>
    <w:rsid w:val="00894261"/>
    <w:rsid w:val="00896664"/>
    <w:rsid w:val="008A29A6"/>
    <w:rsid w:val="008A2FA7"/>
    <w:rsid w:val="008A4554"/>
    <w:rsid w:val="008A581C"/>
    <w:rsid w:val="008B4893"/>
    <w:rsid w:val="008B5230"/>
    <w:rsid w:val="008B63BC"/>
    <w:rsid w:val="008B781E"/>
    <w:rsid w:val="008C03B5"/>
    <w:rsid w:val="008C051C"/>
    <w:rsid w:val="008C0714"/>
    <w:rsid w:val="008C0B21"/>
    <w:rsid w:val="008C11F9"/>
    <w:rsid w:val="008C2CDC"/>
    <w:rsid w:val="008C3B2D"/>
    <w:rsid w:val="008C41CF"/>
    <w:rsid w:val="008D0EFD"/>
    <w:rsid w:val="008D1285"/>
    <w:rsid w:val="008D5668"/>
    <w:rsid w:val="008D5CBD"/>
    <w:rsid w:val="008D6D33"/>
    <w:rsid w:val="008E069D"/>
    <w:rsid w:val="008E17FB"/>
    <w:rsid w:val="008E317E"/>
    <w:rsid w:val="008E457E"/>
    <w:rsid w:val="008E5BB5"/>
    <w:rsid w:val="008E7530"/>
    <w:rsid w:val="008E7E91"/>
    <w:rsid w:val="008F1450"/>
    <w:rsid w:val="008F1C2F"/>
    <w:rsid w:val="008F2650"/>
    <w:rsid w:val="008F2EFD"/>
    <w:rsid w:val="008F4D82"/>
    <w:rsid w:val="008F5C15"/>
    <w:rsid w:val="008F5CB3"/>
    <w:rsid w:val="008F66CD"/>
    <w:rsid w:val="009030B1"/>
    <w:rsid w:val="009059CF"/>
    <w:rsid w:val="0090634A"/>
    <w:rsid w:val="00910336"/>
    <w:rsid w:val="009106A4"/>
    <w:rsid w:val="0091115C"/>
    <w:rsid w:val="009113DC"/>
    <w:rsid w:val="00911D48"/>
    <w:rsid w:val="00917699"/>
    <w:rsid w:val="00921CED"/>
    <w:rsid w:val="0092336D"/>
    <w:rsid w:val="0092422D"/>
    <w:rsid w:val="00925143"/>
    <w:rsid w:val="00926D6A"/>
    <w:rsid w:val="00926F41"/>
    <w:rsid w:val="00927F54"/>
    <w:rsid w:val="00930C83"/>
    <w:rsid w:val="00934775"/>
    <w:rsid w:val="00937795"/>
    <w:rsid w:val="00940298"/>
    <w:rsid w:val="00940A8E"/>
    <w:rsid w:val="00940EAD"/>
    <w:rsid w:val="00941FAF"/>
    <w:rsid w:val="00943B23"/>
    <w:rsid w:val="00944213"/>
    <w:rsid w:val="00944ADB"/>
    <w:rsid w:val="0095115E"/>
    <w:rsid w:val="009518FE"/>
    <w:rsid w:val="009522BF"/>
    <w:rsid w:val="0095235A"/>
    <w:rsid w:val="00962151"/>
    <w:rsid w:val="00962454"/>
    <w:rsid w:val="00963D00"/>
    <w:rsid w:val="00963D0A"/>
    <w:rsid w:val="009661F8"/>
    <w:rsid w:val="00966F89"/>
    <w:rsid w:val="009719EA"/>
    <w:rsid w:val="00973DA9"/>
    <w:rsid w:val="009749A9"/>
    <w:rsid w:val="00976D2B"/>
    <w:rsid w:val="0097733A"/>
    <w:rsid w:val="009773C4"/>
    <w:rsid w:val="00977F01"/>
    <w:rsid w:val="009805A9"/>
    <w:rsid w:val="009816D2"/>
    <w:rsid w:val="009836A9"/>
    <w:rsid w:val="00984D38"/>
    <w:rsid w:val="00985618"/>
    <w:rsid w:val="00985DDC"/>
    <w:rsid w:val="009875DC"/>
    <w:rsid w:val="009909B6"/>
    <w:rsid w:val="0099161A"/>
    <w:rsid w:val="00991D17"/>
    <w:rsid w:val="00993696"/>
    <w:rsid w:val="009956E6"/>
    <w:rsid w:val="00997F67"/>
    <w:rsid w:val="009A07A6"/>
    <w:rsid w:val="009A0B5B"/>
    <w:rsid w:val="009A1273"/>
    <w:rsid w:val="009A2669"/>
    <w:rsid w:val="009A2A4F"/>
    <w:rsid w:val="009A2E19"/>
    <w:rsid w:val="009A7AB8"/>
    <w:rsid w:val="009B2B77"/>
    <w:rsid w:val="009B2CD1"/>
    <w:rsid w:val="009B45C9"/>
    <w:rsid w:val="009B57DA"/>
    <w:rsid w:val="009B7C9B"/>
    <w:rsid w:val="009C2140"/>
    <w:rsid w:val="009C593D"/>
    <w:rsid w:val="009C5DA2"/>
    <w:rsid w:val="009D14EE"/>
    <w:rsid w:val="009D1FB2"/>
    <w:rsid w:val="009D357C"/>
    <w:rsid w:val="009D66C8"/>
    <w:rsid w:val="009E6AB6"/>
    <w:rsid w:val="009E6D4F"/>
    <w:rsid w:val="009F1D35"/>
    <w:rsid w:val="009F71C5"/>
    <w:rsid w:val="009F7307"/>
    <w:rsid w:val="009F7B67"/>
    <w:rsid w:val="00A01291"/>
    <w:rsid w:val="00A03188"/>
    <w:rsid w:val="00A03223"/>
    <w:rsid w:val="00A03D3D"/>
    <w:rsid w:val="00A04C32"/>
    <w:rsid w:val="00A06B31"/>
    <w:rsid w:val="00A1092B"/>
    <w:rsid w:val="00A138B9"/>
    <w:rsid w:val="00A166D3"/>
    <w:rsid w:val="00A16BFF"/>
    <w:rsid w:val="00A16F74"/>
    <w:rsid w:val="00A20F33"/>
    <w:rsid w:val="00A21003"/>
    <w:rsid w:val="00A21281"/>
    <w:rsid w:val="00A21C73"/>
    <w:rsid w:val="00A228F4"/>
    <w:rsid w:val="00A23BA4"/>
    <w:rsid w:val="00A27C17"/>
    <w:rsid w:val="00A27C87"/>
    <w:rsid w:val="00A30585"/>
    <w:rsid w:val="00A33F68"/>
    <w:rsid w:val="00A353FC"/>
    <w:rsid w:val="00A35413"/>
    <w:rsid w:val="00A354EE"/>
    <w:rsid w:val="00A35E14"/>
    <w:rsid w:val="00A4065F"/>
    <w:rsid w:val="00A41276"/>
    <w:rsid w:val="00A412DA"/>
    <w:rsid w:val="00A464DC"/>
    <w:rsid w:val="00A47144"/>
    <w:rsid w:val="00A47559"/>
    <w:rsid w:val="00A47857"/>
    <w:rsid w:val="00A51326"/>
    <w:rsid w:val="00A54097"/>
    <w:rsid w:val="00A54D4C"/>
    <w:rsid w:val="00A562F7"/>
    <w:rsid w:val="00A56AB7"/>
    <w:rsid w:val="00A571DA"/>
    <w:rsid w:val="00A62B08"/>
    <w:rsid w:val="00A637CC"/>
    <w:rsid w:val="00A642F2"/>
    <w:rsid w:val="00A67AFD"/>
    <w:rsid w:val="00A74692"/>
    <w:rsid w:val="00A820A9"/>
    <w:rsid w:val="00A826A2"/>
    <w:rsid w:val="00A82A5C"/>
    <w:rsid w:val="00A83CF8"/>
    <w:rsid w:val="00A84D87"/>
    <w:rsid w:val="00A85675"/>
    <w:rsid w:val="00A86CE1"/>
    <w:rsid w:val="00A86DEE"/>
    <w:rsid w:val="00A8704A"/>
    <w:rsid w:val="00A8734C"/>
    <w:rsid w:val="00A90CD5"/>
    <w:rsid w:val="00A91238"/>
    <w:rsid w:val="00A91E8D"/>
    <w:rsid w:val="00A92C17"/>
    <w:rsid w:val="00A932C7"/>
    <w:rsid w:val="00A93D50"/>
    <w:rsid w:val="00A948AE"/>
    <w:rsid w:val="00A96168"/>
    <w:rsid w:val="00A96D56"/>
    <w:rsid w:val="00AA0781"/>
    <w:rsid w:val="00AA394D"/>
    <w:rsid w:val="00AA40BF"/>
    <w:rsid w:val="00AA5EC3"/>
    <w:rsid w:val="00AC1B7D"/>
    <w:rsid w:val="00AC2698"/>
    <w:rsid w:val="00AC34B3"/>
    <w:rsid w:val="00AC4F2A"/>
    <w:rsid w:val="00AC5B62"/>
    <w:rsid w:val="00AC5CBA"/>
    <w:rsid w:val="00AC5D3E"/>
    <w:rsid w:val="00AC6011"/>
    <w:rsid w:val="00AD00B2"/>
    <w:rsid w:val="00AD062A"/>
    <w:rsid w:val="00AD19F9"/>
    <w:rsid w:val="00AD2075"/>
    <w:rsid w:val="00AD3B5E"/>
    <w:rsid w:val="00AD4DC6"/>
    <w:rsid w:val="00AD5FAA"/>
    <w:rsid w:val="00AD739F"/>
    <w:rsid w:val="00AE081D"/>
    <w:rsid w:val="00AE1937"/>
    <w:rsid w:val="00AE3DFE"/>
    <w:rsid w:val="00AE5F33"/>
    <w:rsid w:val="00AE693C"/>
    <w:rsid w:val="00AE6E52"/>
    <w:rsid w:val="00AE7306"/>
    <w:rsid w:val="00AE7BCB"/>
    <w:rsid w:val="00AF1553"/>
    <w:rsid w:val="00AF60A5"/>
    <w:rsid w:val="00AF6659"/>
    <w:rsid w:val="00AF7FE9"/>
    <w:rsid w:val="00B00A17"/>
    <w:rsid w:val="00B02119"/>
    <w:rsid w:val="00B037A6"/>
    <w:rsid w:val="00B0679D"/>
    <w:rsid w:val="00B07B21"/>
    <w:rsid w:val="00B108D8"/>
    <w:rsid w:val="00B10CFF"/>
    <w:rsid w:val="00B11792"/>
    <w:rsid w:val="00B13BBF"/>
    <w:rsid w:val="00B13E00"/>
    <w:rsid w:val="00B14F27"/>
    <w:rsid w:val="00B1590A"/>
    <w:rsid w:val="00B16096"/>
    <w:rsid w:val="00B1722D"/>
    <w:rsid w:val="00B17BA3"/>
    <w:rsid w:val="00B20076"/>
    <w:rsid w:val="00B20677"/>
    <w:rsid w:val="00B22646"/>
    <w:rsid w:val="00B25AD3"/>
    <w:rsid w:val="00B26D95"/>
    <w:rsid w:val="00B27D1A"/>
    <w:rsid w:val="00B32B6E"/>
    <w:rsid w:val="00B33077"/>
    <w:rsid w:val="00B3377C"/>
    <w:rsid w:val="00B33F71"/>
    <w:rsid w:val="00B342E8"/>
    <w:rsid w:val="00B3442D"/>
    <w:rsid w:val="00B34759"/>
    <w:rsid w:val="00B35E2D"/>
    <w:rsid w:val="00B378D5"/>
    <w:rsid w:val="00B40A50"/>
    <w:rsid w:val="00B41159"/>
    <w:rsid w:val="00B424FA"/>
    <w:rsid w:val="00B50B08"/>
    <w:rsid w:val="00B52322"/>
    <w:rsid w:val="00B52707"/>
    <w:rsid w:val="00B52E3C"/>
    <w:rsid w:val="00B548C9"/>
    <w:rsid w:val="00B56C4F"/>
    <w:rsid w:val="00B57C39"/>
    <w:rsid w:val="00B57E7A"/>
    <w:rsid w:val="00B60AF2"/>
    <w:rsid w:val="00B625EC"/>
    <w:rsid w:val="00B66A1A"/>
    <w:rsid w:val="00B727F3"/>
    <w:rsid w:val="00B8286B"/>
    <w:rsid w:val="00B84C99"/>
    <w:rsid w:val="00B8614F"/>
    <w:rsid w:val="00B90E4B"/>
    <w:rsid w:val="00B9223B"/>
    <w:rsid w:val="00B92BFC"/>
    <w:rsid w:val="00B947B4"/>
    <w:rsid w:val="00B94C81"/>
    <w:rsid w:val="00B97DDA"/>
    <w:rsid w:val="00BA0648"/>
    <w:rsid w:val="00BA15A5"/>
    <w:rsid w:val="00BA2125"/>
    <w:rsid w:val="00BA3F4A"/>
    <w:rsid w:val="00BA448D"/>
    <w:rsid w:val="00BA4CF4"/>
    <w:rsid w:val="00BA506A"/>
    <w:rsid w:val="00BA57B5"/>
    <w:rsid w:val="00BB0F56"/>
    <w:rsid w:val="00BB296C"/>
    <w:rsid w:val="00BB389B"/>
    <w:rsid w:val="00BB3EFC"/>
    <w:rsid w:val="00BB6A20"/>
    <w:rsid w:val="00BC7168"/>
    <w:rsid w:val="00BC71F5"/>
    <w:rsid w:val="00BD3972"/>
    <w:rsid w:val="00BD3B50"/>
    <w:rsid w:val="00BD43C8"/>
    <w:rsid w:val="00BD7E0D"/>
    <w:rsid w:val="00BE30BA"/>
    <w:rsid w:val="00BE5F94"/>
    <w:rsid w:val="00BE639D"/>
    <w:rsid w:val="00BF01F1"/>
    <w:rsid w:val="00BF043E"/>
    <w:rsid w:val="00BF3B12"/>
    <w:rsid w:val="00BF3B1D"/>
    <w:rsid w:val="00BF64AB"/>
    <w:rsid w:val="00C020DF"/>
    <w:rsid w:val="00C02EAD"/>
    <w:rsid w:val="00C03F69"/>
    <w:rsid w:val="00C04B02"/>
    <w:rsid w:val="00C05746"/>
    <w:rsid w:val="00C065FD"/>
    <w:rsid w:val="00C06A24"/>
    <w:rsid w:val="00C07207"/>
    <w:rsid w:val="00C07BCD"/>
    <w:rsid w:val="00C108CE"/>
    <w:rsid w:val="00C15DC9"/>
    <w:rsid w:val="00C17E31"/>
    <w:rsid w:val="00C21265"/>
    <w:rsid w:val="00C21324"/>
    <w:rsid w:val="00C21E1F"/>
    <w:rsid w:val="00C24D26"/>
    <w:rsid w:val="00C26426"/>
    <w:rsid w:val="00C3008D"/>
    <w:rsid w:val="00C335C1"/>
    <w:rsid w:val="00C36AD2"/>
    <w:rsid w:val="00C41734"/>
    <w:rsid w:val="00C43E26"/>
    <w:rsid w:val="00C43F20"/>
    <w:rsid w:val="00C4444C"/>
    <w:rsid w:val="00C46321"/>
    <w:rsid w:val="00C47245"/>
    <w:rsid w:val="00C47FA0"/>
    <w:rsid w:val="00C523EF"/>
    <w:rsid w:val="00C53551"/>
    <w:rsid w:val="00C53BE6"/>
    <w:rsid w:val="00C53D29"/>
    <w:rsid w:val="00C54268"/>
    <w:rsid w:val="00C56C4B"/>
    <w:rsid w:val="00C60D91"/>
    <w:rsid w:val="00C7172A"/>
    <w:rsid w:val="00C71F3B"/>
    <w:rsid w:val="00C75687"/>
    <w:rsid w:val="00C758FC"/>
    <w:rsid w:val="00C76EAE"/>
    <w:rsid w:val="00C804CC"/>
    <w:rsid w:val="00C81D60"/>
    <w:rsid w:val="00C823AC"/>
    <w:rsid w:val="00C844D8"/>
    <w:rsid w:val="00C84A1A"/>
    <w:rsid w:val="00C84CED"/>
    <w:rsid w:val="00C84D74"/>
    <w:rsid w:val="00C859FC"/>
    <w:rsid w:val="00C8799E"/>
    <w:rsid w:val="00C95F93"/>
    <w:rsid w:val="00C95F9A"/>
    <w:rsid w:val="00C96BC1"/>
    <w:rsid w:val="00C96C3C"/>
    <w:rsid w:val="00CA6450"/>
    <w:rsid w:val="00CB1150"/>
    <w:rsid w:val="00CB2466"/>
    <w:rsid w:val="00CB4825"/>
    <w:rsid w:val="00CB6916"/>
    <w:rsid w:val="00CC0CCC"/>
    <w:rsid w:val="00CC3549"/>
    <w:rsid w:val="00CC7A53"/>
    <w:rsid w:val="00CD0777"/>
    <w:rsid w:val="00CD6C01"/>
    <w:rsid w:val="00CE1A3D"/>
    <w:rsid w:val="00CE305B"/>
    <w:rsid w:val="00CF1A5A"/>
    <w:rsid w:val="00CF2B5A"/>
    <w:rsid w:val="00CF6CA8"/>
    <w:rsid w:val="00D022E0"/>
    <w:rsid w:val="00D02385"/>
    <w:rsid w:val="00D02719"/>
    <w:rsid w:val="00D0381C"/>
    <w:rsid w:val="00D03FE2"/>
    <w:rsid w:val="00D040BB"/>
    <w:rsid w:val="00D04923"/>
    <w:rsid w:val="00D06188"/>
    <w:rsid w:val="00D061B3"/>
    <w:rsid w:val="00D07BCF"/>
    <w:rsid w:val="00D10A91"/>
    <w:rsid w:val="00D136A3"/>
    <w:rsid w:val="00D150F5"/>
    <w:rsid w:val="00D175B5"/>
    <w:rsid w:val="00D20811"/>
    <w:rsid w:val="00D20BE7"/>
    <w:rsid w:val="00D32561"/>
    <w:rsid w:val="00D36001"/>
    <w:rsid w:val="00D37A92"/>
    <w:rsid w:val="00D423DD"/>
    <w:rsid w:val="00D434A0"/>
    <w:rsid w:val="00D4356B"/>
    <w:rsid w:val="00D452D6"/>
    <w:rsid w:val="00D512AB"/>
    <w:rsid w:val="00D5557B"/>
    <w:rsid w:val="00D5783E"/>
    <w:rsid w:val="00D57947"/>
    <w:rsid w:val="00D645DA"/>
    <w:rsid w:val="00D6702D"/>
    <w:rsid w:val="00D67192"/>
    <w:rsid w:val="00D672FE"/>
    <w:rsid w:val="00D70503"/>
    <w:rsid w:val="00D71759"/>
    <w:rsid w:val="00D720CE"/>
    <w:rsid w:val="00D72736"/>
    <w:rsid w:val="00D7333D"/>
    <w:rsid w:val="00D733AD"/>
    <w:rsid w:val="00D742C8"/>
    <w:rsid w:val="00D749B8"/>
    <w:rsid w:val="00D74D0D"/>
    <w:rsid w:val="00D75D61"/>
    <w:rsid w:val="00D76A2D"/>
    <w:rsid w:val="00D776BE"/>
    <w:rsid w:val="00D7792D"/>
    <w:rsid w:val="00D833AB"/>
    <w:rsid w:val="00D90532"/>
    <w:rsid w:val="00D93A2A"/>
    <w:rsid w:val="00D953F8"/>
    <w:rsid w:val="00D96A2B"/>
    <w:rsid w:val="00D96B07"/>
    <w:rsid w:val="00D96C31"/>
    <w:rsid w:val="00D96F21"/>
    <w:rsid w:val="00DA299D"/>
    <w:rsid w:val="00DA3EE7"/>
    <w:rsid w:val="00DA52B6"/>
    <w:rsid w:val="00DA549B"/>
    <w:rsid w:val="00DA63AE"/>
    <w:rsid w:val="00DB028A"/>
    <w:rsid w:val="00DB31FE"/>
    <w:rsid w:val="00DB36A5"/>
    <w:rsid w:val="00DB4634"/>
    <w:rsid w:val="00DB496C"/>
    <w:rsid w:val="00DB7E2B"/>
    <w:rsid w:val="00DC033D"/>
    <w:rsid w:val="00DC17D7"/>
    <w:rsid w:val="00DC2B9F"/>
    <w:rsid w:val="00DC4DA6"/>
    <w:rsid w:val="00DC5C24"/>
    <w:rsid w:val="00DC61DD"/>
    <w:rsid w:val="00DD2724"/>
    <w:rsid w:val="00DD3C2B"/>
    <w:rsid w:val="00DD487A"/>
    <w:rsid w:val="00DE06A9"/>
    <w:rsid w:val="00DE26D2"/>
    <w:rsid w:val="00DE4E87"/>
    <w:rsid w:val="00DF157F"/>
    <w:rsid w:val="00DF2C89"/>
    <w:rsid w:val="00DF4A2A"/>
    <w:rsid w:val="00DF5BBC"/>
    <w:rsid w:val="00DF7D70"/>
    <w:rsid w:val="00E01A09"/>
    <w:rsid w:val="00E01B88"/>
    <w:rsid w:val="00E02694"/>
    <w:rsid w:val="00E03B91"/>
    <w:rsid w:val="00E04D6D"/>
    <w:rsid w:val="00E050A3"/>
    <w:rsid w:val="00E051A4"/>
    <w:rsid w:val="00E0639E"/>
    <w:rsid w:val="00E067D3"/>
    <w:rsid w:val="00E077CE"/>
    <w:rsid w:val="00E134CA"/>
    <w:rsid w:val="00E14001"/>
    <w:rsid w:val="00E14793"/>
    <w:rsid w:val="00E14928"/>
    <w:rsid w:val="00E204DD"/>
    <w:rsid w:val="00E22099"/>
    <w:rsid w:val="00E221F4"/>
    <w:rsid w:val="00E234C2"/>
    <w:rsid w:val="00E23DB6"/>
    <w:rsid w:val="00E26603"/>
    <w:rsid w:val="00E26611"/>
    <w:rsid w:val="00E26FF6"/>
    <w:rsid w:val="00E3206F"/>
    <w:rsid w:val="00E33213"/>
    <w:rsid w:val="00E33B6F"/>
    <w:rsid w:val="00E4196A"/>
    <w:rsid w:val="00E420BA"/>
    <w:rsid w:val="00E431AB"/>
    <w:rsid w:val="00E434CD"/>
    <w:rsid w:val="00E44B67"/>
    <w:rsid w:val="00E44DB0"/>
    <w:rsid w:val="00E450A6"/>
    <w:rsid w:val="00E47E9D"/>
    <w:rsid w:val="00E51E44"/>
    <w:rsid w:val="00E520D4"/>
    <w:rsid w:val="00E556A5"/>
    <w:rsid w:val="00E577E1"/>
    <w:rsid w:val="00E62AF2"/>
    <w:rsid w:val="00E64C36"/>
    <w:rsid w:val="00E71EEB"/>
    <w:rsid w:val="00E71F2E"/>
    <w:rsid w:val="00E7202F"/>
    <w:rsid w:val="00E721F1"/>
    <w:rsid w:val="00E7715A"/>
    <w:rsid w:val="00E8122B"/>
    <w:rsid w:val="00E81813"/>
    <w:rsid w:val="00E81885"/>
    <w:rsid w:val="00E82EC2"/>
    <w:rsid w:val="00E842A1"/>
    <w:rsid w:val="00E8435A"/>
    <w:rsid w:val="00E85000"/>
    <w:rsid w:val="00E867E1"/>
    <w:rsid w:val="00E901A3"/>
    <w:rsid w:val="00E93655"/>
    <w:rsid w:val="00E93DB2"/>
    <w:rsid w:val="00E95B27"/>
    <w:rsid w:val="00EA01CC"/>
    <w:rsid w:val="00EA0B3E"/>
    <w:rsid w:val="00EA1709"/>
    <w:rsid w:val="00EA43A7"/>
    <w:rsid w:val="00EA4572"/>
    <w:rsid w:val="00EA5BB6"/>
    <w:rsid w:val="00EB0122"/>
    <w:rsid w:val="00EB1125"/>
    <w:rsid w:val="00EB1D7D"/>
    <w:rsid w:val="00EB30C8"/>
    <w:rsid w:val="00EB33F0"/>
    <w:rsid w:val="00EB3F30"/>
    <w:rsid w:val="00EB4827"/>
    <w:rsid w:val="00EB4F27"/>
    <w:rsid w:val="00EB78C7"/>
    <w:rsid w:val="00EC0370"/>
    <w:rsid w:val="00EC1ABA"/>
    <w:rsid w:val="00EC3415"/>
    <w:rsid w:val="00EC5D68"/>
    <w:rsid w:val="00EC7421"/>
    <w:rsid w:val="00EC77AE"/>
    <w:rsid w:val="00ED0381"/>
    <w:rsid w:val="00ED1DE1"/>
    <w:rsid w:val="00ED2CDA"/>
    <w:rsid w:val="00ED4743"/>
    <w:rsid w:val="00ED4D66"/>
    <w:rsid w:val="00ED58BE"/>
    <w:rsid w:val="00ED696B"/>
    <w:rsid w:val="00ED73D2"/>
    <w:rsid w:val="00EE19D5"/>
    <w:rsid w:val="00EE3325"/>
    <w:rsid w:val="00EE481C"/>
    <w:rsid w:val="00EE4E11"/>
    <w:rsid w:val="00EE6C0D"/>
    <w:rsid w:val="00EF0357"/>
    <w:rsid w:val="00EF3488"/>
    <w:rsid w:val="00F00D19"/>
    <w:rsid w:val="00F040A0"/>
    <w:rsid w:val="00F073A6"/>
    <w:rsid w:val="00F104D1"/>
    <w:rsid w:val="00F11BB2"/>
    <w:rsid w:val="00F1616E"/>
    <w:rsid w:val="00F17335"/>
    <w:rsid w:val="00F20AA5"/>
    <w:rsid w:val="00F22355"/>
    <w:rsid w:val="00F223FB"/>
    <w:rsid w:val="00F24C7B"/>
    <w:rsid w:val="00F25FD7"/>
    <w:rsid w:val="00F26061"/>
    <w:rsid w:val="00F31021"/>
    <w:rsid w:val="00F323F3"/>
    <w:rsid w:val="00F3542A"/>
    <w:rsid w:val="00F35FEC"/>
    <w:rsid w:val="00F37AF4"/>
    <w:rsid w:val="00F37B01"/>
    <w:rsid w:val="00F42CA9"/>
    <w:rsid w:val="00F42D15"/>
    <w:rsid w:val="00F46366"/>
    <w:rsid w:val="00F47261"/>
    <w:rsid w:val="00F50980"/>
    <w:rsid w:val="00F5260B"/>
    <w:rsid w:val="00F531AC"/>
    <w:rsid w:val="00F539CC"/>
    <w:rsid w:val="00F5426A"/>
    <w:rsid w:val="00F5714B"/>
    <w:rsid w:val="00F60AD3"/>
    <w:rsid w:val="00F60D1C"/>
    <w:rsid w:val="00F6128F"/>
    <w:rsid w:val="00F701D9"/>
    <w:rsid w:val="00F7105F"/>
    <w:rsid w:val="00F7227F"/>
    <w:rsid w:val="00F72E42"/>
    <w:rsid w:val="00F73817"/>
    <w:rsid w:val="00F73BD5"/>
    <w:rsid w:val="00F7404E"/>
    <w:rsid w:val="00F7579D"/>
    <w:rsid w:val="00F75C0E"/>
    <w:rsid w:val="00F75C8E"/>
    <w:rsid w:val="00F76A29"/>
    <w:rsid w:val="00F82D4B"/>
    <w:rsid w:val="00F85815"/>
    <w:rsid w:val="00F87468"/>
    <w:rsid w:val="00F90980"/>
    <w:rsid w:val="00F92505"/>
    <w:rsid w:val="00F9344B"/>
    <w:rsid w:val="00F937DF"/>
    <w:rsid w:val="00F93E6F"/>
    <w:rsid w:val="00F9742F"/>
    <w:rsid w:val="00FA37B1"/>
    <w:rsid w:val="00FA3CA7"/>
    <w:rsid w:val="00FA6520"/>
    <w:rsid w:val="00FA7A93"/>
    <w:rsid w:val="00FA7D3E"/>
    <w:rsid w:val="00FB048A"/>
    <w:rsid w:val="00FB4147"/>
    <w:rsid w:val="00FB4361"/>
    <w:rsid w:val="00FB518F"/>
    <w:rsid w:val="00FB5ADF"/>
    <w:rsid w:val="00FB647F"/>
    <w:rsid w:val="00FB7458"/>
    <w:rsid w:val="00FC08F7"/>
    <w:rsid w:val="00FC1E2F"/>
    <w:rsid w:val="00FC2706"/>
    <w:rsid w:val="00FC5734"/>
    <w:rsid w:val="00FC6B8D"/>
    <w:rsid w:val="00FC7F2E"/>
    <w:rsid w:val="00FD0FA1"/>
    <w:rsid w:val="00FD698D"/>
    <w:rsid w:val="00FD6A0C"/>
    <w:rsid w:val="00FD71D9"/>
    <w:rsid w:val="00FE226C"/>
    <w:rsid w:val="00FE39EF"/>
    <w:rsid w:val="00FE48B2"/>
    <w:rsid w:val="00FE4E5A"/>
    <w:rsid w:val="00FE79F0"/>
    <w:rsid w:val="00FF51DA"/>
    <w:rsid w:val="00FF54D0"/>
    <w:rsid w:val="00FF78B0"/>
    <w:rsid w:val="00FF7D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A56D98B"/>
  <w15:chartTrackingRefBased/>
  <w15:docId w15:val="{108E5210-5635-4A28-9BA8-978E2F15F4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F56B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F56B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nhideWhenUsed/>
    <w:qFormat/>
    <w:rsid w:val="006F56B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F56B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56B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56B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56B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56B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56B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F56B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F56B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F56B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F56B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56B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56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56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56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56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F56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56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F56B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F56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F56B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F56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F56B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F56B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F56B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F56B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F56B6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6539D6"/>
    <w:rPr>
      <w:b/>
      <w:bCs/>
    </w:rPr>
  </w:style>
  <w:style w:type="character" w:styleId="Emphasis">
    <w:name w:val="Emphasis"/>
    <w:basedOn w:val="DefaultParagraphFont"/>
    <w:uiPriority w:val="20"/>
    <w:qFormat/>
    <w:rsid w:val="006539D6"/>
    <w:rPr>
      <w:i/>
      <w:iCs/>
    </w:rPr>
  </w:style>
  <w:style w:type="character" w:styleId="Hyperlink">
    <w:name w:val="Hyperlink"/>
    <w:basedOn w:val="DefaultParagraphFont"/>
    <w:uiPriority w:val="99"/>
    <w:unhideWhenUsed/>
    <w:rsid w:val="006539D6"/>
    <w:rPr>
      <w:color w:val="0000FF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753D3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53D3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53D33"/>
    <w:rPr>
      <w:vertAlign w:val="superscript"/>
    </w:rPr>
  </w:style>
  <w:style w:type="character" w:styleId="UnresolvedMention">
    <w:name w:val="Unresolved Mention"/>
    <w:basedOn w:val="DefaultParagraphFont"/>
    <w:uiPriority w:val="99"/>
    <w:semiHidden/>
    <w:unhideWhenUsed/>
    <w:rsid w:val="00F85815"/>
    <w:rPr>
      <w:color w:val="605E5C"/>
      <w:shd w:val="clear" w:color="auto" w:fill="E1DFDD"/>
    </w:rPr>
  </w:style>
  <w:style w:type="paragraph" w:styleId="NormalWeb">
    <w:name w:val="Normal (Web)"/>
    <w:basedOn w:val="Normal"/>
    <w:rsid w:val="00BA15A5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kern w:val="0"/>
      <w:sz w:val="21"/>
      <w:szCs w:val="21"/>
      <w:lang w:eastAsia="zh-C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421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20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jstor.org/stable/3509943" TargetMode="External"/><Relationship Id="rId2" Type="http://schemas.openxmlformats.org/officeDocument/2006/relationships/hyperlink" Target="https://works.bepress.com/tlbrink/" TargetMode="External"/><Relationship Id="rId1" Type="http://schemas.openxmlformats.org/officeDocument/2006/relationships/hyperlink" Target="https://en.wikipedia.org/w/index.php?title=Gillian_Bennett&amp;oldid=1194466107" TargetMode="External"/><Relationship Id="rId4" Type="http://schemas.openxmlformats.org/officeDocument/2006/relationships/hyperlink" Target="https://www.jstor.org/stable/350994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CBE5BBB-D945-44A1-87F8-C0337846A5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3009</Words>
  <Characters>17155</Characters>
  <Application>Microsoft Office Word</Application>
  <DocSecurity>0</DocSecurity>
  <Lines>142</Lines>
  <Paragraphs>40</Paragraphs>
  <ScaleCrop>false</ScaleCrop>
  <Company/>
  <LinksUpToDate>false</LinksUpToDate>
  <CharactersWithSpaces>20124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Bisby</dc:creator>
  <cp:keywords/>
  <dc:description/>
  <cp:lastModifiedBy>Sarah Bisby</cp:lastModifiedBy>
  <cp:revision>2</cp:revision>
  <dcterms:created xsi:type="dcterms:W3CDTF">2024-03-15T12:45:00Z</dcterms:created>
  <dcterms:modified xsi:type="dcterms:W3CDTF">2024-03-15T12:45:00Z</dcterms:modified>
</cp:coreProperties>
</file>