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1948" w:rsidRPr="00B01948" w:rsidRDefault="00B01948" w:rsidP="00B01948">
      <w:pPr>
        <w:spacing w:before="375" w:after="0" w:line="460" w:lineRule="atLeast"/>
        <w:outlineLvl w:val="1"/>
        <w:rPr>
          <w:rFonts w:ascii="Times New Roman" w:eastAsia="Times New Roman" w:hAnsi="Times New Roman" w:cs="Times New Roman"/>
          <w:b/>
          <w:bCs/>
          <w:color w:val="000000"/>
          <w:sz w:val="38"/>
          <w:szCs w:val="38"/>
          <w:lang w:eastAsia="en-GB"/>
        </w:rPr>
      </w:pPr>
      <w:r w:rsidRPr="00B01948">
        <w:rPr>
          <w:rFonts w:ascii="Times New Roman" w:eastAsia="Times New Roman" w:hAnsi="Times New Roman" w:cs="Times New Roman"/>
          <w:b/>
          <w:bCs/>
          <w:color w:val="000000"/>
          <w:sz w:val="38"/>
          <w:szCs w:val="38"/>
          <w:lang w:eastAsia="en-GB"/>
        </w:rPr>
        <w:t>Types of Ethnographies</w:t>
      </w:r>
    </w:p>
    <w:p w:rsidR="00B01948" w:rsidRPr="00B01948" w:rsidRDefault="00B01948" w:rsidP="00B01948">
      <w:pPr>
        <w:spacing w:before="274" w:after="0" w:line="411" w:lineRule="atLeast"/>
        <w:rPr>
          <w:rFonts w:ascii="Times New Roman" w:eastAsia="Times New Roman" w:hAnsi="Times New Roman" w:cs="Times New Roman"/>
          <w:color w:val="000000"/>
          <w:sz w:val="27"/>
          <w:szCs w:val="27"/>
          <w:lang w:eastAsia="en-GB"/>
        </w:rPr>
      </w:pPr>
      <w:r w:rsidRPr="00B01948">
        <w:rPr>
          <w:rFonts w:ascii="Times New Roman" w:eastAsia="Times New Roman" w:hAnsi="Times New Roman" w:cs="Times New Roman"/>
          <w:color w:val="000000"/>
          <w:sz w:val="27"/>
          <w:szCs w:val="27"/>
          <w:lang w:eastAsia="en-GB"/>
        </w:rPr>
        <w:t xml:space="preserve">There are many forms of ethnography, such as a confessional ethnography, life history, </w:t>
      </w:r>
      <w:proofErr w:type="spellStart"/>
      <w:r w:rsidRPr="00B01948">
        <w:rPr>
          <w:rFonts w:ascii="Times New Roman" w:eastAsia="Times New Roman" w:hAnsi="Times New Roman" w:cs="Times New Roman"/>
          <w:color w:val="000000"/>
          <w:sz w:val="27"/>
          <w:szCs w:val="27"/>
          <w:lang w:eastAsia="en-GB"/>
        </w:rPr>
        <w:t>autoethnography</w:t>
      </w:r>
      <w:proofErr w:type="spellEnd"/>
      <w:r w:rsidRPr="00B01948">
        <w:rPr>
          <w:rFonts w:ascii="Times New Roman" w:eastAsia="Times New Roman" w:hAnsi="Times New Roman" w:cs="Times New Roman"/>
          <w:color w:val="000000"/>
          <w:sz w:val="27"/>
          <w:szCs w:val="27"/>
          <w:lang w:eastAsia="en-GB"/>
        </w:rPr>
        <w:t xml:space="preserve">, feminist ethnography, ethnographic novels as well as the visual ethnography found in photography, video, and electronic media (Denzin, 1989; </w:t>
      </w:r>
      <w:proofErr w:type="spellStart"/>
      <w:r w:rsidRPr="00B01948">
        <w:rPr>
          <w:rFonts w:ascii="Times New Roman" w:eastAsia="Times New Roman" w:hAnsi="Times New Roman" w:cs="Times New Roman"/>
          <w:color w:val="000000"/>
          <w:sz w:val="27"/>
          <w:szCs w:val="27"/>
          <w:lang w:eastAsia="en-GB"/>
        </w:rPr>
        <w:t>Fetterman</w:t>
      </w:r>
      <w:proofErr w:type="spellEnd"/>
      <w:r w:rsidRPr="00B01948">
        <w:rPr>
          <w:rFonts w:ascii="Times New Roman" w:eastAsia="Times New Roman" w:hAnsi="Times New Roman" w:cs="Times New Roman"/>
          <w:color w:val="000000"/>
          <w:sz w:val="27"/>
          <w:szCs w:val="27"/>
          <w:lang w:eastAsia="en-GB"/>
        </w:rPr>
        <w:t xml:space="preserve">, 2010; </w:t>
      </w:r>
      <w:proofErr w:type="spellStart"/>
      <w:r w:rsidRPr="00B01948">
        <w:rPr>
          <w:rFonts w:ascii="Times New Roman" w:eastAsia="Times New Roman" w:hAnsi="Times New Roman" w:cs="Times New Roman"/>
          <w:color w:val="000000"/>
          <w:sz w:val="27"/>
          <w:szCs w:val="27"/>
          <w:lang w:eastAsia="en-GB"/>
        </w:rPr>
        <w:t>LeCompte</w:t>
      </w:r>
      <w:proofErr w:type="spellEnd"/>
      <w:r w:rsidRPr="00B01948">
        <w:rPr>
          <w:rFonts w:ascii="Times New Roman" w:eastAsia="Times New Roman" w:hAnsi="Times New Roman" w:cs="Times New Roman"/>
          <w:color w:val="000000"/>
          <w:sz w:val="27"/>
          <w:szCs w:val="27"/>
          <w:lang w:eastAsia="en-GB"/>
        </w:rPr>
        <w:t xml:space="preserve">, </w:t>
      </w:r>
      <w:proofErr w:type="spellStart"/>
      <w:r w:rsidRPr="00B01948">
        <w:rPr>
          <w:rFonts w:ascii="Times New Roman" w:eastAsia="Times New Roman" w:hAnsi="Times New Roman" w:cs="Times New Roman"/>
          <w:color w:val="000000"/>
          <w:sz w:val="27"/>
          <w:szCs w:val="27"/>
          <w:lang w:eastAsia="en-GB"/>
        </w:rPr>
        <w:t>Millroy</w:t>
      </w:r>
      <w:proofErr w:type="spellEnd"/>
      <w:r w:rsidRPr="00B01948">
        <w:rPr>
          <w:rFonts w:ascii="Times New Roman" w:eastAsia="Times New Roman" w:hAnsi="Times New Roman" w:cs="Times New Roman"/>
          <w:color w:val="000000"/>
          <w:sz w:val="27"/>
          <w:szCs w:val="27"/>
          <w:lang w:eastAsia="en-GB"/>
        </w:rPr>
        <w:t xml:space="preserve">, &amp; </w:t>
      </w:r>
      <w:proofErr w:type="spellStart"/>
      <w:r w:rsidRPr="00B01948">
        <w:rPr>
          <w:rFonts w:ascii="Times New Roman" w:eastAsia="Times New Roman" w:hAnsi="Times New Roman" w:cs="Times New Roman"/>
          <w:color w:val="000000"/>
          <w:sz w:val="27"/>
          <w:szCs w:val="27"/>
          <w:lang w:eastAsia="en-GB"/>
        </w:rPr>
        <w:t>Preissle</w:t>
      </w:r>
      <w:proofErr w:type="spellEnd"/>
      <w:r w:rsidRPr="00B01948">
        <w:rPr>
          <w:rFonts w:ascii="Times New Roman" w:eastAsia="Times New Roman" w:hAnsi="Times New Roman" w:cs="Times New Roman"/>
          <w:color w:val="000000"/>
          <w:sz w:val="27"/>
          <w:szCs w:val="27"/>
          <w:lang w:eastAsia="en-GB"/>
        </w:rPr>
        <w:t xml:space="preserve">, 1992; Pink, 2001; Van </w:t>
      </w:r>
      <w:proofErr w:type="spellStart"/>
      <w:r w:rsidRPr="00B01948">
        <w:rPr>
          <w:rFonts w:ascii="Times New Roman" w:eastAsia="Times New Roman" w:hAnsi="Times New Roman" w:cs="Times New Roman"/>
          <w:color w:val="000000"/>
          <w:sz w:val="27"/>
          <w:szCs w:val="27"/>
          <w:lang w:eastAsia="en-GB"/>
        </w:rPr>
        <w:t>Maanen</w:t>
      </w:r>
      <w:proofErr w:type="spellEnd"/>
      <w:r w:rsidRPr="00B01948">
        <w:rPr>
          <w:rFonts w:ascii="Times New Roman" w:eastAsia="Times New Roman" w:hAnsi="Times New Roman" w:cs="Times New Roman"/>
          <w:color w:val="000000"/>
          <w:sz w:val="27"/>
          <w:szCs w:val="27"/>
          <w:lang w:eastAsia="en-GB"/>
        </w:rPr>
        <w:t xml:space="preserve">, 1988). Two popular forms of ethnography will be emphasized here: the </w:t>
      </w:r>
      <w:r w:rsidRPr="00B01948">
        <w:rPr>
          <w:rFonts w:ascii="Times New Roman" w:eastAsia="Times New Roman" w:hAnsi="Times New Roman" w:cs="Times New Roman"/>
          <w:b/>
          <w:bCs/>
          <w:i/>
          <w:iCs/>
          <w:color w:val="000000"/>
          <w:sz w:val="27"/>
          <w:szCs w:val="27"/>
          <w:lang w:eastAsia="en-GB"/>
        </w:rPr>
        <w:t>realist ethnography</w:t>
      </w:r>
      <w:r w:rsidRPr="00B01948">
        <w:rPr>
          <w:rFonts w:ascii="Times New Roman" w:eastAsia="Times New Roman" w:hAnsi="Times New Roman" w:cs="Times New Roman"/>
          <w:color w:val="000000"/>
          <w:sz w:val="27"/>
          <w:szCs w:val="27"/>
          <w:lang w:eastAsia="en-GB"/>
        </w:rPr>
        <w:t xml:space="preserve"> and the critical ethnography.</w:t>
      </w:r>
    </w:p>
    <w:p w:rsidR="00B01948" w:rsidRPr="00B01948" w:rsidRDefault="00B01948" w:rsidP="00B01948">
      <w:pPr>
        <w:spacing w:before="274" w:after="0" w:line="411" w:lineRule="atLeast"/>
        <w:rPr>
          <w:rFonts w:ascii="Times New Roman" w:eastAsia="Times New Roman" w:hAnsi="Times New Roman" w:cs="Times New Roman"/>
          <w:color w:val="000000"/>
          <w:sz w:val="27"/>
          <w:szCs w:val="27"/>
          <w:lang w:eastAsia="en-GB"/>
        </w:rPr>
      </w:pPr>
      <w:r w:rsidRPr="00B01948">
        <w:rPr>
          <w:rFonts w:ascii="Times New Roman" w:eastAsia="Times New Roman" w:hAnsi="Times New Roman" w:cs="Times New Roman"/>
          <w:color w:val="000000"/>
          <w:sz w:val="27"/>
          <w:szCs w:val="27"/>
          <w:lang w:eastAsia="en-GB"/>
        </w:rPr>
        <w:t xml:space="preserve">The realist ethnography is a traditional approach used by cultural anthropologists. Characterized by Van </w:t>
      </w:r>
      <w:proofErr w:type="spellStart"/>
      <w:r w:rsidRPr="00B01948">
        <w:rPr>
          <w:rFonts w:ascii="Times New Roman" w:eastAsia="Times New Roman" w:hAnsi="Times New Roman" w:cs="Times New Roman"/>
          <w:color w:val="000000"/>
          <w:sz w:val="27"/>
          <w:szCs w:val="27"/>
          <w:lang w:eastAsia="en-GB"/>
        </w:rPr>
        <w:t>Maanen</w:t>
      </w:r>
      <w:proofErr w:type="spellEnd"/>
      <w:r w:rsidRPr="00B01948">
        <w:rPr>
          <w:rFonts w:ascii="Times New Roman" w:eastAsia="Times New Roman" w:hAnsi="Times New Roman" w:cs="Times New Roman"/>
          <w:color w:val="000000"/>
          <w:sz w:val="27"/>
          <w:szCs w:val="27"/>
          <w:lang w:eastAsia="en-GB"/>
        </w:rPr>
        <w:t xml:space="preserve"> (1988, 2011), it reflects a particular stance taken by the researcher toward the individuals being studied. Realist ethnography is an objective account of the situation, typically written in the third-person point of view and reporting objectively on the information learned from participants at a site. In this ethnographic approach, the realist ethnographer narrates the study in a third-person dispassionate voice and reports on what is observed or heard from participants. The ethnographer remains in the background as an omniscient reporter of the “facts.” The realist also reports objective data in a measured style uncontaminated by personal bias, political goals, and judgment. The researcher may provide mundane details of everyday life among the people studied. The ethnographer also uses standard categories for cultural description (e.g., family life, communication networks, work life, social networks, </w:t>
      </w:r>
      <w:proofErr w:type="gramStart"/>
      <w:r w:rsidRPr="00B01948">
        <w:rPr>
          <w:rFonts w:ascii="Times New Roman" w:eastAsia="Times New Roman" w:hAnsi="Times New Roman" w:cs="Times New Roman"/>
          <w:color w:val="000000"/>
          <w:sz w:val="27"/>
          <w:szCs w:val="27"/>
          <w:lang w:eastAsia="en-GB"/>
        </w:rPr>
        <w:t>status</w:t>
      </w:r>
      <w:proofErr w:type="gramEnd"/>
      <w:r w:rsidRPr="00B01948">
        <w:rPr>
          <w:rFonts w:ascii="Times New Roman" w:eastAsia="Times New Roman" w:hAnsi="Times New Roman" w:cs="Times New Roman"/>
          <w:color w:val="000000"/>
          <w:sz w:val="27"/>
          <w:szCs w:val="27"/>
          <w:lang w:eastAsia="en-GB"/>
        </w:rPr>
        <w:t xml:space="preserve"> systems). The ethnographer produces the participants’ views through closely edited quotations and has the final word on how the culture is to be interpreted and presented.</w:t>
      </w:r>
    </w:p>
    <w:p w:rsidR="00B01948" w:rsidRDefault="00B01948" w:rsidP="00B01948">
      <w:pPr>
        <w:spacing w:before="274" w:after="0" w:line="411" w:lineRule="atLeast"/>
        <w:rPr>
          <w:color w:val="000000"/>
          <w:sz w:val="27"/>
          <w:szCs w:val="27"/>
        </w:rPr>
      </w:pPr>
      <w:r w:rsidRPr="00B01948">
        <w:rPr>
          <w:rFonts w:ascii="Times New Roman" w:eastAsia="Times New Roman" w:hAnsi="Times New Roman" w:cs="Times New Roman"/>
          <w:color w:val="000000"/>
          <w:sz w:val="27"/>
          <w:szCs w:val="27"/>
          <w:lang w:eastAsia="en-GB"/>
        </w:rPr>
        <w:t>Alternatively, for many researchers, ethnography today employs a “critical” approach (</w:t>
      </w:r>
      <w:proofErr w:type="spellStart"/>
      <w:r w:rsidRPr="00B01948">
        <w:rPr>
          <w:rFonts w:ascii="Times New Roman" w:eastAsia="Times New Roman" w:hAnsi="Times New Roman" w:cs="Times New Roman"/>
          <w:color w:val="000000"/>
          <w:sz w:val="27"/>
          <w:szCs w:val="27"/>
          <w:lang w:eastAsia="en-GB"/>
        </w:rPr>
        <w:t>Carspecken</w:t>
      </w:r>
      <w:proofErr w:type="spellEnd"/>
      <w:r w:rsidRPr="00B01948">
        <w:rPr>
          <w:rFonts w:ascii="Times New Roman" w:eastAsia="Times New Roman" w:hAnsi="Times New Roman" w:cs="Times New Roman"/>
          <w:color w:val="000000"/>
          <w:sz w:val="27"/>
          <w:szCs w:val="27"/>
          <w:lang w:eastAsia="en-GB"/>
        </w:rPr>
        <w:t xml:space="preserve"> &amp; Apple, 1992; Madison, 2011; Thomas, 1993) by including in the research an advocacy perspective. This approach is in response to current society, in which the systems of power, prestige, privilege, and authority serve to marginalize individuals who are from different classes, races, and genders. The critical ethnography is a type of ethnographic research in which the authors advocate for the emancipation of groups marginalized in society (Thomas, 1993). Critical researchers typically are politically minded individuals who seek, through </w:t>
      </w:r>
      <w:r w:rsidRPr="00B01948">
        <w:rPr>
          <w:rFonts w:ascii="Times New Roman" w:eastAsia="Times New Roman" w:hAnsi="Times New Roman" w:cs="Times New Roman"/>
          <w:color w:val="000000"/>
          <w:sz w:val="27"/>
          <w:szCs w:val="27"/>
          <w:lang w:eastAsia="en-GB"/>
        </w:rPr>
        <w:lastRenderedPageBreak/>
        <w:t>their research, to speak out against inequality and domination (</w:t>
      </w:r>
      <w:proofErr w:type="spellStart"/>
      <w:r w:rsidRPr="00B01948">
        <w:rPr>
          <w:rFonts w:ascii="Times New Roman" w:eastAsia="Times New Roman" w:hAnsi="Times New Roman" w:cs="Times New Roman"/>
          <w:color w:val="000000"/>
          <w:sz w:val="27"/>
          <w:szCs w:val="27"/>
          <w:lang w:eastAsia="en-GB"/>
        </w:rPr>
        <w:t>Carspecken</w:t>
      </w:r>
      <w:proofErr w:type="spellEnd"/>
      <w:r w:rsidRPr="00B01948">
        <w:rPr>
          <w:rFonts w:ascii="Times New Roman" w:eastAsia="Times New Roman" w:hAnsi="Times New Roman" w:cs="Times New Roman"/>
          <w:color w:val="000000"/>
          <w:sz w:val="27"/>
          <w:szCs w:val="27"/>
          <w:lang w:eastAsia="en-GB"/>
        </w:rPr>
        <w:t xml:space="preserve"> &amp; Apple, 1992). For example, critical ethnographers </w:t>
      </w:r>
      <w:r>
        <w:rPr>
          <w:color w:val="000000"/>
          <w:sz w:val="27"/>
          <w:szCs w:val="27"/>
        </w:rPr>
        <w:t xml:space="preserve">might study schools that provide privileges to certain types of students, or </w:t>
      </w:r>
      <w:proofErr w:type="spellStart"/>
      <w:r>
        <w:rPr>
          <w:color w:val="000000"/>
          <w:sz w:val="27"/>
          <w:szCs w:val="27"/>
        </w:rPr>
        <w:t>counseling</w:t>
      </w:r>
      <w:proofErr w:type="spellEnd"/>
      <w:r>
        <w:rPr>
          <w:color w:val="000000"/>
          <w:sz w:val="27"/>
          <w:szCs w:val="27"/>
        </w:rPr>
        <w:t xml:space="preserve"> practices that serve to overlook the needs of underrepresented groups. The major components of a critical ethnography include a value-laden orientation, empowering people by giving them more authority, challenging the status quo, and addressing concerns about power and control. A critical ethnographer will study issues of power, empowerment, inequality, inequity, dominance, repression, hegemony, and victimization.</w:t>
      </w:r>
      <w:bookmarkStart w:id="0" w:name="_GoBack"/>
      <w:bookmarkEnd w:id="0"/>
    </w:p>
    <w:sectPr w:rsidR="00B019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115207"/>
    <w:multiLevelType w:val="multilevel"/>
    <w:tmpl w:val="277AF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0217A4A"/>
    <w:multiLevelType w:val="multilevel"/>
    <w:tmpl w:val="7AD83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0273E37"/>
    <w:multiLevelType w:val="multilevel"/>
    <w:tmpl w:val="E8161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F0A1758"/>
    <w:multiLevelType w:val="multilevel"/>
    <w:tmpl w:val="64046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1948"/>
    <w:rsid w:val="00295C83"/>
    <w:rsid w:val="00B01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0194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1948"/>
    <w:rPr>
      <w:rFonts w:ascii="Times New Roman" w:eastAsia="Times New Roman" w:hAnsi="Times New Roman" w:cs="Times New Roman"/>
      <w:b/>
      <w:bCs/>
      <w:sz w:val="36"/>
      <w:szCs w:val="36"/>
      <w:lang w:eastAsia="en-GB"/>
    </w:rPr>
  </w:style>
  <w:style w:type="paragraph" w:customStyle="1" w:styleId="edition">
    <w:name w:val="edition"/>
    <w:basedOn w:val="Normal"/>
    <w:rsid w:val="00B019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01948"/>
    <w:rPr>
      <w:color w:val="0000FF"/>
      <w:u w:val="single"/>
    </w:rPr>
  </w:style>
  <w:style w:type="character" w:customStyle="1" w:styleId="calibre12">
    <w:name w:val="calibre12"/>
    <w:basedOn w:val="DefaultParagraphFont"/>
    <w:rsid w:val="00B0194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0194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1948"/>
    <w:rPr>
      <w:rFonts w:ascii="Times New Roman" w:eastAsia="Times New Roman" w:hAnsi="Times New Roman" w:cs="Times New Roman"/>
      <w:b/>
      <w:bCs/>
      <w:sz w:val="36"/>
      <w:szCs w:val="36"/>
      <w:lang w:eastAsia="en-GB"/>
    </w:rPr>
  </w:style>
  <w:style w:type="paragraph" w:customStyle="1" w:styleId="edition">
    <w:name w:val="edition"/>
    <w:basedOn w:val="Normal"/>
    <w:rsid w:val="00B019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01948"/>
    <w:rPr>
      <w:color w:val="0000FF"/>
      <w:u w:val="single"/>
    </w:rPr>
  </w:style>
  <w:style w:type="character" w:customStyle="1" w:styleId="calibre12">
    <w:name w:val="calibre12"/>
    <w:basedOn w:val="DefaultParagraphFont"/>
    <w:rsid w:val="00B019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9918547">
      <w:bodyDiv w:val="1"/>
      <w:marLeft w:val="0"/>
      <w:marRight w:val="0"/>
      <w:marTop w:val="0"/>
      <w:marBottom w:val="0"/>
      <w:divBdr>
        <w:top w:val="none" w:sz="0" w:space="0" w:color="auto"/>
        <w:left w:val="none" w:sz="0" w:space="0" w:color="auto"/>
        <w:bottom w:val="none" w:sz="0" w:space="0" w:color="auto"/>
        <w:right w:val="none" w:sz="0" w:space="0" w:color="auto"/>
      </w:divBdr>
    </w:div>
    <w:div w:id="705571098">
      <w:bodyDiv w:val="1"/>
      <w:marLeft w:val="0"/>
      <w:marRight w:val="0"/>
      <w:marTop w:val="0"/>
      <w:marBottom w:val="0"/>
      <w:divBdr>
        <w:top w:val="none" w:sz="0" w:space="0" w:color="auto"/>
        <w:left w:val="none" w:sz="0" w:space="0" w:color="auto"/>
        <w:bottom w:val="none" w:sz="0" w:space="0" w:color="auto"/>
        <w:right w:val="none" w:sz="0" w:space="0" w:color="auto"/>
      </w:divBdr>
    </w:div>
    <w:div w:id="1518930841">
      <w:bodyDiv w:val="1"/>
      <w:marLeft w:val="0"/>
      <w:marRight w:val="0"/>
      <w:marTop w:val="0"/>
      <w:marBottom w:val="0"/>
      <w:divBdr>
        <w:top w:val="none" w:sz="0" w:space="0" w:color="auto"/>
        <w:left w:val="none" w:sz="0" w:space="0" w:color="auto"/>
        <w:bottom w:val="none" w:sz="0" w:space="0" w:color="auto"/>
        <w:right w:val="none" w:sz="0" w:space="0" w:color="auto"/>
      </w:divBdr>
    </w:div>
    <w:div w:id="1605336765">
      <w:bodyDiv w:val="1"/>
      <w:marLeft w:val="0"/>
      <w:marRight w:val="0"/>
      <w:marTop w:val="0"/>
      <w:marBottom w:val="0"/>
      <w:divBdr>
        <w:top w:val="none" w:sz="0" w:space="0" w:color="auto"/>
        <w:left w:val="none" w:sz="0" w:space="0" w:color="auto"/>
        <w:bottom w:val="none" w:sz="0" w:space="0" w:color="auto"/>
        <w:right w:val="none" w:sz="0" w:space="0" w:color="auto"/>
      </w:divBdr>
    </w:div>
    <w:div w:id="2116362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439</Words>
  <Characters>2506</Characters>
  <Application>Microsoft Office Word</Application>
  <DocSecurity>0</DocSecurity>
  <Lines>20</Lines>
  <Paragraphs>5</Paragraphs>
  <ScaleCrop>false</ScaleCrop>
  <Company/>
  <LinksUpToDate>false</LinksUpToDate>
  <CharactersWithSpaces>2940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T</cp:lastModifiedBy>
  <cp:revision>1</cp:revision>
  <dcterms:created xsi:type="dcterms:W3CDTF">2019-05-15T05:56:00Z</dcterms:created>
  <dcterms:modified xsi:type="dcterms:W3CDTF">2019-05-15T05:57:00Z</dcterms:modified>
</cp:coreProperties>
</file>