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882D28" wp14:paraId="255AE04E" wp14:textId="0DEE9BB1">
      <w:pPr>
        <w:pStyle w:val="Title"/>
        <w:rPr>
          <w:rFonts w:ascii="Aptos Display" w:hAnsi="Aptos Display" w:eastAsia="Aptos Display" w:cs="Aptos Display" w:asciiTheme="majorAscii" w:hAnsiTheme="majorAscii" w:eastAsiaTheme="majorAscii" w:cstheme="majorAscii"/>
          <w:noProof w:val="0"/>
          <w:u w:val="single"/>
          <w:lang w:val="en-GB"/>
        </w:rPr>
      </w:pPr>
      <w:r w:rsidRPr="7B882D28" w:rsidR="1DFA1F25">
        <w:rPr>
          <w:rFonts w:ascii="Aptos Display" w:hAnsi="Aptos Display" w:eastAsia="Aptos Display" w:cs="Aptos Display" w:asciiTheme="majorAscii" w:hAnsiTheme="majorAscii" w:eastAsiaTheme="majorAscii" w:cstheme="majorAscii"/>
          <w:noProof w:val="0"/>
          <w:u w:val="single"/>
          <w:lang w:val="en-GB"/>
        </w:rPr>
        <w:t>Analysing Recent UK Housing and Economic Policies</w:t>
      </w:r>
    </w:p>
    <w:p xmlns:wp14="http://schemas.microsoft.com/office/word/2010/wordml" w:rsidP="7B882D28" wp14:paraId="35CAB943" wp14:textId="5653CC8D">
      <w:pPr>
        <w:pStyle w:val="Normal"/>
        <w:rPr>
          <w:noProof w:val="0"/>
          <w:lang w:val="en-GB"/>
        </w:rPr>
      </w:pPr>
      <w:r w:rsidRPr="7B882D28" w:rsidR="02A98B6A">
        <w:rPr>
          <w:rFonts w:ascii="Aptos Display" w:hAnsi="Aptos Display" w:eastAsia="Aptos Display" w:cs="Aptos Display" w:asciiTheme="majorAscii" w:hAnsiTheme="majorAscii" w:eastAsiaTheme="majorAscii" w:cstheme="majorAscii"/>
          <w:noProof w:val="0"/>
          <w:u w:val="single"/>
          <w:lang w:val="en-GB"/>
        </w:rPr>
        <w:t>Iwan Thomas</w:t>
      </w:r>
    </w:p>
    <w:p xmlns:wp14="http://schemas.microsoft.com/office/word/2010/wordml" w:rsidP="7B882D28" wp14:paraId="700BBE6F" wp14:textId="4BB9A4DD">
      <w:pPr>
        <w:pStyle w:val="Normal"/>
        <w:rPr>
          <w:rFonts w:ascii="Aptos Display" w:hAnsi="Aptos Display" w:eastAsia="Aptos Display" w:cs="Aptos Display" w:asciiTheme="majorAscii" w:hAnsiTheme="majorAscii" w:eastAsiaTheme="majorAscii" w:cstheme="majorAscii"/>
          <w:noProof w:val="0"/>
          <w:u w:val="single"/>
          <w:lang w:val="en-GB"/>
        </w:rPr>
      </w:pPr>
      <w:r w:rsidRPr="7B882D28" w:rsidR="02A98B6A">
        <w:rPr>
          <w:rFonts w:ascii="Aptos Display" w:hAnsi="Aptos Display" w:eastAsia="Aptos Display" w:cs="Aptos Display" w:asciiTheme="majorAscii" w:hAnsiTheme="majorAscii" w:eastAsiaTheme="majorAscii" w:cstheme="majorAscii"/>
          <w:noProof w:val="0"/>
          <w:u w:val="single"/>
          <w:lang w:val="en-GB"/>
        </w:rPr>
        <w:t>2403908</w:t>
      </w:r>
    </w:p>
    <w:p xmlns:wp14="http://schemas.microsoft.com/office/word/2010/wordml" w:rsidP="7B882D28" wp14:paraId="5C2AA4D6" wp14:textId="0BC4CB88">
      <w:pPr>
        <w:pStyle w:val="Normal"/>
        <w:rPr>
          <w:noProof w:val="0"/>
          <w:lang w:val="en-GB"/>
        </w:rPr>
      </w:pPr>
    </w:p>
    <w:p xmlns:wp14="http://schemas.microsoft.com/office/word/2010/wordml" w:rsidP="323EB3E8" wp14:paraId="5DB3E693" wp14:textId="1AAAB3E0">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323EB3E8" w:rsidR="5B4BD5C9">
        <w:rPr>
          <w:rFonts w:ascii="Aptos" w:hAnsi="Aptos" w:eastAsia="Aptos" w:cs="Aptos" w:asciiTheme="minorAscii" w:hAnsiTheme="minorAscii" w:eastAsiaTheme="minorAscii" w:cstheme="minorAscii"/>
          <w:b w:val="0"/>
          <w:bCs w:val="0"/>
          <w:noProof w:val="0"/>
          <w:sz w:val="36"/>
          <w:szCs w:val="36"/>
          <w:u w:val="single"/>
          <w:lang w:val="en-GB"/>
        </w:rPr>
        <w:t>Introduction</w:t>
      </w:r>
    </w:p>
    <w:p xmlns:wp14="http://schemas.microsoft.com/office/word/2010/wordml" w:rsidP="323EB3E8" wp14:paraId="29696F5A" wp14:textId="6329667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Public policy is rarely neutral</w:t>
      </w:r>
      <w:r w:rsidRPr="323EB3E8" w:rsidR="585DA176">
        <w:rPr>
          <w:rFonts w:ascii="Aptos" w:hAnsi="Aptos" w:eastAsia="Aptos" w:cs="Aptos" w:asciiTheme="minorAscii" w:hAnsiTheme="minorAscii" w:eastAsiaTheme="minorAscii" w:cstheme="minorAscii"/>
          <w:b w:val="0"/>
          <w:bCs w:val="0"/>
          <w:noProof w:val="0"/>
          <w:sz w:val="24"/>
          <w:szCs w:val="24"/>
          <w:lang w:val="en-GB"/>
        </w:rPr>
        <w:t>,</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it is shaped by political priorities, institutional constraints, economic </w:t>
      </w:r>
      <w:r w:rsidRPr="323EB3E8" w:rsidR="5B4BD5C9">
        <w:rPr>
          <w:rFonts w:ascii="Aptos" w:hAnsi="Aptos" w:eastAsia="Aptos" w:cs="Aptos" w:asciiTheme="minorAscii" w:hAnsiTheme="minorAscii" w:eastAsiaTheme="minorAscii" w:cstheme="minorAscii"/>
          <w:b w:val="0"/>
          <w:bCs w:val="0"/>
          <w:noProof w:val="0"/>
          <w:sz w:val="24"/>
          <w:szCs w:val="24"/>
          <w:lang w:val="en-GB"/>
        </w:rPr>
        <w:t>pressures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public opinion. While policies are often presented as technical solutions to clearly defined problems, they are also the product of political negotiation, ideological assumptions and practical considerations surrounding implementation. Consequently, the effectiveness of public policy must be assessed not only by its stated </w:t>
      </w:r>
      <w:r w:rsidRPr="323EB3E8" w:rsidR="5B4BD5C9">
        <w:rPr>
          <w:rFonts w:ascii="Aptos" w:hAnsi="Aptos" w:eastAsia="Aptos" w:cs="Aptos" w:asciiTheme="minorAscii" w:hAnsiTheme="minorAscii" w:eastAsiaTheme="minorAscii" w:cstheme="minorAscii"/>
          <w:b w:val="0"/>
          <w:bCs w:val="0"/>
          <w:noProof w:val="0"/>
          <w:sz w:val="24"/>
          <w:szCs w:val="24"/>
          <w:lang w:val="en-GB"/>
        </w:rPr>
        <w:t>objectives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but also by how it is developed and how it </w:t>
      </w:r>
      <w:r w:rsidRPr="323EB3E8" w:rsidR="5B4BD5C9">
        <w:rPr>
          <w:rFonts w:ascii="Aptos" w:hAnsi="Aptos" w:eastAsia="Aptos" w:cs="Aptos" w:asciiTheme="minorAscii" w:hAnsiTheme="minorAscii" w:eastAsiaTheme="minorAscii" w:cstheme="minorAscii"/>
          <w:b w:val="0"/>
          <w:bCs w:val="0"/>
          <w:noProof w:val="0"/>
          <w:sz w:val="24"/>
          <w:szCs w:val="24"/>
          <w:lang w:val="en-GB"/>
        </w:rPr>
        <w:t>operates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 practice, including its unintended consequences (Cairney, 2020).</w:t>
      </w:r>
    </w:p>
    <w:p xmlns:wp14="http://schemas.microsoft.com/office/word/2010/wordml" w:rsidP="323EB3E8" wp14:paraId="4D92BF85" wp14:textId="0B48E22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This essay analyses two recent UK policies from different domains: housing policy and economic policy. The housing case study focuses on the </w:t>
      </w:r>
      <w:r w:rsidRPr="323EB3E8" w:rsidR="5B4BD5C9">
        <w:rPr>
          <w:rFonts w:ascii="Aptos" w:hAnsi="Aptos" w:eastAsia="Aptos" w:cs="Aptos" w:asciiTheme="minorAscii" w:hAnsiTheme="minorAscii" w:eastAsiaTheme="minorAscii" w:cstheme="minorAscii"/>
          <w:b w:val="0"/>
          <w:bCs w:val="0"/>
          <w:noProof w:val="0"/>
          <w:sz w:val="24"/>
          <w:szCs w:val="24"/>
          <w:lang w:val="en-GB"/>
        </w:rPr>
        <w:t>Renters’ Rights Act 2025</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 England, which abolished Section 21 “no-fault” evictions and introduced substantial reforms to the private rented sector. The economic case study examines the </w:t>
      </w:r>
      <w:r w:rsidRPr="323EB3E8" w:rsidR="5B4BD5C9">
        <w:rPr>
          <w:rFonts w:ascii="Aptos" w:hAnsi="Aptos" w:eastAsia="Aptos" w:cs="Aptos" w:asciiTheme="minorAscii" w:hAnsiTheme="minorAscii" w:eastAsiaTheme="minorAscii" w:cstheme="minorAscii"/>
          <w:b w:val="0"/>
          <w:bCs w:val="0"/>
          <w:noProof w:val="0"/>
          <w:sz w:val="24"/>
          <w:szCs w:val="24"/>
          <w:lang w:val="en-GB"/>
        </w:rPr>
        <w:t>Autumn Budget 2025</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which outlined the Labour government’s fiscal strategy following its election in 2024. Together, these policies illustrate how governments </w:t>
      </w:r>
      <w:r w:rsidRPr="323EB3E8" w:rsidR="5B4BD5C9">
        <w:rPr>
          <w:rFonts w:ascii="Aptos" w:hAnsi="Aptos" w:eastAsia="Aptos" w:cs="Aptos" w:asciiTheme="minorAscii" w:hAnsiTheme="minorAscii" w:eastAsiaTheme="minorAscii" w:cstheme="minorAscii"/>
          <w:b w:val="0"/>
          <w:bCs w:val="0"/>
          <w:noProof w:val="0"/>
          <w:sz w:val="24"/>
          <w:szCs w:val="24"/>
          <w:lang w:val="en-GB"/>
        </w:rPr>
        <w:t>seek</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to address structural social and economic challenges through different policy instruments, and how political commitments are translated into legislative and fiscal action.</w:t>
      </w:r>
    </w:p>
    <w:p xmlns:wp14="http://schemas.microsoft.com/office/word/2010/wordml" w:rsidP="323EB3E8" wp14:paraId="49D25615" wp14:textId="55C66695">
      <w:pPr>
        <w:rPr>
          <w:rFonts w:ascii="Aptos" w:hAnsi="Aptos" w:eastAsia="Aptos" w:cs="Aptos" w:asciiTheme="minorAscii" w:hAnsiTheme="minorAscii" w:eastAsiaTheme="minorAscii" w:cstheme="minorAscii"/>
          <w:b w:val="0"/>
          <w:bCs w:val="0"/>
          <w:sz w:val="28"/>
          <w:szCs w:val="28"/>
        </w:rPr>
      </w:pPr>
    </w:p>
    <w:p xmlns:wp14="http://schemas.microsoft.com/office/word/2010/wordml" w:rsidP="323EB3E8" wp14:paraId="08DE429C" wp14:textId="22D480BA">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323EB3E8" w:rsidR="5B4BD5C9">
        <w:rPr>
          <w:rFonts w:ascii="Aptos" w:hAnsi="Aptos" w:eastAsia="Aptos" w:cs="Aptos" w:asciiTheme="minorAscii" w:hAnsiTheme="minorAscii" w:eastAsiaTheme="minorAscii" w:cstheme="minorAscii"/>
          <w:b w:val="0"/>
          <w:bCs w:val="0"/>
          <w:noProof w:val="0"/>
          <w:sz w:val="36"/>
          <w:szCs w:val="36"/>
          <w:u w:val="single"/>
          <w:lang w:val="en-GB"/>
        </w:rPr>
        <w:t>Housing Policy: The Renters’ Rights Act 2025</w:t>
      </w:r>
    </w:p>
    <w:p xmlns:wp14="http://schemas.microsoft.com/office/word/2010/wordml" w:rsidP="323EB3E8" wp14:paraId="03B6724D" wp14:textId="20E5E837">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The private rented sector (PRS) in England has expanded significantly over the past two decades, now accommodating approximately one fifth of all households. This growth reflects broader structural changes, including rising house prices, declining affordability, reduced access to social housing and increased labour market mobility (MHCLG, 2023). However, the expansion of the PRS has been accompanied by persistent problems, particularly insecurity of tenure, inconsistent housing </w:t>
      </w:r>
      <w:r w:rsidRPr="323EB3E8" w:rsidR="5B4BD5C9">
        <w:rPr>
          <w:rFonts w:ascii="Aptos" w:hAnsi="Aptos" w:eastAsia="Aptos" w:cs="Aptos" w:asciiTheme="minorAscii" w:hAnsiTheme="minorAscii" w:eastAsiaTheme="minorAscii" w:cstheme="minorAscii"/>
          <w:b w:val="0"/>
          <w:bCs w:val="0"/>
          <w:noProof w:val="0"/>
          <w:sz w:val="24"/>
          <w:szCs w:val="24"/>
          <w:lang w:val="en-GB"/>
        </w:rPr>
        <w:t>standards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rising homelessness.</w:t>
      </w:r>
    </w:p>
    <w:p xmlns:wp14="http://schemas.microsoft.com/office/word/2010/wordml" w:rsidP="323EB3E8" wp14:paraId="6C245AD8" wp14:textId="6DDAB35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Central to these concerns was </w:t>
      </w:r>
      <w:r w:rsidRPr="323EB3E8" w:rsidR="5B4BD5C9">
        <w:rPr>
          <w:rFonts w:ascii="Aptos" w:hAnsi="Aptos" w:eastAsia="Aptos" w:cs="Aptos" w:asciiTheme="minorAscii" w:hAnsiTheme="minorAscii" w:eastAsiaTheme="minorAscii" w:cstheme="minorAscii"/>
          <w:b w:val="0"/>
          <w:bCs w:val="0"/>
          <w:noProof w:val="0"/>
          <w:sz w:val="24"/>
          <w:szCs w:val="24"/>
          <w:lang w:val="en-GB"/>
        </w:rPr>
        <w:t>Section 21 of the Housing Act 1988</w:t>
      </w:r>
      <w:r w:rsidRPr="323EB3E8" w:rsidR="5B4BD5C9">
        <w:rPr>
          <w:rFonts w:ascii="Aptos" w:hAnsi="Aptos" w:eastAsia="Aptos" w:cs="Aptos" w:asciiTheme="minorAscii" w:hAnsiTheme="minorAscii" w:eastAsiaTheme="minorAscii" w:cstheme="minorAscii"/>
          <w:b w:val="0"/>
          <w:bCs w:val="0"/>
          <w:noProof w:val="0"/>
          <w:sz w:val="24"/>
          <w:szCs w:val="24"/>
          <w:lang w:val="en-GB"/>
        </w:rPr>
        <w:t>, which allowed landlords to evict tenants without providing a reason once a fixed-term tenancy had ended. Although intended to provide flexibility to landlords, critics argued that Section 21 entrenched a structural power imbalance between landlords and tenants. Tenants could be evicted despite complying fully with their tenancy obligations, discouraging them from reporting disrepair or unsafe conditions (House of Commons Library, 2025).</w:t>
      </w:r>
    </w:p>
    <w:p xmlns:wp14="http://schemas.microsoft.com/office/word/2010/wordml" w:rsidP="323EB3E8" wp14:paraId="12C62D55" wp14:textId="46EFD12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Evidence from homelessness charities and local authorities suggested that Section 21 evictions were a leading cause of homelessness presentations, particularly among families with children and low-income households (Renters Reform Coalition, 2025; Shelter, 2023). High-profile cases further intensified public concern. The death of Awaab Ishak following prolonged exposure to damp and mould highlighted systemic failures in housing regulation and enforcement, particularly within rented accommodation (HM Government, 2025). As a result, the policy problem was increasingly framed as one of </w:t>
      </w:r>
      <w:r w:rsidRPr="323EB3E8" w:rsidR="5B4BD5C9">
        <w:rPr>
          <w:rFonts w:ascii="Aptos" w:hAnsi="Aptos" w:eastAsia="Aptos" w:cs="Aptos" w:asciiTheme="minorAscii" w:hAnsiTheme="minorAscii" w:eastAsiaTheme="minorAscii" w:cstheme="minorAscii"/>
          <w:b w:val="0"/>
          <w:bCs w:val="0"/>
          <w:noProof w:val="0"/>
          <w:sz w:val="24"/>
          <w:szCs w:val="24"/>
          <w:lang w:val="en-GB"/>
        </w:rPr>
        <w:t>structural insecurity and regulatory failure</w:t>
      </w:r>
      <w:r w:rsidRPr="323EB3E8" w:rsidR="5B4BD5C9">
        <w:rPr>
          <w:rFonts w:ascii="Aptos" w:hAnsi="Aptos" w:eastAsia="Aptos" w:cs="Aptos" w:asciiTheme="minorAscii" w:hAnsiTheme="minorAscii" w:eastAsiaTheme="minorAscii" w:cstheme="minorAscii"/>
          <w:b w:val="0"/>
          <w:bCs w:val="0"/>
          <w:noProof w:val="0"/>
          <w:sz w:val="24"/>
          <w:szCs w:val="24"/>
          <w:lang w:val="en-GB"/>
        </w:rPr>
        <w:t>, rather than isolated instances of poor landlord behaviour.</w:t>
      </w:r>
    </w:p>
    <w:p xmlns:wp14="http://schemas.microsoft.com/office/word/2010/wordml" w:rsidP="323EB3E8" wp14:paraId="1F51B95F" wp14:textId="5B58ACE1">
      <w:pPr>
        <w:pStyle w:val="Normal"/>
        <w:rPr>
          <w:rFonts w:ascii="Aptos" w:hAnsi="Aptos" w:eastAsia="Aptos" w:cs="Aptos" w:asciiTheme="minorAscii" w:hAnsiTheme="minorAscii" w:eastAsiaTheme="minorAscii" w:cstheme="minorAscii"/>
          <w:b w:val="0"/>
          <w:bCs w:val="0"/>
          <w:noProof w:val="0"/>
          <w:sz w:val="32"/>
          <w:szCs w:val="32"/>
          <w:u w:val="single"/>
          <w:lang w:val="en-GB"/>
        </w:rPr>
      </w:pPr>
      <w:r w:rsidRPr="323EB3E8" w:rsidR="5B4BD5C9">
        <w:rPr>
          <w:rFonts w:ascii="Aptos" w:hAnsi="Aptos" w:eastAsia="Aptos" w:cs="Aptos" w:asciiTheme="minorAscii" w:hAnsiTheme="minorAscii" w:eastAsiaTheme="minorAscii" w:cstheme="minorAscii"/>
          <w:b w:val="0"/>
          <w:bCs w:val="0"/>
          <w:noProof w:val="0"/>
          <w:sz w:val="28"/>
          <w:szCs w:val="28"/>
          <w:u w:val="single"/>
          <w:lang w:val="en-GB"/>
        </w:rPr>
        <w:t>Policy Development and Influences</w:t>
      </w:r>
    </w:p>
    <w:p xmlns:wp14="http://schemas.microsoft.com/office/word/2010/wordml" w:rsidP="323EB3E8" wp14:paraId="4D4FAFC1" wp14:textId="108FF2CE">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The Renters’ Rights Act 2025 was the culmination of several years of policy debate, </w:t>
      </w:r>
      <w:r w:rsidRPr="323EB3E8" w:rsidR="5B4BD5C9">
        <w:rPr>
          <w:rFonts w:ascii="Aptos" w:hAnsi="Aptos" w:eastAsia="Aptos" w:cs="Aptos" w:asciiTheme="minorAscii" w:hAnsiTheme="minorAscii" w:eastAsiaTheme="minorAscii" w:cstheme="minorAscii"/>
          <w:b w:val="0"/>
          <w:bCs w:val="0"/>
          <w:noProof w:val="0"/>
          <w:sz w:val="24"/>
          <w:szCs w:val="24"/>
          <w:lang w:val="en-GB"/>
        </w:rPr>
        <w:t>consultation</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political negotiation. The abolition of Section 21 had been proposed repeatedly in </w:t>
      </w:r>
      <w:r w:rsidRPr="323EB3E8" w:rsidR="5B4BD5C9">
        <w:rPr>
          <w:rFonts w:ascii="Aptos" w:hAnsi="Aptos" w:eastAsia="Aptos" w:cs="Aptos" w:asciiTheme="minorAscii" w:hAnsiTheme="minorAscii" w:eastAsiaTheme="minorAscii" w:cstheme="minorAscii"/>
          <w:b w:val="0"/>
          <w:bCs w:val="0"/>
          <w:noProof w:val="0"/>
          <w:sz w:val="24"/>
          <w:szCs w:val="24"/>
          <w:lang w:val="en-GB"/>
        </w:rPr>
        <w:t>previous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parliamentary sessions and formed part of the government’s manifesto commitments.</w:t>
      </w:r>
    </w:p>
    <w:p xmlns:wp14="http://schemas.microsoft.com/office/word/2010/wordml" w:rsidP="323EB3E8" wp14:paraId="04F6A629" wp14:textId="6E3AC0C0">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First, </w:t>
      </w:r>
      <w:r w:rsidRPr="323EB3E8" w:rsidR="5B4BD5C9">
        <w:rPr>
          <w:rFonts w:ascii="Aptos" w:hAnsi="Aptos" w:eastAsia="Aptos" w:cs="Aptos" w:asciiTheme="minorAscii" w:hAnsiTheme="minorAscii" w:eastAsiaTheme="minorAscii" w:cstheme="minorAscii"/>
          <w:b w:val="0"/>
          <w:bCs w:val="0"/>
          <w:noProof w:val="0"/>
          <w:sz w:val="24"/>
          <w:szCs w:val="24"/>
          <w:lang w:val="en-GB"/>
        </w:rPr>
        <w:t>political commitment and public pressure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played a decisive role. Tenant advocacy organisations, housing </w:t>
      </w:r>
      <w:r w:rsidRPr="323EB3E8" w:rsidR="5B4BD5C9">
        <w:rPr>
          <w:rFonts w:ascii="Aptos" w:hAnsi="Aptos" w:eastAsia="Aptos" w:cs="Aptos" w:asciiTheme="minorAscii" w:hAnsiTheme="minorAscii" w:eastAsiaTheme="minorAscii" w:cstheme="minorAscii"/>
          <w:b w:val="0"/>
          <w:bCs w:val="0"/>
          <w:noProof w:val="0"/>
          <w:sz w:val="24"/>
          <w:szCs w:val="24"/>
          <w:lang w:val="en-GB"/>
        </w:rPr>
        <w:t>charities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local authorities consistently highlighted the social and economic costs of no-fault evictions. As renting became a long-term tenure for many households rather than a transitional stage, public expectations increasingly favoured greater stability and fairness (HM Government, 2025).</w:t>
      </w:r>
    </w:p>
    <w:p xmlns:wp14="http://schemas.microsoft.com/office/word/2010/wordml" w:rsidP="323EB3E8" wp14:paraId="211B60A6" wp14:textId="0816F4C9">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Second, </w:t>
      </w:r>
      <w:r w:rsidRPr="323EB3E8" w:rsidR="5B4BD5C9">
        <w:rPr>
          <w:rFonts w:ascii="Aptos" w:hAnsi="Aptos" w:eastAsia="Aptos" w:cs="Aptos" w:asciiTheme="minorAscii" w:hAnsiTheme="minorAscii" w:eastAsiaTheme="minorAscii" w:cstheme="minorAscii"/>
          <w:b w:val="0"/>
          <w:bCs w:val="0"/>
          <w:noProof w:val="0"/>
          <w:sz w:val="24"/>
          <w:szCs w:val="24"/>
          <w:lang w:val="en-GB"/>
        </w:rPr>
        <w:t>stakeholder consultation and compromise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shaped the final legislation. Landlord associations, property </w:t>
      </w:r>
      <w:r w:rsidRPr="323EB3E8" w:rsidR="5B4BD5C9">
        <w:rPr>
          <w:rFonts w:ascii="Aptos" w:hAnsi="Aptos" w:eastAsia="Aptos" w:cs="Aptos" w:asciiTheme="minorAscii" w:hAnsiTheme="minorAscii" w:eastAsiaTheme="minorAscii" w:cstheme="minorAscii"/>
          <w:b w:val="0"/>
          <w:bCs w:val="0"/>
          <w:noProof w:val="0"/>
          <w:sz w:val="24"/>
          <w:szCs w:val="24"/>
          <w:lang w:val="en-GB"/>
        </w:rPr>
        <w:t>investors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mortgage lenders expressed concerns that abolishing Section 21 without effective alternative possession grounds would reduce confidence in the PRS and prompt landlord exit. Parliamentary scrutiny, particularly in the House of Lords, resulted in amendments designed to ensure landlords </w:t>
      </w:r>
      <w:r w:rsidRPr="323EB3E8" w:rsidR="5B4BD5C9">
        <w:rPr>
          <w:rFonts w:ascii="Aptos" w:hAnsi="Aptos" w:eastAsia="Aptos" w:cs="Aptos" w:asciiTheme="minorAscii" w:hAnsiTheme="minorAscii" w:eastAsiaTheme="minorAscii" w:cstheme="minorAscii"/>
          <w:b w:val="0"/>
          <w:bCs w:val="0"/>
          <w:noProof w:val="0"/>
          <w:sz w:val="24"/>
          <w:szCs w:val="24"/>
          <w:lang w:val="en-GB"/>
        </w:rPr>
        <w:t>retained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the ability to regain possession in legitimate circumstances such as rent arrears or property sale (House of Commons Library, 2025).</w:t>
      </w:r>
    </w:p>
    <w:p xmlns:wp14="http://schemas.microsoft.com/office/word/2010/wordml" w:rsidP="323EB3E8" wp14:paraId="44EA64F5" wp14:textId="2913F37F">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Third, </w:t>
      </w:r>
      <w:r w:rsidRPr="323EB3E8" w:rsidR="5B4BD5C9">
        <w:rPr>
          <w:rFonts w:ascii="Aptos" w:hAnsi="Aptos" w:eastAsia="Aptos" w:cs="Aptos" w:asciiTheme="minorAscii" w:hAnsiTheme="minorAscii" w:eastAsiaTheme="minorAscii" w:cstheme="minorAscii"/>
          <w:b w:val="0"/>
          <w:bCs w:val="0"/>
          <w:noProof w:val="0"/>
          <w:sz w:val="24"/>
          <w:szCs w:val="24"/>
          <w:lang w:val="en-GB"/>
        </w:rPr>
        <w:t>evidence-based policy making</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influenced the structure of the reforms. Research on retaliatory eviction, housing quality and enforcement capacity informed provisions on strengthened repair rights, clearer possession </w:t>
      </w:r>
      <w:r w:rsidRPr="323EB3E8" w:rsidR="5B4BD5C9">
        <w:rPr>
          <w:rFonts w:ascii="Aptos" w:hAnsi="Aptos" w:eastAsia="Aptos" w:cs="Aptos" w:asciiTheme="minorAscii" w:hAnsiTheme="minorAscii" w:eastAsiaTheme="minorAscii" w:cstheme="minorAscii"/>
          <w:b w:val="0"/>
          <w:bCs w:val="0"/>
          <w:noProof w:val="0"/>
          <w:sz w:val="24"/>
          <w:szCs w:val="24"/>
          <w:lang w:val="en-GB"/>
        </w:rPr>
        <w:t>grounds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improved guidance for both tenants and landlords. The government also acknowledged that legal reform alone would be insufficient without effective implementation mechanisms, leading to the publication of statutory guidance and transitional arrangements (HM Government, 2025).</w:t>
      </w:r>
    </w:p>
    <w:p xmlns:wp14="http://schemas.microsoft.com/office/word/2010/wordml" w:rsidP="323EB3E8" wp14:paraId="7FD68036" wp14:textId="747EAF15">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323EB3E8" wp14:paraId="4D4093E6" wp14:textId="4966F07C">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323EB3E8" wp14:paraId="0A592FDB" wp14:textId="10E3C7A1">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323EB3E8" w:rsidR="5B4BD5C9">
        <w:rPr>
          <w:rFonts w:ascii="Aptos" w:hAnsi="Aptos" w:eastAsia="Aptos" w:cs="Aptos" w:asciiTheme="minorAscii" w:hAnsiTheme="minorAscii" w:eastAsiaTheme="minorAscii" w:cstheme="minorAscii"/>
          <w:b w:val="0"/>
          <w:bCs w:val="0"/>
          <w:noProof w:val="0"/>
          <w:sz w:val="28"/>
          <w:szCs w:val="28"/>
          <w:u w:val="single"/>
          <w:lang w:val="en-GB"/>
        </w:rPr>
        <w:t>Policy Content and Practical Outcomes</w:t>
      </w:r>
    </w:p>
    <w:p xmlns:wp14="http://schemas.microsoft.com/office/word/2010/wordml" w:rsidP="323EB3E8" wp14:paraId="64308D3D" wp14:textId="4359357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The Renters’ Rights Act 2025 introduced several significant reforms. Most notably, it abolished Section 21 no-fault evictions, replacing them with a reformed system of possession grounds intended to provide greater clarity and procedural fairness. The Act also strengthened tenant rights to request repairs, enhanced protections against retaliatory eviction and clarified expectations around tenancy terms.</w:t>
      </w:r>
    </w:p>
    <w:p xmlns:wp14="http://schemas.microsoft.com/office/word/2010/wordml" w:rsidP="323EB3E8" wp14:paraId="3C756271" wp14:textId="4C21B7F7">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Early practical outcomes suggest several emerging effects. First, </w:t>
      </w:r>
      <w:r w:rsidRPr="323EB3E8" w:rsidR="5B4BD5C9">
        <w:rPr>
          <w:rFonts w:ascii="Aptos" w:hAnsi="Aptos" w:eastAsia="Aptos" w:cs="Aptos" w:asciiTheme="minorAscii" w:hAnsiTheme="minorAscii" w:eastAsiaTheme="minorAscii" w:cstheme="minorAscii"/>
          <w:b w:val="0"/>
          <w:bCs w:val="0"/>
          <w:noProof w:val="0"/>
          <w:sz w:val="24"/>
          <w:szCs w:val="24"/>
          <w:lang w:val="en-GB"/>
        </w:rPr>
        <w:t>legal practice within the PRS has shifted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with landlords and letting agents required to revise tenancy agreements and rely on revised possession grounds. This has increased demand for legal advice and placed </w:t>
      </w:r>
      <w:r w:rsidRPr="323EB3E8" w:rsidR="5B4BD5C9">
        <w:rPr>
          <w:rFonts w:ascii="Aptos" w:hAnsi="Aptos" w:eastAsia="Aptos" w:cs="Aptos" w:asciiTheme="minorAscii" w:hAnsiTheme="minorAscii" w:eastAsiaTheme="minorAscii" w:cstheme="minorAscii"/>
          <w:b w:val="0"/>
          <w:bCs w:val="0"/>
          <w:noProof w:val="0"/>
          <w:sz w:val="24"/>
          <w:szCs w:val="24"/>
          <w:lang w:val="en-GB"/>
        </w:rPr>
        <w:t>additional</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pressure on housing courts and tribunals, raising concerns about administrative capacity and delays (HM Government, 2025).</w:t>
      </w:r>
    </w:p>
    <w:p xmlns:wp14="http://schemas.microsoft.com/office/word/2010/wordml" w:rsidP="323EB3E8" wp14:paraId="06F8087B" wp14:textId="330AB61E">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Second,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tenant confidence </w:t>
      </w:r>
      <w:r w:rsidRPr="323EB3E8" w:rsidR="5B4BD5C9">
        <w:rPr>
          <w:rFonts w:ascii="Aptos" w:hAnsi="Aptos" w:eastAsia="Aptos" w:cs="Aptos" w:asciiTheme="minorAscii" w:hAnsiTheme="minorAscii" w:eastAsiaTheme="minorAscii" w:cstheme="minorAscii"/>
          <w:b w:val="0"/>
          <w:bCs w:val="0"/>
          <w:noProof w:val="0"/>
          <w:sz w:val="24"/>
          <w:szCs w:val="24"/>
          <w:lang w:val="en-GB"/>
        </w:rPr>
        <w:t>appears to have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increased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Early reports </w:t>
      </w:r>
      <w:r w:rsidRPr="323EB3E8" w:rsidR="5B4BD5C9">
        <w:rPr>
          <w:rFonts w:ascii="Aptos" w:hAnsi="Aptos" w:eastAsia="Aptos" w:cs="Aptos" w:asciiTheme="minorAscii" w:hAnsiTheme="minorAscii" w:eastAsiaTheme="minorAscii" w:cstheme="minorAscii"/>
          <w:b w:val="0"/>
          <w:bCs w:val="0"/>
          <w:noProof w:val="0"/>
          <w:sz w:val="24"/>
          <w:szCs w:val="24"/>
          <w:lang w:val="en-GB"/>
        </w:rPr>
        <w:t>indicate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 rise in complaints about disrepair and environmental hazards, suggesting that tenants feel more able to assert their rights without fear of immediate eviction. While this aligns with the policy’s </w:t>
      </w:r>
      <w:r w:rsidRPr="323EB3E8" w:rsidR="5B4BD5C9">
        <w:rPr>
          <w:rFonts w:ascii="Aptos" w:hAnsi="Aptos" w:eastAsia="Aptos" w:cs="Aptos" w:asciiTheme="minorAscii" w:hAnsiTheme="minorAscii" w:eastAsiaTheme="minorAscii" w:cstheme="minorAscii"/>
          <w:b w:val="0"/>
          <w:bCs w:val="0"/>
          <w:noProof w:val="0"/>
          <w:sz w:val="24"/>
          <w:szCs w:val="24"/>
          <w:lang w:val="en-GB"/>
        </w:rPr>
        <w:t>objectives</w:t>
      </w:r>
      <w:r w:rsidRPr="323EB3E8" w:rsidR="5B4BD5C9">
        <w:rPr>
          <w:rFonts w:ascii="Aptos" w:hAnsi="Aptos" w:eastAsia="Aptos" w:cs="Aptos" w:asciiTheme="minorAscii" w:hAnsiTheme="minorAscii" w:eastAsiaTheme="minorAscii" w:cstheme="minorAscii"/>
          <w:b w:val="0"/>
          <w:bCs w:val="0"/>
          <w:noProof w:val="0"/>
          <w:sz w:val="24"/>
          <w:szCs w:val="24"/>
          <w:lang w:val="en-GB"/>
        </w:rPr>
        <w:t>, it also highlights the importance of adequate enforcement capacity at local authority level (Shelter, 2023).</w:t>
      </w:r>
    </w:p>
    <w:p xmlns:wp14="http://schemas.microsoft.com/office/word/2010/wordml" w:rsidP="323EB3E8" wp14:paraId="38053733" wp14:textId="37C8975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Third,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market responses </w:t>
      </w:r>
      <w:r w:rsidRPr="323EB3E8" w:rsidR="5B4BD5C9">
        <w:rPr>
          <w:rFonts w:ascii="Aptos" w:hAnsi="Aptos" w:eastAsia="Aptos" w:cs="Aptos" w:asciiTheme="minorAscii" w:hAnsiTheme="minorAscii" w:eastAsiaTheme="minorAscii" w:cstheme="minorAscii"/>
          <w:b w:val="0"/>
          <w:bCs w:val="0"/>
          <w:noProof w:val="0"/>
          <w:sz w:val="24"/>
          <w:szCs w:val="24"/>
          <w:lang w:val="en-GB"/>
        </w:rPr>
        <w:t>remain</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uncertain</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Landlord organisations have warned that increased regulation may accelerate landlord exit, potentially </w:t>
      </w:r>
      <w:r w:rsidRPr="323EB3E8" w:rsidR="34C3117A">
        <w:rPr>
          <w:rFonts w:ascii="Aptos" w:hAnsi="Aptos" w:eastAsia="Aptos" w:cs="Aptos" w:asciiTheme="minorAscii" w:hAnsiTheme="minorAscii" w:eastAsiaTheme="minorAscii" w:cstheme="minorAscii"/>
          <w:b w:val="0"/>
          <w:bCs w:val="0"/>
          <w:noProof w:val="0"/>
          <w:sz w:val="24"/>
          <w:szCs w:val="24"/>
          <w:lang w:val="en-GB"/>
        </w:rPr>
        <w:t>reduce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supply and </w:t>
      </w:r>
      <w:r w:rsidRPr="323EB3E8" w:rsidR="739172B1">
        <w:rPr>
          <w:rFonts w:ascii="Aptos" w:hAnsi="Aptos" w:eastAsia="Aptos" w:cs="Aptos" w:asciiTheme="minorAscii" w:hAnsiTheme="minorAscii" w:eastAsiaTheme="minorAscii" w:cstheme="minorAscii"/>
          <w:b w:val="0"/>
          <w:bCs w:val="0"/>
          <w:noProof w:val="0"/>
          <w:sz w:val="24"/>
          <w:szCs w:val="24"/>
          <w:lang w:val="en-GB"/>
        </w:rPr>
        <w:t>increase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rents. However, definitive evidence of large-scale exit is not yet available, and the long-term effects will depend on how effectively the new framework balances security with market stability (Renters Reform Coalition, 2025).</w:t>
      </w:r>
    </w:p>
    <w:p xmlns:wp14="http://schemas.microsoft.com/office/word/2010/wordml" w:rsidP="323EB3E8" wp14:paraId="71BFFB9E" wp14:textId="6C80FC6A">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323EB3E8" w:rsidR="5B4BD5C9">
        <w:rPr>
          <w:rFonts w:ascii="Aptos" w:hAnsi="Aptos" w:eastAsia="Aptos" w:cs="Aptos" w:asciiTheme="minorAscii" w:hAnsiTheme="minorAscii" w:eastAsiaTheme="minorAscii" w:cstheme="minorAscii"/>
          <w:b w:val="0"/>
          <w:bCs w:val="0"/>
          <w:noProof w:val="0"/>
          <w:sz w:val="28"/>
          <w:szCs w:val="28"/>
          <w:u w:val="single"/>
          <w:lang w:val="en-GB"/>
        </w:rPr>
        <w:t>Critical Evaluation and Policy Theory</w:t>
      </w:r>
    </w:p>
    <w:p xmlns:wp14="http://schemas.microsoft.com/office/word/2010/wordml" w:rsidP="323EB3E8" wp14:paraId="1B274E0A" wp14:textId="3707B6BD">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From a policy theory perspective, the Renters’ Rights Act can be understood as a response to </w:t>
      </w:r>
      <w:r w:rsidRPr="323EB3E8" w:rsidR="5B4BD5C9">
        <w:rPr>
          <w:rFonts w:ascii="Aptos" w:hAnsi="Aptos" w:eastAsia="Aptos" w:cs="Aptos" w:asciiTheme="minorAscii" w:hAnsiTheme="minorAscii" w:eastAsiaTheme="minorAscii" w:cstheme="minorAscii"/>
          <w:b w:val="0"/>
          <w:bCs w:val="0"/>
          <w:noProof w:val="0"/>
          <w:sz w:val="24"/>
          <w:szCs w:val="24"/>
          <w:lang w:val="en-GB"/>
        </w:rPr>
        <w:t>market failure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within the private rented sector. Information asymmetry, unequal bargaining </w:t>
      </w:r>
      <w:r w:rsidRPr="323EB3E8" w:rsidR="5B4BD5C9">
        <w:rPr>
          <w:rFonts w:ascii="Aptos" w:hAnsi="Aptos" w:eastAsia="Aptos" w:cs="Aptos" w:asciiTheme="minorAscii" w:hAnsiTheme="minorAscii" w:eastAsiaTheme="minorAscii" w:cstheme="minorAscii"/>
          <w:b w:val="0"/>
          <w:bCs w:val="0"/>
          <w:noProof w:val="0"/>
          <w:sz w:val="24"/>
          <w:szCs w:val="24"/>
          <w:lang w:val="en-GB"/>
        </w:rPr>
        <w:t>power</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weak enforcement mechanisms undermined tenant welfare despite formal contractual arrangements. By strengthening regulation and limiting landlord discretion, the government sought to correct these failures and improve social outcomes (Cairney, 2020).</w:t>
      </w:r>
    </w:p>
    <w:p xmlns:wp14="http://schemas.microsoft.com/office/word/2010/wordml" w:rsidP="323EB3E8" wp14:paraId="24119290" wp14:textId="406CD6E8">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However, the effectiveness of the policy is contingent on </w:t>
      </w:r>
      <w:r w:rsidRPr="323EB3E8" w:rsidR="5B4BD5C9">
        <w:rPr>
          <w:rFonts w:ascii="Aptos" w:hAnsi="Aptos" w:eastAsia="Aptos" w:cs="Aptos" w:asciiTheme="minorAscii" w:hAnsiTheme="minorAscii" w:eastAsiaTheme="minorAscii" w:cstheme="minorAscii"/>
          <w:b w:val="0"/>
          <w:bCs w:val="0"/>
          <w:noProof w:val="0"/>
          <w:sz w:val="24"/>
          <w:szCs w:val="24"/>
          <w:lang w:val="en-GB"/>
        </w:rPr>
        <w:t>institutional capacity</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Local authorities </w:t>
      </w:r>
      <w:r w:rsidRPr="323EB3E8" w:rsidR="5B4BD5C9">
        <w:rPr>
          <w:rFonts w:ascii="Aptos" w:hAnsi="Aptos" w:eastAsia="Aptos" w:cs="Aptos" w:asciiTheme="minorAscii" w:hAnsiTheme="minorAscii" w:eastAsiaTheme="minorAscii" w:cstheme="minorAscii"/>
          <w:b w:val="0"/>
          <w:bCs w:val="0"/>
          <w:noProof w:val="0"/>
          <w:sz w:val="24"/>
          <w:szCs w:val="24"/>
          <w:lang w:val="en-GB"/>
        </w:rPr>
        <w:t>are responsible for</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enforcing housing standards, yet many face long-standing financial constraints. Similarly, the abolition of Section 21 places greater reliance on courts and tribunals to </w:t>
      </w:r>
      <w:r w:rsidRPr="323EB3E8" w:rsidR="5B4BD5C9">
        <w:rPr>
          <w:rFonts w:ascii="Aptos" w:hAnsi="Aptos" w:eastAsia="Aptos" w:cs="Aptos" w:asciiTheme="minorAscii" w:hAnsiTheme="minorAscii" w:eastAsiaTheme="minorAscii" w:cstheme="minorAscii"/>
          <w:b w:val="0"/>
          <w:bCs w:val="0"/>
          <w:noProof w:val="0"/>
          <w:sz w:val="24"/>
          <w:szCs w:val="24"/>
          <w:lang w:val="en-GB"/>
        </w:rPr>
        <w:t>adjudicate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possession cases. Without investment in enforcement and judicial infrastructure, enhanced legal rights may not translate into meaningful improvements in practice.</w:t>
      </w:r>
    </w:p>
    <w:p xmlns:wp14="http://schemas.microsoft.com/office/word/2010/wordml" w:rsidP="323EB3E8" wp14:paraId="2A4DE624" wp14:textId="524A12FD">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4B67F1B0">
        <w:rPr>
          <w:rFonts w:ascii="Aptos" w:hAnsi="Aptos" w:eastAsia="Aptos" w:cs="Aptos" w:asciiTheme="minorAscii" w:hAnsiTheme="minorAscii" w:eastAsiaTheme="minorAscii" w:cstheme="minorAscii"/>
          <w:b w:val="0"/>
          <w:bCs w:val="0"/>
          <w:noProof w:val="0"/>
          <w:sz w:val="24"/>
          <w:szCs w:val="24"/>
          <w:lang w:val="en-GB"/>
        </w:rPr>
        <w:t>However</w:t>
      </w:r>
      <w:r w:rsidRPr="323EB3E8" w:rsidR="5B4BD5C9">
        <w:rPr>
          <w:rFonts w:ascii="Aptos" w:hAnsi="Aptos" w:eastAsia="Aptos" w:cs="Aptos" w:asciiTheme="minorAscii" w:hAnsiTheme="minorAscii" w:eastAsiaTheme="minorAscii" w:cstheme="minorAscii"/>
          <w:b w:val="0"/>
          <w:bCs w:val="0"/>
          <w:noProof w:val="0"/>
          <w:sz w:val="24"/>
          <w:szCs w:val="24"/>
          <w:lang w:val="en-GB"/>
        </w:rPr>
        <w:t>, regulation alone cannot resolve underlying housing shortages. Without complementary supply-side interventions</w:t>
      </w:r>
      <w:r w:rsidRPr="323EB3E8" w:rsidR="2D841555">
        <w:rPr>
          <w:rFonts w:ascii="Aptos" w:hAnsi="Aptos" w:eastAsia="Aptos" w:cs="Aptos" w:asciiTheme="minorAscii" w:hAnsiTheme="minorAscii" w:eastAsiaTheme="minorAscii" w:cstheme="minorAscii"/>
          <w:b w:val="0"/>
          <w:bCs w:val="0"/>
          <w:noProof w:val="0"/>
          <w:sz w:val="24"/>
          <w:szCs w:val="24"/>
          <w:lang w:val="en-GB"/>
        </w:rPr>
        <w:t xml:space="preserve"> </w:t>
      </w:r>
      <w:r w:rsidRPr="323EB3E8" w:rsidR="5B4BD5C9">
        <w:rPr>
          <w:rFonts w:ascii="Aptos" w:hAnsi="Aptos" w:eastAsia="Aptos" w:cs="Aptos" w:asciiTheme="minorAscii" w:hAnsiTheme="minorAscii" w:eastAsiaTheme="minorAscii" w:cstheme="minorAscii"/>
          <w:b w:val="0"/>
          <w:bCs w:val="0"/>
          <w:noProof w:val="0"/>
          <w:sz w:val="24"/>
          <w:szCs w:val="24"/>
          <w:lang w:val="en-GB"/>
        </w:rPr>
        <w:t>particularly increased social and affordable housing</w:t>
      </w:r>
      <w:r w:rsidRPr="323EB3E8" w:rsidR="2F071B36">
        <w:rPr>
          <w:rFonts w:ascii="Aptos" w:hAnsi="Aptos" w:eastAsia="Aptos" w:cs="Aptos" w:asciiTheme="minorAscii" w:hAnsiTheme="minorAscii" w:eastAsiaTheme="minorAscii" w:cstheme="minorAscii"/>
          <w:b w:val="0"/>
          <w:bCs w:val="0"/>
          <w:noProof w:val="0"/>
          <w:sz w:val="24"/>
          <w:szCs w:val="24"/>
          <w:lang w:val="en-GB"/>
        </w:rPr>
        <w:t xml:space="preserve"> </w:t>
      </w:r>
      <w:r w:rsidRPr="323EB3E8" w:rsidR="5B4BD5C9">
        <w:rPr>
          <w:rFonts w:ascii="Aptos" w:hAnsi="Aptos" w:eastAsia="Aptos" w:cs="Aptos" w:asciiTheme="minorAscii" w:hAnsiTheme="minorAscii" w:eastAsiaTheme="minorAscii" w:cstheme="minorAscii"/>
          <w:b w:val="0"/>
          <w:bCs w:val="0"/>
          <w:noProof w:val="0"/>
          <w:sz w:val="24"/>
          <w:szCs w:val="24"/>
          <w:lang w:val="en-GB"/>
        </w:rPr>
        <w:t>the policy risks mitigating symptoms without addressing structural causes. This highlights the importance of aligning regulatory reform with a broader housing strategy.</w:t>
      </w:r>
    </w:p>
    <w:p xmlns:wp14="http://schemas.microsoft.com/office/word/2010/wordml" w:rsidP="323EB3E8" wp14:paraId="63E8D903" wp14:textId="48B1BEC9">
      <w:pPr>
        <w:rPr>
          <w:rFonts w:ascii="Aptos" w:hAnsi="Aptos" w:eastAsia="Aptos" w:cs="Aptos" w:asciiTheme="minorAscii" w:hAnsiTheme="minorAscii" w:eastAsiaTheme="minorAscii" w:cstheme="minorAscii"/>
          <w:b w:val="0"/>
          <w:bCs w:val="0"/>
          <w:sz w:val="28"/>
          <w:szCs w:val="28"/>
        </w:rPr>
      </w:pPr>
    </w:p>
    <w:p xmlns:wp14="http://schemas.microsoft.com/office/word/2010/wordml" w:rsidP="323EB3E8" wp14:paraId="2EA4164C" wp14:textId="00619A40">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323EB3E8" w:rsidR="5B4BD5C9">
        <w:rPr>
          <w:rFonts w:ascii="Aptos" w:hAnsi="Aptos" w:eastAsia="Aptos" w:cs="Aptos" w:asciiTheme="minorAscii" w:hAnsiTheme="minorAscii" w:eastAsiaTheme="minorAscii" w:cstheme="minorAscii"/>
          <w:b w:val="0"/>
          <w:bCs w:val="0"/>
          <w:noProof w:val="0"/>
          <w:sz w:val="36"/>
          <w:szCs w:val="36"/>
          <w:u w:val="single"/>
          <w:lang w:val="en-GB"/>
        </w:rPr>
        <w:t>Economic Policy: The Autumn Budget 2025</w:t>
      </w:r>
    </w:p>
    <w:p xmlns:wp14="http://schemas.microsoft.com/office/word/2010/wordml" w:rsidP="323EB3E8" wp14:paraId="43C3007C" wp14:textId="6FE468FF">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The Autumn Budget 2025 was delivered in a challenging economic context. Although inflation had eased from earlier peaks, the UK continued to experience weak productivity growth, strained public services and the fiscal legacy of pandemic-related borrowing. Living standards remained under pressure for many households, while business investment </w:t>
      </w:r>
      <w:r w:rsidRPr="323EB3E8" w:rsidR="16716731">
        <w:rPr>
          <w:rFonts w:ascii="Aptos" w:hAnsi="Aptos" w:eastAsia="Aptos" w:cs="Aptos" w:asciiTheme="minorAscii" w:hAnsiTheme="minorAscii" w:eastAsiaTheme="minorAscii" w:cstheme="minorAscii"/>
          <w:b w:val="0"/>
          <w:bCs w:val="0"/>
          <w:noProof w:val="0"/>
          <w:sz w:val="24"/>
          <w:szCs w:val="24"/>
          <w:lang w:val="en-GB"/>
        </w:rPr>
        <w:t>lagged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comparable economies </w:t>
      </w:r>
      <w:r w:rsidRPr="323EB3E8" w:rsidR="747A9CE2">
        <w:rPr>
          <w:rFonts w:ascii="Aptos" w:hAnsi="Aptos" w:eastAsia="Aptos" w:cs="Aptos" w:asciiTheme="minorAscii" w:hAnsiTheme="minorAscii" w:eastAsiaTheme="minorAscii" w:cstheme="minorAscii"/>
          <w:b w:val="0"/>
          <w:bCs w:val="0"/>
          <w:noProof w:val="0"/>
          <w:sz w:val="24"/>
          <w:szCs w:val="24"/>
          <w:lang w:val="en-GB"/>
        </w:rPr>
        <w:t>(OBR</w:t>
      </w:r>
      <w:r w:rsidRPr="323EB3E8" w:rsidR="5B4BD5C9">
        <w:rPr>
          <w:rFonts w:ascii="Aptos" w:hAnsi="Aptos" w:eastAsia="Aptos" w:cs="Aptos" w:asciiTheme="minorAscii" w:hAnsiTheme="minorAscii" w:eastAsiaTheme="minorAscii" w:cstheme="minorAscii"/>
          <w:b w:val="0"/>
          <w:bCs w:val="0"/>
          <w:noProof w:val="0"/>
          <w:sz w:val="24"/>
          <w:szCs w:val="24"/>
          <w:lang w:val="en-GB"/>
        </w:rPr>
        <w:t>,</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2025).</w:t>
      </w:r>
    </w:p>
    <w:p xmlns:wp14="http://schemas.microsoft.com/office/word/2010/wordml" w:rsidP="323EB3E8" wp14:paraId="3CB604B0" wp14:textId="68189623">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The Labour government framed the core economic problem as one of </w:t>
      </w:r>
      <w:r w:rsidRPr="323EB3E8" w:rsidR="5B4BD5C9">
        <w:rPr>
          <w:rFonts w:ascii="Aptos" w:hAnsi="Aptos" w:eastAsia="Aptos" w:cs="Aptos" w:asciiTheme="minorAscii" w:hAnsiTheme="minorAscii" w:eastAsiaTheme="minorAscii" w:cstheme="minorAscii"/>
          <w:b w:val="0"/>
          <w:bCs w:val="0"/>
          <w:noProof w:val="0"/>
          <w:sz w:val="24"/>
          <w:szCs w:val="24"/>
          <w:lang w:val="en-GB"/>
        </w:rPr>
        <w:t>restoring fiscal credibility while rebuilding public services and promoting long-term growth</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This required balancing redistribution, public </w:t>
      </w:r>
      <w:r w:rsidRPr="323EB3E8" w:rsidR="5B4BD5C9">
        <w:rPr>
          <w:rFonts w:ascii="Aptos" w:hAnsi="Aptos" w:eastAsia="Aptos" w:cs="Aptos" w:asciiTheme="minorAscii" w:hAnsiTheme="minorAscii" w:eastAsiaTheme="minorAscii" w:cstheme="minorAscii"/>
          <w:b w:val="0"/>
          <w:bCs w:val="0"/>
          <w:noProof w:val="0"/>
          <w:sz w:val="24"/>
          <w:szCs w:val="24"/>
          <w:lang w:val="en-GB"/>
        </w:rPr>
        <w:t>investment</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debt sustainability within tight fiscal constraints, while reassuring financial markets of continued fiscal discipline (HM Treasury, 2025).</w:t>
      </w:r>
    </w:p>
    <w:p xmlns:wp14="http://schemas.microsoft.com/office/word/2010/wordml" w:rsidP="323EB3E8" wp14:paraId="2A9685A4" wp14:textId="2DE4317C">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323EB3E8" w:rsidR="5B4BD5C9">
        <w:rPr>
          <w:rFonts w:ascii="Aptos" w:hAnsi="Aptos" w:eastAsia="Aptos" w:cs="Aptos" w:asciiTheme="minorAscii" w:hAnsiTheme="minorAscii" w:eastAsiaTheme="minorAscii" w:cstheme="minorAscii"/>
          <w:b w:val="0"/>
          <w:bCs w:val="0"/>
          <w:noProof w:val="0"/>
          <w:sz w:val="28"/>
          <w:szCs w:val="28"/>
          <w:u w:val="single"/>
          <w:lang w:val="en-GB"/>
        </w:rPr>
        <w:t>Policy Development and Influences</w:t>
      </w:r>
    </w:p>
    <w:p xmlns:wp14="http://schemas.microsoft.com/office/word/2010/wordml" w:rsidP="323EB3E8" wp14:paraId="1A3185E5" wp14:textId="6FE1F70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The development of the Autumn Budget 2025 followed established fiscal processes but was shaped by distinctive political and institutional influences. Central among these was the role of the </w:t>
      </w:r>
      <w:r w:rsidRPr="323EB3E8" w:rsidR="5B4BD5C9">
        <w:rPr>
          <w:rFonts w:ascii="Aptos" w:hAnsi="Aptos" w:eastAsia="Aptos" w:cs="Aptos" w:asciiTheme="minorAscii" w:hAnsiTheme="minorAscii" w:eastAsiaTheme="minorAscii" w:cstheme="minorAscii"/>
          <w:b w:val="0"/>
          <w:bCs w:val="0"/>
          <w:noProof w:val="0"/>
          <w:sz w:val="24"/>
          <w:szCs w:val="24"/>
          <w:lang w:val="en-GB"/>
        </w:rPr>
        <w:t>Office for Budget Responsibility</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whose November 2025 </w:t>
      </w:r>
      <w:r w:rsidRPr="323EB3E8" w:rsidR="5B4BD5C9">
        <w:rPr>
          <w:rFonts w:ascii="Aptos" w:hAnsi="Aptos" w:eastAsia="Aptos" w:cs="Aptos" w:asciiTheme="minorAscii" w:hAnsiTheme="minorAscii" w:eastAsiaTheme="minorAscii" w:cstheme="minorAscii"/>
          <w:b w:val="0"/>
          <w:bCs w:val="0"/>
          <w:i w:val="1"/>
          <w:iCs w:val="1"/>
          <w:noProof w:val="0"/>
          <w:sz w:val="24"/>
          <w:szCs w:val="24"/>
          <w:lang w:val="en-GB"/>
        </w:rPr>
        <w:t>Economic and Fiscal Outlook</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provided independent forecasts that constrained and legitimised policy choices (OBR, 2025; Institute for Government, 2023).</w:t>
      </w:r>
    </w:p>
    <w:p xmlns:wp14="http://schemas.microsoft.com/office/word/2010/wordml" w:rsidP="323EB3E8" wp14:paraId="47EB2A43" wp14:textId="6D7AB9FF">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Political commitments also played a significant role. The government </w:t>
      </w:r>
      <w:r w:rsidRPr="323EB3E8" w:rsidR="5B4BD5C9">
        <w:rPr>
          <w:rFonts w:ascii="Aptos" w:hAnsi="Aptos" w:eastAsia="Aptos" w:cs="Aptos" w:asciiTheme="minorAscii" w:hAnsiTheme="minorAscii" w:eastAsiaTheme="minorAscii" w:cstheme="minorAscii"/>
          <w:b w:val="0"/>
          <w:bCs w:val="0"/>
          <w:noProof w:val="0"/>
          <w:sz w:val="24"/>
          <w:szCs w:val="24"/>
          <w:lang w:val="en-GB"/>
        </w:rPr>
        <w:t>sought</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to </w:t>
      </w:r>
      <w:r w:rsidRPr="323EB3E8" w:rsidR="5B4BD5C9">
        <w:rPr>
          <w:rFonts w:ascii="Aptos" w:hAnsi="Aptos" w:eastAsia="Aptos" w:cs="Aptos" w:asciiTheme="minorAscii" w:hAnsiTheme="minorAscii" w:eastAsiaTheme="minorAscii" w:cstheme="minorAscii"/>
          <w:b w:val="0"/>
          <w:bCs w:val="0"/>
          <w:noProof w:val="0"/>
          <w:sz w:val="24"/>
          <w:szCs w:val="24"/>
          <w:lang w:val="en-GB"/>
        </w:rPr>
        <w:t>demonstrate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 clear departure from austerity while </w:t>
      </w:r>
      <w:r w:rsidRPr="323EB3E8" w:rsidR="5B4BD5C9">
        <w:rPr>
          <w:rFonts w:ascii="Aptos" w:hAnsi="Aptos" w:eastAsia="Aptos" w:cs="Aptos" w:asciiTheme="minorAscii" w:hAnsiTheme="minorAscii" w:eastAsiaTheme="minorAscii" w:cstheme="minorAscii"/>
          <w:b w:val="0"/>
          <w:bCs w:val="0"/>
          <w:noProof w:val="0"/>
          <w:sz w:val="24"/>
          <w:szCs w:val="24"/>
          <w:lang w:val="en-GB"/>
        </w:rPr>
        <w:t>maintaining</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macroeconomic credibility. This resulted in a strategy that combined targeted tax rises with increased spending on health, </w:t>
      </w:r>
      <w:r w:rsidRPr="323EB3E8" w:rsidR="5B4BD5C9">
        <w:rPr>
          <w:rFonts w:ascii="Aptos" w:hAnsi="Aptos" w:eastAsia="Aptos" w:cs="Aptos" w:asciiTheme="minorAscii" w:hAnsiTheme="minorAscii" w:eastAsiaTheme="minorAscii" w:cstheme="minorAscii"/>
          <w:b w:val="0"/>
          <w:bCs w:val="0"/>
          <w:noProof w:val="0"/>
          <w:sz w:val="24"/>
          <w:szCs w:val="24"/>
          <w:lang w:val="en-GB"/>
        </w:rPr>
        <w:t>education</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infrastructure, reflecting both electoral mandates and ideological assumptions about the role of the state (HM Treasury, 2025).</w:t>
      </w:r>
    </w:p>
    <w:p xmlns:wp14="http://schemas.microsoft.com/office/word/2010/wordml" w:rsidP="323EB3E8" wp14:paraId="11FD2E3A" wp14:textId="4FBA4461">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Finally, </w:t>
      </w:r>
      <w:r w:rsidRPr="323EB3E8" w:rsidR="5B4BD5C9">
        <w:rPr>
          <w:rFonts w:ascii="Aptos" w:hAnsi="Aptos" w:eastAsia="Aptos" w:cs="Aptos" w:asciiTheme="minorAscii" w:hAnsiTheme="minorAscii" w:eastAsiaTheme="minorAscii" w:cstheme="minorAscii"/>
          <w:b w:val="0"/>
          <w:bCs w:val="0"/>
          <w:noProof w:val="0"/>
          <w:sz w:val="24"/>
          <w:szCs w:val="24"/>
          <w:lang w:val="en-GB"/>
        </w:rPr>
        <w:t>external scrutiny and expert commentary</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shaped the post-Budget debate. Think tanks such as the Institute for Fiscal Studies assessed the distributional and long-term implications of the measures, influencing parliamentary debate and public understanding of the Budget’s </w:t>
      </w:r>
      <w:r w:rsidRPr="323EB3E8" w:rsidR="5B4BD5C9">
        <w:rPr>
          <w:rFonts w:ascii="Aptos" w:hAnsi="Aptos" w:eastAsia="Aptos" w:cs="Aptos" w:asciiTheme="minorAscii" w:hAnsiTheme="minorAscii" w:eastAsiaTheme="minorAscii" w:cstheme="minorAscii"/>
          <w:b w:val="0"/>
          <w:bCs w:val="0"/>
          <w:noProof w:val="0"/>
          <w:sz w:val="24"/>
          <w:szCs w:val="24"/>
          <w:lang w:val="en-GB"/>
        </w:rPr>
        <w:t>likely effects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(Institute for Fiscal Studies, 2025).</w:t>
      </w:r>
    </w:p>
    <w:p xmlns:wp14="http://schemas.microsoft.com/office/word/2010/wordml" w:rsidP="323EB3E8" wp14:paraId="10660174" wp14:textId="550CB977">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323EB3E8" wp14:paraId="7B4799C1" wp14:textId="09F00110">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323EB3E8" wp14:paraId="1901E920" wp14:textId="7A9CE436">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323EB3E8" w:rsidR="5B4BD5C9">
        <w:rPr>
          <w:rFonts w:ascii="Aptos" w:hAnsi="Aptos" w:eastAsia="Aptos" w:cs="Aptos" w:asciiTheme="minorAscii" w:hAnsiTheme="minorAscii" w:eastAsiaTheme="minorAscii" w:cstheme="minorAscii"/>
          <w:b w:val="0"/>
          <w:bCs w:val="0"/>
          <w:noProof w:val="0"/>
          <w:sz w:val="36"/>
          <w:szCs w:val="36"/>
          <w:u w:val="single"/>
          <w:lang w:val="en-GB"/>
        </w:rPr>
        <w:t>Policy Content, Outcomes and Critical Evaluation</w:t>
      </w:r>
    </w:p>
    <w:p xmlns:wp14="http://schemas.microsoft.com/office/word/2010/wordml" w:rsidP="323EB3E8" wp14:paraId="42675571" wp14:textId="6E3AB844">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The Autumn Budget 2025 combined revenue-raising measures with increased public spending and capital investment. Key elements included higher funding allocations for the NHS and schools, targeted welfare adjustments and investment aimed at boosting productivity and supporting the green transition.</w:t>
      </w:r>
    </w:p>
    <w:p xmlns:wp14="http://schemas.microsoft.com/office/word/2010/wordml" w:rsidP="323EB3E8" wp14:paraId="76E92235" wp14:textId="5E5C3E20">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In the short term, the Budget improved </w:t>
      </w:r>
      <w:r w:rsidRPr="323EB3E8" w:rsidR="5B4BD5C9">
        <w:rPr>
          <w:rFonts w:ascii="Aptos" w:hAnsi="Aptos" w:eastAsia="Aptos" w:cs="Aptos" w:asciiTheme="minorAscii" w:hAnsiTheme="minorAscii" w:eastAsiaTheme="minorAscii" w:cstheme="minorAscii"/>
          <w:b w:val="0"/>
          <w:bCs w:val="0"/>
          <w:noProof w:val="0"/>
          <w:sz w:val="24"/>
          <w:szCs w:val="24"/>
          <w:lang w:val="en-GB"/>
        </w:rPr>
        <w:t>fiscal headroom</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with the OBR forecasting a gradual reduction in borrowing over the medium term (OBR, 2025). Financial markets responded </w:t>
      </w:r>
      <w:r w:rsidRPr="323EB3E8" w:rsidR="5B4BD5C9">
        <w:rPr>
          <w:rFonts w:ascii="Aptos" w:hAnsi="Aptos" w:eastAsia="Aptos" w:cs="Aptos" w:asciiTheme="minorAscii" w:hAnsiTheme="minorAscii" w:eastAsiaTheme="minorAscii" w:cstheme="minorAscii"/>
          <w:b w:val="0"/>
          <w:bCs w:val="0"/>
          <w:noProof w:val="0"/>
          <w:sz w:val="24"/>
          <w:szCs w:val="24"/>
          <w:lang w:val="en-GB"/>
        </w:rPr>
        <w:t>relatively calmly</w:t>
      </w:r>
      <w:r w:rsidRPr="323EB3E8" w:rsidR="5B4BD5C9">
        <w:rPr>
          <w:rFonts w:ascii="Aptos" w:hAnsi="Aptos" w:eastAsia="Aptos" w:cs="Aptos" w:asciiTheme="minorAscii" w:hAnsiTheme="minorAscii" w:eastAsiaTheme="minorAscii" w:cstheme="minorAscii"/>
          <w:b w:val="0"/>
          <w:bCs w:val="0"/>
          <w:noProof w:val="0"/>
          <w:sz w:val="24"/>
          <w:szCs w:val="24"/>
          <w:lang w:val="en-GB"/>
        </w:rPr>
        <w:t>, suggesting confidence in the government’s fiscal framework.</w:t>
      </w:r>
    </w:p>
    <w:p xmlns:wp14="http://schemas.microsoft.com/office/word/2010/wordml" w:rsidP="323EB3E8" wp14:paraId="678C69F0" wp14:textId="1A4CC18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Distributional analysis </w:t>
      </w:r>
      <w:r w:rsidRPr="323EB3E8" w:rsidR="5B4BD5C9">
        <w:rPr>
          <w:rFonts w:ascii="Aptos" w:hAnsi="Aptos" w:eastAsia="Aptos" w:cs="Aptos" w:asciiTheme="minorAscii" w:hAnsiTheme="minorAscii" w:eastAsiaTheme="minorAscii" w:cstheme="minorAscii"/>
          <w:b w:val="0"/>
          <w:bCs w:val="0"/>
          <w:noProof w:val="0"/>
          <w:sz w:val="24"/>
          <w:szCs w:val="24"/>
          <w:lang w:val="en-GB"/>
        </w:rPr>
        <w:t>indicated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that while higher earners and some businesses bore a greater share of the tax burden, lower-income households </w:t>
      </w:r>
      <w:r w:rsidRPr="323EB3E8" w:rsidR="5B4BD5C9">
        <w:rPr>
          <w:rFonts w:ascii="Aptos" w:hAnsi="Aptos" w:eastAsia="Aptos" w:cs="Aptos" w:asciiTheme="minorAscii" w:hAnsiTheme="minorAscii" w:eastAsiaTheme="minorAscii" w:cstheme="minorAscii"/>
          <w:b w:val="0"/>
          <w:bCs w:val="0"/>
          <w:noProof w:val="0"/>
          <w:sz w:val="24"/>
          <w:szCs w:val="24"/>
          <w:lang w:val="en-GB"/>
        </w:rPr>
        <w:t>benefited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from increased public spending and welfare adjustments (House of Commons Library, 2025). However, analysts cautioned that the success of the growth strategy depends heavily on effective implementation, productivity gains and sustained political commitment (Institute for Fiscal Studies, 2025).</w:t>
      </w:r>
    </w:p>
    <w:p xmlns:wp14="http://schemas.microsoft.com/office/word/2010/wordml" w:rsidP="323EB3E8" wp14:paraId="4622AA2B" wp14:textId="2804ED59">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Significant risks </w:t>
      </w:r>
      <w:r w:rsidRPr="323EB3E8" w:rsidR="5B4BD5C9">
        <w:rPr>
          <w:rFonts w:ascii="Aptos" w:hAnsi="Aptos" w:eastAsia="Aptos" w:cs="Aptos" w:asciiTheme="minorAscii" w:hAnsiTheme="minorAscii" w:eastAsiaTheme="minorAscii" w:cstheme="minorAscii"/>
          <w:b w:val="0"/>
          <w:bCs w:val="0"/>
          <w:noProof w:val="0"/>
          <w:sz w:val="24"/>
          <w:szCs w:val="24"/>
          <w:lang w:val="en-GB"/>
        </w:rPr>
        <w:t>remain</w:t>
      </w:r>
      <w:r w:rsidRPr="323EB3E8" w:rsidR="4C7E2EC7">
        <w:rPr>
          <w:rFonts w:ascii="Aptos" w:hAnsi="Aptos" w:eastAsia="Aptos" w:cs="Aptos" w:asciiTheme="minorAscii" w:hAnsiTheme="minorAscii" w:eastAsiaTheme="minorAscii" w:cstheme="minorAscii"/>
          <w:b w:val="0"/>
          <w:bCs w:val="0"/>
          <w:noProof w:val="0"/>
          <w:sz w:val="24"/>
          <w:szCs w:val="24"/>
          <w:lang w:val="en-GB"/>
        </w:rPr>
        <w:t xml:space="preserve">,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Productivity improvements often materialise slowly and depend on complementary reforms in skills, </w:t>
      </w:r>
      <w:r w:rsidRPr="323EB3E8" w:rsidR="5B4BD5C9">
        <w:rPr>
          <w:rFonts w:ascii="Aptos" w:hAnsi="Aptos" w:eastAsia="Aptos" w:cs="Aptos" w:asciiTheme="minorAscii" w:hAnsiTheme="minorAscii" w:eastAsiaTheme="minorAscii" w:cstheme="minorAscii"/>
          <w:b w:val="0"/>
          <w:bCs w:val="0"/>
          <w:noProof w:val="0"/>
          <w:sz w:val="24"/>
          <w:szCs w:val="24"/>
          <w:lang w:val="en-GB"/>
        </w:rPr>
        <w:t>planning</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infrastructure delivery. Global economic volatility and forecast uncertainty could also erode fiscal headroom, forcing future policy trade-offs.</w:t>
      </w:r>
    </w:p>
    <w:p xmlns:wp14="http://schemas.microsoft.com/office/word/2010/wordml" w:rsidP="323EB3E8" wp14:paraId="2401559C" wp14:textId="70F8834C">
      <w:pPr>
        <w:rPr>
          <w:rFonts w:ascii="Aptos" w:hAnsi="Aptos" w:eastAsia="Aptos" w:cs="Aptos" w:asciiTheme="minorAscii" w:hAnsiTheme="minorAscii" w:eastAsiaTheme="minorAscii" w:cstheme="minorAscii"/>
          <w:b w:val="0"/>
          <w:bCs w:val="0"/>
          <w:sz w:val="28"/>
          <w:szCs w:val="28"/>
        </w:rPr>
      </w:pPr>
    </w:p>
    <w:p xmlns:wp14="http://schemas.microsoft.com/office/word/2010/wordml" w:rsidP="323EB3E8" wp14:paraId="53722D7D" wp14:textId="469187B4">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323EB3E8" w:rsidR="5B4BD5C9">
        <w:rPr>
          <w:rFonts w:ascii="Aptos" w:hAnsi="Aptos" w:eastAsia="Aptos" w:cs="Aptos" w:asciiTheme="minorAscii" w:hAnsiTheme="minorAscii" w:eastAsiaTheme="minorAscii" w:cstheme="minorAscii"/>
          <w:b w:val="0"/>
          <w:bCs w:val="0"/>
          <w:noProof w:val="0"/>
          <w:sz w:val="28"/>
          <w:szCs w:val="28"/>
          <w:u w:val="single"/>
          <w:lang w:val="en-GB"/>
        </w:rPr>
        <w:t>Comparative Policy Analysis</w:t>
      </w:r>
    </w:p>
    <w:p xmlns:wp14="http://schemas.microsoft.com/office/word/2010/wordml" w:rsidP="323EB3E8" wp14:paraId="56A74FE6" wp14:textId="713BF3A8">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Comparing the Renters’ Rights Act 2025 and the Autumn Budget 2025 highlights contrasts in policy instruments and timescales. Housing reform relies primarily on legal and regulatory change with </w:t>
      </w:r>
      <w:r w:rsidRPr="323EB3E8" w:rsidR="5B4BD5C9">
        <w:rPr>
          <w:rFonts w:ascii="Aptos" w:hAnsi="Aptos" w:eastAsia="Aptos" w:cs="Aptos" w:asciiTheme="minorAscii" w:hAnsiTheme="minorAscii" w:eastAsiaTheme="minorAscii" w:cstheme="minorAscii"/>
          <w:b w:val="0"/>
          <w:bCs w:val="0"/>
          <w:noProof w:val="0"/>
          <w:sz w:val="24"/>
          <w:szCs w:val="24"/>
          <w:lang w:val="en-GB"/>
        </w:rPr>
        <w:t>relatively immediate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behavioural effects, </w:t>
      </w:r>
      <w:r w:rsidRPr="323EB3E8" w:rsidR="5B4BD5C9">
        <w:rPr>
          <w:rFonts w:ascii="Aptos" w:hAnsi="Aptos" w:eastAsia="Aptos" w:cs="Aptos" w:asciiTheme="minorAscii" w:hAnsiTheme="minorAscii" w:eastAsiaTheme="minorAscii" w:cstheme="minorAscii"/>
          <w:b w:val="0"/>
          <w:bCs w:val="0"/>
          <w:noProof w:val="0"/>
          <w:sz w:val="24"/>
          <w:szCs w:val="24"/>
          <w:lang w:val="en-GB"/>
        </w:rPr>
        <w:t>whereas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fiscal policy </w:t>
      </w:r>
      <w:r w:rsidRPr="323EB3E8" w:rsidR="5B4BD5C9">
        <w:rPr>
          <w:rFonts w:ascii="Aptos" w:hAnsi="Aptos" w:eastAsia="Aptos" w:cs="Aptos" w:asciiTheme="minorAscii" w:hAnsiTheme="minorAscii" w:eastAsiaTheme="minorAscii" w:cstheme="minorAscii"/>
          <w:b w:val="0"/>
          <w:bCs w:val="0"/>
          <w:noProof w:val="0"/>
          <w:sz w:val="24"/>
          <w:szCs w:val="24"/>
          <w:lang w:val="en-GB"/>
        </w:rPr>
        <w:t>operates</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through macroeconomic channels with delayed and uncertain outcomes.</w:t>
      </w:r>
    </w:p>
    <w:p xmlns:wp14="http://schemas.microsoft.com/office/word/2010/wordml" w:rsidP="323EB3E8" wp14:paraId="15999073" wp14:textId="1A478725">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Both policies </w:t>
      </w:r>
      <w:r w:rsidRPr="323EB3E8" w:rsidR="5B4BD5C9">
        <w:rPr>
          <w:rFonts w:ascii="Aptos" w:hAnsi="Aptos" w:eastAsia="Aptos" w:cs="Aptos" w:asciiTheme="minorAscii" w:hAnsiTheme="minorAscii" w:eastAsiaTheme="minorAscii" w:cstheme="minorAscii"/>
          <w:b w:val="0"/>
          <w:bCs w:val="0"/>
          <w:noProof w:val="0"/>
          <w:sz w:val="24"/>
          <w:szCs w:val="24"/>
          <w:lang w:val="en-GB"/>
        </w:rPr>
        <w:t>demonstrate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the importance of </w:t>
      </w:r>
      <w:r w:rsidRPr="323EB3E8" w:rsidR="5B4BD5C9">
        <w:rPr>
          <w:rFonts w:ascii="Aptos" w:hAnsi="Aptos" w:eastAsia="Aptos" w:cs="Aptos" w:asciiTheme="minorAscii" w:hAnsiTheme="minorAscii" w:eastAsiaTheme="minorAscii" w:cstheme="minorAscii"/>
          <w:b w:val="0"/>
          <w:bCs w:val="0"/>
          <w:noProof w:val="0"/>
          <w:sz w:val="24"/>
          <w:szCs w:val="24"/>
          <w:lang w:val="en-GB"/>
        </w:rPr>
        <w:t>implementation capacity</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 housing, enforcement and court systems </w:t>
      </w:r>
      <w:r w:rsidRPr="323EB3E8" w:rsidR="5B4BD5C9">
        <w:rPr>
          <w:rFonts w:ascii="Aptos" w:hAnsi="Aptos" w:eastAsia="Aptos" w:cs="Aptos" w:asciiTheme="minorAscii" w:hAnsiTheme="minorAscii" w:eastAsiaTheme="minorAscii" w:cstheme="minorAscii"/>
          <w:b w:val="0"/>
          <w:bCs w:val="0"/>
          <w:noProof w:val="0"/>
          <w:sz w:val="24"/>
          <w:szCs w:val="24"/>
          <w:lang w:val="en-GB"/>
        </w:rPr>
        <w:t>determine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outcomes</w:t>
      </w:r>
      <w:r w:rsidRPr="323EB3E8" w:rsidR="2ECD755F">
        <w:rPr>
          <w:rFonts w:ascii="Aptos" w:hAnsi="Aptos" w:eastAsia="Aptos" w:cs="Aptos" w:asciiTheme="minorAscii" w:hAnsiTheme="minorAscii" w:eastAsiaTheme="minorAscii" w:cstheme="minorAscii"/>
          <w:b w:val="0"/>
          <w:bCs w:val="0"/>
          <w:noProof w:val="0"/>
          <w:sz w:val="24"/>
          <w:szCs w:val="24"/>
          <w:lang w:val="en-GB"/>
        </w:rPr>
        <w:t xml:space="preserve"> </w:t>
      </w:r>
      <w:r w:rsidRPr="323EB3E8" w:rsidR="5B4BD5C9">
        <w:rPr>
          <w:rFonts w:ascii="Aptos" w:hAnsi="Aptos" w:eastAsia="Aptos" w:cs="Aptos" w:asciiTheme="minorAscii" w:hAnsiTheme="minorAscii" w:eastAsiaTheme="minorAscii" w:cstheme="minorAscii"/>
          <w:b w:val="0"/>
          <w:bCs w:val="0"/>
          <w:noProof w:val="0"/>
          <w:sz w:val="24"/>
          <w:szCs w:val="24"/>
          <w:lang w:val="en-GB"/>
        </w:rPr>
        <w:t>in</w:t>
      </w:r>
      <w:r w:rsidRPr="323EB3E8" w:rsidR="08E24EEA">
        <w:rPr>
          <w:rFonts w:ascii="Aptos" w:hAnsi="Aptos" w:eastAsia="Aptos" w:cs="Aptos" w:asciiTheme="minorAscii" w:hAnsiTheme="minorAscii" w:eastAsiaTheme="minorAscii" w:cstheme="minorAscii"/>
          <w:b w:val="0"/>
          <w:bCs w:val="0"/>
          <w:noProof w:val="0"/>
          <w:sz w:val="24"/>
          <w:szCs w:val="24"/>
          <w:lang w:val="en-GB"/>
        </w:rPr>
        <w:t xml:space="preserve">; </w:t>
      </w:r>
    </w:p>
    <w:p xmlns:wp14="http://schemas.microsoft.com/office/word/2010/wordml" w:rsidP="323EB3E8" wp14:paraId="25A6975A" wp14:textId="0BA38A2E">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08E24EEA">
        <w:rPr>
          <w:rFonts w:ascii="Aptos" w:hAnsi="Aptos" w:eastAsia="Aptos" w:cs="Aptos" w:asciiTheme="minorAscii" w:hAnsiTheme="minorAscii" w:eastAsiaTheme="minorAscii" w:cstheme="minorAscii"/>
          <w:b w:val="0"/>
          <w:bCs w:val="0"/>
          <w:noProof w:val="0"/>
          <w:sz w:val="24"/>
          <w:szCs w:val="24"/>
          <w:lang w:val="en-GB"/>
        </w:rPr>
        <w:t>E</w:t>
      </w:r>
      <w:r w:rsidRPr="323EB3E8" w:rsidR="5B4BD5C9">
        <w:rPr>
          <w:rFonts w:ascii="Aptos" w:hAnsi="Aptos" w:eastAsia="Aptos" w:cs="Aptos" w:asciiTheme="minorAscii" w:hAnsiTheme="minorAscii" w:eastAsiaTheme="minorAscii" w:cstheme="minorAscii"/>
          <w:b w:val="0"/>
          <w:bCs w:val="0"/>
          <w:noProof w:val="0"/>
          <w:sz w:val="24"/>
          <w:szCs w:val="24"/>
          <w:lang w:val="en-GB"/>
        </w:rPr>
        <w:t>conomic policy</w:t>
      </w:r>
    </w:p>
    <w:p xmlns:wp14="http://schemas.microsoft.com/office/word/2010/wordml" w:rsidP="323EB3E8" wp14:paraId="3B2A3E3B" wp14:textId="351E16D9">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7393A103">
        <w:rPr>
          <w:rFonts w:ascii="Aptos" w:hAnsi="Aptos" w:eastAsia="Aptos" w:cs="Aptos" w:asciiTheme="minorAscii" w:hAnsiTheme="minorAscii" w:eastAsiaTheme="minorAscii" w:cstheme="minorAscii"/>
          <w:b w:val="0"/>
          <w:bCs w:val="0"/>
          <w:noProof w:val="0"/>
          <w:sz w:val="24"/>
          <w:szCs w:val="24"/>
          <w:lang w:val="en-GB"/>
        </w:rPr>
        <w:t>D</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elivery </w:t>
      </w:r>
      <w:r w:rsidRPr="323EB3E8" w:rsidR="5B4BD5C9">
        <w:rPr>
          <w:rFonts w:ascii="Aptos" w:hAnsi="Aptos" w:eastAsia="Aptos" w:cs="Aptos" w:asciiTheme="minorAscii" w:hAnsiTheme="minorAscii" w:eastAsiaTheme="minorAscii" w:cstheme="minorAscii"/>
          <w:b w:val="0"/>
          <w:bCs w:val="0"/>
          <w:noProof w:val="0"/>
          <w:sz w:val="24"/>
          <w:szCs w:val="24"/>
          <w:lang w:val="en-GB"/>
        </w:rPr>
        <w:t>mechanisms</w:t>
      </w:r>
    </w:p>
    <w:p xmlns:wp14="http://schemas.microsoft.com/office/word/2010/wordml" w:rsidP="323EB3E8" wp14:paraId="5F744086" wp14:textId="15765C11">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410C1CEE">
        <w:rPr>
          <w:rFonts w:ascii="Aptos" w:hAnsi="Aptos" w:eastAsia="Aptos" w:cs="Aptos" w:asciiTheme="minorAscii" w:hAnsiTheme="minorAscii" w:eastAsiaTheme="minorAscii" w:cstheme="minorAscii"/>
          <w:b w:val="0"/>
          <w:bCs w:val="0"/>
          <w:noProof w:val="0"/>
          <w:sz w:val="24"/>
          <w:szCs w:val="24"/>
          <w:lang w:val="en-GB"/>
        </w:rPr>
        <w:t>I</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nstitutional coordination </w:t>
      </w:r>
    </w:p>
    <w:p xmlns:wp14="http://schemas.microsoft.com/office/word/2010/wordml" w:rsidP="323EB3E8" wp14:paraId="3F5BB724" wp14:textId="368F1D60">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sz w:val="24"/>
          <w:szCs w:val="24"/>
          <w:lang w:val="en-GB"/>
        </w:rPr>
      </w:pPr>
    </w:p>
    <w:p xmlns:wp14="http://schemas.microsoft.com/office/word/2010/wordml" w:rsidP="323EB3E8" wp14:paraId="32651F0F" wp14:textId="1236DD88">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8"/>
          <w:szCs w:val="28"/>
          <w:lang w:val="en-GB"/>
        </w:rPr>
      </w:pPr>
      <w:r w:rsidRPr="323EB3E8" w:rsidR="11470653">
        <w:rPr>
          <w:rFonts w:ascii="Aptos" w:hAnsi="Aptos" w:eastAsia="Aptos" w:cs="Aptos" w:asciiTheme="minorAscii" w:hAnsiTheme="minorAscii" w:eastAsiaTheme="minorAscii" w:cstheme="minorAscii"/>
          <w:b w:val="0"/>
          <w:bCs w:val="0"/>
          <w:noProof w:val="0"/>
          <w:sz w:val="24"/>
          <w:szCs w:val="24"/>
          <w:lang w:val="en-GB"/>
        </w:rPr>
        <w:t xml:space="preserve">These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shape effectiveness </w:t>
      </w:r>
      <w:r w:rsidRPr="323EB3E8" w:rsidR="23EBDA10">
        <w:rPr>
          <w:rFonts w:ascii="Aptos" w:hAnsi="Aptos" w:eastAsia="Aptos" w:cs="Aptos" w:asciiTheme="minorAscii" w:hAnsiTheme="minorAscii" w:eastAsiaTheme="minorAscii" w:cstheme="minorAscii"/>
          <w:b w:val="0"/>
          <w:bCs w:val="0"/>
          <w:noProof w:val="0"/>
          <w:sz w:val="24"/>
          <w:szCs w:val="24"/>
          <w:lang w:val="en-GB"/>
        </w:rPr>
        <w:t>in</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both cases, independent scrutiny</w:t>
      </w:r>
      <w:r w:rsidRPr="323EB3E8" w:rsidR="6934BB2F">
        <w:rPr>
          <w:rFonts w:ascii="Aptos" w:hAnsi="Aptos" w:eastAsia="Aptos" w:cs="Aptos" w:asciiTheme="minorAscii" w:hAnsiTheme="minorAscii" w:eastAsiaTheme="minorAscii" w:cstheme="minorAscii"/>
          <w:b w:val="0"/>
          <w:bCs w:val="0"/>
          <w:noProof w:val="0"/>
          <w:sz w:val="24"/>
          <w:szCs w:val="24"/>
          <w:lang w:val="en-GB"/>
        </w:rPr>
        <w:t xml:space="preserve">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from local authorities, the judiciary, the </w:t>
      </w:r>
      <w:r w:rsidRPr="323EB3E8" w:rsidR="5B4BD5C9">
        <w:rPr>
          <w:rFonts w:ascii="Aptos" w:hAnsi="Aptos" w:eastAsia="Aptos" w:cs="Aptos" w:asciiTheme="minorAscii" w:hAnsiTheme="minorAscii" w:eastAsiaTheme="minorAscii" w:cstheme="minorAscii"/>
          <w:b w:val="0"/>
          <w:bCs w:val="0"/>
          <w:noProof w:val="0"/>
          <w:sz w:val="24"/>
          <w:szCs w:val="24"/>
          <w:lang w:val="en-GB"/>
        </w:rPr>
        <w:t>OBR</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policy institutes</w:t>
      </w:r>
      <w:r w:rsidRPr="323EB3E8" w:rsidR="7A93A157">
        <w:rPr>
          <w:rFonts w:ascii="Aptos" w:hAnsi="Aptos" w:eastAsia="Aptos" w:cs="Aptos" w:asciiTheme="minorAscii" w:hAnsiTheme="minorAscii" w:eastAsiaTheme="minorAscii" w:cstheme="minorAscii"/>
          <w:b w:val="0"/>
          <w:bCs w:val="0"/>
          <w:noProof w:val="0"/>
          <w:sz w:val="24"/>
          <w:szCs w:val="24"/>
          <w:lang w:val="en-GB"/>
        </w:rPr>
        <w:t xml:space="preserve">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plays </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a </w:t>
      </w:r>
      <w:r w:rsidRPr="323EB3E8" w:rsidR="529CCCBE">
        <w:rPr>
          <w:rFonts w:ascii="Aptos" w:hAnsi="Aptos" w:eastAsia="Aptos" w:cs="Aptos" w:asciiTheme="minorAscii" w:hAnsiTheme="minorAscii" w:eastAsiaTheme="minorAscii" w:cstheme="minorAscii"/>
          <w:b w:val="0"/>
          <w:bCs w:val="0"/>
          <w:noProof w:val="0"/>
          <w:sz w:val="24"/>
          <w:szCs w:val="24"/>
          <w:lang w:val="en-GB"/>
        </w:rPr>
        <w:t xml:space="preserve">vital </w:t>
      </w:r>
      <w:r w:rsidRPr="323EB3E8" w:rsidR="5B4BD5C9">
        <w:rPr>
          <w:rFonts w:ascii="Aptos" w:hAnsi="Aptos" w:eastAsia="Aptos" w:cs="Aptos" w:asciiTheme="minorAscii" w:hAnsiTheme="minorAscii" w:eastAsiaTheme="minorAscii" w:cstheme="minorAscii"/>
          <w:b w:val="0"/>
          <w:bCs w:val="0"/>
          <w:noProof w:val="0"/>
          <w:sz w:val="24"/>
          <w:szCs w:val="24"/>
          <w:lang w:val="en-GB"/>
        </w:rPr>
        <w:t>role</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in accountability and transparency.</w:t>
      </w:r>
    </w:p>
    <w:p w:rsidR="323EB3E8" w:rsidP="323EB3E8" w:rsidRDefault="323EB3E8" w14:paraId="7C511A37" w14:textId="3A400460">
      <w:pPr>
        <w:pStyle w:val="Normal"/>
        <w:rPr>
          <w:rFonts w:ascii="Aptos" w:hAnsi="Aptos" w:eastAsia="Aptos" w:cs="Aptos" w:asciiTheme="minorAscii" w:hAnsiTheme="minorAscii" w:eastAsiaTheme="minorAscii" w:cstheme="minorAscii"/>
          <w:b w:val="0"/>
          <w:bCs w:val="0"/>
          <w:noProof w:val="0"/>
          <w:sz w:val="36"/>
          <w:szCs w:val="36"/>
          <w:u w:val="single"/>
          <w:lang w:val="en-GB"/>
        </w:rPr>
      </w:pPr>
    </w:p>
    <w:p w:rsidR="323EB3E8" w:rsidP="323EB3E8" w:rsidRDefault="323EB3E8" w14:paraId="4AFDA616" w14:textId="246DCB7B">
      <w:pPr>
        <w:pStyle w:val="Normal"/>
        <w:rPr>
          <w:rFonts w:ascii="Aptos" w:hAnsi="Aptos" w:eastAsia="Aptos" w:cs="Aptos" w:asciiTheme="minorAscii" w:hAnsiTheme="minorAscii" w:eastAsiaTheme="minorAscii" w:cstheme="minorAscii"/>
          <w:b w:val="0"/>
          <w:bCs w:val="0"/>
          <w:noProof w:val="0"/>
          <w:sz w:val="36"/>
          <w:szCs w:val="36"/>
          <w:u w:val="single"/>
          <w:lang w:val="en-GB"/>
        </w:rPr>
      </w:pPr>
    </w:p>
    <w:p xmlns:wp14="http://schemas.microsoft.com/office/word/2010/wordml" w:rsidP="323EB3E8" wp14:paraId="1630F7F7" wp14:textId="112FDCDC">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323EB3E8" w:rsidR="01BCEC92">
        <w:rPr>
          <w:rFonts w:ascii="Aptos" w:hAnsi="Aptos" w:eastAsia="Aptos" w:cs="Aptos" w:asciiTheme="minorAscii" w:hAnsiTheme="minorAscii" w:eastAsiaTheme="minorAscii" w:cstheme="minorAscii"/>
          <w:b w:val="0"/>
          <w:bCs w:val="0"/>
          <w:noProof w:val="0"/>
          <w:sz w:val="36"/>
          <w:szCs w:val="36"/>
          <w:u w:val="single"/>
          <w:lang w:val="en-GB"/>
        </w:rPr>
        <w:t>Implementation, Governance and Long-Term Policy Sustainability</w:t>
      </w:r>
    </w:p>
    <w:p xmlns:wp14="http://schemas.microsoft.com/office/word/2010/wordml" w:rsidP="323EB3E8" wp14:paraId="4FCDBBB1" wp14:textId="0CBC3D43">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Beyond policy design and early outcomes, the long-term success of both the Renters’ Rights Act 2025 and the Autumn Budget 2025 depends on governance structures and sustained political commitment. Implementation is increasingly recognised in public policy literature as the stage at which many reforms falter, particularly where policies impose new duties on under-resourced institutions (Cairney, 2020).</w:t>
      </w:r>
    </w:p>
    <w:p xmlns:wp14="http://schemas.microsoft.com/office/word/2010/wordml" w:rsidP="323EB3E8" wp14:paraId="26893D0D" wp14:textId="20E36462">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In the case of housing policy, the Renters’ Rights Act significantly expands the responsibilities of local authorities and the court system. Local authorities are expected to play a greater role in enforcing housing standards, responding to tenant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complaints</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supporting dispute resolution. However, evidence from the English Housing Survey suggests that enforcement capacity has been uneven across local authorities for several years, reflecting broader financial pressures within local government (Ministry of Housing, Communities and Local Government, 2023). Without sustained funding and monitoring, there is a risk that the Act will produce uneven outcomes, with tenants in better-resourced areas benefiting more than those elsewhere.</w:t>
      </w:r>
    </w:p>
    <w:p xmlns:wp14="http://schemas.microsoft.com/office/word/2010/wordml" w:rsidP="323EB3E8" wp14:paraId="7AA7AE79" wp14:textId="2A19A992">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Similarly, the effectiveness of the Autumn Budget 2025 is closely tied to governance and delivery capacity within central government and public services. While increased funding allocations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represent</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 significant policy shift, translating expenditure into improved outcomes requires effective planning, workforce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capacity</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interdepartmental coordination.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Previous</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experience suggests that delays in capital investment and skills shortages can weaken the impact of fiscal expansion, particularly in health and infrastructure (Institute for Government, 2023).</w:t>
      </w:r>
    </w:p>
    <w:p xmlns:wp14="http://schemas.microsoft.com/office/word/2010/wordml" w:rsidP="323EB3E8" wp14:paraId="49231DF9" wp14:textId="2A257F8E">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Both policies also raise questions about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policy durability</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Housing reform may face future political pressure if market conditions tighten or landlord exit accelerates, while fiscal policy is vulnerable to economic shocks that could rapidly reduce fiscal headroom. The Office for Budget Responsibility has highlighted the sensitivity of public finances to changes in growth and inflation assumptions, underlining the conditional nature of fiscal sustainability (Office for Budget Responsibility, 2025).</w:t>
      </w:r>
    </w:p>
    <w:p xmlns:wp14="http://schemas.microsoft.com/office/word/2010/wordml" w:rsidP="323EB3E8" wp14:paraId="0DE0E7FF" wp14:textId="5900C056">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Taken together, these considerations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demonstrate</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that effective policy making extends beyond legislation and budgets. Long-term success depends on institutional resilience, adaptive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governance</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continuous evaluation to ensure that policies </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remain</w:t>
      </w:r>
      <w:r w:rsidRPr="323EB3E8"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responsive to social and economic change.</w:t>
      </w:r>
    </w:p>
    <w:p xmlns:wp14="http://schemas.microsoft.com/office/word/2010/wordml" w:rsidP="323EB3E8" wp14:paraId="66CCB380" wp14:textId="701C2F4B">
      <w:pPr>
        <w:rPr>
          <w:rFonts w:ascii="Aptos" w:hAnsi="Aptos" w:eastAsia="Aptos" w:cs="Aptos" w:asciiTheme="minorAscii" w:hAnsiTheme="minorAscii" w:eastAsiaTheme="minorAscii" w:cstheme="minorAscii"/>
          <w:b w:val="0"/>
          <w:bCs w:val="0"/>
          <w:sz w:val="28"/>
          <w:szCs w:val="28"/>
        </w:rPr>
      </w:pPr>
    </w:p>
    <w:p w:rsidR="323EB3E8" w:rsidP="323EB3E8" w:rsidRDefault="323EB3E8" w14:paraId="58CDF334" w14:textId="5168B6E7">
      <w:pPr>
        <w:pStyle w:val="Normal"/>
        <w:rPr>
          <w:rFonts w:ascii="Aptos" w:hAnsi="Aptos" w:eastAsia="Aptos" w:cs="Aptos" w:asciiTheme="minorAscii" w:hAnsiTheme="minorAscii" w:eastAsiaTheme="minorAscii" w:cstheme="minorAscii"/>
          <w:b w:val="0"/>
          <w:bCs w:val="0"/>
          <w:noProof w:val="0"/>
          <w:sz w:val="36"/>
          <w:szCs w:val="36"/>
          <w:u w:val="single"/>
          <w:lang w:val="en-GB"/>
        </w:rPr>
      </w:pPr>
    </w:p>
    <w:p xmlns:wp14="http://schemas.microsoft.com/office/word/2010/wordml" w:rsidP="323EB3E8" wp14:paraId="7DD537DE" wp14:textId="1B4F20E9">
      <w:pPr>
        <w:pStyle w:val="Normal"/>
        <w:rPr>
          <w:rFonts w:ascii="Aptos" w:hAnsi="Aptos" w:eastAsia="Aptos" w:cs="Aptos" w:asciiTheme="minorAscii" w:hAnsiTheme="minorAscii" w:eastAsiaTheme="minorAscii" w:cstheme="minorAscii"/>
          <w:b w:val="0"/>
          <w:bCs w:val="0"/>
          <w:noProof w:val="0"/>
          <w:sz w:val="40"/>
          <w:szCs w:val="40"/>
          <w:u w:val="single"/>
          <w:lang w:val="en-GB"/>
        </w:rPr>
      </w:pPr>
      <w:r w:rsidRPr="323EB3E8" w:rsidR="5B4BD5C9">
        <w:rPr>
          <w:rFonts w:ascii="Aptos" w:hAnsi="Aptos" w:eastAsia="Aptos" w:cs="Aptos" w:asciiTheme="minorAscii" w:hAnsiTheme="minorAscii" w:eastAsiaTheme="minorAscii" w:cstheme="minorAscii"/>
          <w:b w:val="0"/>
          <w:bCs w:val="0"/>
          <w:noProof w:val="0"/>
          <w:sz w:val="36"/>
          <w:szCs w:val="36"/>
          <w:u w:val="single"/>
          <w:lang w:val="en-GB"/>
        </w:rPr>
        <w:t>Conclusion</w:t>
      </w:r>
    </w:p>
    <w:p xmlns:wp14="http://schemas.microsoft.com/office/word/2010/wordml" w:rsidP="323EB3E8" wp14:paraId="4A6BA18E" wp14:textId="1CBCE9D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The Renters’ Rights Act 2025 and the Autumn Budget 2025 illustrate how UK public policy responds to entrenched social and economic challenges through different mechanisms. Housing reform </w:t>
      </w:r>
      <w:r w:rsidRPr="323EB3E8" w:rsidR="5B4BD5C9">
        <w:rPr>
          <w:rFonts w:ascii="Aptos" w:hAnsi="Aptos" w:eastAsia="Aptos" w:cs="Aptos" w:asciiTheme="minorAscii" w:hAnsiTheme="minorAscii" w:eastAsiaTheme="minorAscii" w:cstheme="minorAscii"/>
          <w:b w:val="0"/>
          <w:bCs w:val="0"/>
          <w:noProof w:val="0"/>
          <w:sz w:val="24"/>
          <w:szCs w:val="24"/>
          <w:lang w:val="en-GB"/>
        </w:rPr>
        <w:t>sought</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to correct market imbalances and protect tenants through legal change, while economic policy aimed to restore public services and promote growth within fiscal limits. Both policies highlight the importance of institutional capacity, effective </w:t>
      </w:r>
      <w:r w:rsidRPr="323EB3E8" w:rsidR="5B4BD5C9">
        <w:rPr>
          <w:rFonts w:ascii="Aptos" w:hAnsi="Aptos" w:eastAsia="Aptos" w:cs="Aptos" w:asciiTheme="minorAscii" w:hAnsiTheme="minorAscii" w:eastAsiaTheme="minorAscii" w:cstheme="minorAscii"/>
          <w:b w:val="0"/>
          <w:bCs w:val="0"/>
          <w:noProof w:val="0"/>
          <w:sz w:val="24"/>
          <w:szCs w:val="24"/>
          <w:lang w:val="en-GB"/>
        </w:rPr>
        <w:t>implementation</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and ongoing evaluation. </w:t>
      </w:r>
      <w:r w:rsidRPr="323EB3E8" w:rsidR="5B4BD5C9">
        <w:rPr>
          <w:rFonts w:ascii="Aptos" w:hAnsi="Aptos" w:eastAsia="Aptos" w:cs="Aptos" w:asciiTheme="minorAscii" w:hAnsiTheme="minorAscii" w:eastAsiaTheme="minorAscii" w:cstheme="minorAscii"/>
          <w:b w:val="0"/>
          <w:bCs w:val="0"/>
          <w:noProof w:val="0"/>
          <w:sz w:val="24"/>
          <w:szCs w:val="24"/>
          <w:lang w:val="en-GB"/>
        </w:rPr>
        <w:t>Ultimately, their</w:t>
      </w:r>
      <w:r w:rsidRPr="323EB3E8" w:rsidR="5B4BD5C9">
        <w:rPr>
          <w:rFonts w:ascii="Aptos" w:hAnsi="Aptos" w:eastAsia="Aptos" w:cs="Aptos" w:asciiTheme="minorAscii" w:hAnsiTheme="minorAscii" w:eastAsiaTheme="minorAscii" w:cstheme="minorAscii"/>
          <w:b w:val="0"/>
          <w:bCs w:val="0"/>
          <w:noProof w:val="0"/>
          <w:sz w:val="24"/>
          <w:szCs w:val="24"/>
          <w:lang w:val="en-GB"/>
        </w:rPr>
        <w:t xml:space="preserve"> success will be judged not by legislative intent or fiscal announcements, but by tangible improvements in housing security, public service quality and living standards across the UK.</w:t>
      </w:r>
    </w:p>
    <w:p xmlns:wp14="http://schemas.microsoft.com/office/word/2010/wordml" wp14:paraId="53CF579C" wp14:textId="0E6099F6"/>
    <w:p xmlns:wp14="http://schemas.microsoft.com/office/word/2010/wordml" w:rsidP="7B882D28" wp14:paraId="3DF89F28" wp14:textId="43A57F3B">
      <w:pPr>
        <w:pStyle w:val="Normal"/>
        <w:rPr>
          <w:noProof w:val="0"/>
          <w:sz w:val="32"/>
          <w:szCs w:val="32"/>
          <w:u w:val="single"/>
          <w:lang w:val="en-GB"/>
        </w:rPr>
      </w:pPr>
    </w:p>
    <w:p w:rsidR="323EB3E8" w:rsidP="323EB3E8" w:rsidRDefault="323EB3E8" w14:paraId="4E9A3DCE" w14:textId="65FB0CF9">
      <w:pPr>
        <w:pStyle w:val="Normal"/>
        <w:rPr>
          <w:noProof w:val="0"/>
          <w:sz w:val="32"/>
          <w:szCs w:val="32"/>
          <w:u w:val="single"/>
          <w:lang w:val="en-GB"/>
        </w:rPr>
      </w:pPr>
    </w:p>
    <w:p w:rsidR="323EB3E8" w:rsidP="323EB3E8" w:rsidRDefault="323EB3E8" w14:paraId="7C328CBA" w14:textId="1B48E005">
      <w:pPr>
        <w:pStyle w:val="Normal"/>
        <w:rPr>
          <w:noProof w:val="0"/>
          <w:sz w:val="32"/>
          <w:szCs w:val="32"/>
          <w:u w:val="single"/>
          <w:lang w:val="en-GB"/>
        </w:rPr>
      </w:pPr>
    </w:p>
    <w:p w:rsidR="323EB3E8" w:rsidP="323EB3E8" w:rsidRDefault="323EB3E8" w14:paraId="331EF208" w14:textId="31C8CF21">
      <w:pPr>
        <w:pStyle w:val="Normal"/>
        <w:rPr>
          <w:noProof w:val="0"/>
          <w:sz w:val="32"/>
          <w:szCs w:val="32"/>
          <w:u w:val="single"/>
          <w:lang w:val="en-GB"/>
        </w:rPr>
      </w:pPr>
    </w:p>
    <w:p w:rsidR="323EB3E8" w:rsidP="323EB3E8" w:rsidRDefault="323EB3E8" w14:paraId="75DA02DC" w14:textId="37E06184">
      <w:pPr>
        <w:pStyle w:val="Normal"/>
        <w:rPr>
          <w:noProof w:val="0"/>
          <w:sz w:val="32"/>
          <w:szCs w:val="32"/>
          <w:u w:val="single"/>
          <w:lang w:val="en-GB"/>
        </w:rPr>
      </w:pPr>
    </w:p>
    <w:p w:rsidR="323EB3E8" w:rsidP="323EB3E8" w:rsidRDefault="323EB3E8" w14:paraId="6334EB26" w14:textId="0EBE1C92">
      <w:pPr>
        <w:pStyle w:val="Normal"/>
        <w:rPr>
          <w:noProof w:val="0"/>
          <w:sz w:val="32"/>
          <w:szCs w:val="32"/>
          <w:u w:val="single"/>
          <w:lang w:val="en-GB"/>
        </w:rPr>
      </w:pPr>
    </w:p>
    <w:p w:rsidR="323EB3E8" w:rsidP="323EB3E8" w:rsidRDefault="323EB3E8" w14:paraId="0F5C4D5D" w14:textId="3E5F062F">
      <w:pPr>
        <w:pStyle w:val="Normal"/>
        <w:rPr>
          <w:noProof w:val="0"/>
          <w:sz w:val="32"/>
          <w:szCs w:val="32"/>
          <w:u w:val="single"/>
          <w:lang w:val="en-GB"/>
        </w:rPr>
      </w:pPr>
    </w:p>
    <w:p w:rsidR="323EB3E8" w:rsidP="323EB3E8" w:rsidRDefault="323EB3E8" w14:paraId="3A954C2D" w14:textId="7FFCCD34">
      <w:pPr>
        <w:pStyle w:val="Normal"/>
        <w:rPr>
          <w:noProof w:val="0"/>
          <w:sz w:val="32"/>
          <w:szCs w:val="32"/>
          <w:u w:val="single"/>
          <w:lang w:val="en-GB"/>
        </w:rPr>
      </w:pPr>
    </w:p>
    <w:p w:rsidR="323EB3E8" w:rsidP="323EB3E8" w:rsidRDefault="323EB3E8" w14:paraId="78543F60" w14:textId="4AED07B0">
      <w:pPr>
        <w:pStyle w:val="Normal"/>
        <w:rPr>
          <w:noProof w:val="0"/>
          <w:sz w:val="32"/>
          <w:szCs w:val="32"/>
          <w:u w:val="single"/>
          <w:lang w:val="en-GB"/>
        </w:rPr>
      </w:pPr>
    </w:p>
    <w:p w:rsidR="323EB3E8" w:rsidP="323EB3E8" w:rsidRDefault="323EB3E8" w14:paraId="46F13498" w14:textId="4DD2D988">
      <w:pPr>
        <w:pStyle w:val="Normal"/>
        <w:rPr>
          <w:noProof w:val="0"/>
          <w:sz w:val="32"/>
          <w:szCs w:val="32"/>
          <w:u w:val="single"/>
          <w:lang w:val="en-GB"/>
        </w:rPr>
      </w:pPr>
    </w:p>
    <w:p xmlns:wp14="http://schemas.microsoft.com/office/word/2010/wordml" w:rsidP="7B882D28" wp14:paraId="7F84D91E" wp14:textId="25AEC006">
      <w:pPr>
        <w:pStyle w:val="Normal"/>
        <w:rPr>
          <w:noProof w:val="0"/>
          <w:sz w:val="32"/>
          <w:szCs w:val="32"/>
          <w:u w:val="single"/>
          <w:lang w:val="en-GB"/>
        </w:rPr>
      </w:pPr>
      <w:r w:rsidRPr="7B882D28" w:rsidR="098FED3C">
        <w:rPr>
          <w:noProof w:val="0"/>
          <w:sz w:val="32"/>
          <w:szCs w:val="32"/>
          <w:u w:val="single"/>
          <w:lang w:val="en-GB"/>
        </w:rPr>
        <w:t>Reference List</w:t>
      </w:r>
    </w:p>
    <w:p xmlns:wp14="http://schemas.microsoft.com/office/word/2010/wordml" w:rsidP="323EB3E8" wp14:paraId="670DD3BB" wp14:textId="3E1885FF">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Cairney, P. (2020). </w:t>
      </w:r>
      <w:r w:rsidRPr="323EB3E8" w:rsidR="5B4BD5C9">
        <w:rPr>
          <w:rFonts w:ascii="Times New Roman" w:hAnsi="Times New Roman" w:eastAsia="Times New Roman" w:cs="Times New Roman"/>
          <w:i w:val="1"/>
          <w:iCs w:val="1"/>
          <w:noProof w:val="0"/>
          <w:sz w:val="22"/>
          <w:szCs w:val="22"/>
          <w:lang w:val="en-GB"/>
        </w:rPr>
        <w:t xml:space="preserve">Understanding public policy: Theories and </w:t>
      </w:r>
      <w:r w:rsidRPr="323EB3E8" w:rsidR="5B4BD5C9">
        <w:rPr>
          <w:rFonts w:ascii="Times New Roman" w:hAnsi="Times New Roman" w:eastAsia="Times New Roman" w:cs="Times New Roman"/>
          <w:i w:val="1"/>
          <w:iCs w:val="1"/>
          <w:noProof w:val="0"/>
          <w:sz w:val="22"/>
          <w:szCs w:val="22"/>
          <w:lang w:val="en-GB"/>
        </w:rPr>
        <w:t>issues</w:t>
      </w:r>
      <w:r w:rsidRPr="323EB3E8" w:rsidR="5B4BD5C9">
        <w:rPr>
          <w:rFonts w:ascii="Times New Roman" w:hAnsi="Times New Roman" w:eastAsia="Times New Roman" w:cs="Times New Roman"/>
          <w:noProof w:val="0"/>
          <w:sz w:val="22"/>
          <w:szCs w:val="22"/>
          <w:lang w:val="en-GB"/>
        </w:rPr>
        <w:t>.</w:t>
      </w:r>
    </w:p>
    <w:p xmlns:wp14="http://schemas.microsoft.com/office/word/2010/wordml" w:rsidP="323EB3E8" wp14:paraId="38FB28F6" wp14:textId="46ABC3C8">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Ministry of Housing, Communities and Local Government. (2023). </w:t>
      </w:r>
      <w:r w:rsidRPr="323EB3E8" w:rsidR="5B4BD5C9">
        <w:rPr>
          <w:rFonts w:ascii="Times New Roman" w:hAnsi="Times New Roman" w:eastAsia="Times New Roman" w:cs="Times New Roman"/>
          <w:i w:val="1"/>
          <w:iCs w:val="1"/>
          <w:noProof w:val="0"/>
          <w:sz w:val="22"/>
          <w:szCs w:val="22"/>
          <w:lang w:val="en-GB"/>
        </w:rPr>
        <w:t>English housing survey 2022 to 2023: Headline report</w:t>
      </w:r>
      <w:r w:rsidRPr="323EB3E8" w:rsidR="5B4BD5C9">
        <w:rPr>
          <w:rFonts w:ascii="Times New Roman" w:hAnsi="Times New Roman" w:eastAsia="Times New Roman" w:cs="Times New Roman"/>
          <w:noProof w:val="0"/>
          <w:sz w:val="22"/>
          <w:szCs w:val="22"/>
          <w:lang w:val="en-GB"/>
        </w:rPr>
        <w:t>.</w:t>
      </w:r>
    </w:p>
    <w:p xmlns:wp14="http://schemas.microsoft.com/office/word/2010/wordml" w:rsidP="323EB3E8" wp14:paraId="7E43B1B5" wp14:textId="45AC90FD">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House of Commons Library. (2025). </w:t>
      </w:r>
      <w:r w:rsidRPr="323EB3E8" w:rsidR="5B4BD5C9">
        <w:rPr>
          <w:rFonts w:ascii="Times New Roman" w:hAnsi="Times New Roman" w:eastAsia="Times New Roman" w:cs="Times New Roman"/>
          <w:i w:val="1"/>
          <w:iCs w:val="1"/>
          <w:noProof w:val="0"/>
          <w:sz w:val="22"/>
          <w:szCs w:val="22"/>
          <w:lang w:val="en-GB"/>
        </w:rPr>
        <w:t>Renters’ Rights Bill 2024–25</w:t>
      </w:r>
      <w:r w:rsidRPr="323EB3E8" w:rsidR="5B4BD5C9">
        <w:rPr>
          <w:rFonts w:ascii="Times New Roman" w:hAnsi="Times New Roman" w:eastAsia="Times New Roman" w:cs="Times New Roman"/>
          <w:noProof w:val="0"/>
          <w:sz w:val="22"/>
          <w:szCs w:val="22"/>
          <w:lang w:val="en-GB"/>
        </w:rPr>
        <w:t xml:space="preserve"> (Research briefing).</w:t>
      </w:r>
    </w:p>
    <w:p xmlns:wp14="http://schemas.microsoft.com/office/word/2010/wordml" w:rsidP="323EB3E8" wp14:paraId="0FE346DC" wp14:textId="3AF2CAD0">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Renters Reform Coalition. (2025). </w:t>
      </w:r>
      <w:r w:rsidRPr="323EB3E8" w:rsidR="5B4BD5C9">
        <w:rPr>
          <w:rFonts w:ascii="Times New Roman" w:hAnsi="Times New Roman" w:eastAsia="Times New Roman" w:cs="Times New Roman"/>
          <w:i w:val="1"/>
          <w:iCs w:val="1"/>
          <w:noProof w:val="0"/>
          <w:sz w:val="22"/>
          <w:szCs w:val="22"/>
          <w:lang w:val="en-GB"/>
        </w:rPr>
        <w:t>The Renters’ Rights Act has passed</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1113F9A8" wp14:textId="1C5A96FC">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Shelter. (2023). </w:t>
      </w:r>
      <w:r w:rsidRPr="323EB3E8" w:rsidR="5B4BD5C9">
        <w:rPr>
          <w:rFonts w:ascii="Times New Roman" w:hAnsi="Times New Roman" w:eastAsia="Times New Roman" w:cs="Times New Roman"/>
          <w:i w:val="1"/>
          <w:iCs w:val="1"/>
          <w:noProof w:val="0"/>
          <w:sz w:val="22"/>
          <w:szCs w:val="22"/>
          <w:lang w:val="en-GB"/>
        </w:rPr>
        <w:t>No-fault evictions and homelessness in England</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100186DA" wp14:textId="5A3943AE">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HM Government. (2025). </w:t>
      </w:r>
      <w:r w:rsidRPr="323EB3E8" w:rsidR="5B4BD5C9">
        <w:rPr>
          <w:rFonts w:ascii="Times New Roman" w:hAnsi="Times New Roman" w:eastAsia="Times New Roman" w:cs="Times New Roman"/>
          <w:i w:val="1"/>
          <w:iCs w:val="1"/>
          <w:noProof w:val="0"/>
          <w:sz w:val="22"/>
          <w:szCs w:val="22"/>
          <w:lang w:val="en-GB"/>
        </w:rPr>
        <w:t>Historic Renters’ Rights Act becomes law</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42BED1DB" wp14:textId="2A2599F3">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HM Government. (2025). </w:t>
      </w:r>
      <w:r w:rsidRPr="323EB3E8" w:rsidR="5B4BD5C9">
        <w:rPr>
          <w:rFonts w:ascii="Times New Roman" w:hAnsi="Times New Roman" w:eastAsia="Times New Roman" w:cs="Times New Roman"/>
          <w:i w:val="1"/>
          <w:iCs w:val="1"/>
          <w:noProof w:val="0"/>
          <w:sz w:val="22"/>
          <w:szCs w:val="22"/>
          <w:lang w:val="en-GB"/>
        </w:rPr>
        <w:t>Guide to the Renters’ Rights Act</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0D7DC479" wp14:textId="5AAC80DE">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Office for Budget Responsibility. (2025). </w:t>
      </w:r>
      <w:r w:rsidRPr="323EB3E8" w:rsidR="5B4BD5C9">
        <w:rPr>
          <w:rFonts w:ascii="Times New Roman" w:hAnsi="Times New Roman" w:eastAsia="Times New Roman" w:cs="Times New Roman"/>
          <w:i w:val="1"/>
          <w:iCs w:val="1"/>
          <w:noProof w:val="0"/>
          <w:sz w:val="22"/>
          <w:szCs w:val="22"/>
          <w:lang w:val="en-GB"/>
        </w:rPr>
        <w:t>Economic and fiscal outlook: November 2025</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036F4940" wp14:textId="6E40FDD5">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Institute for Government. (2023). </w:t>
      </w:r>
      <w:r w:rsidRPr="323EB3E8" w:rsidR="5B4BD5C9">
        <w:rPr>
          <w:rFonts w:ascii="Times New Roman" w:hAnsi="Times New Roman" w:eastAsia="Times New Roman" w:cs="Times New Roman"/>
          <w:i w:val="1"/>
          <w:iCs w:val="1"/>
          <w:noProof w:val="0"/>
          <w:sz w:val="22"/>
          <w:szCs w:val="22"/>
          <w:lang w:val="en-GB"/>
        </w:rPr>
        <w:t>The role of the Office for Budget Responsibility</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0FC11983" wp14:textId="50D49E72">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HM Treasury. (2025). </w:t>
      </w:r>
      <w:r w:rsidRPr="323EB3E8" w:rsidR="5B4BD5C9">
        <w:rPr>
          <w:rFonts w:ascii="Times New Roman" w:hAnsi="Times New Roman" w:eastAsia="Times New Roman" w:cs="Times New Roman"/>
          <w:i w:val="1"/>
          <w:iCs w:val="1"/>
          <w:noProof w:val="0"/>
          <w:sz w:val="22"/>
          <w:szCs w:val="22"/>
          <w:lang w:val="en-GB"/>
        </w:rPr>
        <w:t>Budget 2025 speech</w:t>
      </w:r>
      <w:r w:rsidRPr="323EB3E8" w:rsidR="5B4BD5C9">
        <w:rPr>
          <w:rFonts w:ascii="Times New Roman" w:hAnsi="Times New Roman" w:eastAsia="Times New Roman" w:cs="Times New Roman"/>
          <w:noProof w:val="0"/>
          <w:sz w:val="22"/>
          <w:szCs w:val="22"/>
          <w:lang w:val="en-GB"/>
        </w:rPr>
        <w:t xml:space="preserve">. </w:t>
      </w:r>
    </w:p>
    <w:p xmlns:wp14="http://schemas.microsoft.com/office/word/2010/wordml" w:rsidP="323EB3E8" wp14:paraId="5E42644E" wp14:textId="143C3A74">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Institute for Fiscal Studies. (2025). </w:t>
      </w:r>
      <w:r w:rsidRPr="323EB3E8" w:rsidR="5B4BD5C9">
        <w:rPr>
          <w:rFonts w:ascii="Times New Roman" w:hAnsi="Times New Roman" w:eastAsia="Times New Roman" w:cs="Times New Roman"/>
          <w:i w:val="1"/>
          <w:iCs w:val="1"/>
          <w:noProof w:val="0"/>
          <w:sz w:val="22"/>
          <w:szCs w:val="22"/>
          <w:lang w:val="en-GB"/>
        </w:rPr>
        <w:t>Autumn Budget 2025: Initial analysis</w:t>
      </w:r>
      <w:r w:rsidRPr="323EB3E8" w:rsidR="5B4BD5C9">
        <w:rPr>
          <w:rFonts w:ascii="Times New Roman" w:hAnsi="Times New Roman" w:eastAsia="Times New Roman" w:cs="Times New Roman"/>
          <w:noProof w:val="0"/>
          <w:sz w:val="22"/>
          <w:szCs w:val="22"/>
          <w:lang w:val="en-GB"/>
        </w:rPr>
        <w:t>.</w:t>
      </w:r>
    </w:p>
    <w:p xmlns:wp14="http://schemas.microsoft.com/office/word/2010/wordml" w:rsidP="323EB3E8" wp14:paraId="5E5787A5" wp14:textId="5F9DF375">
      <w:pPr>
        <w:spacing w:before="240" w:beforeAutospacing="off" w:after="240" w:afterAutospacing="off"/>
        <w:rPr>
          <w:rFonts w:ascii="Times New Roman" w:hAnsi="Times New Roman" w:eastAsia="Times New Roman" w:cs="Times New Roman"/>
          <w:noProof w:val="0"/>
          <w:sz w:val="22"/>
          <w:szCs w:val="22"/>
          <w:lang w:val="en-GB"/>
        </w:rPr>
      </w:pPr>
      <w:r w:rsidRPr="323EB3E8" w:rsidR="5B4BD5C9">
        <w:rPr>
          <w:rFonts w:ascii="Times New Roman" w:hAnsi="Times New Roman" w:eastAsia="Times New Roman" w:cs="Times New Roman"/>
          <w:noProof w:val="0"/>
          <w:sz w:val="22"/>
          <w:szCs w:val="22"/>
          <w:lang w:val="en-GB"/>
        </w:rPr>
        <w:t xml:space="preserve">House of Commons Library. (2025). </w:t>
      </w:r>
      <w:r w:rsidRPr="323EB3E8" w:rsidR="5B4BD5C9">
        <w:rPr>
          <w:rFonts w:ascii="Times New Roman" w:hAnsi="Times New Roman" w:eastAsia="Times New Roman" w:cs="Times New Roman"/>
          <w:i w:val="1"/>
          <w:iCs w:val="1"/>
          <w:noProof w:val="0"/>
          <w:sz w:val="22"/>
          <w:szCs w:val="22"/>
          <w:lang w:val="en-GB"/>
        </w:rPr>
        <w:t xml:space="preserve">Budget 2025: A </w:t>
      </w:r>
      <w:r w:rsidRPr="323EB3E8" w:rsidR="46CACA46">
        <w:rPr>
          <w:rFonts w:ascii="Times New Roman" w:hAnsi="Times New Roman" w:eastAsia="Times New Roman" w:cs="Times New Roman"/>
          <w:i w:val="1"/>
          <w:iCs w:val="1"/>
          <w:noProof w:val="0"/>
          <w:sz w:val="22"/>
          <w:szCs w:val="22"/>
          <w:lang w:val="en-GB"/>
        </w:rPr>
        <w:t>summary.</w:t>
      </w:r>
      <w:r w:rsidRPr="323EB3E8" w:rsidR="5B4BD5C9">
        <w:rPr>
          <w:rFonts w:ascii="Times New Roman" w:hAnsi="Times New Roman" w:eastAsia="Times New Roman" w:cs="Times New Roman"/>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60a24d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038c3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70d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be1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7466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e74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e59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530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06148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57d8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4528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d1a0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adf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79596E"/>
    <w:rsid w:val="01BCEC92"/>
    <w:rsid w:val="01EC72E7"/>
    <w:rsid w:val="029E5DF3"/>
    <w:rsid w:val="02A98B6A"/>
    <w:rsid w:val="03E03147"/>
    <w:rsid w:val="046225E3"/>
    <w:rsid w:val="06EA3A24"/>
    <w:rsid w:val="07E25B91"/>
    <w:rsid w:val="082762D1"/>
    <w:rsid w:val="08E24EEA"/>
    <w:rsid w:val="098FED3C"/>
    <w:rsid w:val="099B0CED"/>
    <w:rsid w:val="0C3C42CF"/>
    <w:rsid w:val="0D7B4052"/>
    <w:rsid w:val="0FC1C588"/>
    <w:rsid w:val="0FF00BAF"/>
    <w:rsid w:val="11470653"/>
    <w:rsid w:val="128A2E1B"/>
    <w:rsid w:val="132B540F"/>
    <w:rsid w:val="133FBFF3"/>
    <w:rsid w:val="154D9187"/>
    <w:rsid w:val="16716731"/>
    <w:rsid w:val="177B7764"/>
    <w:rsid w:val="17BD540B"/>
    <w:rsid w:val="1913762B"/>
    <w:rsid w:val="19219FD4"/>
    <w:rsid w:val="194831AA"/>
    <w:rsid w:val="1B9E3E96"/>
    <w:rsid w:val="1D50E3BF"/>
    <w:rsid w:val="1DDD18B0"/>
    <w:rsid w:val="1DFA1F25"/>
    <w:rsid w:val="1E94BE5B"/>
    <w:rsid w:val="1F36A512"/>
    <w:rsid w:val="221E8DDA"/>
    <w:rsid w:val="23EBDA10"/>
    <w:rsid w:val="250C9DC3"/>
    <w:rsid w:val="25199B9D"/>
    <w:rsid w:val="259C3BF9"/>
    <w:rsid w:val="264075B6"/>
    <w:rsid w:val="26ADFC3D"/>
    <w:rsid w:val="2B1D5EBF"/>
    <w:rsid w:val="2D841555"/>
    <w:rsid w:val="2DCADBD4"/>
    <w:rsid w:val="2ECD755F"/>
    <w:rsid w:val="2F071B36"/>
    <w:rsid w:val="309988C5"/>
    <w:rsid w:val="309FFBCA"/>
    <w:rsid w:val="3167B5BC"/>
    <w:rsid w:val="323EB3E8"/>
    <w:rsid w:val="32564B9E"/>
    <w:rsid w:val="341D5B6F"/>
    <w:rsid w:val="34C3117A"/>
    <w:rsid w:val="35ABE53D"/>
    <w:rsid w:val="36A88724"/>
    <w:rsid w:val="36B9E19B"/>
    <w:rsid w:val="37BB6853"/>
    <w:rsid w:val="384939D1"/>
    <w:rsid w:val="3971A4FC"/>
    <w:rsid w:val="3D4F3C67"/>
    <w:rsid w:val="410C1CEE"/>
    <w:rsid w:val="4643CC72"/>
    <w:rsid w:val="46CACA46"/>
    <w:rsid w:val="4B67F1B0"/>
    <w:rsid w:val="4C7E2EC7"/>
    <w:rsid w:val="4F717EE0"/>
    <w:rsid w:val="4FA95FE1"/>
    <w:rsid w:val="518ECFFC"/>
    <w:rsid w:val="529CCCBE"/>
    <w:rsid w:val="54865113"/>
    <w:rsid w:val="55732753"/>
    <w:rsid w:val="557DB8B9"/>
    <w:rsid w:val="585DA176"/>
    <w:rsid w:val="5979596E"/>
    <w:rsid w:val="5A1C41A9"/>
    <w:rsid w:val="5AA793E8"/>
    <w:rsid w:val="5ADE3B13"/>
    <w:rsid w:val="5B4BD5C9"/>
    <w:rsid w:val="5B6E2E1C"/>
    <w:rsid w:val="6066C00D"/>
    <w:rsid w:val="60FAFFFF"/>
    <w:rsid w:val="65F2598F"/>
    <w:rsid w:val="6934BB2F"/>
    <w:rsid w:val="69E1309F"/>
    <w:rsid w:val="71BCA8BB"/>
    <w:rsid w:val="71F60A1B"/>
    <w:rsid w:val="739172B1"/>
    <w:rsid w:val="7393A103"/>
    <w:rsid w:val="747A9CE2"/>
    <w:rsid w:val="75AF401E"/>
    <w:rsid w:val="75DF58D6"/>
    <w:rsid w:val="7A673759"/>
    <w:rsid w:val="7A93A157"/>
    <w:rsid w:val="7B0B6EFF"/>
    <w:rsid w:val="7B882D28"/>
    <w:rsid w:val="7D91F072"/>
    <w:rsid w:val="7F6BA4C2"/>
    <w:rsid w:val="7F967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9596E"/>
  <w15:chartTrackingRefBased/>
  <w15:docId w15:val="{2B2A8BB8-A5E2-4335-BEED-D15DB18571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882D2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B882D2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882D2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B882D28"/>
    <w:rPr>
      <w:color w:val="467886"/>
      <w:u w:val="single"/>
    </w:rPr>
  </w:style>
  <w:style w:type="paragraph" w:styleId="ListParagraph">
    <w:uiPriority w:val="34"/>
    <w:name w:val="List Paragraph"/>
    <w:basedOn w:val="Normal"/>
    <w:qFormat/>
    <w:rsid w:val="7B882D28"/>
    <w:pPr>
      <w:spacing/>
      <w:ind w:left="720"/>
      <w:contextualSpacing/>
    </w:pPr>
  </w:style>
  <w:style w:type="paragraph" w:styleId="Title">
    <w:uiPriority w:val="10"/>
    <w:name w:val="Title"/>
    <w:basedOn w:val="Normal"/>
    <w:next w:val="Normal"/>
    <w:qFormat/>
    <w:rsid w:val="7B882D2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7B882D28"/>
    <w:rPr>
      <w:rFonts w:eastAsia="" w:cs="" w:eastAsiaTheme="majorEastAsia" w:cstheme="majorBidi"/>
      <w:color w:val="595959" w:themeColor="text1" w:themeTint="A6" w:themeShade="FF"/>
      <w:sz w:val="28"/>
      <w:szCs w:val="28"/>
    </w:rPr>
  </w:style>
  <w:style w:type="paragraph" w:styleId="NoSpacing">
    <w:uiPriority w:val="1"/>
    <w:name w:val="No Spacing"/>
    <w:qFormat/>
    <w:rsid w:val="7B882D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895f0a4ed504d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3</revision>
  <dcterms:created xsi:type="dcterms:W3CDTF">2025-12-17T12:51:13.1902554Z</dcterms:created>
  <dcterms:modified xsi:type="dcterms:W3CDTF">2026-01-16T21:00:49.7722436Z</dcterms:modified>
</coreProperties>
</file>