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lang w:val="en-GB"/>
        </w:rPr>
        <w:id w:val="2100593932"/>
        <w:docPartObj>
          <w:docPartGallery w:val="Cover Pages"/>
          <w:docPartUnique/>
        </w:docPartObj>
      </w:sdtPr>
      <w:sdtContent>
        <w:p w14:paraId="50EE5E00" w14:textId="7528F05F" w:rsidR="00F44105" w:rsidRDefault="00F44105">
          <w:pPr>
            <w:pStyle w:val="NoSpacing"/>
          </w:pPr>
          <w:r>
            <w:rPr>
              <w:noProof/>
            </w:rPr>
            <mc:AlternateContent>
              <mc:Choice Requires="wpg">
                <w:drawing>
                  <wp:anchor distT="0" distB="0" distL="114300" distR="114300" simplePos="0" relativeHeight="251659264" behindDoc="1" locked="0" layoutInCell="1" allowOverlap="1" wp14:anchorId="6399103F" wp14:editId="02113076">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Content>
                                    <w:p w14:paraId="629AE36F" w14:textId="0C17D653" w:rsidR="00F44105" w:rsidRDefault="00F44105">
                                      <w:pPr>
                                        <w:pStyle w:val="NoSpacing"/>
                                        <w:jc w:val="right"/>
                                        <w:rPr>
                                          <w:color w:val="FFFFFF" w:themeColor="background1"/>
                                          <w:sz w:val="28"/>
                                          <w:szCs w:val="28"/>
                                        </w:rPr>
                                      </w:pPr>
                                      <w:r>
                                        <w:rPr>
                                          <w:color w:val="FFFFFF" w:themeColor="background1"/>
                                          <w:sz w:val="28"/>
                                          <w:szCs w:val="28"/>
                                        </w:rPr>
                                        <w:t xml:space="preserve">     </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6399103F" id="Group 2"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4472c4 [3204]" stroked="f" strokeweight="1pt">
                      <v:textbox inset=",0,14.4pt,0">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Content>
                              <w:p w14:paraId="629AE36F" w14:textId="0C17D653" w:rsidR="00F44105" w:rsidRDefault="00F44105">
                                <w:pPr>
                                  <w:pStyle w:val="NoSpacing"/>
                                  <w:jc w:val="right"/>
                                  <w:rPr>
                                    <w:color w:val="FFFFFF" w:themeColor="background1"/>
                                    <w:sz w:val="28"/>
                                    <w:szCs w:val="28"/>
                                  </w:rPr>
                                </w:pPr>
                                <w:r>
                                  <w:rPr>
                                    <w:color w:val="FFFFFF" w:themeColor="background1"/>
                                    <w:sz w:val="28"/>
                                    <w:szCs w:val="28"/>
                                  </w:rPr>
                                  <w:t xml:space="preserve">     </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61312" behindDoc="0" locked="0" layoutInCell="1" allowOverlap="1" wp14:anchorId="687CBDBC" wp14:editId="1487CF36">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3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A893FB7" w14:textId="7C4B58E4" w:rsidR="00F44105" w:rsidRDefault="00000000">
                                <w:pPr>
                                  <w:pStyle w:val="NoSpacing"/>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04421F">
                                      <w:rPr>
                                        <w:color w:val="4472C4" w:themeColor="accent1"/>
                                        <w:sz w:val="26"/>
                                        <w:szCs w:val="26"/>
                                      </w:rPr>
                                      <w:t>By Sarah Russell</w:t>
                                    </w:r>
                                  </w:sdtContent>
                                </w:sdt>
                              </w:p>
                              <w:p w14:paraId="7E5E4C62" w14:textId="5042DFC7" w:rsidR="00F44105" w:rsidRDefault="00F44105">
                                <w:pPr>
                                  <w:pStyle w:val="NoSpacing"/>
                                  <w:rPr>
                                    <w:color w:val="595959" w:themeColor="text1" w:themeTint="A6"/>
                                    <w:sz w:val="20"/>
                                    <w:szCs w:val="20"/>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687CBDBC" id="_x0000_t202" coordsize="21600,21600" o:spt="202" path="m,l,21600r21600,l21600,xe">
                    <v:stroke joinstyle="miter"/>
                    <v:path gradientshapeok="t" o:connecttype="rect"/>
                  </v:shapetype>
                  <v:shape id="Text Box 32" o:spid="_x0000_s1055" type="#_x0000_t202" style="position:absolute;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" filled="f" stroked="f" strokeweight=".5pt">
                    <v:textbox style="mso-fit-shape-to-text:t" inset="0,0,0,0">
                      <w:txbxContent>
                        <w:p w14:paraId="7A893FB7" w14:textId="7C4B58E4" w:rsidR="00F44105" w:rsidRDefault="00000000">
                          <w:pPr>
                            <w:pStyle w:val="NoSpacing"/>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04421F">
                                <w:rPr>
                                  <w:color w:val="4472C4" w:themeColor="accent1"/>
                                  <w:sz w:val="26"/>
                                  <w:szCs w:val="26"/>
                                </w:rPr>
                                <w:t>By Sarah Russell</w:t>
                              </w:r>
                            </w:sdtContent>
                          </w:sdt>
                        </w:p>
                        <w:p w14:paraId="7E5E4C62" w14:textId="5042DFC7" w:rsidR="00F44105" w:rsidRDefault="00F44105">
                          <w:pPr>
                            <w:pStyle w:val="NoSpacing"/>
                            <w:rPr>
                              <w:color w:val="595959" w:themeColor="text1" w:themeTint="A6"/>
                              <w:sz w:val="20"/>
                              <w:szCs w:val="20"/>
                            </w:rPr>
                          </w:pPr>
                        </w:p>
                      </w:txbxContent>
                    </v:textbox>
                    <w10:wrap anchorx="page" anchory="page"/>
                  </v:shape>
                </w:pict>
              </mc:Fallback>
            </mc:AlternateContent>
          </w:r>
          <w:r>
            <w:rPr>
              <w:noProof/>
            </w:rPr>
            <mc:AlternateContent>
              <mc:Choice Requires="wps">
                <w:drawing>
                  <wp:anchor distT="0" distB="0" distL="114300" distR="114300" simplePos="0" relativeHeight="251660288" behindDoc="0" locked="0" layoutInCell="1" allowOverlap="1" wp14:anchorId="3925030A" wp14:editId="5BF267DB">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1" name="Text Box 1"/>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92EFD09" w14:textId="59CCC5FF" w:rsidR="00F44105" w:rsidRDefault="00000000">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04421F">
                                      <w:rPr>
                                        <w:rFonts w:asciiTheme="majorHAnsi" w:eastAsiaTheme="majorEastAsia" w:hAnsiTheme="majorHAnsi" w:cstheme="majorBidi"/>
                                        <w:color w:val="262626" w:themeColor="text1" w:themeTint="D9"/>
                                        <w:sz w:val="72"/>
                                        <w:szCs w:val="72"/>
                                      </w:rPr>
                                      <w:t>Specialist Employment Law</w:t>
                                    </w:r>
                                  </w:sdtContent>
                                </w:sdt>
                              </w:p>
                              <w:p w14:paraId="3AAE02DC" w14:textId="5A24C724" w:rsidR="00F44105" w:rsidRDefault="00000000">
                                <w:pPr>
                                  <w:spacing w:before="120"/>
                                  <w:rPr>
                                    <w:color w:val="404040" w:themeColor="text1" w:themeTint="BF"/>
                                    <w:sz w:val="36"/>
                                    <w:szCs w:val="36"/>
                                  </w:rPr>
                                </w:pPr>
                                <w:sdt>
                                  <w:sdtPr>
                                    <w:rPr>
                                      <w:color w:val="404040" w:themeColor="text1" w:themeTint="BF"/>
                                      <w:sz w:val="36"/>
                                      <w:szCs w:val="36"/>
                                    </w:rPr>
                                    <w:alias w:val="Subtitle"/>
                                    <w:tag w:val=""/>
                                    <w:id w:val="-1148361611"/>
                                    <w:showingPlcHdr/>
                                    <w:dataBinding w:prefixMappings="xmlns:ns0='http://purl.org/dc/elements/1.1/' xmlns:ns1='http://schemas.openxmlformats.org/package/2006/metadata/core-properties' " w:xpath="/ns1:coreProperties[1]/ns0:subject[1]" w:storeItemID="{6C3C8BC8-F283-45AE-878A-BAB7291924A1}"/>
                                    <w:text/>
                                  </w:sdtPr>
                                  <w:sdtContent>
                                    <w:r w:rsidR="00F44105">
                                      <w:rPr>
                                        <w:color w:val="404040" w:themeColor="text1" w:themeTint="BF"/>
                                        <w:sz w:val="36"/>
                                        <w:szCs w:val="36"/>
                                      </w:rPr>
                                      <w:t xml:space="preserve">     </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3925030A" id="Text Box 1" o:spid="_x0000_s1056" type="#_x0000_t202" style="position:absolute;margin-left:0;margin-top:0;width:4in;height:84.25pt;z-index:251660288;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" filled="f" stroked="f" strokeweight=".5pt">
                    <v:textbox style="mso-fit-shape-to-text:t" inset="0,0,0,0">
                      <w:txbxContent>
                        <w:p w14:paraId="192EFD09" w14:textId="59CCC5FF" w:rsidR="00F44105" w:rsidRDefault="00000000">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04421F">
                                <w:rPr>
                                  <w:rFonts w:asciiTheme="majorHAnsi" w:eastAsiaTheme="majorEastAsia" w:hAnsiTheme="majorHAnsi" w:cstheme="majorBidi"/>
                                  <w:color w:val="262626" w:themeColor="text1" w:themeTint="D9"/>
                                  <w:sz w:val="72"/>
                                  <w:szCs w:val="72"/>
                                </w:rPr>
                                <w:t>Specialist Employment Law</w:t>
                              </w:r>
                            </w:sdtContent>
                          </w:sdt>
                        </w:p>
                        <w:p w14:paraId="3AAE02DC" w14:textId="5A24C724" w:rsidR="00F44105" w:rsidRDefault="00000000">
                          <w:pPr>
                            <w:spacing w:before="120"/>
                            <w:rPr>
                              <w:color w:val="404040" w:themeColor="text1" w:themeTint="BF"/>
                              <w:sz w:val="36"/>
                              <w:szCs w:val="36"/>
                            </w:rPr>
                          </w:pPr>
                          <w:sdt>
                            <w:sdtPr>
                              <w:rPr>
                                <w:color w:val="404040" w:themeColor="text1" w:themeTint="BF"/>
                                <w:sz w:val="36"/>
                                <w:szCs w:val="36"/>
                              </w:rPr>
                              <w:alias w:val="Subtitle"/>
                              <w:tag w:val=""/>
                              <w:id w:val="-1148361611"/>
                              <w:showingPlcHdr/>
                              <w:dataBinding w:prefixMappings="xmlns:ns0='http://purl.org/dc/elements/1.1/' xmlns:ns1='http://schemas.openxmlformats.org/package/2006/metadata/core-properties' " w:xpath="/ns1:coreProperties[1]/ns0:subject[1]" w:storeItemID="{6C3C8BC8-F283-45AE-878A-BAB7291924A1}"/>
                              <w:text/>
                            </w:sdtPr>
                            <w:sdtContent>
                              <w:r w:rsidR="00F44105">
                                <w:rPr>
                                  <w:color w:val="404040" w:themeColor="text1" w:themeTint="BF"/>
                                  <w:sz w:val="36"/>
                                  <w:szCs w:val="36"/>
                                </w:rPr>
                                <w:t xml:space="preserve">     </w:t>
                              </w:r>
                            </w:sdtContent>
                          </w:sdt>
                        </w:p>
                      </w:txbxContent>
                    </v:textbox>
                    <w10:wrap anchorx="page" anchory="page"/>
                  </v:shape>
                </w:pict>
              </mc:Fallback>
            </mc:AlternateContent>
          </w:r>
        </w:p>
        <w:p w14:paraId="5E5787A5" w14:textId="7D87127F" w:rsidR="00F44105" w:rsidRDefault="00F44105">
          <w:r>
            <w:br w:type="page"/>
          </w:r>
        </w:p>
      </w:sdtContent>
    </w:sdt>
    <w:p w14:paraId="6C188313" w14:textId="77777777" w:rsidR="009D1B08" w:rsidRDefault="009D1B08" w:rsidP="4E52D044">
      <w:pPr>
        <w:pStyle w:val="paragraph"/>
        <w:spacing w:before="0" w:beforeAutospacing="0" w:after="0" w:afterAutospacing="0"/>
        <w:textAlignment w:val="baseline"/>
        <w:rPr>
          <w:rStyle w:val="normaltextrun"/>
          <w:rFonts w:ascii="Arial" w:hAnsi="Arial" w:cs="Arial"/>
          <w:b/>
          <w:bCs/>
          <w:sz w:val="22"/>
          <w:szCs w:val="22"/>
          <w:highlight w:val="yellow"/>
        </w:rPr>
      </w:pPr>
    </w:p>
    <w:p w14:paraId="76F7B45A" w14:textId="79C3EAED" w:rsidR="00BC7BAD" w:rsidRDefault="00BC7BAD" w:rsidP="4E52D044">
      <w:pPr>
        <w:pStyle w:val="paragraph"/>
        <w:spacing w:before="0" w:beforeAutospacing="0" w:after="0" w:afterAutospacing="0"/>
        <w:textAlignment w:val="baseline"/>
        <w:rPr>
          <w:rStyle w:val="eop"/>
          <w:rFonts w:ascii="Arial" w:hAnsi="Arial" w:cs="Arial"/>
          <w:sz w:val="22"/>
          <w:szCs w:val="22"/>
        </w:rPr>
      </w:pPr>
      <w:r w:rsidRPr="0030162E">
        <w:rPr>
          <w:rStyle w:val="normaltextrun"/>
          <w:rFonts w:ascii="Arial" w:hAnsi="Arial" w:cs="Arial"/>
          <w:b/>
          <w:bCs/>
          <w:sz w:val="22"/>
          <w:szCs w:val="22"/>
        </w:rPr>
        <w:t>Evaluate</w:t>
      </w:r>
      <w:r w:rsidRPr="4E52D044">
        <w:rPr>
          <w:rStyle w:val="normaltextrun"/>
          <w:rFonts w:ascii="Arial" w:hAnsi="Arial" w:cs="Arial"/>
          <w:b/>
          <w:bCs/>
          <w:sz w:val="22"/>
          <w:szCs w:val="22"/>
        </w:rPr>
        <w:t xml:space="preserve"> the aims and objectives of employment regulation. (AC 1.1)</w:t>
      </w:r>
      <w:r w:rsidRPr="4E52D044">
        <w:rPr>
          <w:rStyle w:val="eop"/>
          <w:rFonts w:ascii="Arial" w:hAnsi="Arial" w:cs="Arial"/>
          <w:sz w:val="22"/>
          <w:szCs w:val="22"/>
        </w:rPr>
        <w:t> </w:t>
      </w:r>
    </w:p>
    <w:p w14:paraId="464F23A1" w14:textId="77777777" w:rsidR="00B30926" w:rsidRDefault="00B30926" w:rsidP="4E52D044">
      <w:pPr>
        <w:pStyle w:val="paragraph"/>
        <w:spacing w:before="0" w:beforeAutospacing="0" w:after="0" w:afterAutospacing="0"/>
        <w:textAlignment w:val="baseline"/>
        <w:rPr>
          <w:rStyle w:val="eop"/>
          <w:rFonts w:ascii="Arial" w:hAnsi="Arial" w:cs="Arial"/>
          <w:sz w:val="22"/>
          <w:szCs w:val="22"/>
        </w:rPr>
      </w:pPr>
    </w:p>
    <w:p w14:paraId="189BC608" w14:textId="5F3D9395" w:rsidR="00B30926" w:rsidRPr="00CD52F2" w:rsidRDefault="00B30926" w:rsidP="00B30926">
      <w:pPr>
        <w:pStyle w:val="paragraph"/>
        <w:spacing w:before="0" w:beforeAutospacing="0" w:after="0" w:afterAutospacing="0"/>
        <w:textAlignment w:val="baseline"/>
        <w:rPr>
          <w:rStyle w:val="eop"/>
          <w:rFonts w:ascii="Arial" w:hAnsi="Arial" w:cs="Arial"/>
          <w:sz w:val="22"/>
          <w:szCs w:val="22"/>
        </w:rPr>
      </w:pPr>
      <w:r w:rsidRPr="739BCDA5">
        <w:rPr>
          <w:rStyle w:val="normaltextrun"/>
          <w:rFonts w:ascii="Arial" w:hAnsi="Arial" w:cs="Arial"/>
          <w:sz w:val="22"/>
          <w:szCs w:val="22"/>
        </w:rPr>
        <w:t>The laws and guidelines that govern the relationship and interactions between employees and employers at work are defined within employment regulations. Fair treatment, protection of employee rights, and providing a safe and healthy workplace are some of the main objectives of employment regulations (Daniels, 2022</w:t>
      </w:r>
      <w:r w:rsidR="00920F00">
        <w:rPr>
          <w:rStyle w:val="normaltextrun"/>
          <w:rFonts w:ascii="Arial" w:hAnsi="Arial" w:cs="Arial"/>
          <w:sz w:val="22"/>
          <w:szCs w:val="22"/>
        </w:rPr>
        <w:t>, p.1</w:t>
      </w:r>
      <w:r w:rsidRPr="739BCDA5">
        <w:rPr>
          <w:rStyle w:val="normaltextrun"/>
          <w:rFonts w:ascii="Arial" w:hAnsi="Arial" w:cs="Arial"/>
          <w:sz w:val="22"/>
          <w:szCs w:val="22"/>
        </w:rPr>
        <w:t xml:space="preserve">). </w:t>
      </w:r>
      <w:r w:rsidRPr="739BCDA5">
        <w:rPr>
          <w:rStyle w:val="eop"/>
          <w:rFonts w:ascii="Arial" w:hAnsi="Arial" w:cs="Arial"/>
          <w:sz w:val="22"/>
          <w:szCs w:val="22"/>
        </w:rPr>
        <w:t> </w:t>
      </w:r>
    </w:p>
    <w:p w14:paraId="6564D560" w14:textId="77777777" w:rsidR="00BC7BAD" w:rsidRPr="00CD52F2" w:rsidRDefault="00BC7BAD" w:rsidP="00BC7BAD">
      <w:pPr>
        <w:pStyle w:val="paragraph"/>
        <w:spacing w:before="0" w:beforeAutospacing="0" w:after="0" w:afterAutospacing="0"/>
        <w:textAlignment w:val="baseline"/>
        <w:rPr>
          <w:rFonts w:ascii="Arial" w:hAnsi="Arial" w:cs="Arial"/>
          <w:sz w:val="22"/>
          <w:szCs w:val="22"/>
        </w:rPr>
      </w:pPr>
    </w:p>
    <w:p w14:paraId="7AA3BFFF" w14:textId="76CEC62A" w:rsidR="004D0CD9" w:rsidRDefault="00EF2845" w:rsidP="739BCDA5">
      <w:pPr>
        <w:pStyle w:val="paragraph"/>
        <w:spacing w:before="0" w:beforeAutospacing="0" w:after="0" w:afterAutospacing="0"/>
        <w:textAlignment w:val="baseline"/>
        <w:rPr>
          <w:rStyle w:val="normaltextrun"/>
          <w:rFonts w:ascii="Arial" w:hAnsi="Arial" w:cs="Arial"/>
          <w:sz w:val="22"/>
          <w:szCs w:val="22"/>
        </w:rPr>
      </w:pPr>
      <w:r>
        <w:rPr>
          <w:rStyle w:val="normaltextrun"/>
          <w:rFonts w:ascii="Arial" w:hAnsi="Arial" w:cs="Arial"/>
          <w:sz w:val="22"/>
          <w:szCs w:val="22"/>
        </w:rPr>
        <w:t>Over the</w:t>
      </w:r>
      <w:r w:rsidR="006049A5">
        <w:rPr>
          <w:rStyle w:val="normaltextrun"/>
          <w:rFonts w:ascii="Arial" w:hAnsi="Arial" w:cs="Arial"/>
          <w:sz w:val="22"/>
          <w:szCs w:val="22"/>
        </w:rPr>
        <w:t xml:space="preserve"> last</w:t>
      </w:r>
      <w:r>
        <w:rPr>
          <w:rStyle w:val="normaltextrun"/>
          <w:rFonts w:ascii="Arial" w:hAnsi="Arial" w:cs="Arial"/>
          <w:sz w:val="22"/>
          <w:szCs w:val="22"/>
        </w:rPr>
        <w:t xml:space="preserve"> </w:t>
      </w:r>
      <w:r w:rsidR="006049A5">
        <w:rPr>
          <w:rStyle w:val="normaltextrun"/>
          <w:rFonts w:ascii="Arial" w:hAnsi="Arial" w:cs="Arial"/>
          <w:sz w:val="22"/>
          <w:szCs w:val="22"/>
        </w:rPr>
        <w:t>50 years</w:t>
      </w:r>
      <w:r w:rsidR="003D161B">
        <w:rPr>
          <w:rStyle w:val="normaltextrun"/>
          <w:rFonts w:ascii="Arial" w:hAnsi="Arial" w:cs="Arial"/>
          <w:sz w:val="22"/>
          <w:szCs w:val="22"/>
        </w:rPr>
        <w:t xml:space="preserve">, the field of employment law has undergone significant development </w:t>
      </w:r>
      <w:r w:rsidR="00F800B6">
        <w:rPr>
          <w:rStyle w:val="normaltextrun"/>
          <w:rFonts w:ascii="Arial" w:hAnsi="Arial" w:cs="Arial"/>
          <w:sz w:val="22"/>
          <w:szCs w:val="22"/>
        </w:rPr>
        <w:t>to</w:t>
      </w:r>
      <w:r w:rsidR="003D161B">
        <w:rPr>
          <w:rStyle w:val="normaltextrun"/>
          <w:rFonts w:ascii="Arial" w:hAnsi="Arial" w:cs="Arial"/>
          <w:sz w:val="22"/>
          <w:szCs w:val="22"/>
        </w:rPr>
        <w:t xml:space="preserve"> respond to changing patterns in the workplace</w:t>
      </w:r>
      <w:r w:rsidR="004D0CD9">
        <w:rPr>
          <w:rStyle w:val="normaltextrun"/>
          <w:rFonts w:ascii="Arial" w:hAnsi="Arial" w:cs="Arial"/>
          <w:sz w:val="22"/>
          <w:szCs w:val="22"/>
        </w:rPr>
        <w:t xml:space="preserve"> such as </w:t>
      </w:r>
      <w:r w:rsidR="003D161B">
        <w:rPr>
          <w:rStyle w:val="normaltextrun"/>
          <w:rFonts w:ascii="Arial" w:hAnsi="Arial" w:cs="Arial"/>
          <w:sz w:val="22"/>
          <w:szCs w:val="22"/>
        </w:rPr>
        <w:t>conflict resolution, advancements in technology and exte</w:t>
      </w:r>
      <w:r w:rsidR="004D0CD9">
        <w:rPr>
          <w:rStyle w:val="normaltextrun"/>
          <w:rFonts w:ascii="Arial" w:hAnsi="Arial" w:cs="Arial"/>
          <w:sz w:val="22"/>
          <w:szCs w:val="22"/>
        </w:rPr>
        <w:t>rnal factors (Daniels, 2022, p.2).</w:t>
      </w:r>
    </w:p>
    <w:p w14:paraId="2599E16C" w14:textId="27CA8409" w:rsidR="739BCDA5" w:rsidRDefault="739BCDA5" w:rsidP="739BCDA5">
      <w:pPr>
        <w:pStyle w:val="paragraph"/>
        <w:spacing w:before="0" w:beforeAutospacing="0" w:after="0" w:afterAutospacing="0"/>
        <w:rPr>
          <w:rStyle w:val="eop"/>
          <w:rFonts w:ascii="Arial" w:hAnsi="Arial" w:cs="Arial"/>
          <w:sz w:val="22"/>
          <w:szCs w:val="22"/>
        </w:rPr>
      </w:pPr>
    </w:p>
    <w:p w14:paraId="24E3EFB5" w14:textId="294E7699" w:rsidR="008E11F5" w:rsidRDefault="008B2ED9" w:rsidP="013A2BD2">
      <w:pPr>
        <w:pStyle w:val="paragraph"/>
        <w:spacing w:before="0" w:beforeAutospacing="0" w:after="0" w:afterAutospacing="0"/>
        <w:rPr>
          <w:rStyle w:val="eop"/>
          <w:rFonts w:ascii="Arial" w:hAnsi="Arial" w:cs="Arial"/>
          <w:sz w:val="22"/>
          <w:szCs w:val="22"/>
        </w:rPr>
      </w:pPr>
      <w:r>
        <w:rPr>
          <w:rStyle w:val="eop"/>
          <w:rFonts w:ascii="Arial" w:hAnsi="Arial" w:cs="Arial"/>
          <w:sz w:val="22"/>
          <w:szCs w:val="22"/>
        </w:rPr>
        <w:t>Employment regulations play a critical role</w:t>
      </w:r>
      <w:r w:rsidR="00FC7049">
        <w:rPr>
          <w:rStyle w:val="eop"/>
          <w:rFonts w:ascii="Arial" w:hAnsi="Arial" w:cs="Arial"/>
          <w:sz w:val="22"/>
          <w:szCs w:val="22"/>
        </w:rPr>
        <w:t xml:space="preserve"> in achieving social justice by ensuring fair treatment and opportunities for all</w:t>
      </w:r>
      <w:r w:rsidR="003132C1">
        <w:rPr>
          <w:rStyle w:val="eop"/>
          <w:rFonts w:ascii="Arial" w:hAnsi="Arial" w:cs="Arial"/>
          <w:sz w:val="22"/>
          <w:szCs w:val="22"/>
        </w:rPr>
        <w:t xml:space="preserve"> workers. E</w:t>
      </w:r>
      <w:r w:rsidR="6E609BF5" w:rsidRPr="013A2BD2">
        <w:rPr>
          <w:rStyle w:val="eop"/>
          <w:rFonts w:ascii="Arial" w:hAnsi="Arial" w:cs="Arial"/>
          <w:sz w:val="22"/>
          <w:szCs w:val="22"/>
        </w:rPr>
        <w:t>stablishing minimum wage standards, regulating working hours, and preventing discrimination</w:t>
      </w:r>
      <w:r w:rsidR="20B87B68" w:rsidRPr="013A2BD2">
        <w:rPr>
          <w:rStyle w:val="eop"/>
          <w:rFonts w:ascii="Arial" w:hAnsi="Arial" w:cs="Arial"/>
          <w:sz w:val="22"/>
          <w:szCs w:val="22"/>
        </w:rPr>
        <w:t xml:space="preserve"> </w:t>
      </w:r>
      <w:r w:rsidR="002F5C24">
        <w:rPr>
          <w:rStyle w:val="eop"/>
          <w:rFonts w:ascii="Arial" w:hAnsi="Arial" w:cs="Arial"/>
          <w:sz w:val="22"/>
          <w:szCs w:val="22"/>
        </w:rPr>
        <w:t xml:space="preserve">and inequality </w:t>
      </w:r>
      <w:r w:rsidR="20B87B68" w:rsidRPr="013A2BD2">
        <w:rPr>
          <w:rStyle w:val="eop"/>
          <w:rFonts w:ascii="Arial" w:hAnsi="Arial" w:cs="Arial"/>
          <w:sz w:val="22"/>
          <w:szCs w:val="22"/>
        </w:rPr>
        <w:t>are all key components of achieving a fair and equal working environ</w:t>
      </w:r>
      <w:r w:rsidR="488523A4" w:rsidRPr="013A2BD2">
        <w:rPr>
          <w:rStyle w:val="eop"/>
          <w:rFonts w:ascii="Arial" w:hAnsi="Arial" w:cs="Arial"/>
          <w:sz w:val="22"/>
          <w:szCs w:val="22"/>
        </w:rPr>
        <w:t xml:space="preserve">ment. Regulations such as </w:t>
      </w:r>
      <w:r w:rsidR="488523A4" w:rsidRPr="013A2BD2">
        <w:rPr>
          <w:rStyle w:val="eop"/>
          <w:rFonts w:ascii="Arial" w:hAnsi="Arial" w:cs="Arial"/>
          <w:i/>
          <w:iCs/>
          <w:sz w:val="22"/>
          <w:szCs w:val="22"/>
        </w:rPr>
        <w:t>The National Minimum Wage Act</w:t>
      </w:r>
      <w:r w:rsidR="488523A4" w:rsidRPr="013A2BD2">
        <w:rPr>
          <w:rStyle w:val="eop"/>
          <w:rFonts w:ascii="Arial" w:hAnsi="Arial" w:cs="Arial"/>
          <w:sz w:val="22"/>
          <w:szCs w:val="22"/>
        </w:rPr>
        <w:t xml:space="preserve"> (1998) and </w:t>
      </w:r>
      <w:r w:rsidR="488523A4" w:rsidRPr="013A2BD2">
        <w:rPr>
          <w:rStyle w:val="eop"/>
          <w:rFonts w:ascii="Arial" w:hAnsi="Arial" w:cs="Arial"/>
          <w:i/>
          <w:iCs/>
          <w:sz w:val="22"/>
          <w:szCs w:val="22"/>
        </w:rPr>
        <w:t>The Equality Act</w:t>
      </w:r>
      <w:r w:rsidR="488523A4" w:rsidRPr="013A2BD2">
        <w:rPr>
          <w:rStyle w:val="eop"/>
          <w:rFonts w:ascii="Arial" w:hAnsi="Arial" w:cs="Arial"/>
          <w:sz w:val="22"/>
          <w:szCs w:val="22"/>
        </w:rPr>
        <w:t xml:space="preserve"> (2010) </w:t>
      </w:r>
      <w:r w:rsidR="67D6D066" w:rsidRPr="013A2BD2">
        <w:rPr>
          <w:rStyle w:val="eop"/>
          <w:rFonts w:ascii="Arial" w:hAnsi="Arial" w:cs="Arial"/>
          <w:sz w:val="22"/>
          <w:szCs w:val="22"/>
        </w:rPr>
        <w:t xml:space="preserve">aim to ensure </w:t>
      </w:r>
      <w:r w:rsidR="376F57E2" w:rsidRPr="013A2BD2">
        <w:rPr>
          <w:rStyle w:val="eop"/>
          <w:rFonts w:ascii="Arial" w:hAnsi="Arial" w:cs="Arial"/>
          <w:sz w:val="22"/>
          <w:szCs w:val="22"/>
        </w:rPr>
        <w:t>equality</w:t>
      </w:r>
      <w:r w:rsidR="00FF204A">
        <w:rPr>
          <w:rStyle w:val="eop"/>
          <w:rFonts w:ascii="Arial" w:hAnsi="Arial" w:cs="Arial"/>
          <w:sz w:val="22"/>
          <w:szCs w:val="22"/>
        </w:rPr>
        <w:t xml:space="preserve">, reduce </w:t>
      </w:r>
      <w:r w:rsidR="008E11F5">
        <w:rPr>
          <w:rStyle w:val="eop"/>
          <w:rFonts w:ascii="Arial" w:hAnsi="Arial" w:cs="Arial"/>
          <w:sz w:val="22"/>
          <w:szCs w:val="22"/>
        </w:rPr>
        <w:t>discrimination,</w:t>
      </w:r>
      <w:r w:rsidR="67D6D066" w:rsidRPr="013A2BD2">
        <w:rPr>
          <w:rStyle w:val="eop"/>
          <w:rFonts w:ascii="Arial" w:hAnsi="Arial" w:cs="Arial"/>
          <w:sz w:val="22"/>
          <w:szCs w:val="22"/>
        </w:rPr>
        <w:t xml:space="preserve"> and e</w:t>
      </w:r>
      <w:r w:rsidR="67D6D066" w:rsidRPr="00E72BF1">
        <w:rPr>
          <w:rStyle w:val="eop"/>
          <w:rFonts w:ascii="Arial" w:hAnsi="Arial" w:cs="Arial"/>
          <w:sz w:val="22"/>
          <w:szCs w:val="22"/>
        </w:rPr>
        <w:t>xist to regulate the relationship between employer and employee so that both parties are aware of their rights</w:t>
      </w:r>
      <w:r w:rsidR="6FFC6C56" w:rsidRPr="00E72BF1">
        <w:rPr>
          <w:rStyle w:val="eop"/>
          <w:rFonts w:ascii="Arial" w:hAnsi="Arial" w:cs="Arial"/>
          <w:sz w:val="22"/>
          <w:szCs w:val="22"/>
        </w:rPr>
        <w:t xml:space="preserve">, </w:t>
      </w:r>
      <w:r w:rsidR="00551C2B" w:rsidRPr="00E72BF1">
        <w:rPr>
          <w:rStyle w:val="eop"/>
          <w:rFonts w:ascii="Arial" w:hAnsi="Arial" w:cs="Arial"/>
          <w:sz w:val="22"/>
          <w:szCs w:val="22"/>
        </w:rPr>
        <w:t>obligations,</w:t>
      </w:r>
      <w:r w:rsidR="70EC1955" w:rsidRPr="00E72BF1">
        <w:rPr>
          <w:rStyle w:val="eop"/>
          <w:rFonts w:ascii="Arial" w:hAnsi="Arial" w:cs="Arial"/>
          <w:sz w:val="22"/>
          <w:szCs w:val="22"/>
        </w:rPr>
        <w:t xml:space="preserve"> </w:t>
      </w:r>
      <w:r w:rsidR="000AEE01" w:rsidRPr="00E72BF1">
        <w:rPr>
          <w:rStyle w:val="eop"/>
          <w:rFonts w:ascii="Arial" w:hAnsi="Arial" w:cs="Arial"/>
          <w:sz w:val="22"/>
          <w:szCs w:val="22"/>
        </w:rPr>
        <w:t xml:space="preserve">and fair pay </w:t>
      </w:r>
      <w:r w:rsidR="70EC1955" w:rsidRPr="00E72BF1">
        <w:rPr>
          <w:rStyle w:val="eop"/>
          <w:rFonts w:ascii="Arial" w:hAnsi="Arial" w:cs="Arial"/>
          <w:sz w:val="22"/>
          <w:szCs w:val="22"/>
        </w:rPr>
        <w:t xml:space="preserve">(Factorial HR, 2024). </w:t>
      </w:r>
    </w:p>
    <w:p w14:paraId="75C103A1" w14:textId="77777777" w:rsidR="008E11F5" w:rsidRDefault="008E11F5" w:rsidP="013A2BD2">
      <w:pPr>
        <w:pStyle w:val="paragraph"/>
        <w:spacing w:before="0" w:beforeAutospacing="0" w:after="0" w:afterAutospacing="0"/>
        <w:rPr>
          <w:rStyle w:val="eop"/>
          <w:rFonts w:ascii="Arial" w:hAnsi="Arial" w:cs="Arial"/>
          <w:sz w:val="22"/>
          <w:szCs w:val="22"/>
        </w:rPr>
      </w:pPr>
    </w:p>
    <w:p w14:paraId="10C594D4" w14:textId="576FC40D" w:rsidR="025D5B50" w:rsidRDefault="005834EC" w:rsidP="013A2BD2">
      <w:pPr>
        <w:pStyle w:val="paragraph"/>
        <w:spacing w:before="0" w:beforeAutospacing="0" w:after="0" w:afterAutospacing="0"/>
        <w:rPr>
          <w:rStyle w:val="eop"/>
          <w:rFonts w:ascii="Arial" w:hAnsi="Arial" w:cs="Arial"/>
          <w:sz w:val="22"/>
          <w:szCs w:val="22"/>
        </w:rPr>
      </w:pPr>
      <w:r>
        <w:rPr>
          <w:rStyle w:val="eop"/>
          <w:rFonts w:ascii="Arial" w:hAnsi="Arial" w:cs="Arial"/>
          <w:sz w:val="22"/>
          <w:szCs w:val="22"/>
        </w:rPr>
        <w:t>Additionally, laws related to employee rights, such as the right to form unions and engage in collective bargaining, empower workers to advocate for the</w:t>
      </w:r>
      <w:r w:rsidR="000D0266">
        <w:rPr>
          <w:rStyle w:val="eop"/>
          <w:rFonts w:ascii="Arial" w:hAnsi="Arial" w:cs="Arial"/>
          <w:sz w:val="22"/>
          <w:szCs w:val="22"/>
        </w:rPr>
        <w:t>ir interests and negotiate better working conditions</w:t>
      </w:r>
      <w:r w:rsidR="00607785">
        <w:rPr>
          <w:rStyle w:val="eop"/>
          <w:rFonts w:ascii="Arial" w:hAnsi="Arial" w:cs="Arial"/>
          <w:sz w:val="22"/>
          <w:szCs w:val="22"/>
        </w:rPr>
        <w:t xml:space="preserve"> (Daniels, 2022, p.2)</w:t>
      </w:r>
    </w:p>
    <w:p w14:paraId="4667F2C7" w14:textId="77777777" w:rsidR="00570B1F" w:rsidRDefault="00570B1F" w:rsidP="013A2BD2">
      <w:pPr>
        <w:pStyle w:val="paragraph"/>
        <w:spacing w:before="0" w:beforeAutospacing="0" w:after="0" w:afterAutospacing="0"/>
        <w:rPr>
          <w:rStyle w:val="eop"/>
          <w:rFonts w:ascii="Arial" w:hAnsi="Arial" w:cs="Arial"/>
          <w:sz w:val="22"/>
          <w:szCs w:val="22"/>
        </w:rPr>
      </w:pPr>
    </w:p>
    <w:p w14:paraId="64D40BD4" w14:textId="470C5E4D" w:rsidR="00570B1F" w:rsidRPr="00E72BF1" w:rsidRDefault="00A92212" w:rsidP="013A2BD2">
      <w:pPr>
        <w:pStyle w:val="paragraph"/>
        <w:spacing w:before="0" w:beforeAutospacing="0" w:after="0" w:afterAutospacing="0"/>
        <w:rPr>
          <w:rStyle w:val="eop"/>
          <w:rFonts w:ascii="Arial" w:hAnsi="Arial" w:cs="Arial"/>
          <w:sz w:val="22"/>
          <w:szCs w:val="22"/>
        </w:rPr>
      </w:pPr>
      <w:r>
        <w:rPr>
          <w:rStyle w:val="eop"/>
          <w:rFonts w:ascii="Arial" w:hAnsi="Arial" w:cs="Arial"/>
          <w:sz w:val="22"/>
          <w:szCs w:val="22"/>
        </w:rPr>
        <w:t>According to Taylor and Woodhams (</w:t>
      </w:r>
      <w:r w:rsidR="00D0233C">
        <w:rPr>
          <w:rStyle w:val="eop"/>
          <w:rFonts w:ascii="Arial" w:hAnsi="Arial" w:cs="Arial"/>
          <w:sz w:val="22"/>
          <w:szCs w:val="22"/>
        </w:rPr>
        <w:t xml:space="preserve">2022, p.90-91) </w:t>
      </w:r>
      <w:r w:rsidR="00ED013C">
        <w:rPr>
          <w:rStyle w:val="eop"/>
          <w:rFonts w:ascii="Arial" w:hAnsi="Arial" w:cs="Arial"/>
          <w:sz w:val="22"/>
          <w:szCs w:val="22"/>
        </w:rPr>
        <w:t xml:space="preserve">Whilst arguments supporting </w:t>
      </w:r>
      <w:r w:rsidR="00E26A58">
        <w:rPr>
          <w:rStyle w:val="eop"/>
          <w:rFonts w:ascii="Arial" w:hAnsi="Arial" w:cs="Arial"/>
          <w:sz w:val="22"/>
          <w:szCs w:val="22"/>
        </w:rPr>
        <w:t xml:space="preserve">comprehensive employment laws are based on </w:t>
      </w:r>
      <w:r w:rsidR="00A32A37">
        <w:rPr>
          <w:rStyle w:val="eop"/>
          <w:rFonts w:ascii="Arial" w:hAnsi="Arial" w:cs="Arial"/>
          <w:sz w:val="22"/>
          <w:szCs w:val="22"/>
        </w:rPr>
        <w:t xml:space="preserve">enhancing social justice, </w:t>
      </w:r>
      <w:r w:rsidR="00416861">
        <w:rPr>
          <w:rStyle w:val="eop"/>
          <w:rFonts w:ascii="Arial" w:hAnsi="Arial" w:cs="Arial"/>
          <w:sz w:val="22"/>
          <w:szCs w:val="22"/>
        </w:rPr>
        <w:t>employment law imposes regulations on employers, amplifying the economic risks</w:t>
      </w:r>
      <w:r w:rsidR="008F0D6F">
        <w:rPr>
          <w:rStyle w:val="eop"/>
          <w:rFonts w:ascii="Arial" w:hAnsi="Arial" w:cs="Arial"/>
          <w:sz w:val="22"/>
          <w:szCs w:val="22"/>
        </w:rPr>
        <w:t xml:space="preserve"> linked to hiring workers. This serves as a deterrent</w:t>
      </w:r>
      <w:r w:rsidR="00AC2ECB">
        <w:rPr>
          <w:rStyle w:val="eop"/>
          <w:rFonts w:ascii="Arial" w:hAnsi="Arial" w:cs="Arial"/>
          <w:sz w:val="22"/>
          <w:szCs w:val="22"/>
        </w:rPr>
        <w:t xml:space="preserve"> </w:t>
      </w:r>
      <w:r w:rsidR="00A1562F">
        <w:rPr>
          <w:rStyle w:val="eop"/>
          <w:rFonts w:ascii="Arial" w:hAnsi="Arial" w:cs="Arial"/>
          <w:sz w:val="22"/>
          <w:szCs w:val="22"/>
        </w:rPr>
        <w:t xml:space="preserve">for smaller businesses considering expanding </w:t>
      </w:r>
      <w:r w:rsidR="005C0830">
        <w:rPr>
          <w:rStyle w:val="eop"/>
          <w:rFonts w:ascii="Arial" w:hAnsi="Arial" w:cs="Arial"/>
          <w:sz w:val="22"/>
          <w:szCs w:val="22"/>
        </w:rPr>
        <w:t>a</w:t>
      </w:r>
      <w:r w:rsidR="00A1562F">
        <w:rPr>
          <w:rStyle w:val="eop"/>
          <w:rFonts w:ascii="Arial" w:hAnsi="Arial" w:cs="Arial"/>
          <w:sz w:val="22"/>
          <w:szCs w:val="22"/>
        </w:rPr>
        <w:t>nd for international companies opting against a UK presence</w:t>
      </w:r>
      <w:r w:rsidR="005C0830">
        <w:rPr>
          <w:rStyle w:val="eop"/>
          <w:rFonts w:ascii="Arial" w:hAnsi="Arial" w:cs="Arial"/>
          <w:sz w:val="22"/>
          <w:szCs w:val="22"/>
        </w:rPr>
        <w:t xml:space="preserve"> due to favourable conditions in other locations</w:t>
      </w:r>
      <w:r w:rsidR="00A96FCE">
        <w:rPr>
          <w:rStyle w:val="eop"/>
          <w:rFonts w:ascii="Arial" w:hAnsi="Arial" w:cs="Arial"/>
          <w:sz w:val="22"/>
          <w:szCs w:val="22"/>
        </w:rPr>
        <w:t xml:space="preserve"> (</w:t>
      </w:r>
      <w:r w:rsidR="00D0233C">
        <w:rPr>
          <w:rStyle w:val="eop"/>
          <w:rFonts w:ascii="Arial" w:hAnsi="Arial" w:cs="Arial"/>
          <w:sz w:val="22"/>
          <w:szCs w:val="22"/>
        </w:rPr>
        <w:t>Taylor and Woodhams</w:t>
      </w:r>
      <w:r w:rsidR="001C6736">
        <w:rPr>
          <w:rStyle w:val="eop"/>
          <w:rFonts w:ascii="Arial" w:hAnsi="Arial" w:cs="Arial"/>
          <w:sz w:val="22"/>
          <w:szCs w:val="22"/>
        </w:rPr>
        <w:t>, 2022, p. 90-91)</w:t>
      </w:r>
      <w:r w:rsidR="005C0830">
        <w:rPr>
          <w:rStyle w:val="eop"/>
          <w:rFonts w:ascii="Arial" w:hAnsi="Arial" w:cs="Arial"/>
          <w:sz w:val="22"/>
          <w:szCs w:val="22"/>
        </w:rPr>
        <w:t xml:space="preserve">. </w:t>
      </w:r>
      <w:r w:rsidR="0036429C">
        <w:rPr>
          <w:rStyle w:val="eop"/>
          <w:rFonts w:ascii="Arial" w:hAnsi="Arial" w:cs="Arial"/>
          <w:sz w:val="22"/>
          <w:szCs w:val="22"/>
        </w:rPr>
        <w:t>Additionally</w:t>
      </w:r>
      <w:r w:rsidR="005C0830">
        <w:rPr>
          <w:rStyle w:val="eop"/>
          <w:rFonts w:ascii="Arial" w:hAnsi="Arial" w:cs="Arial"/>
          <w:sz w:val="22"/>
          <w:szCs w:val="22"/>
        </w:rPr>
        <w:t>, r</w:t>
      </w:r>
      <w:r w:rsidR="00EF2CEE">
        <w:rPr>
          <w:rStyle w:val="eop"/>
          <w:rFonts w:ascii="Arial" w:hAnsi="Arial" w:cs="Arial"/>
          <w:sz w:val="22"/>
          <w:szCs w:val="22"/>
        </w:rPr>
        <w:t>esearch shows that many businesses perceive employment laws as onerous because of the complexities involved, Specifically, the process of dismissals</w:t>
      </w:r>
      <w:r w:rsidR="00F330B4">
        <w:rPr>
          <w:rStyle w:val="eop"/>
          <w:rFonts w:ascii="Arial" w:hAnsi="Arial" w:cs="Arial"/>
          <w:sz w:val="22"/>
          <w:szCs w:val="22"/>
        </w:rPr>
        <w:t xml:space="preserve">, this is </w:t>
      </w:r>
      <w:r w:rsidR="003D70D0">
        <w:rPr>
          <w:rStyle w:val="eop"/>
          <w:rFonts w:ascii="Arial" w:hAnsi="Arial" w:cs="Arial"/>
          <w:sz w:val="22"/>
          <w:szCs w:val="22"/>
        </w:rPr>
        <w:t>often</w:t>
      </w:r>
      <w:r w:rsidR="00F330B4">
        <w:rPr>
          <w:rStyle w:val="eop"/>
          <w:rFonts w:ascii="Arial" w:hAnsi="Arial" w:cs="Arial"/>
          <w:sz w:val="22"/>
          <w:szCs w:val="22"/>
        </w:rPr>
        <w:t xml:space="preserve"> viewed as both stressful and expensive, as employers ten</w:t>
      </w:r>
      <w:r w:rsidR="003D70D0">
        <w:rPr>
          <w:rStyle w:val="eop"/>
          <w:rFonts w:ascii="Arial" w:hAnsi="Arial" w:cs="Arial"/>
          <w:sz w:val="22"/>
          <w:szCs w:val="22"/>
        </w:rPr>
        <w:t>d</w:t>
      </w:r>
      <w:r w:rsidR="00F330B4">
        <w:rPr>
          <w:rStyle w:val="eop"/>
          <w:rFonts w:ascii="Arial" w:hAnsi="Arial" w:cs="Arial"/>
          <w:sz w:val="22"/>
          <w:szCs w:val="22"/>
        </w:rPr>
        <w:t xml:space="preserve"> to exceed </w:t>
      </w:r>
      <w:r w:rsidR="003D70D0">
        <w:rPr>
          <w:rStyle w:val="eop"/>
          <w:rFonts w:ascii="Arial" w:hAnsi="Arial" w:cs="Arial"/>
          <w:sz w:val="22"/>
          <w:szCs w:val="22"/>
        </w:rPr>
        <w:t>legal obligations</w:t>
      </w:r>
      <w:r w:rsidR="00370D88">
        <w:rPr>
          <w:rStyle w:val="eop"/>
          <w:rFonts w:ascii="Arial" w:hAnsi="Arial" w:cs="Arial"/>
          <w:sz w:val="22"/>
          <w:szCs w:val="22"/>
        </w:rPr>
        <w:t xml:space="preserve"> (GOV.UK, 2013). </w:t>
      </w:r>
    </w:p>
    <w:p w14:paraId="586D7498" w14:textId="42CABD81" w:rsidR="739BCDA5" w:rsidRDefault="739BCDA5" w:rsidP="013A2BD2">
      <w:pPr>
        <w:pStyle w:val="paragraph"/>
        <w:spacing w:before="0" w:beforeAutospacing="0" w:after="0" w:afterAutospacing="0"/>
        <w:rPr>
          <w:rStyle w:val="eop"/>
          <w:rFonts w:ascii="Arial" w:hAnsi="Arial" w:cs="Arial"/>
          <w:sz w:val="22"/>
          <w:szCs w:val="22"/>
        </w:rPr>
      </w:pPr>
    </w:p>
    <w:p w14:paraId="2BFF0E31" w14:textId="02F1DA67" w:rsidR="00145B71" w:rsidRDefault="00CC2122" w:rsidP="013A2BD2">
      <w:pPr>
        <w:pStyle w:val="paragraph"/>
        <w:spacing w:before="0" w:beforeAutospacing="0" w:after="0" w:afterAutospacing="0"/>
        <w:rPr>
          <w:rStyle w:val="eop"/>
          <w:rFonts w:ascii="Arial" w:hAnsi="Arial" w:cs="Arial"/>
          <w:sz w:val="22"/>
          <w:szCs w:val="22"/>
        </w:rPr>
      </w:pPr>
      <w:r>
        <w:rPr>
          <w:rStyle w:val="eop"/>
          <w:rFonts w:ascii="Arial" w:hAnsi="Arial" w:cs="Arial"/>
          <w:sz w:val="22"/>
          <w:szCs w:val="22"/>
        </w:rPr>
        <w:t>Although employment law cannot ensure that all employees and workers will receive fair treatment, it does enforce penal</w:t>
      </w:r>
      <w:r w:rsidR="00FF1DE6">
        <w:rPr>
          <w:rStyle w:val="eop"/>
          <w:rFonts w:ascii="Arial" w:hAnsi="Arial" w:cs="Arial"/>
          <w:sz w:val="22"/>
          <w:szCs w:val="22"/>
        </w:rPr>
        <w:t xml:space="preserve">ties on individuals who disregard regulations and </w:t>
      </w:r>
      <w:r w:rsidR="00ED1940">
        <w:rPr>
          <w:rStyle w:val="eop"/>
          <w:rFonts w:ascii="Arial" w:hAnsi="Arial" w:cs="Arial"/>
          <w:sz w:val="22"/>
          <w:szCs w:val="22"/>
        </w:rPr>
        <w:t>act unlawfully</w:t>
      </w:r>
      <w:r w:rsidR="00FF1DE6">
        <w:rPr>
          <w:rStyle w:val="eop"/>
          <w:rFonts w:ascii="Arial" w:hAnsi="Arial" w:cs="Arial"/>
          <w:sz w:val="22"/>
          <w:szCs w:val="22"/>
        </w:rPr>
        <w:t>. Without</w:t>
      </w:r>
      <w:r w:rsidR="00DE50B9">
        <w:rPr>
          <w:rStyle w:val="eop"/>
          <w:rFonts w:ascii="Arial" w:hAnsi="Arial" w:cs="Arial"/>
          <w:sz w:val="22"/>
          <w:szCs w:val="22"/>
        </w:rPr>
        <w:t xml:space="preserve"> </w:t>
      </w:r>
      <w:r w:rsidR="00FF1DE6">
        <w:rPr>
          <w:rStyle w:val="eop"/>
          <w:rFonts w:ascii="Arial" w:hAnsi="Arial" w:cs="Arial"/>
          <w:sz w:val="22"/>
          <w:szCs w:val="22"/>
        </w:rPr>
        <w:t xml:space="preserve">employment law, employees would face heightened </w:t>
      </w:r>
      <w:r w:rsidR="000C02BF">
        <w:rPr>
          <w:rStyle w:val="eop"/>
          <w:rFonts w:ascii="Arial" w:hAnsi="Arial" w:cs="Arial"/>
          <w:sz w:val="22"/>
          <w:szCs w:val="22"/>
        </w:rPr>
        <w:t>vulnerability</w:t>
      </w:r>
      <w:r w:rsidR="00B1453C">
        <w:rPr>
          <w:rStyle w:val="eop"/>
          <w:rFonts w:ascii="Arial" w:hAnsi="Arial" w:cs="Arial"/>
          <w:sz w:val="22"/>
          <w:szCs w:val="22"/>
        </w:rPr>
        <w:t xml:space="preserve"> to exploitation, unsafe working environments, and discriminatory practices</w:t>
      </w:r>
      <w:r w:rsidR="00F16AEE">
        <w:rPr>
          <w:rStyle w:val="eop"/>
          <w:rFonts w:ascii="Arial" w:hAnsi="Arial" w:cs="Arial"/>
          <w:sz w:val="22"/>
          <w:szCs w:val="22"/>
        </w:rPr>
        <w:t xml:space="preserve"> (Daniels, 2022,p.3). </w:t>
      </w:r>
      <w:r w:rsidR="00CB411A">
        <w:rPr>
          <w:rStyle w:val="eop"/>
          <w:rFonts w:ascii="Arial" w:hAnsi="Arial" w:cs="Arial"/>
          <w:sz w:val="22"/>
          <w:szCs w:val="22"/>
        </w:rPr>
        <w:t>The</w:t>
      </w:r>
      <w:r w:rsidR="009265FF">
        <w:rPr>
          <w:rStyle w:val="eop"/>
          <w:rFonts w:ascii="Arial" w:hAnsi="Arial" w:cs="Arial"/>
          <w:sz w:val="22"/>
          <w:szCs w:val="22"/>
        </w:rPr>
        <w:t xml:space="preserve"> regulations also shield organisations against potential</w:t>
      </w:r>
      <w:r w:rsidR="00DE50B9">
        <w:rPr>
          <w:rStyle w:val="eop"/>
          <w:rFonts w:ascii="Arial" w:hAnsi="Arial" w:cs="Arial"/>
          <w:sz w:val="22"/>
          <w:szCs w:val="22"/>
        </w:rPr>
        <w:t xml:space="preserve"> ETs </w:t>
      </w:r>
      <w:r w:rsidR="003837D4">
        <w:rPr>
          <w:rStyle w:val="eop"/>
          <w:rFonts w:ascii="Arial" w:hAnsi="Arial" w:cs="Arial"/>
          <w:sz w:val="22"/>
          <w:szCs w:val="22"/>
        </w:rPr>
        <w:t xml:space="preserve">by highlighting their responsibilities (Factorial HR, 2024). </w:t>
      </w:r>
    </w:p>
    <w:p w14:paraId="3BDA8A6E" w14:textId="77777777" w:rsidR="00145B71" w:rsidRDefault="00145B71" w:rsidP="013A2BD2">
      <w:pPr>
        <w:pStyle w:val="paragraph"/>
        <w:spacing w:before="0" w:beforeAutospacing="0" w:after="0" w:afterAutospacing="0"/>
        <w:rPr>
          <w:rStyle w:val="eop"/>
          <w:rFonts w:ascii="Arial" w:hAnsi="Arial" w:cs="Arial"/>
          <w:sz w:val="22"/>
          <w:szCs w:val="22"/>
        </w:rPr>
      </w:pPr>
    </w:p>
    <w:p w14:paraId="101FF0CA" w14:textId="61D4924C" w:rsidR="00CD52F2" w:rsidRPr="00CD52F2" w:rsidRDefault="39549D48" w:rsidP="5B71C086">
      <w:pPr>
        <w:pStyle w:val="paragraph"/>
        <w:spacing w:before="0" w:beforeAutospacing="0" w:after="0" w:afterAutospacing="0"/>
        <w:rPr>
          <w:rStyle w:val="normaltextrun"/>
          <w:rFonts w:ascii="Arial" w:hAnsi="Arial" w:cs="Arial"/>
          <w:sz w:val="22"/>
          <w:szCs w:val="22"/>
        </w:rPr>
      </w:pPr>
      <w:r w:rsidRPr="5B71C086">
        <w:rPr>
          <w:rStyle w:val="normaltextrun"/>
          <w:rFonts w:ascii="Arial" w:hAnsi="Arial" w:cs="Arial"/>
          <w:sz w:val="22"/>
          <w:szCs w:val="22"/>
        </w:rPr>
        <w:t xml:space="preserve">Furthermore, by abiding by UK employment regulations, </w:t>
      </w:r>
      <w:r w:rsidR="5E0FFADF" w:rsidRPr="5B71C086">
        <w:rPr>
          <w:rStyle w:val="normaltextrun"/>
          <w:rFonts w:ascii="Arial" w:hAnsi="Arial" w:cs="Arial"/>
          <w:sz w:val="22"/>
          <w:szCs w:val="22"/>
        </w:rPr>
        <w:t xml:space="preserve">businesses provide employees with a safe and equitable work environment free from discrimination. This will foster a positive, </w:t>
      </w:r>
      <w:r w:rsidR="20E2B7AB" w:rsidRPr="5B71C086">
        <w:rPr>
          <w:rStyle w:val="normaltextrun"/>
          <w:rFonts w:ascii="Arial" w:hAnsi="Arial" w:cs="Arial"/>
          <w:sz w:val="22"/>
          <w:szCs w:val="22"/>
        </w:rPr>
        <w:t>fulfilling</w:t>
      </w:r>
      <w:r w:rsidR="5E0FFADF" w:rsidRPr="5B71C086">
        <w:rPr>
          <w:rStyle w:val="normaltextrun"/>
          <w:rFonts w:ascii="Arial" w:hAnsi="Arial" w:cs="Arial"/>
          <w:sz w:val="22"/>
          <w:szCs w:val="22"/>
        </w:rPr>
        <w:t xml:space="preserve"> and efficient work </w:t>
      </w:r>
      <w:r w:rsidR="529BAF50" w:rsidRPr="5B71C086">
        <w:rPr>
          <w:rStyle w:val="normaltextrun"/>
          <w:rFonts w:ascii="Arial" w:hAnsi="Arial" w:cs="Arial"/>
          <w:sz w:val="22"/>
          <w:szCs w:val="22"/>
        </w:rPr>
        <w:t>environment</w:t>
      </w:r>
      <w:r w:rsidR="6E994AAA" w:rsidRPr="5B71C086">
        <w:rPr>
          <w:rStyle w:val="normaltextrun"/>
          <w:rFonts w:ascii="Arial" w:hAnsi="Arial" w:cs="Arial"/>
          <w:sz w:val="22"/>
          <w:szCs w:val="22"/>
        </w:rPr>
        <w:t xml:space="preserve"> </w:t>
      </w:r>
      <w:r w:rsidR="553D780C" w:rsidRPr="5B71C086">
        <w:rPr>
          <w:rStyle w:val="normaltextrun"/>
          <w:rFonts w:ascii="Arial" w:hAnsi="Arial" w:cs="Arial"/>
          <w:sz w:val="22"/>
          <w:szCs w:val="22"/>
        </w:rPr>
        <w:t xml:space="preserve">(Factorial HR, 2024). </w:t>
      </w:r>
    </w:p>
    <w:p w14:paraId="4A80D002" w14:textId="3DE99FBF" w:rsidR="5B71C086" w:rsidRDefault="5B71C086" w:rsidP="5B71C086">
      <w:pPr>
        <w:pStyle w:val="paragraph"/>
        <w:spacing w:before="0" w:beforeAutospacing="0" w:after="0" w:afterAutospacing="0"/>
        <w:rPr>
          <w:rStyle w:val="normaltextrun"/>
          <w:rFonts w:ascii="Arial" w:hAnsi="Arial" w:cs="Arial"/>
          <w:sz w:val="22"/>
          <w:szCs w:val="22"/>
        </w:rPr>
      </w:pPr>
    </w:p>
    <w:p w14:paraId="1EED63EC" w14:textId="70C8AD34" w:rsidR="03507018" w:rsidRDefault="51415581" w:rsidP="739BCDA5">
      <w:pPr>
        <w:pStyle w:val="Nornal"/>
        <w:spacing w:line="264" w:lineRule="auto"/>
        <w:rPr>
          <w:rFonts w:eastAsia="Arial"/>
          <w:b/>
          <w:bCs/>
          <w:color w:val="000000" w:themeColor="text1"/>
        </w:rPr>
      </w:pPr>
      <w:r w:rsidRPr="002B1699">
        <w:rPr>
          <w:rFonts w:eastAsia="Arial"/>
          <w:b/>
          <w:bCs/>
          <w:color w:val="000000" w:themeColor="text1"/>
        </w:rPr>
        <w:t>Examine</w:t>
      </w:r>
      <w:r w:rsidRPr="4E52D044">
        <w:rPr>
          <w:rFonts w:eastAsia="Arial"/>
          <w:b/>
          <w:bCs/>
          <w:color w:val="000000" w:themeColor="text1"/>
        </w:rPr>
        <w:t xml:space="preserve"> the role played by the tribunal and courts system in enforcing employment law</w:t>
      </w:r>
      <w:r w:rsidRPr="002B1699">
        <w:rPr>
          <w:rFonts w:eastAsia="Arial"/>
          <w:b/>
          <w:bCs/>
          <w:color w:val="000000" w:themeColor="text1"/>
        </w:rPr>
        <w:t>. (AC 1.2)</w:t>
      </w:r>
    </w:p>
    <w:p w14:paraId="5B0763EC" w14:textId="3B90D136" w:rsidR="00EB20E3" w:rsidRDefault="0049010F" w:rsidP="739BCDA5">
      <w:pPr>
        <w:pStyle w:val="Nornal"/>
        <w:spacing w:line="264" w:lineRule="auto"/>
        <w:rPr>
          <w:rFonts w:eastAsia="Arial"/>
          <w:color w:val="000000" w:themeColor="text1"/>
        </w:rPr>
      </w:pPr>
      <w:r w:rsidRPr="00F45F8C">
        <w:rPr>
          <w:rFonts w:eastAsia="Arial"/>
          <w:color w:val="000000" w:themeColor="text1"/>
        </w:rPr>
        <w:t xml:space="preserve">In the UK, </w:t>
      </w:r>
      <w:r w:rsidR="00C94965">
        <w:rPr>
          <w:rFonts w:eastAsia="Arial"/>
          <w:color w:val="000000" w:themeColor="text1"/>
        </w:rPr>
        <w:t xml:space="preserve">most </w:t>
      </w:r>
      <w:r w:rsidRPr="00F45F8C">
        <w:rPr>
          <w:rFonts w:eastAsia="Arial"/>
          <w:color w:val="000000" w:themeColor="text1"/>
        </w:rPr>
        <w:t>employment law falls under the categories of ‘civil law’ or ‘private law’</w:t>
      </w:r>
      <w:r w:rsidR="00C36F20">
        <w:rPr>
          <w:rFonts w:eastAsia="Arial"/>
          <w:color w:val="000000" w:themeColor="text1"/>
        </w:rPr>
        <w:t xml:space="preserve"> (Daniels, 2022,p.4)</w:t>
      </w:r>
      <w:r w:rsidR="00E52205" w:rsidRPr="00F45F8C">
        <w:rPr>
          <w:rFonts w:eastAsia="Arial"/>
          <w:color w:val="000000" w:themeColor="text1"/>
        </w:rPr>
        <w:t>, meaning that is in enforced</w:t>
      </w:r>
      <w:r w:rsidR="0018197C" w:rsidRPr="00F45F8C">
        <w:rPr>
          <w:rFonts w:eastAsia="Arial"/>
          <w:color w:val="000000" w:themeColor="text1"/>
        </w:rPr>
        <w:t xml:space="preserve"> through legal action brough by one party against the other. The claimant utilises the court </w:t>
      </w:r>
      <w:r w:rsidR="005C1B5A" w:rsidRPr="00F45F8C">
        <w:rPr>
          <w:rFonts w:eastAsia="Arial"/>
          <w:color w:val="000000" w:themeColor="text1"/>
        </w:rPr>
        <w:t xml:space="preserve">and </w:t>
      </w:r>
      <w:r w:rsidR="00183404">
        <w:rPr>
          <w:rFonts w:eastAsia="Arial"/>
          <w:color w:val="000000" w:themeColor="text1"/>
        </w:rPr>
        <w:t>E</w:t>
      </w:r>
      <w:r w:rsidR="005C1B5A" w:rsidRPr="00F45F8C">
        <w:rPr>
          <w:rFonts w:eastAsia="Arial"/>
          <w:color w:val="000000" w:themeColor="text1"/>
        </w:rPr>
        <w:t xml:space="preserve">mployment </w:t>
      </w:r>
      <w:r w:rsidR="00183404">
        <w:rPr>
          <w:rFonts w:eastAsia="Arial"/>
          <w:color w:val="000000" w:themeColor="text1"/>
        </w:rPr>
        <w:t>T</w:t>
      </w:r>
      <w:r w:rsidR="005C1B5A" w:rsidRPr="00F45F8C">
        <w:rPr>
          <w:rFonts w:eastAsia="Arial"/>
          <w:color w:val="000000" w:themeColor="text1"/>
        </w:rPr>
        <w:t xml:space="preserve">ribunal </w:t>
      </w:r>
      <w:r w:rsidR="00183404">
        <w:rPr>
          <w:rFonts w:eastAsia="Arial"/>
          <w:color w:val="000000" w:themeColor="text1"/>
        </w:rPr>
        <w:t xml:space="preserve">(ET) </w:t>
      </w:r>
      <w:r w:rsidR="005C1B5A" w:rsidRPr="00F45F8C">
        <w:rPr>
          <w:rFonts w:eastAsia="Arial"/>
          <w:color w:val="000000" w:themeColor="text1"/>
        </w:rPr>
        <w:t xml:space="preserve">system to assert that the respondent </w:t>
      </w:r>
      <w:r w:rsidR="00F45F8C" w:rsidRPr="00F45F8C">
        <w:rPr>
          <w:rFonts w:eastAsia="Arial"/>
          <w:color w:val="000000" w:themeColor="text1"/>
        </w:rPr>
        <w:t>has inflicted some sort of detriment upon them in violation of the law</w:t>
      </w:r>
      <w:r w:rsidR="00C36F20">
        <w:rPr>
          <w:rFonts w:eastAsia="Arial"/>
          <w:color w:val="000000" w:themeColor="text1"/>
        </w:rPr>
        <w:t xml:space="preserve"> (Taylor, 2023). </w:t>
      </w:r>
    </w:p>
    <w:p w14:paraId="56384B77" w14:textId="09F5BC5E" w:rsidR="002F2010" w:rsidRDefault="00DD362A" w:rsidP="739BCDA5">
      <w:pPr>
        <w:pStyle w:val="Nornal"/>
        <w:spacing w:line="264" w:lineRule="auto"/>
        <w:rPr>
          <w:rFonts w:eastAsia="Arial"/>
          <w:color w:val="000000" w:themeColor="text1"/>
        </w:rPr>
      </w:pPr>
      <w:r>
        <w:rPr>
          <w:rFonts w:eastAsia="Arial"/>
          <w:color w:val="000000" w:themeColor="text1"/>
        </w:rPr>
        <w:lastRenderedPageBreak/>
        <w:t xml:space="preserve">The object of criminal law is to address and penalise criminal offenses. In the realm of employment law, criminal law cases commonly arise in relation to violations of statutes such as the </w:t>
      </w:r>
      <w:r w:rsidRPr="00A54E0D">
        <w:rPr>
          <w:rFonts w:eastAsia="Arial"/>
          <w:i/>
          <w:iCs/>
          <w:color w:val="000000" w:themeColor="text1"/>
        </w:rPr>
        <w:t>Data Protection Act</w:t>
      </w:r>
      <w:r w:rsidRPr="00A54E0D">
        <w:rPr>
          <w:rFonts w:eastAsia="Arial"/>
          <w:color w:val="000000" w:themeColor="text1"/>
        </w:rPr>
        <w:t xml:space="preserve"> 2018</w:t>
      </w:r>
      <w:r>
        <w:rPr>
          <w:rFonts w:eastAsia="Arial"/>
          <w:color w:val="000000" w:themeColor="text1"/>
        </w:rPr>
        <w:t xml:space="preserve">, pertaining to the misuse of confidential information, and the </w:t>
      </w:r>
      <w:r w:rsidRPr="00A54E0D">
        <w:rPr>
          <w:rFonts w:eastAsia="Arial"/>
          <w:i/>
          <w:iCs/>
          <w:color w:val="000000" w:themeColor="text1"/>
        </w:rPr>
        <w:t xml:space="preserve">Health and Safety at </w:t>
      </w:r>
      <w:r w:rsidR="00A30B9C" w:rsidRPr="00A54E0D">
        <w:rPr>
          <w:rFonts w:eastAsia="Arial"/>
          <w:i/>
          <w:iCs/>
          <w:color w:val="000000" w:themeColor="text1"/>
        </w:rPr>
        <w:t>Work Act</w:t>
      </w:r>
      <w:r w:rsidR="00A30B9C" w:rsidRPr="00A54E0D">
        <w:rPr>
          <w:rFonts w:eastAsia="Arial"/>
          <w:color w:val="000000" w:themeColor="text1"/>
        </w:rPr>
        <w:t xml:space="preserve"> 1974</w:t>
      </w:r>
      <w:r w:rsidR="00A30B9C">
        <w:rPr>
          <w:rFonts w:eastAsia="Arial"/>
          <w:color w:val="000000" w:themeColor="text1"/>
        </w:rPr>
        <w:t>, concerning breaches of health and safety regulations</w:t>
      </w:r>
      <w:r w:rsidR="0075096A">
        <w:rPr>
          <w:rFonts w:eastAsia="Arial"/>
          <w:color w:val="000000" w:themeColor="text1"/>
        </w:rPr>
        <w:t xml:space="preserve"> (Daniels, 2022, p.4). </w:t>
      </w:r>
    </w:p>
    <w:p w14:paraId="3ADF60B0" w14:textId="59609C8A" w:rsidR="00464139" w:rsidRDefault="001666AD" w:rsidP="739BCDA5">
      <w:pPr>
        <w:pStyle w:val="Nornal"/>
        <w:spacing w:line="264" w:lineRule="auto"/>
        <w:rPr>
          <w:rFonts w:eastAsia="Arial"/>
          <w:color w:val="000000" w:themeColor="text1"/>
        </w:rPr>
      </w:pPr>
      <w:r>
        <w:rPr>
          <w:rFonts w:eastAsia="Arial"/>
          <w:color w:val="000000" w:themeColor="text1"/>
        </w:rPr>
        <w:t xml:space="preserve">Most </w:t>
      </w:r>
      <w:r w:rsidR="00DD7C73">
        <w:rPr>
          <w:rFonts w:eastAsia="Arial"/>
          <w:color w:val="000000" w:themeColor="text1"/>
        </w:rPr>
        <w:t>employment law cases fal</w:t>
      </w:r>
      <w:r w:rsidR="00CF603C">
        <w:rPr>
          <w:rFonts w:eastAsia="Arial"/>
          <w:color w:val="000000" w:themeColor="text1"/>
        </w:rPr>
        <w:t>l</w:t>
      </w:r>
      <w:r w:rsidR="00DD7C73">
        <w:rPr>
          <w:rFonts w:eastAsia="Arial"/>
          <w:color w:val="000000" w:themeColor="text1"/>
        </w:rPr>
        <w:t xml:space="preserve"> under</w:t>
      </w:r>
      <w:r w:rsidR="00F85263">
        <w:rPr>
          <w:rFonts w:eastAsia="Arial"/>
          <w:color w:val="000000" w:themeColor="text1"/>
        </w:rPr>
        <w:t xml:space="preserve"> the jurisdiction of Civil Law. The resolution of most employment disputes usually takes place in the E</w:t>
      </w:r>
      <w:r w:rsidR="001A56EC">
        <w:rPr>
          <w:rFonts w:eastAsia="Arial"/>
          <w:color w:val="000000" w:themeColor="text1"/>
        </w:rPr>
        <w:t>T</w:t>
      </w:r>
      <w:r w:rsidR="00CF603C">
        <w:rPr>
          <w:rFonts w:eastAsia="Arial"/>
          <w:color w:val="000000" w:themeColor="text1"/>
        </w:rPr>
        <w:t xml:space="preserve">, which handles civil cases only </w:t>
      </w:r>
      <w:r w:rsidR="009508D9">
        <w:rPr>
          <w:rFonts w:eastAsia="Arial"/>
          <w:color w:val="000000" w:themeColor="text1"/>
        </w:rPr>
        <w:t xml:space="preserve">(Daniels, 2022, p. 5), </w:t>
      </w:r>
      <w:r w:rsidR="00C41C12">
        <w:rPr>
          <w:rFonts w:eastAsia="Arial"/>
          <w:color w:val="000000" w:themeColor="text1"/>
        </w:rPr>
        <w:t>e.g.,</w:t>
      </w:r>
      <w:r w:rsidR="0010257C">
        <w:rPr>
          <w:rFonts w:eastAsia="Arial"/>
          <w:color w:val="000000" w:themeColor="text1"/>
        </w:rPr>
        <w:t xml:space="preserve"> Unfair dismissal, equal pay and </w:t>
      </w:r>
      <w:r w:rsidR="009508D9">
        <w:rPr>
          <w:rFonts w:eastAsia="Arial"/>
          <w:color w:val="000000" w:themeColor="text1"/>
        </w:rPr>
        <w:t xml:space="preserve">redundancy </w:t>
      </w:r>
      <w:r w:rsidR="00CF603C">
        <w:rPr>
          <w:rFonts w:eastAsia="Arial"/>
          <w:color w:val="000000" w:themeColor="text1"/>
        </w:rPr>
        <w:t>(</w:t>
      </w:r>
      <w:r w:rsidR="009508D9">
        <w:rPr>
          <w:rFonts w:eastAsia="Arial"/>
          <w:color w:val="000000" w:themeColor="text1"/>
        </w:rPr>
        <w:t>Taylor, 2023</w:t>
      </w:r>
      <w:r w:rsidR="00347569">
        <w:rPr>
          <w:rFonts w:eastAsia="Arial"/>
          <w:color w:val="000000" w:themeColor="text1"/>
        </w:rPr>
        <w:t>)</w:t>
      </w:r>
      <w:r w:rsidR="009508D9">
        <w:rPr>
          <w:rFonts w:eastAsia="Arial"/>
          <w:color w:val="000000" w:themeColor="text1"/>
        </w:rPr>
        <w:t>.</w:t>
      </w:r>
    </w:p>
    <w:p w14:paraId="2AE38A29" w14:textId="0A826515" w:rsidR="00C411FF" w:rsidRDefault="00C411FF" w:rsidP="739BCDA5">
      <w:pPr>
        <w:pStyle w:val="Nornal"/>
        <w:spacing w:line="264" w:lineRule="auto"/>
        <w:rPr>
          <w:rFonts w:eastAsia="Arial"/>
          <w:color w:val="000000" w:themeColor="text1"/>
        </w:rPr>
      </w:pPr>
      <w:r>
        <w:rPr>
          <w:rFonts w:eastAsia="Arial"/>
          <w:color w:val="000000" w:themeColor="text1"/>
        </w:rPr>
        <w:t xml:space="preserve">The </w:t>
      </w:r>
      <w:r w:rsidR="00BF2AFE">
        <w:rPr>
          <w:rFonts w:eastAsia="Arial"/>
          <w:color w:val="000000" w:themeColor="text1"/>
        </w:rPr>
        <w:t xml:space="preserve">UK </w:t>
      </w:r>
      <w:r>
        <w:rPr>
          <w:rFonts w:eastAsia="Arial"/>
          <w:color w:val="000000" w:themeColor="text1"/>
        </w:rPr>
        <w:t xml:space="preserve">employment law </w:t>
      </w:r>
      <w:r w:rsidR="00BF2AFE">
        <w:rPr>
          <w:rFonts w:eastAsia="Arial"/>
          <w:color w:val="000000" w:themeColor="text1"/>
        </w:rPr>
        <w:t xml:space="preserve">system is </w:t>
      </w:r>
      <w:r w:rsidR="00741412">
        <w:rPr>
          <w:rFonts w:eastAsia="Arial"/>
          <w:color w:val="000000" w:themeColor="text1"/>
        </w:rPr>
        <w:t xml:space="preserve">hierarchical and </w:t>
      </w:r>
      <w:r w:rsidR="00BF2AFE">
        <w:rPr>
          <w:rFonts w:eastAsia="Arial"/>
          <w:color w:val="000000" w:themeColor="text1"/>
        </w:rPr>
        <w:t xml:space="preserve">made up of specific </w:t>
      </w:r>
      <w:r w:rsidR="000C296C">
        <w:rPr>
          <w:rFonts w:eastAsia="Arial"/>
          <w:color w:val="000000" w:themeColor="text1"/>
        </w:rPr>
        <w:t xml:space="preserve">criminal and civil </w:t>
      </w:r>
      <w:r w:rsidR="00BF2AFE">
        <w:rPr>
          <w:rFonts w:eastAsia="Arial"/>
          <w:color w:val="000000" w:themeColor="text1"/>
        </w:rPr>
        <w:t xml:space="preserve">courts that deal with different cases as </w:t>
      </w:r>
      <w:r w:rsidR="00DC058C">
        <w:rPr>
          <w:rFonts w:eastAsia="Arial"/>
          <w:color w:val="000000" w:themeColor="text1"/>
        </w:rPr>
        <w:t>portrayed below:</w:t>
      </w:r>
    </w:p>
    <w:p w14:paraId="0C93D114" w14:textId="08687880" w:rsidR="00820D22" w:rsidRDefault="00820D22" w:rsidP="739BCDA5">
      <w:pPr>
        <w:pStyle w:val="Nornal"/>
        <w:spacing w:line="264" w:lineRule="auto"/>
        <w:rPr>
          <w:rFonts w:eastAsia="Arial"/>
          <w:color w:val="000000" w:themeColor="text1"/>
        </w:rPr>
      </w:pPr>
      <w:r>
        <w:rPr>
          <w:noProof/>
        </w:rPr>
        <w:drawing>
          <wp:inline distT="0" distB="0" distL="0" distR="0" wp14:anchorId="78044F8A" wp14:editId="3454F20D">
            <wp:extent cx="4116256" cy="4070350"/>
            <wp:effectExtent l="0" t="0" r="0" b="6350"/>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
                    <a:stretch>
                      <a:fillRect/>
                    </a:stretch>
                  </pic:blipFill>
                  <pic:spPr>
                    <a:xfrm>
                      <a:off x="0" y="0"/>
                      <a:ext cx="4135743" cy="4089620"/>
                    </a:xfrm>
                    <a:prstGeom prst="rect">
                      <a:avLst/>
                    </a:prstGeom>
                  </pic:spPr>
                </pic:pic>
              </a:graphicData>
            </a:graphic>
          </wp:inline>
        </w:drawing>
      </w:r>
    </w:p>
    <w:p w14:paraId="7C4C37A5" w14:textId="1048F37C" w:rsidR="0075096A" w:rsidRDefault="00222010" w:rsidP="739BCDA5">
      <w:pPr>
        <w:pStyle w:val="Nornal"/>
        <w:spacing w:line="264" w:lineRule="auto"/>
        <w:rPr>
          <w:rFonts w:eastAsia="Arial"/>
          <w:color w:val="000000" w:themeColor="text1"/>
        </w:rPr>
      </w:pPr>
      <w:r>
        <w:rPr>
          <w:rFonts w:eastAsia="Arial"/>
          <w:color w:val="000000" w:themeColor="text1"/>
        </w:rPr>
        <w:t xml:space="preserve"> (Judiciary, 2024). </w:t>
      </w:r>
    </w:p>
    <w:p w14:paraId="1C0F9778" w14:textId="5BCC0FC2" w:rsidR="0030249B" w:rsidRDefault="00AF3D24" w:rsidP="739BCDA5">
      <w:pPr>
        <w:pStyle w:val="Nornal"/>
        <w:spacing w:line="264" w:lineRule="auto"/>
        <w:rPr>
          <w:rFonts w:eastAsia="Arial"/>
          <w:color w:val="000000" w:themeColor="text1"/>
        </w:rPr>
      </w:pPr>
      <w:r>
        <w:rPr>
          <w:rFonts w:eastAsia="Arial"/>
          <w:color w:val="000000" w:themeColor="text1"/>
        </w:rPr>
        <w:t xml:space="preserve">Criminal proceedings generally commence in the magistrate courts, with </w:t>
      </w:r>
      <w:r w:rsidR="006B2A4B">
        <w:rPr>
          <w:rFonts w:eastAsia="Arial"/>
          <w:color w:val="000000" w:themeColor="text1"/>
        </w:rPr>
        <w:t>serious</w:t>
      </w:r>
      <w:r>
        <w:rPr>
          <w:rFonts w:eastAsia="Arial"/>
          <w:color w:val="000000" w:themeColor="text1"/>
        </w:rPr>
        <w:t xml:space="preserve"> offenses often being directly referred to the crown court</w:t>
      </w:r>
      <w:r w:rsidR="00035ECB">
        <w:rPr>
          <w:rFonts w:eastAsia="Arial"/>
          <w:color w:val="000000" w:themeColor="text1"/>
        </w:rPr>
        <w:t xml:space="preserve">. Appeals regarding factual matters are </w:t>
      </w:r>
      <w:r w:rsidR="006B4B4A">
        <w:rPr>
          <w:rFonts w:eastAsia="Arial"/>
          <w:color w:val="000000" w:themeColor="text1"/>
        </w:rPr>
        <w:t>escalated to</w:t>
      </w:r>
      <w:r w:rsidR="00035ECB">
        <w:rPr>
          <w:rFonts w:eastAsia="Arial"/>
          <w:color w:val="000000" w:themeColor="text1"/>
        </w:rPr>
        <w:t xml:space="preserve"> crown court</w:t>
      </w:r>
      <w:r w:rsidR="00117A11">
        <w:rPr>
          <w:rFonts w:eastAsia="Arial"/>
          <w:color w:val="000000" w:themeColor="text1"/>
        </w:rPr>
        <w:t>, while appeals on legal issues are heard in the crown court</w:t>
      </w:r>
      <w:r w:rsidR="00FA761D">
        <w:rPr>
          <w:rFonts w:eastAsia="Arial"/>
          <w:color w:val="000000" w:themeColor="text1"/>
        </w:rPr>
        <w:t xml:space="preserve">, subsequent appeals proceed to the court of appeal and ultimately to the supreme court (Daniels, 2022. P.5). The </w:t>
      </w:r>
      <w:r w:rsidR="00DF3D24">
        <w:rPr>
          <w:rFonts w:eastAsia="Arial"/>
          <w:color w:val="000000" w:themeColor="text1"/>
        </w:rPr>
        <w:t>repercussions</w:t>
      </w:r>
      <w:r w:rsidR="00FA761D">
        <w:rPr>
          <w:rFonts w:eastAsia="Arial"/>
          <w:color w:val="000000" w:themeColor="text1"/>
        </w:rPr>
        <w:t xml:space="preserve"> of criminal proceedings typically involve either incarceration o</w:t>
      </w:r>
      <w:r w:rsidR="00DF3D24">
        <w:rPr>
          <w:rFonts w:eastAsia="Arial"/>
          <w:color w:val="000000" w:themeColor="text1"/>
        </w:rPr>
        <w:t xml:space="preserve">r fines. As was the in the case of </w:t>
      </w:r>
      <w:r w:rsidR="00DF3D24" w:rsidRPr="002B3A19">
        <w:rPr>
          <w:rFonts w:eastAsia="Arial"/>
          <w:i/>
          <w:iCs/>
          <w:color w:val="000000" w:themeColor="text1"/>
        </w:rPr>
        <w:t>R v Cotswold Geotech</w:t>
      </w:r>
      <w:r w:rsidR="00A37064" w:rsidRPr="002B3A19">
        <w:rPr>
          <w:rFonts w:eastAsia="Arial"/>
          <w:i/>
          <w:iCs/>
          <w:color w:val="000000" w:themeColor="text1"/>
        </w:rPr>
        <w:t>nical Holdings Ltd</w:t>
      </w:r>
      <w:r w:rsidR="00A37064">
        <w:rPr>
          <w:rFonts w:eastAsia="Arial"/>
          <w:color w:val="000000" w:themeColor="text1"/>
        </w:rPr>
        <w:t xml:space="preserve"> (2011) </w:t>
      </w:r>
      <w:r w:rsidR="001E3DF1">
        <w:rPr>
          <w:rFonts w:eastAsia="Arial"/>
          <w:color w:val="000000" w:themeColor="text1"/>
        </w:rPr>
        <w:t>This case marked the first</w:t>
      </w:r>
      <w:r w:rsidR="008B2D89">
        <w:rPr>
          <w:rFonts w:eastAsia="Arial"/>
          <w:color w:val="000000" w:themeColor="text1"/>
        </w:rPr>
        <w:t xml:space="preserve"> prosecution for corporate manslaughter. The company was deemed negligent and incurred a fine of £385,000 </w:t>
      </w:r>
      <w:r w:rsidR="00FA3A03">
        <w:rPr>
          <w:rFonts w:eastAsia="Arial"/>
          <w:color w:val="000000" w:themeColor="text1"/>
        </w:rPr>
        <w:t xml:space="preserve">due to </w:t>
      </w:r>
      <w:r w:rsidR="008B2D89">
        <w:rPr>
          <w:rFonts w:eastAsia="Arial"/>
          <w:color w:val="000000" w:themeColor="text1"/>
        </w:rPr>
        <w:t xml:space="preserve">leaving a young </w:t>
      </w:r>
      <w:r w:rsidR="00094D45">
        <w:rPr>
          <w:rFonts w:eastAsia="Arial"/>
          <w:color w:val="000000" w:themeColor="text1"/>
        </w:rPr>
        <w:t xml:space="preserve">geologist to work alone in a trench. Tragically, the trench collapsed, resulting in the </w:t>
      </w:r>
      <w:r w:rsidR="006B2A4B">
        <w:rPr>
          <w:rFonts w:eastAsia="Arial"/>
          <w:color w:val="000000" w:themeColor="text1"/>
        </w:rPr>
        <w:t>geologist being buried and killed</w:t>
      </w:r>
      <w:r w:rsidR="002B3A19">
        <w:rPr>
          <w:rFonts w:eastAsia="Arial"/>
          <w:color w:val="000000" w:themeColor="text1"/>
        </w:rPr>
        <w:t xml:space="preserve"> (Daniels, 2022.p. 5). </w:t>
      </w:r>
    </w:p>
    <w:p w14:paraId="3D262EFE" w14:textId="2F751EA1" w:rsidR="00D17923" w:rsidRPr="00F45F8C" w:rsidRDefault="0001180C" w:rsidP="739BCDA5">
      <w:pPr>
        <w:pStyle w:val="Nornal"/>
        <w:spacing w:line="264" w:lineRule="auto"/>
        <w:rPr>
          <w:rFonts w:eastAsia="Arial"/>
          <w:color w:val="000000" w:themeColor="text1"/>
        </w:rPr>
      </w:pPr>
      <w:r>
        <w:rPr>
          <w:rFonts w:eastAsia="Arial"/>
          <w:color w:val="000000" w:themeColor="text1"/>
        </w:rPr>
        <w:t>Employment tribunals serve as the legal entity ta</w:t>
      </w:r>
      <w:r w:rsidR="009D79B7">
        <w:rPr>
          <w:rFonts w:eastAsia="Arial"/>
          <w:color w:val="000000" w:themeColor="text1"/>
        </w:rPr>
        <w:t>sked</w:t>
      </w:r>
      <w:r>
        <w:rPr>
          <w:rFonts w:eastAsia="Arial"/>
          <w:color w:val="000000" w:themeColor="text1"/>
        </w:rPr>
        <w:t xml:space="preserve"> with administering workplace justice, functioning as </w:t>
      </w:r>
      <w:r w:rsidR="00F62590">
        <w:rPr>
          <w:rFonts w:eastAsia="Arial"/>
          <w:color w:val="000000" w:themeColor="text1"/>
        </w:rPr>
        <w:t xml:space="preserve">the main platform for addressing initial conflicts pertaining to employment </w:t>
      </w:r>
      <w:r w:rsidR="00F62590">
        <w:rPr>
          <w:rFonts w:eastAsia="Arial"/>
          <w:color w:val="000000" w:themeColor="text1"/>
        </w:rPr>
        <w:lastRenderedPageBreak/>
        <w:t xml:space="preserve">legislation (Judiciary, no date). </w:t>
      </w:r>
      <w:r w:rsidR="00EB7AC5">
        <w:rPr>
          <w:rFonts w:eastAsia="Arial"/>
          <w:color w:val="000000" w:themeColor="text1"/>
        </w:rPr>
        <w:t xml:space="preserve">Should either party be dissatisfied with the decision made by the ET, </w:t>
      </w:r>
      <w:r w:rsidR="00612334">
        <w:rPr>
          <w:rFonts w:eastAsia="Arial"/>
          <w:color w:val="000000" w:themeColor="text1"/>
        </w:rPr>
        <w:t>they</w:t>
      </w:r>
      <w:r w:rsidR="00EB7AC5">
        <w:rPr>
          <w:rFonts w:eastAsia="Arial"/>
          <w:color w:val="000000" w:themeColor="text1"/>
        </w:rPr>
        <w:t xml:space="preserve"> have recourse to appeal</w:t>
      </w:r>
      <w:r w:rsidR="00612334">
        <w:rPr>
          <w:rFonts w:eastAsia="Arial"/>
          <w:color w:val="000000" w:themeColor="text1"/>
        </w:rPr>
        <w:t xml:space="preserve"> to higher judicial bodies such as the Employment Appeal Tribunal (EAT) </w:t>
      </w:r>
      <w:r w:rsidR="005F24B9">
        <w:rPr>
          <w:rFonts w:eastAsia="Arial"/>
          <w:color w:val="000000" w:themeColor="text1"/>
        </w:rPr>
        <w:t xml:space="preserve">and higher civil courts. </w:t>
      </w:r>
      <w:r w:rsidR="00FB0878">
        <w:rPr>
          <w:rFonts w:eastAsia="Arial"/>
          <w:color w:val="000000" w:themeColor="text1"/>
        </w:rPr>
        <w:t>Appeals can only be made</w:t>
      </w:r>
      <w:r w:rsidR="00AB3D5A">
        <w:rPr>
          <w:rFonts w:eastAsia="Arial"/>
          <w:color w:val="000000" w:themeColor="text1"/>
        </w:rPr>
        <w:t xml:space="preserve"> on</w:t>
      </w:r>
      <w:r w:rsidR="00FB0878">
        <w:rPr>
          <w:rFonts w:eastAsia="Arial"/>
          <w:color w:val="000000" w:themeColor="text1"/>
        </w:rPr>
        <w:t xml:space="preserve"> </w:t>
      </w:r>
      <w:r w:rsidR="00341120">
        <w:rPr>
          <w:rFonts w:eastAsia="Arial"/>
          <w:color w:val="000000" w:themeColor="text1"/>
        </w:rPr>
        <w:t>ground</w:t>
      </w:r>
      <w:r w:rsidR="00AB3D5A">
        <w:rPr>
          <w:rFonts w:eastAsia="Arial"/>
          <w:color w:val="000000" w:themeColor="text1"/>
        </w:rPr>
        <w:t>s</w:t>
      </w:r>
      <w:r w:rsidR="00341120">
        <w:rPr>
          <w:rFonts w:eastAsia="Arial"/>
          <w:color w:val="000000" w:themeColor="text1"/>
        </w:rPr>
        <w:t xml:space="preserve"> of a legal issue</w:t>
      </w:r>
      <w:r w:rsidR="00AB3D5A">
        <w:rPr>
          <w:rFonts w:eastAsia="Arial"/>
          <w:color w:val="000000" w:themeColor="text1"/>
        </w:rPr>
        <w:t xml:space="preserve"> or if the ET conclusions are deemed ‘perverse’</w:t>
      </w:r>
      <w:r w:rsidR="00A16219">
        <w:rPr>
          <w:rFonts w:eastAsia="Arial"/>
          <w:color w:val="000000" w:themeColor="text1"/>
        </w:rPr>
        <w:t xml:space="preserve"> </w:t>
      </w:r>
      <w:r w:rsidR="00A35B7B">
        <w:rPr>
          <w:rFonts w:eastAsia="Arial"/>
          <w:color w:val="000000" w:themeColor="text1"/>
        </w:rPr>
        <w:t>(Daniels, 2022, p.30)</w:t>
      </w:r>
      <w:r w:rsidR="00AB3D5A">
        <w:rPr>
          <w:rFonts w:eastAsia="Arial"/>
          <w:color w:val="000000" w:themeColor="text1"/>
        </w:rPr>
        <w:t>.</w:t>
      </w:r>
    </w:p>
    <w:p w14:paraId="0058A152" w14:textId="7F20F261" w:rsidR="359A0FED" w:rsidRDefault="359A0FED" w:rsidP="482EDE66">
      <w:pPr>
        <w:pStyle w:val="Nornal"/>
        <w:spacing w:line="264" w:lineRule="auto"/>
        <w:rPr>
          <w:rFonts w:eastAsia="Arial"/>
          <w:color w:val="000000" w:themeColor="text1"/>
        </w:rPr>
      </w:pPr>
      <w:r w:rsidRPr="00E72BF1">
        <w:rPr>
          <w:rFonts w:eastAsia="Arial"/>
          <w:color w:val="000000" w:themeColor="text1"/>
        </w:rPr>
        <w:t>To summarise,</w:t>
      </w:r>
      <w:r w:rsidR="47C80B68" w:rsidRPr="00E72BF1">
        <w:rPr>
          <w:rFonts w:eastAsia="Arial"/>
          <w:color w:val="000000" w:themeColor="text1"/>
        </w:rPr>
        <w:t xml:space="preserve"> </w:t>
      </w:r>
      <w:r w:rsidR="271A7E01" w:rsidRPr="00E72BF1">
        <w:rPr>
          <w:rFonts w:eastAsia="Arial"/>
          <w:color w:val="000000" w:themeColor="text1"/>
        </w:rPr>
        <w:t>an</w:t>
      </w:r>
      <w:r w:rsidR="47C80B68" w:rsidRPr="00E72BF1">
        <w:rPr>
          <w:rFonts w:eastAsia="Arial"/>
          <w:color w:val="000000" w:themeColor="text1"/>
        </w:rPr>
        <w:t xml:space="preserve"> effective courts and tribunals system underpins the rule of law, upholds and enforces rights</w:t>
      </w:r>
      <w:r w:rsidR="000924C4">
        <w:rPr>
          <w:rFonts w:eastAsia="Arial"/>
          <w:color w:val="000000" w:themeColor="text1"/>
        </w:rPr>
        <w:t xml:space="preserve">, </w:t>
      </w:r>
      <w:r w:rsidR="47C80B68" w:rsidRPr="00E72BF1">
        <w:rPr>
          <w:rFonts w:eastAsia="Arial"/>
          <w:color w:val="000000" w:themeColor="text1"/>
        </w:rPr>
        <w:t>obligations,</w:t>
      </w:r>
      <w:r w:rsidR="000924C4">
        <w:rPr>
          <w:rFonts w:eastAsia="Arial"/>
          <w:color w:val="000000" w:themeColor="text1"/>
        </w:rPr>
        <w:t xml:space="preserve"> and accountability</w:t>
      </w:r>
      <w:r w:rsidR="000D562B">
        <w:rPr>
          <w:rFonts w:eastAsia="Arial"/>
          <w:color w:val="000000" w:themeColor="text1"/>
        </w:rPr>
        <w:t>, benefiting all of society</w:t>
      </w:r>
      <w:r w:rsidR="00400736">
        <w:rPr>
          <w:rFonts w:eastAsia="Arial"/>
          <w:color w:val="000000" w:themeColor="text1"/>
        </w:rPr>
        <w:t>.</w:t>
      </w:r>
      <w:r w:rsidR="65BCC69F" w:rsidRPr="00E72BF1">
        <w:rPr>
          <w:rFonts w:eastAsia="Arial"/>
          <w:color w:val="000000" w:themeColor="text1"/>
        </w:rPr>
        <w:t xml:space="preserve"> Their role is essential in maintaining fairness,</w:t>
      </w:r>
      <w:r w:rsidR="000D562B">
        <w:rPr>
          <w:rFonts w:eastAsia="Arial"/>
          <w:color w:val="000000" w:themeColor="text1"/>
        </w:rPr>
        <w:t xml:space="preserve"> </w:t>
      </w:r>
      <w:r w:rsidR="009E7D08">
        <w:rPr>
          <w:rFonts w:eastAsia="Arial"/>
          <w:color w:val="000000" w:themeColor="text1"/>
        </w:rPr>
        <w:t>equality,</w:t>
      </w:r>
      <w:r w:rsidR="65BCC69F" w:rsidRPr="00E72BF1">
        <w:rPr>
          <w:rFonts w:eastAsia="Arial"/>
          <w:color w:val="000000" w:themeColor="text1"/>
        </w:rPr>
        <w:t xml:space="preserve"> and justice in the workplace</w:t>
      </w:r>
      <w:r w:rsidR="12F98A65" w:rsidRPr="00E72BF1">
        <w:rPr>
          <w:rFonts w:eastAsia="Arial"/>
          <w:color w:val="000000" w:themeColor="text1"/>
        </w:rPr>
        <w:t xml:space="preserve"> (Ministry of Justice, 2024). </w:t>
      </w:r>
    </w:p>
    <w:p w14:paraId="3BF1201A" w14:textId="10299302" w:rsidR="013A2BD2" w:rsidRPr="004165DC" w:rsidRDefault="004165DC" w:rsidP="482EDE66">
      <w:pPr>
        <w:pStyle w:val="Nornal"/>
        <w:spacing w:line="264" w:lineRule="auto"/>
        <w:rPr>
          <w:rFonts w:eastAsia="Arial"/>
          <w:b/>
          <w:bCs/>
          <w:color w:val="000000" w:themeColor="text1"/>
        </w:rPr>
      </w:pPr>
      <w:r w:rsidRPr="005F1EE5">
        <w:rPr>
          <w:b/>
          <w:bCs/>
        </w:rPr>
        <w:t>Explain</w:t>
      </w:r>
      <w:r w:rsidRPr="4E52D044">
        <w:rPr>
          <w:b/>
          <w:bCs/>
        </w:rPr>
        <w:t xml:space="preserve"> how cases are settled before and during legal procedures. (AC 1.3)</w:t>
      </w:r>
    </w:p>
    <w:p w14:paraId="20EAA8FE" w14:textId="3F362FF3" w:rsidR="008021F9" w:rsidRDefault="00257F98" w:rsidP="013A2BD2">
      <w:pPr>
        <w:pStyle w:val="Nornal"/>
        <w:spacing w:line="264" w:lineRule="auto"/>
      </w:pPr>
      <w:r>
        <w:t>Resolution of claims can be achi</w:t>
      </w:r>
      <w:r w:rsidR="002C1422">
        <w:t>e</w:t>
      </w:r>
      <w:r>
        <w:t xml:space="preserve">ved without undergoing a formal hearing process. </w:t>
      </w:r>
      <w:r w:rsidR="002C1422">
        <w:t>Claimants and respondents, have the option to collaborate in addressing their disputes by utili</w:t>
      </w:r>
      <w:r w:rsidR="015C16D1">
        <w:t>s</w:t>
      </w:r>
      <w:r w:rsidR="002C1422">
        <w:t xml:space="preserve">ing the early conciliation services offered by ACAS or by using a mediator </w:t>
      </w:r>
      <w:r w:rsidR="001A0D90">
        <w:t xml:space="preserve">(Ayling and Suff, 2023). </w:t>
      </w:r>
    </w:p>
    <w:p w14:paraId="4907F0A4" w14:textId="4C6E23B9" w:rsidR="008709AA" w:rsidRDefault="00317A10" w:rsidP="013A2BD2">
      <w:pPr>
        <w:pStyle w:val="Nornal"/>
        <w:spacing w:line="264" w:lineRule="auto"/>
      </w:pPr>
      <w:r>
        <w:t>ACAS collaborates</w:t>
      </w:r>
      <w:r w:rsidR="009542A9">
        <w:t xml:space="preserve"> with both parties in a dispute to facilitate a resolution without resorting to an ET</w:t>
      </w:r>
      <w:r w:rsidR="003B6DF9">
        <w:t>(ACAS,2022</w:t>
      </w:r>
      <w:r w:rsidR="007155C4">
        <w:t>a</w:t>
      </w:r>
      <w:r w:rsidR="003B6DF9">
        <w:t>)</w:t>
      </w:r>
      <w:r w:rsidR="00072BBA">
        <w:t>.</w:t>
      </w:r>
      <w:r w:rsidR="007A41E7">
        <w:t xml:space="preserve"> </w:t>
      </w:r>
      <w:r w:rsidR="004B65E3">
        <w:t xml:space="preserve">During </w:t>
      </w:r>
      <w:r w:rsidR="00E1080F">
        <w:t>t</w:t>
      </w:r>
      <w:r w:rsidR="004B65E3">
        <w:t>he initial phase of early conciliation</w:t>
      </w:r>
      <w:r w:rsidR="00D5733A">
        <w:t>, the claimant contact</w:t>
      </w:r>
      <w:r w:rsidR="00E1080F">
        <w:t>s</w:t>
      </w:r>
      <w:r w:rsidR="00D5733A">
        <w:t xml:space="preserve"> ACAS and provides personal details along</w:t>
      </w:r>
      <w:r w:rsidR="005F7125">
        <w:t>side</w:t>
      </w:r>
      <w:r w:rsidR="00D5733A">
        <w:t xml:space="preserve"> information concerning the employer against whom they inten</w:t>
      </w:r>
      <w:r w:rsidR="0073217F">
        <w:t>d</w:t>
      </w:r>
      <w:r w:rsidR="00D5733A">
        <w:t xml:space="preserve"> to file a claim</w:t>
      </w:r>
      <w:r w:rsidR="001A0D90">
        <w:t xml:space="preserve"> (Daniels, 2022, p. 21). </w:t>
      </w:r>
      <w:r w:rsidR="004F21AA">
        <w:t xml:space="preserve">During this stage </w:t>
      </w:r>
      <w:r w:rsidR="00C7216E">
        <w:t>with</w:t>
      </w:r>
      <w:r w:rsidR="004F21AA">
        <w:t xml:space="preserve"> permission ACAS will contact the respondent </w:t>
      </w:r>
      <w:r w:rsidR="001652FB">
        <w:t xml:space="preserve">and </w:t>
      </w:r>
      <w:r w:rsidR="008B0103">
        <w:t xml:space="preserve">conversations can take place between parties for up to 6 weeks. </w:t>
      </w:r>
    </w:p>
    <w:p w14:paraId="5C08F961" w14:textId="3076E22A" w:rsidR="0003593C" w:rsidRDefault="005E6A99" w:rsidP="013A2BD2">
      <w:pPr>
        <w:pStyle w:val="Nornal"/>
        <w:spacing w:line="264" w:lineRule="auto"/>
      </w:pPr>
      <w:r>
        <w:t xml:space="preserve">ACAS offers two options depending on the </w:t>
      </w:r>
      <w:r w:rsidR="00CB6561">
        <w:t>claimant’s</w:t>
      </w:r>
      <w:r>
        <w:t xml:space="preserve"> decision to</w:t>
      </w:r>
      <w:r w:rsidR="00460544">
        <w:t xml:space="preserve"> progress</w:t>
      </w:r>
      <w:r>
        <w:t xml:space="preserve"> with early conciliation. Should the claimant opt to proceed, a conciliation office</w:t>
      </w:r>
      <w:r w:rsidR="2F845F0D">
        <w:t>r</w:t>
      </w:r>
      <w:r>
        <w:t xml:space="preserve"> will be allocated and tasked with mediating a resolution between the claimant and respondent</w:t>
      </w:r>
      <w:r w:rsidR="004A6766">
        <w:t>; this officer will o</w:t>
      </w:r>
      <w:r w:rsidR="00CB6561">
        <w:t>p</w:t>
      </w:r>
      <w:r w:rsidR="004A6766">
        <w:t xml:space="preserve">erate within a 6-week </w:t>
      </w:r>
      <w:r w:rsidR="2CEAB85B">
        <w:t>period</w:t>
      </w:r>
      <w:r w:rsidR="004A6766">
        <w:t xml:space="preserve"> to</w:t>
      </w:r>
      <w:r w:rsidR="02A3EED3">
        <w:t xml:space="preserve"> try and</w:t>
      </w:r>
      <w:r w:rsidR="004A6766">
        <w:t xml:space="preserve"> achieve the desired </w:t>
      </w:r>
      <w:r w:rsidR="00CB6561">
        <w:t>settlement (</w:t>
      </w:r>
      <w:r w:rsidR="001A0D90">
        <w:t>Daniels, 2022, p. 21).</w:t>
      </w:r>
      <w:r w:rsidR="00717502">
        <w:t xml:space="preserve"> </w:t>
      </w:r>
      <w:r w:rsidR="00845ED0">
        <w:t>If</w:t>
      </w:r>
      <w:r w:rsidR="00CB6561">
        <w:t xml:space="preserve"> a settlement is reached,</w:t>
      </w:r>
      <w:r w:rsidR="005A49F5">
        <w:t xml:space="preserve"> ACAS provides a legally binding COT3 form highlighting what has been agreed</w:t>
      </w:r>
      <w:r w:rsidR="00D0108D">
        <w:t xml:space="preserve"> in the settlement</w:t>
      </w:r>
      <w:r w:rsidR="005A49F5">
        <w:t xml:space="preserve"> (ACAS, 202</w:t>
      </w:r>
      <w:r w:rsidR="00EF46C8">
        <w:t>2</w:t>
      </w:r>
      <w:r w:rsidR="007155C4">
        <w:t>b</w:t>
      </w:r>
      <w:r w:rsidR="005A49F5">
        <w:t>)</w:t>
      </w:r>
      <w:r w:rsidR="00F657A4">
        <w:t xml:space="preserve"> and </w:t>
      </w:r>
      <w:r w:rsidR="00CB6561">
        <w:t xml:space="preserve">the claim will not progress any further. </w:t>
      </w:r>
    </w:p>
    <w:p w14:paraId="48885F13" w14:textId="2102D58F" w:rsidR="00A0664E" w:rsidRDefault="00310E44" w:rsidP="013A2BD2">
      <w:pPr>
        <w:pStyle w:val="Nornal"/>
        <w:spacing w:line="264" w:lineRule="auto"/>
      </w:pPr>
      <w:r>
        <w:t>A settlement agreement</w:t>
      </w:r>
      <w:r w:rsidR="00C61FC2">
        <w:t xml:space="preserve"> is</w:t>
      </w:r>
      <w:r w:rsidR="00A0664E" w:rsidRPr="00A0664E">
        <w:t xml:space="preserve"> a legally binding document that contains the terms and conditions agreed during conciliation</w:t>
      </w:r>
      <w:r w:rsidR="00C61FC2">
        <w:t xml:space="preserve"> as shown below (Ayling and Suff, 2023).</w:t>
      </w:r>
    </w:p>
    <w:p w14:paraId="1CAB5700" w14:textId="77777777" w:rsidR="00C61FC2" w:rsidRDefault="0003593C" w:rsidP="013A2BD2">
      <w:pPr>
        <w:pStyle w:val="Nornal"/>
        <w:spacing w:line="264" w:lineRule="auto"/>
      </w:pPr>
      <w:r>
        <w:rPr>
          <w:noProof/>
        </w:rPr>
        <w:drawing>
          <wp:inline distT="0" distB="0" distL="0" distR="0" wp14:anchorId="526AB22F" wp14:editId="6678DEE9">
            <wp:extent cx="5109210" cy="1857792"/>
            <wp:effectExtent l="0" t="0" r="0" b="9525"/>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5138591" cy="1868475"/>
                    </a:xfrm>
                    <a:prstGeom prst="rect">
                      <a:avLst/>
                    </a:prstGeom>
                    <a:effectLst>
                      <a:innerShdw blurRad="114300">
                        <a:prstClr val="black"/>
                      </a:innerShdw>
                    </a:effectLst>
                  </pic:spPr>
                </pic:pic>
              </a:graphicData>
            </a:graphic>
          </wp:inline>
        </w:drawing>
      </w:r>
      <w:r w:rsidR="00C61FC2">
        <w:t xml:space="preserve"> </w:t>
      </w:r>
    </w:p>
    <w:p w14:paraId="2B9E82FA" w14:textId="759CD52F" w:rsidR="0003593C" w:rsidRDefault="00C61FC2" w:rsidP="013A2BD2">
      <w:pPr>
        <w:pStyle w:val="Nornal"/>
        <w:spacing w:line="264" w:lineRule="auto"/>
      </w:pPr>
      <w:r>
        <w:t xml:space="preserve">(Ayling and suff, 2023) </w:t>
      </w:r>
    </w:p>
    <w:p w14:paraId="2E86E996" w14:textId="77777777" w:rsidR="0003593C" w:rsidRDefault="0003593C" w:rsidP="013A2BD2">
      <w:pPr>
        <w:pStyle w:val="Nornal"/>
        <w:spacing w:line="264" w:lineRule="auto"/>
      </w:pPr>
    </w:p>
    <w:p w14:paraId="1FD8E95F" w14:textId="1E24165C" w:rsidR="013A2BD2" w:rsidRDefault="00494979" w:rsidP="013A2BD2">
      <w:pPr>
        <w:pStyle w:val="Nornal"/>
        <w:spacing w:line="264" w:lineRule="auto"/>
      </w:pPr>
      <w:r>
        <w:t>I</w:t>
      </w:r>
      <w:r w:rsidR="00CB6561">
        <w:t>f an agreement is not reached</w:t>
      </w:r>
      <w:r w:rsidR="00ED25BC">
        <w:t xml:space="preserve">, the claimant will receive an Early Conciliation Number and may process with a claim to the employment tribunal </w:t>
      </w:r>
      <w:r w:rsidR="004D2150">
        <w:t>(Daniels, 2022, p. 21).</w:t>
      </w:r>
    </w:p>
    <w:p w14:paraId="13AD380D" w14:textId="564F0050" w:rsidR="00236102" w:rsidRDefault="00D82E49" w:rsidP="00236102">
      <w:pPr>
        <w:pStyle w:val="Nornal"/>
        <w:spacing w:line="264" w:lineRule="auto"/>
      </w:pPr>
      <w:r>
        <w:lastRenderedPageBreak/>
        <w:t>When bringing a claim to the</w:t>
      </w:r>
      <w:r w:rsidR="00DD57EE">
        <w:t xml:space="preserve"> ET</w:t>
      </w:r>
      <w:r w:rsidR="00E126EB">
        <w:t>, the claimant will need to complete a form known as an ET1.</w:t>
      </w:r>
      <w:r w:rsidR="00236102">
        <w:t xml:space="preserve">To bring a claim, it is imperative to adhere to the designated </w:t>
      </w:r>
      <w:r w:rsidR="564C6A0A">
        <w:t>time limit</w:t>
      </w:r>
      <w:r w:rsidR="00236102">
        <w:t xml:space="preserve"> which allows for a period of 3 months minus 1 day from the date of the incident for most cases. However, exceptions apply to certain situations such as equal pay or unfair dismissal claims in which individuals have up to 6 months minus 1 day to make their claims (ACAS, 2023). </w:t>
      </w:r>
    </w:p>
    <w:p w14:paraId="200A20BC" w14:textId="12CFEA34" w:rsidR="003A1179" w:rsidRDefault="00FE35F5" w:rsidP="013A2BD2">
      <w:pPr>
        <w:pStyle w:val="Nornal"/>
        <w:spacing w:line="264" w:lineRule="auto"/>
      </w:pPr>
      <w:r>
        <w:t>An</w:t>
      </w:r>
      <w:r w:rsidR="00B50334">
        <w:t>other</w:t>
      </w:r>
      <w:r>
        <w:t xml:space="preserve"> method of resolving a claim prior to</w:t>
      </w:r>
      <w:r w:rsidR="00AB76D4">
        <w:t xml:space="preserve"> being heard in the ET is judicial mediation. Following a review of the </w:t>
      </w:r>
      <w:r w:rsidR="00B50334">
        <w:t xml:space="preserve">relevant </w:t>
      </w:r>
      <w:r w:rsidR="00AB76D4">
        <w:t xml:space="preserve">forms, an employment judge determines whether the case </w:t>
      </w:r>
      <w:r w:rsidR="007D3AF4">
        <w:t>can be</w:t>
      </w:r>
      <w:r w:rsidR="00AB76D4">
        <w:t xml:space="preserve"> resolved through mediation instead of a formal hearing. Both parties are presented with the option and </w:t>
      </w:r>
      <w:r w:rsidR="007D3AF4">
        <w:t>with</w:t>
      </w:r>
      <w:r w:rsidR="002C032F">
        <w:t xml:space="preserve"> consent, the regional employment judge </w:t>
      </w:r>
      <w:r w:rsidR="0FC6F9ED">
        <w:t>determines</w:t>
      </w:r>
      <w:r w:rsidR="002C032F">
        <w:t xml:space="preserve"> the suitability of the case for this alternative dispute resolution process</w:t>
      </w:r>
      <w:r w:rsidR="00FD15B5">
        <w:t xml:space="preserve"> (Daniels, 2022, p. 26).  </w:t>
      </w:r>
    </w:p>
    <w:p w14:paraId="45F4C076" w14:textId="598842B6" w:rsidR="007310B2" w:rsidRDefault="007310B2" w:rsidP="013A2BD2">
      <w:pPr>
        <w:pStyle w:val="Nornal"/>
        <w:spacing w:line="264" w:lineRule="auto"/>
        <w:rPr>
          <w:b/>
          <w:bCs/>
        </w:rPr>
      </w:pPr>
      <w:bookmarkStart w:id="0" w:name="_Hlk123122771"/>
      <w:r w:rsidRPr="007310B2">
        <w:rPr>
          <w:b/>
          <w:bCs/>
        </w:rPr>
        <w:t xml:space="preserve">Charlotte and Madeleine </w:t>
      </w:r>
      <w:bookmarkEnd w:id="0"/>
      <w:r w:rsidRPr="007310B2">
        <w:rPr>
          <w:b/>
          <w:bCs/>
        </w:rPr>
        <w:t>are aware discrimination legislation exists. They are unsure how this might affect their approach to recruitment and selection of employees for their two new branch openings. They want to avoid dealing with retirement and do not want their business disrupted by employees taking maternity leave. To overcome this, they decide to appoint young men. Advise them on the decision of appointing young men only. (AC 2.1)</w:t>
      </w:r>
    </w:p>
    <w:p w14:paraId="49E5A13E" w14:textId="7D5FAE44" w:rsidR="003420C8" w:rsidRDefault="003420C8" w:rsidP="013A2BD2">
      <w:pPr>
        <w:pStyle w:val="Nornal"/>
        <w:spacing w:line="264" w:lineRule="auto"/>
      </w:pPr>
      <w:r>
        <w:t xml:space="preserve">Charlotte and Madeline must understand that </w:t>
      </w:r>
      <w:r w:rsidR="14116CC3">
        <w:t xml:space="preserve">in line with </w:t>
      </w:r>
      <w:r w:rsidR="0040366F" w:rsidRPr="6E6F5D81">
        <w:rPr>
          <w:i/>
          <w:iCs/>
        </w:rPr>
        <w:t xml:space="preserve">The Equality Act </w:t>
      </w:r>
      <w:r w:rsidR="006D494F" w:rsidRPr="6E6F5D81">
        <w:rPr>
          <w:i/>
          <w:iCs/>
        </w:rPr>
        <w:t>(</w:t>
      </w:r>
      <w:r w:rsidR="0040366F" w:rsidRPr="6E6F5D81">
        <w:rPr>
          <w:i/>
          <w:iCs/>
        </w:rPr>
        <w:t>2010</w:t>
      </w:r>
      <w:r w:rsidR="006D494F">
        <w:t xml:space="preserve">) </w:t>
      </w:r>
      <w:r w:rsidR="5C70A921">
        <w:t>they must provide</w:t>
      </w:r>
      <w:r>
        <w:t xml:space="preserve"> fair and equal opportunities for all indiv</w:t>
      </w:r>
      <w:r w:rsidR="00AB3959">
        <w:t xml:space="preserve">iduals, regardless of their age, gender, or any other protected characteristic. By choosing to appoint young men </w:t>
      </w:r>
      <w:r w:rsidR="00305723">
        <w:t xml:space="preserve">to their new branch openings </w:t>
      </w:r>
      <w:r w:rsidR="367AEB2C">
        <w:t>to</w:t>
      </w:r>
      <w:r w:rsidR="00305723">
        <w:t xml:space="preserve"> avoid issues related to retirement and maternity leave, they are violating this legislation</w:t>
      </w:r>
      <w:r w:rsidR="000641FA">
        <w:t xml:space="preserve"> and openly discriminating against age and gender. </w:t>
      </w:r>
    </w:p>
    <w:p w14:paraId="54E08A56" w14:textId="0051FFFF" w:rsidR="005E1838" w:rsidRDefault="4DB33544" w:rsidP="005E1838">
      <w:pPr>
        <w:pStyle w:val="Nornal"/>
        <w:spacing w:line="264" w:lineRule="auto"/>
      </w:pPr>
      <w:r>
        <w:t xml:space="preserve">Charlotte and Madeline have been advised to </w:t>
      </w:r>
      <w:r w:rsidR="0ECA1EBC">
        <w:t xml:space="preserve">familiarise themselves with the provisions of the act to </w:t>
      </w:r>
      <w:r>
        <w:t>e</w:t>
      </w:r>
      <w:r w:rsidR="00A06F99">
        <w:t>nsur</w:t>
      </w:r>
      <w:r w:rsidR="336C3E41">
        <w:t>e</w:t>
      </w:r>
      <w:r w:rsidR="00A06F99">
        <w:t xml:space="preserve"> fair and unbiased </w:t>
      </w:r>
      <w:r w:rsidR="0F4E50DE">
        <w:t>practices. The</w:t>
      </w:r>
      <w:r w:rsidR="5863DD7A">
        <w:t xml:space="preserve"> act </w:t>
      </w:r>
      <w:r w:rsidR="00F11399">
        <w:t>prohibits any type of discrimination based on the specified protected characteristics outlined in the legislation</w:t>
      </w:r>
      <w:r w:rsidR="002321D4">
        <w:t xml:space="preserve"> </w:t>
      </w:r>
      <w:r w:rsidR="00D34892">
        <w:t>–</w:t>
      </w:r>
      <w:r w:rsidR="002321D4">
        <w:t xml:space="preserve"> </w:t>
      </w:r>
    </w:p>
    <w:p w14:paraId="5C690B3C" w14:textId="25A912AF" w:rsidR="00D34892" w:rsidRDefault="00D34892" w:rsidP="005E1838">
      <w:pPr>
        <w:pStyle w:val="Nornal"/>
        <w:spacing w:line="264" w:lineRule="auto"/>
      </w:pPr>
      <w:r>
        <w:rPr>
          <w:noProof/>
        </w:rPr>
        <w:drawing>
          <wp:inline distT="0" distB="0" distL="0" distR="0" wp14:anchorId="3DAFECE5" wp14:editId="78B2C6C4">
            <wp:extent cx="1981200" cy="1939925"/>
            <wp:effectExtent l="0" t="0" r="0" b="3175"/>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1989033" cy="1947595"/>
                    </a:xfrm>
                    <a:prstGeom prst="rect">
                      <a:avLst/>
                    </a:prstGeom>
                    <a:effectLst>
                      <a:innerShdw blurRad="114300">
                        <a:prstClr val="black"/>
                      </a:innerShdw>
                    </a:effectLst>
                  </pic:spPr>
                </pic:pic>
              </a:graphicData>
            </a:graphic>
          </wp:inline>
        </w:drawing>
      </w:r>
      <w:r w:rsidR="001F42AB">
        <w:t xml:space="preserve"> </w:t>
      </w:r>
      <w:r w:rsidR="001F42AB" w:rsidRPr="001F42AB">
        <w:rPr>
          <w:i/>
          <w:iCs/>
        </w:rPr>
        <w:t>The Equality Act</w:t>
      </w:r>
      <w:r w:rsidR="001F42AB">
        <w:t xml:space="preserve"> (2010).</w:t>
      </w:r>
    </w:p>
    <w:p w14:paraId="11D020EB" w14:textId="77E8263F" w:rsidR="0005620E" w:rsidRDefault="008B53A3" w:rsidP="013A2BD2">
      <w:pPr>
        <w:pStyle w:val="Nornal"/>
        <w:spacing w:line="264" w:lineRule="auto"/>
      </w:pPr>
      <w:r>
        <w:t>It is crucial to emphasise that discrimination based on sex and age is prohibited in all aspects of employment</w:t>
      </w:r>
      <w:r w:rsidR="00EB7071">
        <w:t xml:space="preserve"> (ACAS, 2023b)</w:t>
      </w:r>
      <w:r>
        <w:t xml:space="preserve"> It is imperative to recognise that d</w:t>
      </w:r>
      <w:r w:rsidR="00651A7A">
        <w:t xml:space="preserve">iscrimination and present in various forms; </w:t>
      </w:r>
      <w:r w:rsidR="4D9845C2">
        <w:t>therefore</w:t>
      </w:r>
      <w:r w:rsidR="00651A7A">
        <w:t>, it is essential for Charlotte and Madeline to be well informed about the</w:t>
      </w:r>
      <w:r w:rsidR="00970A7A">
        <w:t xml:space="preserve">se in order to prevent biases. </w:t>
      </w:r>
    </w:p>
    <w:p w14:paraId="428A2820" w14:textId="28E0DF7B" w:rsidR="008964F4" w:rsidRDefault="008964F4" w:rsidP="013A2BD2">
      <w:pPr>
        <w:pStyle w:val="Nornal"/>
        <w:spacing w:line="264" w:lineRule="auto"/>
      </w:pPr>
      <w:r>
        <w:rPr>
          <w:noProof/>
        </w:rPr>
        <w:lastRenderedPageBreak/>
        <w:drawing>
          <wp:inline distT="0" distB="0" distL="0" distR="0" wp14:anchorId="51C57D75" wp14:editId="3342D69E">
            <wp:extent cx="4197350" cy="2393564"/>
            <wp:effectExtent l="0" t="0" r="0" b="6985"/>
            <wp:docPr id="11" name="Picture 11" descr="Discrimin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scrimination"/>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218164" cy="2405433"/>
                    </a:xfrm>
                    <a:prstGeom prst="rect">
                      <a:avLst/>
                    </a:prstGeom>
                    <a:noFill/>
                    <a:ln>
                      <a:noFill/>
                    </a:ln>
                  </pic:spPr>
                </pic:pic>
              </a:graphicData>
            </a:graphic>
          </wp:inline>
        </w:drawing>
      </w:r>
      <w:r w:rsidR="00E369B5">
        <w:t xml:space="preserve">  (Saleem, 2016)</w:t>
      </w:r>
    </w:p>
    <w:p w14:paraId="17D62B90" w14:textId="77777777" w:rsidR="00E369B5" w:rsidRDefault="00E369B5" w:rsidP="013A2BD2">
      <w:pPr>
        <w:pStyle w:val="Nornal"/>
        <w:spacing w:line="264" w:lineRule="auto"/>
      </w:pPr>
    </w:p>
    <w:p w14:paraId="2501402A" w14:textId="755C77D8" w:rsidR="008964F4" w:rsidRDefault="00FD0C87" w:rsidP="013A2BD2">
      <w:pPr>
        <w:pStyle w:val="Nornal"/>
        <w:spacing w:line="264" w:lineRule="auto"/>
      </w:pPr>
      <w:r>
        <w:t>Under the Act, individuals are safeguarded from illegal discrimination. Daniels (</w:t>
      </w:r>
      <w:bookmarkStart w:id="1" w:name="_Int_3UsQ9Wfb"/>
      <w:r>
        <w:t>2022,p.</w:t>
      </w:r>
      <w:bookmarkEnd w:id="1"/>
      <w:r>
        <w:t>94) defines direct discrimination as occurring during recruitment or promotion when an employer</w:t>
      </w:r>
      <w:r w:rsidR="00A10561">
        <w:t xml:space="preserve"> overlooks, refuses to hire, or denies advancement to a qualified individual due to a protected characteristic</w:t>
      </w:r>
      <w:r w:rsidR="00E01968">
        <w:t xml:space="preserve">. The deliberate decision made by Charlotte and Madeline to exclusively hire young men, citing issues related to retirement and </w:t>
      </w:r>
      <w:r w:rsidR="00564B03">
        <w:t>maternity, is considered direct discrimination because it involves treating individuals unfavourably based on their characteristics</w:t>
      </w:r>
      <w:r w:rsidR="00064E7F">
        <w:t xml:space="preserve"> (ACAS, 2023c)</w:t>
      </w:r>
      <w:r w:rsidR="00564B03">
        <w:t xml:space="preserve">. </w:t>
      </w:r>
      <w:r w:rsidR="00064E7F">
        <w:t>The consequences of this include potential discrimination complaints and costly employment tribunals (ACAS, 2023b).</w:t>
      </w:r>
    </w:p>
    <w:p w14:paraId="49983BFF" w14:textId="34743B54" w:rsidR="007C0BFE" w:rsidRDefault="005024F1" w:rsidP="013A2BD2">
      <w:pPr>
        <w:pStyle w:val="Nornal"/>
        <w:spacing w:line="264" w:lineRule="auto"/>
      </w:pPr>
      <w:r>
        <w:t xml:space="preserve">Charlotte and Madeline have been advised to familiarise themselves with the provisions of the Equality Act 2010 and to redesign their </w:t>
      </w:r>
      <w:r w:rsidR="00064E7F">
        <w:t>recruitment</w:t>
      </w:r>
      <w:r w:rsidR="055F2E40">
        <w:t xml:space="preserve"> and selection</w:t>
      </w:r>
      <w:r w:rsidR="00064E7F">
        <w:t xml:space="preserve"> processes </w:t>
      </w:r>
      <w:r>
        <w:t>to mitigate</w:t>
      </w:r>
      <w:r w:rsidR="00064E7F">
        <w:t xml:space="preserve"> the i</w:t>
      </w:r>
      <w:r>
        <w:t>mpact</w:t>
      </w:r>
      <w:r w:rsidR="00064E7F">
        <w:t xml:space="preserve"> of bias and </w:t>
      </w:r>
      <w:r w:rsidR="00234AA3">
        <w:t>discrimination and</w:t>
      </w:r>
      <w:r>
        <w:t xml:space="preserve"> selecting</w:t>
      </w:r>
      <w:r w:rsidR="00064E7F">
        <w:t xml:space="preserve"> the most suitable candidate for a role</w:t>
      </w:r>
      <w:r>
        <w:t xml:space="preserve"> (CIPD, 2022). </w:t>
      </w:r>
      <w:r w:rsidR="007C0BFE">
        <w:t>Charlotte and Madeline</w:t>
      </w:r>
      <w:r w:rsidR="00330BBF">
        <w:t xml:space="preserve"> should prioriti</w:t>
      </w:r>
      <w:r w:rsidR="00064E7F">
        <w:t>s</w:t>
      </w:r>
      <w:r w:rsidR="00330BBF">
        <w:t>e selecting candidates for the job based on their skills, qualifications, and experience. They should also implement policies and procedures that support employees of all ages and genders, including offering flexible working arrangements and parental leave policies</w:t>
      </w:r>
      <w:r>
        <w:t xml:space="preserve"> (CIPD, 2022). </w:t>
      </w:r>
    </w:p>
    <w:p w14:paraId="68D553F7" w14:textId="72FA856C" w:rsidR="00330BBF" w:rsidRDefault="00330BBF" w:rsidP="013A2BD2">
      <w:pPr>
        <w:pStyle w:val="Nornal"/>
        <w:spacing w:line="264" w:lineRule="auto"/>
        <w:rPr>
          <w:b/>
          <w:bCs/>
        </w:rPr>
      </w:pPr>
      <w:r>
        <w:t>In conclusion, Charlotte and Madeline</w:t>
      </w:r>
      <w:r w:rsidR="00BE48FA">
        <w:t xml:space="preserve"> should reconsider their decision to appoint only young men and instead focus on promoting diversity and inclusivity within their workforce. By valuing diversity and adhering to discrimination </w:t>
      </w:r>
      <w:r w:rsidR="007A1F70">
        <w:t>legislation</w:t>
      </w:r>
      <w:r w:rsidR="00BE48FA">
        <w:t>, they can create a more successful and sustainable business</w:t>
      </w:r>
      <w:r w:rsidR="005024F1">
        <w:t xml:space="preserve"> (Ali, 2022). </w:t>
      </w:r>
      <w:r w:rsidR="00D27612">
        <w:t xml:space="preserve">Failure to do so will undoubtedly </w:t>
      </w:r>
      <w:r w:rsidR="00F95175">
        <w:t>lead them to fac</w:t>
      </w:r>
      <w:r w:rsidR="00522EC1">
        <w:t>e prosecution for</w:t>
      </w:r>
      <w:r w:rsidR="00F95175">
        <w:t xml:space="preserve"> discrimination charges. </w:t>
      </w:r>
    </w:p>
    <w:p w14:paraId="77654178" w14:textId="77777777" w:rsidR="00FB6F14" w:rsidRDefault="00FB6F14" w:rsidP="00FB6F14">
      <w:pPr>
        <w:pStyle w:val="Nornal"/>
        <w:spacing w:line="264" w:lineRule="auto"/>
        <w:rPr>
          <w:b/>
          <w:bCs/>
        </w:rPr>
      </w:pPr>
      <w:r w:rsidRPr="00FB6F14">
        <w:rPr>
          <w:b/>
          <w:bCs/>
        </w:rPr>
        <w:t>Cat, a restaurant manager, has recently become aware that she is paid less than Kit, another manager who is male. Her salary is £28,000 a year, whereas Kit earns £30,000 a year. She asked Charlotte to increase her salary to match Kit’s, but she refused saying Kit deserved the extra money. (AC 2.2)</w:t>
      </w:r>
    </w:p>
    <w:p w14:paraId="079B5B0A" w14:textId="09C4F454" w:rsidR="645BAD8C" w:rsidRPr="00E72BF1" w:rsidRDefault="645BAD8C" w:rsidP="5B71C086">
      <w:pPr>
        <w:shd w:val="clear" w:color="auto" w:fill="FFFFFF" w:themeFill="background1"/>
        <w:spacing w:after="408"/>
        <w:rPr>
          <w:rFonts w:ascii="Arial" w:eastAsiaTheme="minorEastAsia" w:hAnsi="Arial" w:cs="Arial"/>
        </w:rPr>
      </w:pPr>
      <w:r w:rsidRPr="00E72BF1">
        <w:rPr>
          <w:rFonts w:ascii="Arial" w:eastAsiaTheme="minorEastAsia" w:hAnsi="Arial" w:cs="Arial"/>
        </w:rPr>
        <w:t>The concept of equal pay for equal work involves the belief that individuals of the differing genders performing the same job roles should be paid</w:t>
      </w:r>
      <w:r w:rsidR="6AFE0AAD" w:rsidRPr="00E72BF1">
        <w:rPr>
          <w:rFonts w:ascii="Arial" w:eastAsiaTheme="minorEastAsia" w:hAnsi="Arial" w:cs="Arial"/>
        </w:rPr>
        <w:t xml:space="preserve"> equally</w:t>
      </w:r>
      <w:r w:rsidR="7DEB1999" w:rsidRPr="00E72BF1">
        <w:rPr>
          <w:rFonts w:ascii="Arial" w:eastAsiaTheme="minorEastAsia" w:hAnsi="Arial" w:cs="Arial"/>
        </w:rPr>
        <w:t xml:space="preserve"> (CIPD, 2024)</w:t>
      </w:r>
      <w:r w:rsidR="6AFE0AAD" w:rsidRPr="00E72BF1">
        <w:rPr>
          <w:rFonts w:ascii="Arial" w:eastAsiaTheme="minorEastAsia" w:hAnsi="Arial" w:cs="Arial"/>
        </w:rPr>
        <w:t>. This principle is mandated by The Equality Act (2010). Charlottes refusal to provide Cat with fair compensation for her managerial responsibi</w:t>
      </w:r>
      <w:r w:rsidR="4B801A8A" w:rsidRPr="00E72BF1">
        <w:rPr>
          <w:rFonts w:ascii="Arial" w:eastAsiaTheme="minorEastAsia" w:hAnsi="Arial" w:cs="Arial"/>
        </w:rPr>
        <w:t>lities is in direct violation of this principle and may lead to legal repercussions. The Equality A</w:t>
      </w:r>
      <w:r w:rsidR="27CE87B0" w:rsidRPr="00E72BF1">
        <w:rPr>
          <w:rFonts w:ascii="Arial" w:eastAsiaTheme="minorEastAsia" w:hAnsi="Arial" w:cs="Arial"/>
        </w:rPr>
        <w:t>c</w:t>
      </w:r>
      <w:r w:rsidR="4B801A8A" w:rsidRPr="00E72BF1">
        <w:rPr>
          <w:rFonts w:ascii="Arial" w:eastAsiaTheme="minorEastAsia" w:hAnsi="Arial" w:cs="Arial"/>
        </w:rPr>
        <w:t>t (2010) which supersedes the Equal Pay Act (1970)</w:t>
      </w:r>
      <w:r w:rsidR="71329CE4" w:rsidRPr="00E72BF1">
        <w:rPr>
          <w:rFonts w:ascii="Arial" w:eastAsiaTheme="minorEastAsia" w:hAnsi="Arial" w:cs="Arial"/>
        </w:rPr>
        <w:t>, prohibits unequal pay based on gender</w:t>
      </w:r>
      <w:r w:rsidR="22433A3C" w:rsidRPr="00E72BF1">
        <w:rPr>
          <w:rFonts w:ascii="Arial" w:eastAsiaTheme="minorEastAsia" w:hAnsi="Arial" w:cs="Arial"/>
        </w:rPr>
        <w:t xml:space="preserve"> (Daniels, 2022. p.116)</w:t>
      </w:r>
      <w:r w:rsidR="71329CE4" w:rsidRPr="00E72BF1">
        <w:rPr>
          <w:rFonts w:ascii="Arial" w:eastAsiaTheme="minorEastAsia" w:hAnsi="Arial" w:cs="Arial"/>
        </w:rPr>
        <w:t xml:space="preserve">, and Cat could potentially pursue </w:t>
      </w:r>
      <w:r w:rsidR="33FF3498" w:rsidRPr="00E72BF1">
        <w:rPr>
          <w:rFonts w:ascii="Arial" w:eastAsiaTheme="minorEastAsia" w:hAnsi="Arial" w:cs="Arial"/>
        </w:rPr>
        <w:t>an equal pay claim</w:t>
      </w:r>
      <w:r w:rsidR="71329CE4" w:rsidRPr="00E72BF1">
        <w:rPr>
          <w:rFonts w:ascii="Arial" w:eastAsiaTheme="minorEastAsia" w:hAnsi="Arial" w:cs="Arial"/>
        </w:rPr>
        <w:t xml:space="preserve"> if her salary disparity is not </w:t>
      </w:r>
      <w:r w:rsidR="6DBFE27C" w:rsidRPr="00E72BF1">
        <w:rPr>
          <w:rFonts w:ascii="Arial" w:eastAsiaTheme="minorEastAsia" w:hAnsi="Arial" w:cs="Arial"/>
        </w:rPr>
        <w:t xml:space="preserve">resolved (CIPD, 2024). </w:t>
      </w:r>
      <w:r w:rsidR="71329CE4" w:rsidRPr="00E72BF1">
        <w:rPr>
          <w:rFonts w:ascii="Arial" w:eastAsiaTheme="minorEastAsia" w:hAnsi="Arial" w:cs="Arial"/>
        </w:rPr>
        <w:t xml:space="preserve"> </w:t>
      </w:r>
    </w:p>
    <w:p w14:paraId="3CFB9E11" w14:textId="3C12C800" w:rsidR="00A32E62" w:rsidRDefault="12055842" w:rsidP="5B71C086">
      <w:pPr>
        <w:shd w:val="clear" w:color="auto" w:fill="FFFFFF" w:themeFill="background1"/>
        <w:spacing w:after="408"/>
        <w:rPr>
          <w:rFonts w:ascii="Arial" w:eastAsiaTheme="minorEastAsia" w:hAnsi="Arial" w:cs="Arial"/>
        </w:rPr>
      </w:pPr>
      <w:r w:rsidRPr="00F16178">
        <w:rPr>
          <w:rFonts w:ascii="Arial" w:eastAsiaTheme="minorEastAsia" w:hAnsi="Arial" w:cs="Arial"/>
        </w:rPr>
        <w:lastRenderedPageBreak/>
        <w:t>T</w:t>
      </w:r>
      <w:r w:rsidR="3B11AC4B" w:rsidRPr="00F16178">
        <w:rPr>
          <w:rFonts w:ascii="Arial" w:eastAsiaTheme="minorEastAsia" w:hAnsi="Arial" w:cs="Arial"/>
        </w:rPr>
        <w:t>o</w:t>
      </w:r>
      <w:r w:rsidR="56923F1A" w:rsidRPr="00F16178">
        <w:rPr>
          <w:rFonts w:ascii="Arial" w:eastAsiaTheme="minorEastAsia" w:hAnsi="Arial" w:cs="Arial"/>
        </w:rPr>
        <w:t xml:space="preserve"> file a claim for equal pay, the claimant must demonstrate t</w:t>
      </w:r>
      <w:r w:rsidR="0879A673" w:rsidRPr="00F16178">
        <w:rPr>
          <w:rFonts w:ascii="Arial" w:eastAsiaTheme="minorEastAsia" w:hAnsi="Arial" w:cs="Arial"/>
        </w:rPr>
        <w:t>hat</w:t>
      </w:r>
      <w:r w:rsidR="56923F1A" w:rsidRPr="00F16178">
        <w:rPr>
          <w:rFonts w:ascii="Arial" w:eastAsiaTheme="minorEastAsia" w:hAnsi="Arial" w:cs="Arial"/>
        </w:rPr>
        <w:t xml:space="preserve"> the </w:t>
      </w:r>
      <w:r w:rsidR="361B0126" w:rsidRPr="00F16178">
        <w:rPr>
          <w:rFonts w:ascii="Arial" w:eastAsiaTheme="minorEastAsia" w:hAnsi="Arial" w:cs="Arial"/>
        </w:rPr>
        <w:t>individual</w:t>
      </w:r>
      <w:r w:rsidR="56923F1A" w:rsidRPr="00F16178">
        <w:rPr>
          <w:rFonts w:ascii="Arial" w:eastAsiaTheme="minorEastAsia" w:hAnsi="Arial" w:cs="Arial"/>
        </w:rPr>
        <w:t xml:space="preserve"> they are comparing themselves to is either working in the same workplace under the same employer or under any related </w:t>
      </w:r>
      <w:r w:rsidR="20F0D0B6" w:rsidRPr="00F16178">
        <w:rPr>
          <w:rFonts w:ascii="Arial" w:eastAsiaTheme="minorEastAsia" w:hAnsi="Arial" w:cs="Arial"/>
        </w:rPr>
        <w:t>employer or is working in a different location under similar terms and conditions (ACAS, 2024</w:t>
      </w:r>
      <w:r w:rsidR="2CE387FD" w:rsidRPr="00F16178">
        <w:rPr>
          <w:rFonts w:ascii="Arial" w:eastAsiaTheme="minorEastAsia" w:hAnsi="Arial" w:cs="Arial"/>
        </w:rPr>
        <w:t>a</w:t>
      </w:r>
      <w:r w:rsidR="20F0D0B6" w:rsidRPr="00F16178">
        <w:rPr>
          <w:rFonts w:ascii="Arial" w:eastAsiaTheme="minorEastAsia" w:hAnsi="Arial" w:cs="Arial"/>
        </w:rPr>
        <w:t xml:space="preserve">). </w:t>
      </w:r>
    </w:p>
    <w:p w14:paraId="581A7ABC" w14:textId="6CDFED41" w:rsidR="24E628EE" w:rsidRPr="00F16178" w:rsidRDefault="00442666" w:rsidP="5B71C086">
      <w:pPr>
        <w:shd w:val="clear" w:color="auto" w:fill="FFFFFF" w:themeFill="background1"/>
        <w:spacing w:after="408"/>
        <w:rPr>
          <w:rFonts w:ascii="Arial" w:eastAsiaTheme="minorEastAsia" w:hAnsi="Arial" w:cs="Arial"/>
        </w:rPr>
      </w:pPr>
      <w:r>
        <w:rPr>
          <w:rFonts w:ascii="Arial" w:eastAsiaTheme="minorEastAsia" w:hAnsi="Arial" w:cs="Arial"/>
        </w:rPr>
        <w:t>T</w:t>
      </w:r>
      <w:r w:rsidR="24E628EE" w:rsidRPr="00F16178">
        <w:rPr>
          <w:rFonts w:ascii="Arial" w:eastAsiaTheme="minorEastAsia" w:hAnsi="Arial" w:cs="Arial"/>
        </w:rPr>
        <w:t>o</w:t>
      </w:r>
      <w:r w:rsidR="6C04BC04" w:rsidRPr="00F16178">
        <w:rPr>
          <w:rFonts w:ascii="Arial" w:eastAsiaTheme="minorEastAsia" w:hAnsi="Arial" w:cs="Arial"/>
        </w:rPr>
        <w:t xml:space="preserve"> prevent potential equal pay claims, it is advisable for Charlotte to adhere to the guidance provided by the Equality and Human Rights Commision (EHRC) on best practices for equal pay, utilise </w:t>
      </w:r>
      <w:r w:rsidR="4D77D051" w:rsidRPr="00F16178">
        <w:rPr>
          <w:rFonts w:ascii="Arial" w:eastAsiaTheme="minorEastAsia" w:hAnsi="Arial" w:cs="Arial"/>
        </w:rPr>
        <w:t>equal pay checklists, and conduct equal pay audits</w:t>
      </w:r>
      <w:r w:rsidR="681FBE91" w:rsidRPr="00F16178">
        <w:rPr>
          <w:rFonts w:ascii="Arial" w:eastAsiaTheme="minorEastAsia" w:hAnsi="Arial" w:cs="Arial"/>
        </w:rPr>
        <w:t xml:space="preserve"> (CIPD, 2024). </w:t>
      </w:r>
    </w:p>
    <w:p w14:paraId="56C02ECA" w14:textId="5ABEB27C" w:rsidR="3DB1BD71" w:rsidRDefault="3DB1BD71" w:rsidP="0B35D69C">
      <w:pPr>
        <w:pStyle w:val="Nornal"/>
        <w:spacing w:line="264" w:lineRule="auto"/>
      </w:pPr>
      <w:r w:rsidRPr="00F16178">
        <w:t>Furthermore, failing to address the issue of unequal pay can have negative repercussions on employee morale and productivity. When employees perceive that unfair compensation practices are in place, it can lead to resentment and dissatisfactio</w:t>
      </w:r>
      <w:r w:rsidR="3718D00C" w:rsidRPr="00F16178">
        <w:t>n, and ultimately turnover</w:t>
      </w:r>
      <w:r w:rsidR="0AC1125C" w:rsidRPr="00F16178">
        <w:t xml:space="preserve"> (Bright HR, 2024)</w:t>
      </w:r>
      <w:r w:rsidR="3718D00C" w:rsidRPr="00F16178">
        <w:t xml:space="preserve">. </w:t>
      </w:r>
    </w:p>
    <w:p w14:paraId="72EDDB54" w14:textId="3580999A" w:rsidR="3718D00C" w:rsidRDefault="3718D00C" w:rsidP="0B35D69C">
      <w:pPr>
        <w:pStyle w:val="Nornal"/>
        <w:spacing w:line="264" w:lineRule="auto"/>
      </w:pPr>
      <w:r>
        <w:t xml:space="preserve">In conclusion, it is </w:t>
      </w:r>
      <w:r w:rsidR="7C2F56CA">
        <w:t>imperative</w:t>
      </w:r>
      <w:r>
        <w:t xml:space="preserve"> that Charlotte rectify the pay disparity between Cat and Kit</w:t>
      </w:r>
      <w:r w:rsidR="1510E871">
        <w:t xml:space="preserve"> </w:t>
      </w:r>
      <w:r w:rsidR="431FA707">
        <w:t>by undertaking a</w:t>
      </w:r>
      <w:r w:rsidR="7ADB3341">
        <w:t>n</w:t>
      </w:r>
      <w:r w:rsidR="431FA707">
        <w:t xml:space="preserve"> analytical job evaluation or provide evidence to prove the difference in pay is due to </w:t>
      </w:r>
      <w:r w:rsidR="0202C6F9">
        <w:t>a genuine reason other than gender</w:t>
      </w:r>
      <w:r w:rsidR="4BCF06DF">
        <w:t xml:space="preserve"> (CIPD, 2024)</w:t>
      </w:r>
      <w:r w:rsidR="0202C6F9">
        <w:t xml:space="preserve">. This will </w:t>
      </w:r>
      <w:r>
        <w:t xml:space="preserve">uphold the principles of fairness, avoid </w:t>
      </w:r>
      <w:r w:rsidR="78552C81">
        <w:t>possible legal repercussions</w:t>
      </w:r>
      <w:r>
        <w:t xml:space="preserve">, and maintain a positive and productive work environment. Failure to </w:t>
      </w:r>
      <w:r w:rsidR="3FFB02A9">
        <w:t>do so may have far reaching consequences for the restaurant and its employees</w:t>
      </w:r>
      <w:r w:rsidR="744A5528">
        <w:t xml:space="preserve"> (Bright HR, 2024).</w:t>
      </w:r>
    </w:p>
    <w:p w14:paraId="68FABC88" w14:textId="77777777" w:rsidR="00D058A1" w:rsidRPr="00D058A1" w:rsidRDefault="00D058A1" w:rsidP="00D058A1">
      <w:pPr>
        <w:pStyle w:val="Nornal"/>
        <w:spacing w:line="264" w:lineRule="auto"/>
        <w:rPr>
          <w:b/>
          <w:bCs/>
        </w:rPr>
      </w:pPr>
      <w:r w:rsidRPr="00D058A1">
        <w:rPr>
          <w:b/>
          <w:bCs/>
        </w:rPr>
        <w:t>The lease on an existing site is due to expire in four months’ time and the new terms are prohibitively expensive. Charlotte and Madeleine decide to close the restaurant when the lease expires, rather than renew the lease. When the restaurant closes, they intend to dismiss all six employees, paying each person two weeks’ notice as stated in their contracts of employment:</w:t>
      </w:r>
    </w:p>
    <w:p w14:paraId="761FAAE8" w14:textId="77777777" w:rsidR="00D058A1" w:rsidRPr="00D058A1" w:rsidRDefault="00D058A1" w:rsidP="00D058A1">
      <w:pPr>
        <w:pStyle w:val="Nornal"/>
        <w:numPr>
          <w:ilvl w:val="1"/>
          <w:numId w:val="3"/>
        </w:numPr>
        <w:spacing w:line="264" w:lineRule="auto"/>
        <w:rPr>
          <w:b/>
          <w:bCs/>
        </w:rPr>
      </w:pPr>
      <w:r w:rsidRPr="00D058A1">
        <w:rPr>
          <w:b/>
          <w:bCs/>
        </w:rPr>
        <w:t>Angelica, the manager (eight years’ service, 53 years old, salary £700 per week)</w:t>
      </w:r>
    </w:p>
    <w:p w14:paraId="37EC9000" w14:textId="77777777" w:rsidR="00D058A1" w:rsidRPr="00D058A1" w:rsidRDefault="00D058A1" w:rsidP="00D058A1">
      <w:pPr>
        <w:pStyle w:val="Nornal"/>
        <w:numPr>
          <w:ilvl w:val="1"/>
          <w:numId w:val="3"/>
        </w:numPr>
        <w:spacing w:line="264" w:lineRule="auto"/>
        <w:rPr>
          <w:b/>
          <w:bCs/>
        </w:rPr>
      </w:pPr>
      <w:r w:rsidRPr="00D058A1">
        <w:rPr>
          <w:b/>
          <w:bCs/>
        </w:rPr>
        <w:t>Saffron, the supervisor (five years’ service, 30 years old, salary £350 per week)</w:t>
      </w:r>
    </w:p>
    <w:p w14:paraId="095D2473" w14:textId="77777777" w:rsidR="00D058A1" w:rsidRPr="00D058A1" w:rsidRDefault="00D058A1" w:rsidP="00D058A1">
      <w:pPr>
        <w:pStyle w:val="Nornal"/>
        <w:numPr>
          <w:ilvl w:val="1"/>
          <w:numId w:val="3"/>
        </w:numPr>
        <w:spacing w:line="264" w:lineRule="auto"/>
        <w:rPr>
          <w:b/>
          <w:bCs/>
        </w:rPr>
      </w:pPr>
      <w:r w:rsidRPr="00D058A1">
        <w:rPr>
          <w:b/>
          <w:bCs/>
        </w:rPr>
        <w:t>Chip and Cherry, full-time sales assistants, who are 18 years old, and Reese and Carmel, full-time sales assistants who are 19 years old. All four employees have one year’s service, are paid £9.00 per hour and work 25 hours a week)</w:t>
      </w:r>
    </w:p>
    <w:p w14:paraId="4F9D2793" w14:textId="416F7C7C" w:rsidR="00D058A1" w:rsidRDefault="00D058A1" w:rsidP="007A50AE">
      <w:pPr>
        <w:pStyle w:val="Nornal"/>
        <w:rPr>
          <w:b/>
          <w:bCs/>
        </w:rPr>
      </w:pPr>
      <w:r w:rsidRPr="620E1E37">
        <w:rPr>
          <w:b/>
          <w:bCs/>
        </w:rPr>
        <w:t>Advise why their approach is risky and what they should do instead. (AC 3.1)</w:t>
      </w:r>
    </w:p>
    <w:p w14:paraId="5FD64F93" w14:textId="1588CA5B" w:rsidR="00D058A1" w:rsidRDefault="188D846D" w:rsidP="620E1E37">
      <w:pPr>
        <w:pStyle w:val="Nornal"/>
      </w:pPr>
      <w:r>
        <w:t>The risk Madeline and Charlotte face here is leaving themselves open to unfair dismissal claims due to lack of knowledge</w:t>
      </w:r>
      <w:r w:rsidR="5732699E">
        <w:t xml:space="preserve"> and clarity</w:t>
      </w:r>
      <w:r>
        <w:t xml:space="preserve"> around termination options. </w:t>
      </w:r>
    </w:p>
    <w:p w14:paraId="15D9AA24" w14:textId="013509EF" w:rsidR="00D058A1" w:rsidRDefault="40E90303" w:rsidP="620E1E37">
      <w:pPr>
        <w:pStyle w:val="Nornal"/>
      </w:pPr>
      <w:r>
        <w:t>According to ACAS (2024b)</w:t>
      </w:r>
      <w:r w:rsidR="6B8A6466">
        <w:t xml:space="preserve"> ‘dismissal’ is defined </w:t>
      </w:r>
      <w:r w:rsidR="684FFCA7">
        <w:t>as terminating an individual due to misconduct or poor performance</w:t>
      </w:r>
      <w:r w:rsidR="5D990002">
        <w:t xml:space="preserve">, </w:t>
      </w:r>
      <w:r w:rsidR="56B511C3">
        <w:t xml:space="preserve">this would not be relevant or appropriate to any of the above employees. </w:t>
      </w:r>
    </w:p>
    <w:p w14:paraId="7503297B" w14:textId="5614B016" w:rsidR="00D058A1" w:rsidRDefault="00B12078" w:rsidP="620E1E37">
      <w:pPr>
        <w:pStyle w:val="Nornal"/>
      </w:pPr>
      <w:r>
        <w:t xml:space="preserve">According to the </w:t>
      </w:r>
      <w:r w:rsidRPr="00B54A5C">
        <w:rPr>
          <w:i/>
          <w:iCs/>
        </w:rPr>
        <w:t>Employments Rights Act</w:t>
      </w:r>
      <w:r>
        <w:t xml:space="preserve"> </w:t>
      </w:r>
      <w:r w:rsidR="00B54A5C">
        <w:t>(</w:t>
      </w:r>
      <w:r>
        <w:t>1996</w:t>
      </w:r>
      <w:r w:rsidR="00B54A5C">
        <w:t>)</w:t>
      </w:r>
      <w:r>
        <w:t>, redundancy is one of the five grounds for dismissal that may be considered fair</w:t>
      </w:r>
      <w:r w:rsidR="0029123F">
        <w:t>. Section 139(1) of this act specifies that employees are deemed redundant if their dismissals are linked to one of three specific reasons</w:t>
      </w:r>
      <w:r w:rsidR="00857554">
        <w:t xml:space="preserve"> (Daniels, 2022. p. </w:t>
      </w:r>
      <w:r w:rsidR="00A3789D">
        <w:t xml:space="preserve">196). </w:t>
      </w:r>
    </w:p>
    <w:p w14:paraId="29764FC3" w14:textId="7CA81296" w:rsidR="00D058A1" w:rsidRPr="00B7279C" w:rsidRDefault="00B7279C" w:rsidP="00B7279C">
      <w:pPr>
        <w:rPr>
          <w:rFonts w:eastAsiaTheme="minorEastAsia" w:cs="Arial"/>
        </w:rPr>
      </w:pPr>
      <w:r>
        <w:rPr>
          <w:noProof/>
        </w:rPr>
        <w:lastRenderedPageBreak/>
        <w:drawing>
          <wp:inline distT="0" distB="0" distL="0" distR="0" wp14:anchorId="56DDF123" wp14:editId="747B625A">
            <wp:extent cx="5731510" cy="1169035"/>
            <wp:effectExtent l="0" t="0" r="2540" b="0"/>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1169035"/>
                    </a:xfrm>
                    <a:prstGeom prst="rect">
                      <a:avLst/>
                    </a:prstGeom>
                    <a:effectLst>
                      <a:innerShdw blurRad="114300">
                        <a:prstClr val="black"/>
                      </a:innerShdw>
                    </a:effectLst>
                  </pic:spPr>
                </pic:pic>
              </a:graphicData>
            </a:graphic>
          </wp:inline>
        </w:drawing>
      </w:r>
      <w:r w:rsidR="009A2986" w:rsidRPr="00B7279C">
        <w:rPr>
          <w:rFonts w:eastAsiaTheme="minorEastAsia" w:cs="Arial"/>
        </w:rPr>
        <w:t xml:space="preserve"> (ACAS, </w:t>
      </w:r>
      <w:r w:rsidR="003E48E4" w:rsidRPr="00B7279C">
        <w:rPr>
          <w:rFonts w:eastAsiaTheme="minorEastAsia" w:cs="Arial"/>
        </w:rPr>
        <w:t>2024</w:t>
      </w:r>
      <w:r w:rsidR="00EE17A6" w:rsidRPr="00B7279C">
        <w:rPr>
          <w:rFonts w:eastAsiaTheme="minorEastAsia" w:cs="Arial"/>
        </w:rPr>
        <w:t>b</w:t>
      </w:r>
      <w:r w:rsidR="003E48E4" w:rsidRPr="00B7279C">
        <w:rPr>
          <w:rFonts w:eastAsiaTheme="minorEastAsia" w:cs="Arial"/>
        </w:rPr>
        <w:t>).</w:t>
      </w:r>
    </w:p>
    <w:p w14:paraId="1E88D8A0" w14:textId="1C3600CE" w:rsidR="00D058A1" w:rsidRPr="00286E1F" w:rsidRDefault="00D058A1" w:rsidP="5B71C086">
      <w:pPr>
        <w:spacing w:after="0"/>
        <w:rPr>
          <w:rFonts w:ascii="Arial" w:eastAsiaTheme="minorEastAsia" w:hAnsi="Arial" w:cs="Arial"/>
        </w:rPr>
      </w:pPr>
    </w:p>
    <w:p w14:paraId="38081FB4" w14:textId="72660B4F" w:rsidR="00B87320" w:rsidRDefault="00633631" w:rsidP="5B71C086">
      <w:pPr>
        <w:spacing w:after="0"/>
        <w:rPr>
          <w:rFonts w:ascii="Arial" w:eastAsiaTheme="minorEastAsia" w:hAnsi="Arial" w:cs="Arial"/>
        </w:rPr>
      </w:pPr>
      <w:r>
        <w:rPr>
          <w:rFonts w:ascii="Arial" w:eastAsiaTheme="minorEastAsia" w:hAnsi="Arial" w:cs="Arial"/>
        </w:rPr>
        <w:t>Charlotte and Madeline</w:t>
      </w:r>
      <w:r w:rsidR="00DE3E81">
        <w:rPr>
          <w:rFonts w:ascii="Arial" w:eastAsiaTheme="minorEastAsia" w:hAnsi="Arial" w:cs="Arial"/>
        </w:rPr>
        <w:t xml:space="preserve"> have been advised that </w:t>
      </w:r>
      <w:r w:rsidR="00AA2582">
        <w:rPr>
          <w:rFonts w:ascii="Arial" w:eastAsiaTheme="minorEastAsia" w:hAnsi="Arial" w:cs="Arial"/>
        </w:rPr>
        <w:t>the termination of the employees would be classed as redundancy. A</w:t>
      </w:r>
      <w:r>
        <w:rPr>
          <w:rFonts w:ascii="Arial" w:eastAsiaTheme="minorEastAsia" w:hAnsi="Arial" w:cs="Arial"/>
        </w:rPr>
        <w:t xml:space="preserve">s employers </w:t>
      </w:r>
      <w:r w:rsidR="00AA2582">
        <w:rPr>
          <w:rFonts w:ascii="Arial" w:eastAsiaTheme="minorEastAsia" w:hAnsi="Arial" w:cs="Arial"/>
        </w:rPr>
        <w:t xml:space="preserve">they </w:t>
      </w:r>
      <w:r>
        <w:rPr>
          <w:rFonts w:ascii="Arial" w:eastAsiaTheme="minorEastAsia" w:hAnsi="Arial" w:cs="Arial"/>
        </w:rPr>
        <w:t>are</w:t>
      </w:r>
      <w:r w:rsidR="0ED0DA94" w:rsidRPr="00286E1F">
        <w:rPr>
          <w:rFonts w:ascii="Arial" w:eastAsiaTheme="minorEastAsia" w:hAnsi="Arial" w:cs="Arial"/>
        </w:rPr>
        <w:t xml:space="preserve"> mandated to </w:t>
      </w:r>
      <w:r w:rsidR="43903A34" w:rsidRPr="00286E1F">
        <w:rPr>
          <w:rFonts w:ascii="Arial" w:eastAsiaTheme="minorEastAsia" w:hAnsi="Arial" w:cs="Arial"/>
        </w:rPr>
        <w:t>demonstrat</w:t>
      </w:r>
      <w:r>
        <w:rPr>
          <w:rFonts w:ascii="Arial" w:eastAsiaTheme="minorEastAsia" w:hAnsi="Arial" w:cs="Arial"/>
        </w:rPr>
        <w:t>e</w:t>
      </w:r>
      <w:r w:rsidR="43903A34" w:rsidRPr="00286E1F">
        <w:rPr>
          <w:rFonts w:ascii="Arial" w:eastAsiaTheme="minorEastAsia" w:hAnsi="Arial" w:cs="Arial"/>
        </w:rPr>
        <w:t xml:space="preserve"> they have undertaken </w:t>
      </w:r>
      <w:r w:rsidR="0ED0DA94" w:rsidRPr="00286E1F">
        <w:rPr>
          <w:rFonts w:ascii="Arial" w:eastAsiaTheme="minorEastAsia" w:hAnsi="Arial" w:cs="Arial"/>
        </w:rPr>
        <w:t>various procedural requirements when implementing redundancies to prevent allegations of unfair dismissal</w:t>
      </w:r>
      <w:r w:rsidR="0C1AA4F7" w:rsidRPr="00286E1F">
        <w:rPr>
          <w:rFonts w:ascii="Arial" w:eastAsiaTheme="minorEastAsia" w:hAnsi="Arial" w:cs="Arial"/>
        </w:rPr>
        <w:t xml:space="preserve"> (</w:t>
      </w:r>
      <w:r w:rsidR="00286E1F" w:rsidRPr="00286E1F">
        <w:rPr>
          <w:rFonts w:ascii="Arial" w:eastAsiaTheme="minorEastAsia" w:hAnsi="Arial" w:cs="Arial"/>
        </w:rPr>
        <w:t>Taylor and Woodhams,</w:t>
      </w:r>
      <w:r w:rsidR="0C1AA4F7" w:rsidRPr="00286E1F">
        <w:rPr>
          <w:rFonts w:ascii="Arial" w:eastAsiaTheme="minorEastAsia" w:hAnsi="Arial" w:cs="Arial"/>
        </w:rPr>
        <w:t xml:space="preserve"> 2022. </w:t>
      </w:r>
      <w:r w:rsidR="079A042B" w:rsidRPr="00286E1F">
        <w:rPr>
          <w:rFonts w:ascii="Arial" w:eastAsiaTheme="minorEastAsia" w:hAnsi="Arial" w:cs="Arial"/>
        </w:rPr>
        <w:t>p</w:t>
      </w:r>
      <w:r w:rsidR="0C1AA4F7" w:rsidRPr="00286E1F">
        <w:rPr>
          <w:rFonts w:ascii="Arial" w:eastAsiaTheme="minorEastAsia" w:hAnsi="Arial" w:cs="Arial"/>
        </w:rPr>
        <w:t>. 99)</w:t>
      </w:r>
      <w:r w:rsidR="0ED0DA94" w:rsidRPr="00286E1F">
        <w:rPr>
          <w:rFonts w:ascii="Arial" w:eastAsiaTheme="minorEastAsia" w:hAnsi="Arial" w:cs="Arial"/>
        </w:rPr>
        <w:t>.</w:t>
      </w:r>
    </w:p>
    <w:p w14:paraId="4E39B45F" w14:textId="77777777" w:rsidR="003B6DD6" w:rsidRDefault="003B6DD6" w:rsidP="5B71C086">
      <w:pPr>
        <w:spacing w:after="0"/>
        <w:rPr>
          <w:rFonts w:ascii="Arial" w:eastAsiaTheme="minorEastAsia" w:hAnsi="Arial" w:cs="Arial"/>
        </w:rPr>
      </w:pPr>
    </w:p>
    <w:p w14:paraId="60523928" w14:textId="1CEE75EA" w:rsidR="00B87320" w:rsidRDefault="0ED0DA94" w:rsidP="5B71C086">
      <w:pPr>
        <w:spacing w:after="0"/>
        <w:rPr>
          <w:rFonts w:ascii="Arial" w:eastAsiaTheme="minorEastAsia" w:hAnsi="Arial" w:cs="Arial"/>
        </w:rPr>
      </w:pPr>
      <w:r w:rsidRPr="00286E1F">
        <w:rPr>
          <w:rFonts w:ascii="Arial" w:eastAsiaTheme="minorEastAsia" w:hAnsi="Arial" w:cs="Arial"/>
        </w:rPr>
        <w:t>The obligations encompass</w:t>
      </w:r>
      <w:r w:rsidR="00B87320">
        <w:rPr>
          <w:rFonts w:ascii="Arial" w:eastAsiaTheme="minorEastAsia" w:hAnsi="Arial" w:cs="Arial"/>
        </w:rPr>
        <w:t xml:space="preserve"> –</w:t>
      </w:r>
    </w:p>
    <w:p w14:paraId="4BCEFBAA" w14:textId="77777777" w:rsidR="003B6DD6" w:rsidRDefault="003B6DD6" w:rsidP="5B71C086">
      <w:pPr>
        <w:spacing w:after="0"/>
        <w:rPr>
          <w:rFonts w:ascii="Arial" w:eastAsiaTheme="minorEastAsia" w:hAnsi="Arial" w:cs="Arial"/>
        </w:rPr>
      </w:pPr>
    </w:p>
    <w:p w14:paraId="7400EF9C" w14:textId="6EA67C5D" w:rsidR="00B87320" w:rsidRDefault="00CC38AA" w:rsidP="00B87320">
      <w:pPr>
        <w:pStyle w:val="ListParagraph"/>
        <w:numPr>
          <w:ilvl w:val="0"/>
          <w:numId w:val="7"/>
        </w:numPr>
        <w:rPr>
          <w:rFonts w:eastAsiaTheme="minorEastAsia" w:cs="Arial"/>
        </w:rPr>
      </w:pPr>
      <w:r>
        <w:rPr>
          <w:rFonts w:eastAsiaTheme="minorEastAsia" w:cs="Arial"/>
        </w:rPr>
        <w:t>I</w:t>
      </w:r>
      <w:r w:rsidR="0ED0DA94" w:rsidRPr="00B87320">
        <w:rPr>
          <w:rFonts w:eastAsiaTheme="minorEastAsia" w:cs="Arial"/>
        </w:rPr>
        <w:t>dentifying a group of employees who are deem</w:t>
      </w:r>
      <w:r w:rsidR="3AC62EBB" w:rsidRPr="00B87320">
        <w:rPr>
          <w:rFonts w:eastAsiaTheme="minorEastAsia" w:cs="Arial"/>
        </w:rPr>
        <w:t>ed ‘at risk’, engaging in consultations with these individuals to reduce the number of redundancies</w:t>
      </w:r>
      <w:r w:rsidR="00643BB0" w:rsidRPr="00B87320">
        <w:rPr>
          <w:rFonts w:eastAsiaTheme="minorEastAsia" w:cs="Arial"/>
        </w:rPr>
        <w:t xml:space="preserve"> if possible</w:t>
      </w:r>
      <w:r w:rsidR="00B87320">
        <w:rPr>
          <w:rFonts w:eastAsiaTheme="minorEastAsia" w:cs="Arial"/>
        </w:rPr>
        <w:t>.</w:t>
      </w:r>
    </w:p>
    <w:p w14:paraId="443961FA" w14:textId="77777777" w:rsidR="003B6DD6" w:rsidRDefault="003B6DD6" w:rsidP="003B6DD6">
      <w:pPr>
        <w:pStyle w:val="ListParagraph"/>
        <w:ind w:left="780"/>
        <w:rPr>
          <w:rFonts w:eastAsiaTheme="minorEastAsia" w:cs="Arial"/>
        </w:rPr>
      </w:pPr>
    </w:p>
    <w:p w14:paraId="3EF7B516" w14:textId="57F2E20A" w:rsidR="003B6DD6" w:rsidRDefault="00CC38AA" w:rsidP="00B87320">
      <w:pPr>
        <w:pStyle w:val="ListParagraph"/>
        <w:numPr>
          <w:ilvl w:val="0"/>
          <w:numId w:val="7"/>
        </w:numPr>
        <w:rPr>
          <w:rFonts w:eastAsiaTheme="minorEastAsia" w:cs="Arial"/>
        </w:rPr>
      </w:pPr>
      <w:r>
        <w:rPr>
          <w:rFonts w:eastAsiaTheme="minorEastAsia" w:cs="Arial"/>
        </w:rPr>
        <w:t>C</w:t>
      </w:r>
      <w:r w:rsidR="3AC62EBB" w:rsidRPr="00B87320">
        <w:rPr>
          <w:rFonts w:eastAsiaTheme="minorEastAsia" w:cs="Arial"/>
        </w:rPr>
        <w:t>onducting individual consultations</w:t>
      </w:r>
      <w:r w:rsidR="2809814D" w:rsidRPr="00B87320">
        <w:rPr>
          <w:rFonts w:eastAsiaTheme="minorEastAsia" w:cs="Arial"/>
        </w:rPr>
        <w:t>.</w:t>
      </w:r>
      <w:r w:rsidR="09646F5A" w:rsidRPr="00B87320">
        <w:rPr>
          <w:rFonts w:eastAsiaTheme="minorEastAsia" w:cs="Arial"/>
        </w:rPr>
        <w:t xml:space="preserve"> (</w:t>
      </w:r>
      <w:r w:rsidR="00286E1F" w:rsidRPr="00B87320">
        <w:rPr>
          <w:rFonts w:eastAsiaTheme="minorEastAsia" w:cs="Arial"/>
        </w:rPr>
        <w:t>Taylor and Woodhams</w:t>
      </w:r>
      <w:r w:rsidR="4336CEB8" w:rsidRPr="00B87320">
        <w:rPr>
          <w:rFonts w:eastAsiaTheme="minorEastAsia" w:cs="Arial"/>
        </w:rPr>
        <w:t>, 2022. p. 99)</w:t>
      </w:r>
      <w:r w:rsidR="003B6DD6">
        <w:rPr>
          <w:rFonts w:eastAsiaTheme="minorEastAsia" w:cs="Arial"/>
        </w:rPr>
        <w:t xml:space="preserve"> </w:t>
      </w:r>
      <w:r w:rsidR="3AC62EBB" w:rsidRPr="00B87320">
        <w:rPr>
          <w:rFonts w:eastAsiaTheme="minorEastAsia" w:cs="Arial"/>
        </w:rPr>
        <w:t>I</w:t>
      </w:r>
      <w:r w:rsidR="002A28C0">
        <w:rPr>
          <w:rFonts w:eastAsiaTheme="minorEastAsia" w:cs="Arial"/>
        </w:rPr>
        <w:t>f less than 20 positions are going to be eliminated, there is no need for collective consultation, Nevertheless, employers are still obligated to participate in individual consultations</w:t>
      </w:r>
      <w:r w:rsidR="001D2859">
        <w:rPr>
          <w:rFonts w:eastAsiaTheme="minorEastAsia" w:cs="Arial"/>
        </w:rPr>
        <w:t xml:space="preserve"> (Daniels, 2022.p.198) In</w:t>
      </w:r>
      <w:r w:rsidR="3AC62EBB" w:rsidRPr="00B87320">
        <w:rPr>
          <w:rFonts w:eastAsiaTheme="minorEastAsia" w:cs="Arial"/>
        </w:rPr>
        <w:t xml:space="preserve"> instances where over 20 redundancies are anticipated, collective</w:t>
      </w:r>
      <w:r w:rsidR="05B40E93" w:rsidRPr="00B87320">
        <w:rPr>
          <w:rFonts w:eastAsiaTheme="minorEastAsia" w:cs="Arial"/>
        </w:rPr>
        <w:t xml:space="preserve"> consultation with a recognised trade union or elected representative is also obligatory</w:t>
      </w:r>
      <w:r w:rsidR="392B4ADA" w:rsidRPr="00B87320">
        <w:rPr>
          <w:rFonts w:eastAsiaTheme="minorEastAsia" w:cs="Arial"/>
        </w:rPr>
        <w:t xml:space="preserve"> (ACAS, 2024c)</w:t>
      </w:r>
      <w:r w:rsidR="05B40E93" w:rsidRPr="00B87320">
        <w:rPr>
          <w:rFonts w:eastAsiaTheme="minorEastAsia" w:cs="Arial"/>
        </w:rPr>
        <w:t xml:space="preserve">. </w:t>
      </w:r>
    </w:p>
    <w:p w14:paraId="3FEAEB07" w14:textId="77777777" w:rsidR="003B6DD6" w:rsidRPr="003B6DD6" w:rsidRDefault="003B6DD6" w:rsidP="003B6DD6">
      <w:pPr>
        <w:pStyle w:val="ListParagraph"/>
        <w:rPr>
          <w:rFonts w:eastAsiaTheme="minorEastAsia" w:cs="Arial"/>
        </w:rPr>
      </w:pPr>
    </w:p>
    <w:p w14:paraId="70728F4E" w14:textId="68708052" w:rsidR="00D058A1" w:rsidRDefault="14AC361A" w:rsidP="00B87320">
      <w:pPr>
        <w:pStyle w:val="ListParagraph"/>
        <w:numPr>
          <w:ilvl w:val="0"/>
          <w:numId w:val="7"/>
        </w:numPr>
        <w:rPr>
          <w:rFonts w:eastAsiaTheme="minorEastAsia" w:cs="Arial"/>
        </w:rPr>
      </w:pPr>
      <w:r w:rsidRPr="00B87320">
        <w:rPr>
          <w:rFonts w:eastAsiaTheme="minorEastAsia" w:cs="Arial"/>
        </w:rPr>
        <w:t>Redundancy selection must also be objective and reasonable (</w:t>
      </w:r>
      <w:r w:rsidR="00286E1F" w:rsidRPr="00B87320">
        <w:rPr>
          <w:rFonts w:eastAsiaTheme="minorEastAsia" w:cs="Arial"/>
        </w:rPr>
        <w:t>Taylor and Woodhams</w:t>
      </w:r>
      <w:r w:rsidRPr="00B87320">
        <w:rPr>
          <w:rFonts w:eastAsiaTheme="minorEastAsia" w:cs="Arial"/>
        </w:rPr>
        <w:t xml:space="preserve">, 2022. P.100). </w:t>
      </w:r>
    </w:p>
    <w:p w14:paraId="7E96685D" w14:textId="77777777" w:rsidR="00D37E35" w:rsidRPr="00D37E35" w:rsidRDefault="00D37E35" w:rsidP="00D37E35">
      <w:pPr>
        <w:pStyle w:val="ListParagraph"/>
        <w:rPr>
          <w:rFonts w:eastAsiaTheme="minorEastAsia" w:cs="Arial"/>
        </w:rPr>
      </w:pPr>
    </w:p>
    <w:p w14:paraId="161A009E" w14:textId="6B9D54AA" w:rsidR="00D37E35" w:rsidRDefault="00D37E35" w:rsidP="00D37E35">
      <w:pPr>
        <w:rPr>
          <w:rFonts w:ascii="Arial" w:eastAsiaTheme="minorEastAsia" w:hAnsi="Arial" w:cs="Arial"/>
        </w:rPr>
      </w:pPr>
      <w:r w:rsidRPr="00EC430C">
        <w:rPr>
          <w:rFonts w:ascii="Arial" w:eastAsiaTheme="minorEastAsia" w:hAnsi="Arial" w:cs="Arial"/>
        </w:rPr>
        <w:t>Prior to commencing a period of consultation, it is necessary to ensure employees are provided with all necessary information concerning the redundancy</w:t>
      </w:r>
      <w:r w:rsidR="0067316C" w:rsidRPr="00EC430C">
        <w:rPr>
          <w:rFonts w:ascii="Arial" w:eastAsiaTheme="minorEastAsia" w:hAnsi="Arial" w:cs="Arial"/>
        </w:rPr>
        <w:t xml:space="preserve">, as stipulated in Section 188(4) of </w:t>
      </w:r>
      <w:r w:rsidR="00066654">
        <w:rPr>
          <w:rFonts w:ascii="Arial" w:eastAsiaTheme="minorEastAsia" w:hAnsi="Arial" w:cs="Arial"/>
        </w:rPr>
        <w:t>T</w:t>
      </w:r>
      <w:r w:rsidR="0067316C" w:rsidRPr="00EC430C">
        <w:rPr>
          <w:rFonts w:ascii="Arial" w:eastAsiaTheme="minorEastAsia" w:hAnsi="Arial" w:cs="Arial"/>
        </w:rPr>
        <w:t>he Trade Union and Labour Relations Act 1992</w:t>
      </w:r>
      <w:r w:rsidR="00EC430C" w:rsidRPr="00EC430C">
        <w:rPr>
          <w:rFonts w:ascii="Arial" w:eastAsiaTheme="minorEastAsia" w:hAnsi="Arial" w:cs="Arial"/>
        </w:rPr>
        <w:t xml:space="preserve"> (Daniels, 2002. P. 200). </w:t>
      </w:r>
      <w:r w:rsidR="001C2BD2">
        <w:rPr>
          <w:rFonts w:ascii="Arial" w:eastAsiaTheme="minorEastAsia" w:hAnsi="Arial" w:cs="Arial"/>
        </w:rPr>
        <w:t>Information provided includes but is not limited to –</w:t>
      </w:r>
    </w:p>
    <w:p w14:paraId="01FA6F70" w14:textId="77777777" w:rsidR="00CA2C16" w:rsidRDefault="00F60D9F" w:rsidP="00B43AE2">
      <w:pPr>
        <w:rPr>
          <w:rFonts w:eastAsiaTheme="minorEastAsia" w:cs="Arial"/>
        </w:rPr>
      </w:pPr>
      <w:r>
        <w:rPr>
          <w:noProof/>
        </w:rPr>
        <w:drawing>
          <wp:inline distT="0" distB="0" distL="0" distR="0" wp14:anchorId="296BB6E3" wp14:editId="6F536D07">
            <wp:extent cx="4893310" cy="1240405"/>
            <wp:effectExtent l="0" t="0" r="2540" b="0"/>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4936393" cy="1251326"/>
                    </a:xfrm>
                    <a:prstGeom prst="rect">
                      <a:avLst/>
                    </a:prstGeom>
                    <a:effectLst>
                      <a:innerShdw blurRad="114300">
                        <a:prstClr val="black"/>
                      </a:innerShdw>
                    </a:effectLst>
                  </pic:spPr>
                </pic:pic>
              </a:graphicData>
            </a:graphic>
          </wp:inline>
        </w:drawing>
      </w:r>
      <w:r w:rsidR="00CA2C16">
        <w:rPr>
          <w:rFonts w:eastAsiaTheme="minorEastAsia" w:cs="Arial"/>
        </w:rPr>
        <w:t xml:space="preserve"> </w:t>
      </w:r>
    </w:p>
    <w:p w14:paraId="5E661CCC" w14:textId="3C7C273F" w:rsidR="00B43AE2" w:rsidRDefault="00CA2C16" w:rsidP="00B43AE2">
      <w:pPr>
        <w:rPr>
          <w:rFonts w:eastAsiaTheme="minorEastAsia" w:cs="Arial"/>
        </w:rPr>
      </w:pPr>
      <w:r>
        <w:rPr>
          <w:rFonts w:eastAsiaTheme="minorEastAsia" w:cs="Arial"/>
        </w:rPr>
        <w:t>(ACAS, 2024d)</w:t>
      </w:r>
    </w:p>
    <w:p w14:paraId="4C8AC17C" w14:textId="6D6D5372" w:rsidR="00B43AE2" w:rsidRDefault="00A56A78" w:rsidP="30C408E5">
      <w:pPr>
        <w:rPr>
          <w:rFonts w:ascii="Arial" w:eastAsiaTheme="minorEastAsia" w:hAnsi="Arial" w:cs="Arial"/>
        </w:rPr>
      </w:pPr>
      <w:r w:rsidRPr="30C408E5">
        <w:rPr>
          <w:rFonts w:ascii="Arial" w:eastAsiaTheme="minorEastAsia" w:hAnsi="Arial" w:cs="Arial"/>
        </w:rPr>
        <w:t xml:space="preserve">After </w:t>
      </w:r>
      <w:r w:rsidR="3C780677" w:rsidRPr="30C408E5">
        <w:rPr>
          <w:rFonts w:ascii="Arial" w:eastAsiaTheme="minorEastAsia" w:hAnsi="Arial" w:cs="Arial"/>
        </w:rPr>
        <w:t>advising</w:t>
      </w:r>
      <w:r w:rsidRPr="30C408E5">
        <w:rPr>
          <w:rFonts w:ascii="Arial" w:eastAsiaTheme="minorEastAsia" w:hAnsi="Arial" w:cs="Arial"/>
        </w:rPr>
        <w:t xml:space="preserve"> Charlotte and Madeline</w:t>
      </w:r>
      <w:r w:rsidR="35775B0E" w:rsidRPr="30C408E5">
        <w:rPr>
          <w:rFonts w:ascii="Arial" w:eastAsiaTheme="minorEastAsia" w:hAnsi="Arial" w:cs="Arial"/>
        </w:rPr>
        <w:t xml:space="preserve"> to take the appropriate steps as outlined above, they also</w:t>
      </w:r>
      <w:r w:rsidRPr="30C408E5">
        <w:rPr>
          <w:rFonts w:ascii="Arial" w:eastAsiaTheme="minorEastAsia" w:hAnsi="Arial" w:cs="Arial"/>
        </w:rPr>
        <w:t xml:space="preserve"> need to calculate </w:t>
      </w:r>
      <w:r w:rsidR="00377FA0" w:rsidRPr="30C408E5">
        <w:rPr>
          <w:rFonts w:ascii="Arial" w:eastAsiaTheme="minorEastAsia" w:hAnsi="Arial" w:cs="Arial"/>
        </w:rPr>
        <w:t xml:space="preserve">how much statutory redundancy they need to pay each employee based on </w:t>
      </w:r>
      <w:r w:rsidR="004C3E1E" w:rsidRPr="30C408E5">
        <w:rPr>
          <w:rFonts w:ascii="Arial" w:eastAsiaTheme="minorEastAsia" w:hAnsi="Arial" w:cs="Arial"/>
        </w:rPr>
        <w:t xml:space="preserve">current wage, </w:t>
      </w:r>
      <w:r w:rsidR="00377FA0" w:rsidRPr="30C408E5">
        <w:rPr>
          <w:rFonts w:ascii="Arial" w:eastAsiaTheme="minorEastAsia" w:hAnsi="Arial" w:cs="Arial"/>
        </w:rPr>
        <w:t>age and years of service</w:t>
      </w:r>
      <w:r w:rsidR="004C3E1E" w:rsidRPr="30C408E5">
        <w:rPr>
          <w:rFonts w:ascii="Arial" w:eastAsiaTheme="minorEastAsia" w:hAnsi="Arial" w:cs="Arial"/>
        </w:rPr>
        <w:t xml:space="preserve"> (ACAS, 2024d). </w:t>
      </w:r>
    </w:p>
    <w:p w14:paraId="79F5A313" w14:textId="1180C307" w:rsidR="008A4D54" w:rsidRDefault="008A4D54" w:rsidP="00B43AE2">
      <w:pPr>
        <w:rPr>
          <w:rFonts w:ascii="Arial" w:eastAsiaTheme="minorEastAsia" w:hAnsi="Arial" w:cs="Arial"/>
        </w:rPr>
      </w:pPr>
      <w:r>
        <w:rPr>
          <w:rFonts w:ascii="Arial" w:eastAsiaTheme="minorEastAsia" w:hAnsi="Arial" w:cs="Arial"/>
        </w:rPr>
        <w:t xml:space="preserve">Guidance on payments and calculations are shown below as per </w:t>
      </w:r>
      <w:r w:rsidR="00454A19">
        <w:rPr>
          <w:rFonts w:ascii="Arial" w:eastAsiaTheme="minorEastAsia" w:hAnsi="Arial" w:cs="Arial"/>
        </w:rPr>
        <w:t xml:space="preserve">image below </w:t>
      </w:r>
    </w:p>
    <w:p w14:paraId="37EBE88F" w14:textId="77777777" w:rsidR="00A6220B" w:rsidRDefault="00A6220B" w:rsidP="00B43AE2">
      <w:pPr>
        <w:rPr>
          <w:rFonts w:ascii="Arial" w:eastAsiaTheme="minorEastAsia" w:hAnsi="Arial" w:cs="Arial"/>
        </w:rPr>
      </w:pPr>
    </w:p>
    <w:p w14:paraId="4B8C1CBB" w14:textId="13C68C62" w:rsidR="007127F8" w:rsidRPr="002F4562" w:rsidRDefault="007B2580" w:rsidP="00B43AE2">
      <w:pPr>
        <w:rPr>
          <w:rFonts w:ascii="Arial" w:eastAsiaTheme="minorEastAsia" w:hAnsi="Arial" w:cs="Arial"/>
          <w14:shadow w14:blurRad="50800" w14:dist="50800" w14:dir="5400000" w14:sx="0" w14:sy="0" w14:kx="0" w14:ky="0" w14:algn="ctr">
            <w14:schemeClr w14:val="tx1"/>
          </w14:shadow>
        </w:rPr>
      </w:pPr>
      <w:r>
        <w:rPr>
          <w:noProof/>
        </w:rPr>
        <w:lastRenderedPageBreak/>
        <w:drawing>
          <wp:inline distT="0" distB="0" distL="0" distR="0" wp14:anchorId="03FAA458" wp14:editId="02544354">
            <wp:extent cx="4613910" cy="2304399"/>
            <wp:effectExtent l="38100" t="38100" r="91440" b="96520"/>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4641013" cy="2317936"/>
                    </a:xfrm>
                    <a:prstGeom prst="rect">
                      <a:avLst/>
                    </a:prstGeom>
                    <a:effectLst>
                      <a:outerShdw blurRad="50800" dist="38100" dir="2700000" algn="tl" rotWithShape="0">
                        <a:prstClr val="black">
                          <a:alpha val="40000"/>
                        </a:prstClr>
                      </a:outerShdw>
                    </a:effectLst>
                  </pic:spPr>
                </pic:pic>
              </a:graphicData>
            </a:graphic>
          </wp:inline>
        </w:drawing>
      </w:r>
      <w:r w:rsidR="002F4562">
        <w:rPr>
          <w:rFonts w:ascii="Arial" w:eastAsiaTheme="minorEastAsia" w:hAnsi="Arial" w:cs="Arial"/>
        </w:rPr>
        <w:t>(GOV.UK)</w:t>
      </w:r>
    </w:p>
    <w:p w14:paraId="0FC192AB" w14:textId="664C6B30" w:rsidR="008C0AEB" w:rsidRDefault="00C40FC8" w:rsidP="00C40FC8">
      <w:pPr>
        <w:rPr>
          <w:rFonts w:ascii="Arial" w:eastAsiaTheme="minorEastAsia" w:hAnsi="Arial" w:cs="Arial"/>
        </w:rPr>
      </w:pPr>
      <w:r>
        <w:rPr>
          <w:rFonts w:ascii="Arial" w:eastAsiaTheme="minorEastAsia" w:hAnsi="Arial" w:cs="Arial"/>
        </w:rPr>
        <w:t>Following the Government guidance, Charlotte and Madeline would need to</w:t>
      </w:r>
      <w:r w:rsidR="0080560E">
        <w:rPr>
          <w:rFonts w:ascii="Arial" w:eastAsiaTheme="minorEastAsia" w:hAnsi="Arial" w:cs="Arial"/>
        </w:rPr>
        <w:t xml:space="preserve"> offer</w:t>
      </w:r>
      <w:r>
        <w:rPr>
          <w:rFonts w:ascii="Arial" w:eastAsiaTheme="minorEastAsia" w:hAnsi="Arial" w:cs="Arial"/>
        </w:rPr>
        <w:t xml:space="preserve"> </w:t>
      </w:r>
      <w:r w:rsidR="000A6798">
        <w:rPr>
          <w:rFonts w:ascii="Arial" w:eastAsiaTheme="minorEastAsia" w:hAnsi="Arial" w:cs="Arial"/>
        </w:rPr>
        <w:t>statutory redundancy to the employees as per the guidance above</w:t>
      </w:r>
      <w:r w:rsidR="0080560E">
        <w:rPr>
          <w:rFonts w:ascii="Arial" w:eastAsiaTheme="minorEastAsia" w:hAnsi="Arial" w:cs="Arial"/>
        </w:rPr>
        <w:t xml:space="preserve">. </w:t>
      </w:r>
    </w:p>
    <w:p w14:paraId="7E8765DF" w14:textId="36C103DC" w:rsidR="0080560E" w:rsidRDefault="0080560E" w:rsidP="5D8D9BE8">
      <w:pPr>
        <w:pStyle w:val="ListParagraph"/>
        <w:numPr>
          <w:ilvl w:val="0"/>
          <w:numId w:val="10"/>
        </w:numPr>
        <w:rPr>
          <w:rFonts w:eastAsiaTheme="minorEastAsia" w:cs="Arial"/>
        </w:rPr>
      </w:pPr>
      <w:r w:rsidRPr="5D8D9BE8">
        <w:rPr>
          <w:rFonts w:eastAsiaTheme="minorEastAsia" w:cs="Arial"/>
          <w:b/>
          <w:bCs/>
        </w:rPr>
        <w:t>Angelica</w:t>
      </w:r>
      <w:r w:rsidRPr="5D8D9BE8">
        <w:rPr>
          <w:rFonts w:eastAsiaTheme="minorEastAsia" w:cs="Arial"/>
        </w:rPr>
        <w:t xml:space="preserve"> = </w:t>
      </w:r>
      <w:r w:rsidR="009F5B14" w:rsidRPr="5D8D9BE8">
        <w:rPr>
          <w:rFonts w:eastAsiaTheme="minorEastAsia" w:cs="Arial"/>
        </w:rPr>
        <w:t xml:space="preserve">£1050 x 8 = </w:t>
      </w:r>
      <w:r w:rsidR="000708E3" w:rsidRPr="5D8D9BE8">
        <w:rPr>
          <w:rFonts w:eastAsiaTheme="minorEastAsia" w:cs="Arial"/>
        </w:rPr>
        <w:t xml:space="preserve">£8400 </w:t>
      </w:r>
      <w:r w:rsidR="00E44A69" w:rsidRPr="5D8D9BE8">
        <w:rPr>
          <w:rFonts w:eastAsiaTheme="minorEastAsia" w:cs="Arial"/>
        </w:rPr>
        <w:t xml:space="preserve">+ 1400 (2 weeks notice period) = </w:t>
      </w:r>
      <w:r w:rsidR="00C92A4C" w:rsidRPr="5D8D9BE8">
        <w:rPr>
          <w:rFonts w:eastAsiaTheme="minorEastAsia" w:cs="Arial"/>
        </w:rPr>
        <w:t xml:space="preserve">£9800 </w:t>
      </w:r>
    </w:p>
    <w:p w14:paraId="368556FC" w14:textId="27384654" w:rsidR="5D8D9BE8" w:rsidRDefault="5D8D9BE8" w:rsidP="5D8D9BE8">
      <w:pPr>
        <w:rPr>
          <w:rFonts w:eastAsiaTheme="minorEastAsia" w:cs="Arial"/>
        </w:rPr>
      </w:pPr>
    </w:p>
    <w:p w14:paraId="028307E9" w14:textId="0FC02CF2" w:rsidR="00C92A4C" w:rsidRDefault="00C92A4C" w:rsidP="5D8D9BE8">
      <w:pPr>
        <w:pStyle w:val="ListParagraph"/>
        <w:numPr>
          <w:ilvl w:val="0"/>
          <w:numId w:val="10"/>
        </w:numPr>
        <w:rPr>
          <w:rFonts w:eastAsiaTheme="minorEastAsia" w:cs="Arial"/>
        </w:rPr>
      </w:pPr>
      <w:r w:rsidRPr="5D8D9BE8">
        <w:rPr>
          <w:rFonts w:eastAsiaTheme="minorEastAsia" w:cs="Arial"/>
          <w:b/>
          <w:bCs/>
        </w:rPr>
        <w:t>Saffron</w:t>
      </w:r>
      <w:r w:rsidRPr="5D8D9BE8">
        <w:rPr>
          <w:rFonts w:eastAsiaTheme="minorEastAsia" w:cs="Arial"/>
        </w:rPr>
        <w:t xml:space="preserve"> = </w:t>
      </w:r>
      <w:r w:rsidR="007B7AB1" w:rsidRPr="5D8D9BE8">
        <w:rPr>
          <w:rFonts w:eastAsiaTheme="minorEastAsia" w:cs="Arial"/>
        </w:rPr>
        <w:t xml:space="preserve">£350 x 5 = £1750 </w:t>
      </w:r>
      <w:r w:rsidR="003E4982" w:rsidRPr="5D8D9BE8">
        <w:rPr>
          <w:rFonts w:eastAsiaTheme="minorEastAsia" w:cs="Arial"/>
        </w:rPr>
        <w:t xml:space="preserve">+ £700 (2 weeks notice period) = £2450 </w:t>
      </w:r>
    </w:p>
    <w:p w14:paraId="54810F1E" w14:textId="4D859093" w:rsidR="5D8D9BE8" w:rsidRDefault="5D8D9BE8" w:rsidP="5D8D9BE8">
      <w:pPr>
        <w:rPr>
          <w:rFonts w:eastAsiaTheme="minorEastAsia" w:cs="Arial"/>
        </w:rPr>
      </w:pPr>
    </w:p>
    <w:p w14:paraId="1E2F00FE" w14:textId="6D879E59" w:rsidR="00AA795D" w:rsidRPr="00AA795D" w:rsidRDefault="00AA795D" w:rsidP="5D8D9BE8">
      <w:pPr>
        <w:pStyle w:val="ListParagraph"/>
        <w:numPr>
          <w:ilvl w:val="0"/>
          <w:numId w:val="10"/>
        </w:numPr>
        <w:rPr>
          <w:rFonts w:eastAsiaTheme="minorEastAsia" w:cs="Arial"/>
        </w:rPr>
      </w:pPr>
      <w:r w:rsidRPr="5D8D9BE8">
        <w:rPr>
          <w:rFonts w:eastAsiaTheme="minorEastAsia" w:cs="Arial"/>
          <w:b/>
          <w:bCs/>
        </w:rPr>
        <w:t>Chip, Cherry, Reese &amp; Carmel</w:t>
      </w:r>
      <w:r w:rsidRPr="5D8D9BE8">
        <w:rPr>
          <w:rFonts w:eastAsiaTheme="minorEastAsia" w:cs="Arial"/>
        </w:rPr>
        <w:t>, no standard redundancy as under 2 years service.  2 weeks notice =</w:t>
      </w:r>
      <w:r w:rsidR="00B366EA" w:rsidRPr="5D8D9BE8">
        <w:rPr>
          <w:rFonts w:eastAsiaTheme="minorEastAsia" w:cs="Arial"/>
        </w:rPr>
        <w:t xml:space="preserve"> </w:t>
      </w:r>
      <w:r w:rsidR="4D118EB4" w:rsidRPr="5D8D9BE8">
        <w:rPr>
          <w:rFonts w:eastAsiaTheme="minorEastAsia" w:cs="Arial"/>
        </w:rPr>
        <w:t>£</w:t>
      </w:r>
      <w:r w:rsidR="00B366EA" w:rsidRPr="5D8D9BE8">
        <w:rPr>
          <w:rFonts w:eastAsiaTheme="minorEastAsia" w:cs="Arial"/>
        </w:rPr>
        <w:t xml:space="preserve">9 x 25 = £225 x 2 = </w:t>
      </w:r>
      <w:r w:rsidR="0082195C" w:rsidRPr="5D8D9BE8">
        <w:rPr>
          <w:rFonts w:eastAsiaTheme="minorEastAsia" w:cs="Arial"/>
        </w:rPr>
        <w:t xml:space="preserve"> </w:t>
      </w:r>
      <w:r w:rsidRPr="5D8D9BE8">
        <w:rPr>
          <w:rFonts w:eastAsiaTheme="minorEastAsia" w:cs="Arial"/>
        </w:rPr>
        <w:t xml:space="preserve">£ </w:t>
      </w:r>
      <w:r w:rsidR="004A3E96" w:rsidRPr="5D8D9BE8">
        <w:rPr>
          <w:rFonts w:eastAsiaTheme="minorEastAsia" w:cs="Arial"/>
        </w:rPr>
        <w:t>450 per person.</w:t>
      </w:r>
      <w:r w:rsidR="00517D5F" w:rsidRPr="5D8D9BE8">
        <w:rPr>
          <w:rFonts w:eastAsiaTheme="minorEastAsia" w:cs="Arial"/>
        </w:rPr>
        <w:t xml:space="preserve"> </w:t>
      </w:r>
    </w:p>
    <w:p w14:paraId="49ED42B9" w14:textId="6B748642" w:rsidR="000708E3" w:rsidRPr="0080560E" w:rsidRDefault="000708E3" w:rsidP="000708E3">
      <w:pPr>
        <w:pStyle w:val="ListParagraph"/>
        <w:rPr>
          <w:rFonts w:eastAsiaTheme="minorEastAsia" w:cs="Arial"/>
        </w:rPr>
      </w:pPr>
    </w:p>
    <w:p w14:paraId="7AE07F8B" w14:textId="77777777" w:rsidR="00517D5F" w:rsidRDefault="00517D5F" w:rsidP="007C6DE4">
      <w:pPr>
        <w:pStyle w:val="Nornal"/>
        <w:spacing w:line="264" w:lineRule="auto"/>
        <w:rPr>
          <w:b/>
          <w:bCs/>
        </w:rPr>
      </w:pPr>
    </w:p>
    <w:p w14:paraId="21F5B314" w14:textId="6FDC8B7F" w:rsidR="007C6DE4" w:rsidRDefault="007C6DE4" w:rsidP="007C6DE4">
      <w:pPr>
        <w:pStyle w:val="Nornal"/>
        <w:spacing w:line="264" w:lineRule="auto"/>
        <w:rPr>
          <w:b/>
          <w:bCs/>
        </w:rPr>
      </w:pPr>
      <w:r w:rsidRPr="30C408E5">
        <w:rPr>
          <w:b/>
          <w:bCs/>
        </w:rPr>
        <w:t>The takeover of Crumbly Cakes is due to be complete in four months. Ownership will transfer to Peachy Desserts Ltd, and the identity of the owner will change</w:t>
      </w:r>
      <w:bookmarkStart w:id="2" w:name="_Hlk123126731"/>
      <w:r w:rsidRPr="30C408E5">
        <w:rPr>
          <w:b/>
          <w:bCs/>
        </w:rPr>
        <w:t xml:space="preserve">. Charlotte and Madeleine consider the takeover a ‘good fit’ with their business, as the nature of the business is the same and they will take over all tangible assets. Charlotte and Madeleine do not dispute that Peachy Desserts Ltd will become the employer of the 12 employees of Crumbly Cakes </w:t>
      </w:r>
      <w:bookmarkEnd w:id="2"/>
      <w:r w:rsidRPr="30C408E5">
        <w:rPr>
          <w:b/>
          <w:bCs/>
        </w:rPr>
        <w:t>but plan to give the employees of Crumbly Cakes new contracts on the same terms and conditions as their existing employees. Advise on the legal risk of this approach and what should be done instead. (AC 3.2)</w:t>
      </w:r>
    </w:p>
    <w:p w14:paraId="07121988" w14:textId="01245A0F" w:rsidR="2DA74577" w:rsidRDefault="2DA74577" w:rsidP="30C408E5">
      <w:pPr>
        <w:pStyle w:val="Nornal"/>
        <w:spacing w:line="264" w:lineRule="auto"/>
      </w:pPr>
      <w:r>
        <w:t xml:space="preserve">In preparation for Crumbly Cakes to take over Peachy Desserts Ltd, </w:t>
      </w:r>
      <w:r w:rsidR="0668912C">
        <w:t xml:space="preserve">Charlotte and Madeline have been advised to familiarise </w:t>
      </w:r>
      <w:r w:rsidR="4B740CC1">
        <w:t>themselves</w:t>
      </w:r>
      <w:r w:rsidR="0668912C">
        <w:t xml:space="preserve"> with </w:t>
      </w:r>
      <w:r w:rsidR="0668912C" w:rsidRPr="30C408E5">
        <w:rPr>
          <w:i/>
          <w:iCs/>
        </w:rPr>
        <w:t>The Transfer of Undertakings (protection of employment) regulations</w:t>
      </w:r>
      <w:r w:rsidR="6B18B158">
        <w:t xml:space="preserve"> 2006</w:t>
      </w:r>
      <w:r w:rsidR="0668912C">
        <w:t xml:space="preserve">, </w:t>
      </w:r>
      <w:r w:rsidR="0F772413">
        <w:t>also known as TUPE</w:t>
      </w:r>
      <w:r w:rsidR="7E3EBFF6">
        <w:t xml:space="preserve"> (Taylor and Woodhams, 2022. P.100</w:t>
      </w:r>
      <w:r w:rsidR="722E8EEA">
        <w:t xml:space="preserve">) </w:t>
      </w:r>
      <w:r w:rsidR="172BD665">
        <w:t xml:space="preserve">TUPE regulations apply when the identity and physical assets are being transferred to a company offering a service that is similar, if not identical. </w:t>
      </w:r>
    </w:p>
    <w:p w14:paraId="479331E1" w14:textId="64443382" w:rsidR="30416790" w:rsidRPr="008441DC" w:rsidRDefault="30416790" w:rsidP="30C408E5">
      <w:pPr>
        <w:spacing w:before="240" w:after="240" w:line="279" w:lineRule="auto"/>
        <w:rPr>
          <w:rFonts w:ascii="Arial" w:eastAsiaTheme="minorEastAsia" w:hAnsi="Arial" w:cs="Arial"/>
        </w:rPr>
      </w:pPr>
      <w:r w:rsidRPr="008441DC">
        <w:rPr>
          <w:rFonts w:ascii="Arial" w:eastAsiaTheme="minorEastAsia" w:hAnsi="Arial" w:cs="Arial"/>
        </w:rPr>
        <w:t>The right</w:t>
      </w:r>
      <w:r w:rsidR="39621968" w:rsidRPr="008441DC">
        <w:rPr>
          <w:rFonts w:ascii="Arial" w:eastAsiaTheme="minorEastAsia" w:hAnsi="Arial" w:cs="Arial"/>
        </w:rPr>
        <w:t>s safeguard employees who are employed by an organisation that is transferred to a new owner. During a TUPE process, all the contractual entitlements of an employee are shifted from the previous owner to the</w:t>
      </w:r>
      <w:r w:rsidR="0C6B915B" w:rsidRPr="008441DC">
        <w:rPr>
          <w:rFonts w:ascii="Arial" w:eastAsiaTheme="minorEastAsia" w:hAnsi="Arial" w:cs="Arial"/>
        </w:rPr>
        <w:t xml:space="preserve"> new owner, encompassing the continuation of service, contractual terms, and any other entitlements stipulated in the </w:t>
      </w:r>
      <w:r w:rsidR="6E378EAE" w:rsidRPr="008441DC">
        <w:rPr>
          <w:rFonts w:ascii="Arial" w:eastAsiaTheme="minorEastAsia" w:hAnsi="Arial" w:cs="Arial"/>
        </w:rPr>
        <w:t>employee's</w:t>
      </w:r>
      <w:r w:rsidR="0C6B915B" w:rsidRPr="008441DC">
        <w:rPr>
          <w:rFonts w:ascii="Arial" w:eastAsiaTheme="minorEastAsia" w:hAnsi="Arial" w:cs="Arial"/>
        </w:rPr>
        <w:t xml:space="preserve"> employment agreement (</w:t>
      </w:r>
      <w:r w:rsidR="17B3581B" w:rsidRPr="008441DC">
        <w:rPr>
          <w:rFonts w:ascii="Arial" w:eastAsiaTheme="minorEastAsia" w:hAnsi="Arial" w:cs="Arial"/>
        </w:rPr>
        <w:t xml:space="preserve">Daniels, 2022.p. 207). </w:t>
      </w:r>
      <w:r w:rsidR="5FCA6668" w:rsidRPr="008441DC">
        <w:rPr>
          <w:rFonts w:ascii="Arial" w:eastAsiaTheme="minorEastAsia" w:hAnsi="Arial" w:cs="Arial"/>
        </w:rPr>
        <w:t xml:space="preserve"> </w:t>
      </w:r>
      <w:r w:rsidR="6029330C" w:rsidRPr="008441DC">
        <w:rPr>
          <w:rFonts w:ascii="Arial" w:eastAsiaTheme="minorEastAsia" w:hAnsi="Arial" w:cs="Arial"/>
        </w:rPr>
        <w:t xml:space="preserve">Failure to comply may result in a breach of contact claim being made against </w:t>
      </w:r>
      <w:r w:rsidR="7FD58C8D" w:rsidRPr="008441DC">
        <w:rPr>
          <w:rFonts w:ascii="Arial" w:eastAsiaTheme="minorEastAsia" w:hAnsi="Arial" w:cs="Arial"/>
        </w:rPr>
        <w:t xml:space="preserve">Crumbly Cakes (GOV.UK, no date). </w:t>
      </w:r>
    </w:p>
    <w:p w14:paraId="1BBB03A2" w14:textId="52B62689" w:rsidR="00EB6AEA" w:rsidRDefault="5D677561" w:rsidP="30C408E5">
      <w:pPr>
        <w:pStyle w:val="Nornal"/>
        <w:spacing w:line="264" w:lineRule="auto"/>
      </w:pPr>
      <w:r>
        <w:lastRenderedPageBreak/>
        <w:t xml:space="preserve">The TUPE legislation imposes limitations on a new </w:t>
      </w:r>
      <w:r w:rsidR="757C68E9">
        <w:t>employer's</w:t>
      </w:r>
      <w:r>
        <w:t xml:space="preserve"> ability to modify the terms and conditions of transferred employees</w:t>
      </w:r>
      <w:r w:rsidR="1689205D">
        <w:t xml:space="preserve"> (Daniels, 2022. P.208)</w:t>
      </w:r>
      <w:r>
        <w:t>.</w:t>
      </w:r>
      <w:r w:rsidR="7F1A6067">
        <w:t xml:space="preserve"> A</w:t>
      </w:r>
      <w:r>
        <w:t>lterations can only be made by Peachy desserts Ltd if they result in imp</w:t>
      </w:r>
      <w:r w:rsidR="3CB9E7FA">
        <w:t xml:space="preserve">rovements to the </w:t>
      </w:r>
      <w:r w:rsidR="18C070F9">
        <w:t>employees'</w:t>
      </w:r>
      <w:r w:rsidR="3CB9E7FA">
        <w:t xml:space="preserve"> </w:t>
      </w:r>
      <w:r w:rsidR="3E7DAEDD">
        <w:t xml:space="preserve">current </w:t>
      </w:r>
      <w:r w:rsidR="3CB9E7FA">
        <w:t>terms and conditions</w:t>
      </w:r>
      <w:r w:rsidR="00EB6AEA">
        <w:t>, as depicted below:</w:t>
      </w:r>
    </w:p>
    <w:p w14:paraId="4B80F7A5" w14:textId="77777777" w:rsidR="00EB6AEA" w:rsidRDefault="00EB6AEA" w:rsidP="30C408E5">
      <w:pPr>
        <w:pStyle w:val="Nornal"/>
        <w:spacing w:line="264" w:lineRule="auto"/>
      </w:pPr>
      <w:r>
        <w:rPr>
          <w:noProof/>
        </w:rPr>
        <w:drawing>
          <wp:inline distT="0" distB="0" distL="0" distR="0" wp14:anchorId="17A0AA4D" wp14:editId="4A38BE15">
            <wp:extent cx="4861502" cy="1170940"/>
            <wp:effectExtent l="0" t="0" r="0" b="0"/>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4870871" cy="1173197"/>
                    </a:xfrm>
                    <a:prstGeom prst="rect">
                      <a:avLst/>
                    </a:prstGeom>
                    <a:effectLst>
                      <a:innerShdw blurRad="114300">
                        <a:prstClr val="black"/>
                      </a:innerShdw>
                    </a:effectLst>
                  </pic:spPr>
                </pic:pic>
              </a:graphicData>
            </a:graphic>
          </wp:inline>
        </w:drawing>
      </w:r>
      <w:r w:rsidR="19D73951">
        <w:t xml:space="preserve"> </w:t>
      </w:r>
    </w:p>
    <w:p w14:paraId="12D5BECC" w14:textId="79E7C517" w:rsidR="5D677561" w:rsidRDefault="105AF236" w:rsidP="30C408E5">
      <w:pPr>
        <w:pStyle w:val="Nornal"/>
        <w:spacing w:line="264" w:lineRule="auto"/>
      </w:pPr>
      <w:r>
        <w:t xml:space="preserve">(ACAS, 2021). </w:t>
      </w:r>
    </w:p>
    <w:p w14:paraId="7938C5C0" w14:textId="0A3E869D" w:rsidR="6A93CC35" w:rsidRDefault="6A93CC35" w:rsidP="30C408E5">
      <w:pPr>
        <w:pStyle w:val="Nornal"/>
        <w:spacing w:line="264" w:lineRule="auto"/>
      </w:pPr>
      <w:r>
        <w:t xml:space="preserve">It is also important to note that TUPE regulations give an indefinite protection of some terms and conditions. </w:t>
      </w:r>
      <w:r w:rsidR="7BDFF8A8">
        <w:t xml:space="preserve">Charlotte and Madeline will need to ensure that any disparity in terms and conditions do not affect any </w:t>
      </w:r>
      <w:r w:rsidR="34A27998">
        <w:t>groups</w:t>
      </w:r>
      <w:r w:rsidR="7BDFF8A8">
        <w:t xml:space="preserve"> </w:t>
      </w:r>
      <w:r w:rsidR="2C02AF5B">
        <w:t xml:space="preserve">unfairly </w:t>
      </w:r>
      <w:r w:rsidR="229317AE">
        <w:t xml:space="preserve">and are fully compliant with the provisions of </w:t>
      </w:r>
      <w:r w:rsidR="229317AE" w:rsidRPr="30C408E5">
        <w:rPr>
          <w:i/>
          <w:iCs/>
        </w:rPr>
        <w:t>The Equ</w:t>
      </w:r>
      <w:r w:rsidR="710E2AF0" w:rsidRPr="30C408E5">
        <w:rPr>
          <w:i/>
          <w:iCs/>
        </w:rPr>
        <w:t>a</w:t>
      </w:r>
      <w:r w:rsidR="229317AE" w:rsidRPr="30C408E5">
        <w:rPr>
          <w:i/>
          <w:iCs/>
        </w:rPr>
        <w:t>lity Act</w:t>
      </w:r>
      <w:r w:rsidR="229317AE">
        <w:t xml:space="preserve"> (2010) to avoid any potential discrimination claims</w:t>
      </w:r>
      <w:r w:rsidR="3FE0A4BC">
        <w:t xml:space="preserve"> (ACAS, 2021). </w:t>
      </w:r>
    </w:p>
    <w:p w14:paraId="7F0F6FFD" w14:textId="0407787F" w:rsidR="52C62AA5" w:rsidRDefault="52C62AA5" w:rsidP="30C408E5">
      <w:pPr>
        <w:pStyle w:val="Nornal"/>
        <w:spacing w:line="264" w:lineRule="auto"/>
      </w:pPr>
      <w:r>
        <w:t>Employees are entitled to decline transfer, and in such instances, they typically do not have the option to request redundancy pay or pursue a claim for unfair dismissal</w:t>
      </w:r>
      <w:r w:rsidR="7381095B">
        <w:t xml:space="preserve"> (Daniels, 2022.p.212)</w:t>
      </w:r>
      <w:r>
        <w:t>. If an employee chooses n</w:t>
      </w:r>
      <w:r w:rsidR="174D7419">
        <w:t xml:space="preserve">ot to undergo transfer, it will be regarded as a voluntary </w:t>
      </w:r>
      <w:r w:rsidR="14130C5A">
        <w:t>resignation,</w:t>
      </w:r>
      <w:r w:rsidR="174D7419">
        <w:t xml:space="preserve"> and they will not be transferred following the completion of the TUPE process (ACAS, 2021</w:t>
      </w:r>
      <w:r w:rsidR="1A3260DF">
        <w:t>b)</w:t>
      </w:r>
      <w:r w:rsidR="152BB497">
        <w:t xml:space="preserve">. </w:t>
      </w:r>
    </w:p>
    <w:p w14:paraId="3BC3EABF" w14:textId="48CF80FA" w:rsidR="391E020D" w:rsidRDefault="391E020D" w:rsidP="30C408E5">
      <w:pPr>
        <w:spacing w:before="240" w:after="240" w:line="279" w:lineRule="auto"/>
        <w:rPr>
          <w:rFonts w:eastAsiaTheme="minorEastAsia"/>
        </w:rPr>
      </w:pPr>
      <w:r w:rsidRPr="008441DC">
        <w:rPr>
          <w:rFonts w:ascii="Arial" w:eastAsiaTheme="minorEastAsia" w:hAnsi="Arial" w:cs="Arial"/>
        </w:rPr>
        <w:t>It is advisable for Charlotte and Madeline to engag</w:t>
      </w:r>
      <w:r w:rsidR="00C721D6" w:rsidRPr="008441DC">
        <w:rPr>
          <w:rFonts w:ascii="Arial" w:eastAsiaTheme="minorEastAsia" w:hAnsi="Arial" w:cs="Arial"/>
        </w:rPr>
        <w:t>e</w:t>
      </w:r>
      <w:r w:rsidRPr="008441DC">
        <w:rPr>
          <w:rFonts w:ascii="Arial" w:eastAsiaTheme="minorEastAsia" w:hAnsi="Arial" w:cs="Arial"/>
        </w:rPr>
        <w:t xml:space="preserve"> in consultations</w:t>
      </w:r>
      <w:r w:rsidR="5B0FB6CF" w:rsidRPr="008441DC">
        <w:rPr>
          <w:rFonts w:ascii="Arial" w:eastAsiaTheme="minorEastAsia" w:hAnsi="Arial" w:cs="Arial"/>
        </w:rPr>
        <w:t xml:space="preserve"> as soon as possible</w:t>
      </w:r>
      <w:r w:rsidRPr="008441DC">
        <w:rPr>
          <w:rFonts w:ascii="Arial" w:eastAsiaTheme="minorEastAsia" w:hAnsi="Arial" w:cs="Arial"/>
        </w:rPr>
        <w:t xml:space="preserve"> with either trade unions, employee representatives, </w:t>
      </w:r>
      <w:r w:rsidR="333B9DCB" w:rsidRPr="008441DC">
        <w:rPr>
          <w:rFonts w:ascii="Arial" w:eastAsiaTheme="minorEastAsia" w:hAnsi="Arial" w:cs="Arial"/>
        </w:rPr>
        <w:t>or directly with the 12 impacted employees to gather their perspectives on the transfer and to ensure they fully understand the implications, and their rights under the TUPE process</w:t>
      </w:r>
      <w:r w:rsidR="57998BF9" w:rsidRPr="008441DC">
        <w:rPr>
          <w:rFonts w:ascii="Arial" w:eastAsiaTheme="minorEastAsia" w:hAnsi="Arial" w:cs="Arial"/>
        </w:rPr>
        <w:t xml:space="preserve"> (Taylor and Woodhams, 2022. P. 100)</w:t>
      </w:r>
      <w:r w:rsidR="333B9DCB" w:rsidRPr="008441DC">
        <w:rPr>
          <w:rFonts w:ascii="Arial" w:eastAsiaTheme="minorEastAsia" w:hAnsi="Arial" w:cs="Arial"/>
        </w:rPr>
        <w:t>. It</w:t>
      </w:r>
      <w:r w:rsidR="33BFCFED" w:rsidRPr="008441DC">
        <w:rPr>
          <w:rFonts w:ascii="Arial" w:eastAsiaTheme="minorEastAsia" w:hAnsi="Arial" w:cs="Arial"/>
        </w:rPr>
        <w:t xml:space="preserve"> is a mandatory requirement to inform and involve employees. Failure to comply may result in affected employees and trade union representatives seeking compensation at an ET, wher</w:t>
      </w:r>
      <w:r w:rsidR="5FB52414" w:rsidRPr="008441DC">
        <w:rPr>
          <w:rFonts w:ascii="Arial" w:eastAsiaTheme="minorEastAsia" w:hAnsi="Arial" w:cs="Arial"/>
        </w:rPr>
        <w:t>e the penalty could be up to 13 weeks of uncapped pay for each affected individual</w:t>
      </w:r>
      <w:r w:rsidR="188AEFA2" w:rsidRPr="008441DC">
        <w:rPr>
          <w:rFonts w:ascii="Arial" w:eastAsiaTheme="minorEastAsia" w:hAnsi="Arial" w:cs="Arial"/>
        </w:rPr>
        <w:t xml:space="preserve"> (</w:t>
      </w:r>
      <w:r w:rsidR="3EDCF887" w:rsidRPr="008441DC">
        <w:rPr>
          <w:rFonts w:ascii="Arial" w:eastAsiaTheme="minorEastAsia" w:hAnsi="Arial" w:cs="Arial"/>
        </w:rPr>
        <w:t>Daniels, 2022.p.211</w:t>
      </w:r>
      <w:r w:rsidR="188AEFA2" w:rsidRPr="008441DC">
        <w:rPr>
          <w:rFonts w:ascii="Arial" w:eastAsiaTheme="minorEastAsia" w:hAnsi="Arial" w:cs="Arial"/>
        </w:rPr>
        <w:t xml:space="preserve">). </w:t>
      </w:r>
    </w:p>
    <w:p w14:paraId="69E3D025" w14:textId="3519B6CD" w:rsidR="007C6DE4" w:rsidRDefault="007C6DE4" w:rsidP="4E52D044">
      <w:pPr>
        <w:spacing w:after="120" w:line="264" w:lineRule="auto"/>
        <w:rPr>
          <w:rFonts w:ascii="Arial" w:eastAsiaTheme="minorEastAsia" w:hAnsi="Arial" w:cs="Arial"/>
          <w:b/>
          <w:bCs/>
        </w:rPr>
      </w:pPr>
      <w:r w:rsidRPr="4E52D044">
        <w:rPr>
          <w:rFonts w:ascii="Arial" w:eastAsiaTheme="minorEastAsia" w:hAnsi="Arial" w:cs="Arial"/>
          <w:b/>
          <w:bCs/>
        </w:rPr>
        <w:t>Charlotte and Madeleine are aware there are changes to the National Minimum Wage each year. They firmly believe that all sales assistants work hard regardless of age and as such should be paid the same. All sales assistants are currently paid £9.00 per hour. They want to check their approach is lawful and wonder whether there are any rights related to pay statements they need to comply with. (AC 4.1)</w:t>
      </w:r>
      <w:r w:rsidR="675A2641" w:rsidRPr="4E52D044">
        <w:rPr>
          <w:rFonts w:ascii="Arial" w:eastAsiaTheme="minorEastAsia" w:hAnsi="Arial" w:cs="Arial"/>
          <w:b/>
          <w:bCs/>
        </w:rPr>
        <w:t xml:space="preserve"> </w:t>
      </w:r>
    </w:p>
    <w:p w14:paraId="001603AD" w14:textId="6D452968" w:rsidR="00F80468" w:rsidRDefault="00892452" w:rsidP="4E52D044">
      <w:pPr>
        <w:spacing w:after="120" w:line="264" w:lineRule="auto"/>
        <w:rPr>
          <w:rFonts w:ascii="Arial" w:eastAsiaTheme="minorEastAsia" w:hAnsi="Arial" w:cs="Arial"/>
        </w:rPr>
      </w:pPr>
      <w:r>
        <w:rPr>
          <w:rFonts w:ascii="Arial" w:eastAsiaTheme="minorEastAsia" w:hAnsi="Arial" w:cs="Arial"/>
        </w:rPr>
        <w:t>According to the provisions of the National Minim</w:t>
      </w:r>
      <w:r w:rsidR="000A4EAB">
        <w:rPr>
          <w:rFonts w:ascii="Arial" w:eastAsiaTheme="minorEastAsia" w:hAnsi="Arial" w:cs="Arial"/>
        </w:rPr>
        <w:t>um Wage (NMW) Act 1998, Charlotte and Madeline have been informed under this Act, employees have the entitlement to receive a specified</w:t>
      </w:r>
      <w:r w:rsidR="00FF6250">
        <w:rPr>
          <w:rFonts w:ascii="Arial" w:eastAsiaTheme="minorEastAsia" w:hAnsi="Arial" w:cs="Arial"/>
        </w:rPr>
        <w:t xml:space="preserve"> minimum hourly wage (Daniels, 2022.p.97). The breakdown of the rates are as follows:</w:t>
      </w:r>
      <w:r w:rsidR="000A4EAB">
        <w:rPr>
          <w:rFonts w:ascii="Arial" w:eastAsiaTheme="minorEastAsia" w:hAnsi="Arial" w:cs="Arial"/>
        </w:rPr>
        <w:t xml:space="preserve"> </w:t>
      </w:r>
    </w:p>
    <w:p w14:paraId="31FBFD07" w14:textId="10DB4FCE" w:rsidR="005B7545" w:rsidRDefault="00565F17" w:rsidP="00565F17">
      <w:pPr>
        <w:spacing w:after="0" w:line="240" w:lineRule="auto"/>
        <w:textAlignment w:val="baseline"/>
        <w:rPr>
          <w:rFonts w:ascii="Arial" w:eastAsiaTheme="minorEastAsia" w:hAnsi="Arial" w:cs="Arial"/>
        </w:rPr>
      </w:pPr>
      <w:r>
        <w:rPr>
          <w:noProof/>
        </w:rPr>
        <w:drawing>
          <wp:inline distT="0" distB="0" distL="0" distR="0" wp14:anchorId="20837005" wp14:editId="0775C598">
            <wp:extent cx="4601210" cy="935433"/>
            <wp:effectExtent l="0" t="0" r="8890" b="0"/>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4613567" cy="937945"/>
                    </a:xfrm>
                    <a:prstGeom prst="rect">
                      <a:avLst/>
                    </a:prstGeom>
                    <a:effectLst>
                      <a:innerShdw blurRad="114300">
                        <a:prstClr val="black"/>
                      </a:innerShdw>
                    </a:effectLst>
                  </pic:spPr>
                </pic:pic>
              </a:graphicData>
            </a:graphic>
          </wp:inline>
        </w:drawing>
      </w:r>
      <w:r>
        <w:rPr>
          <w:rFonts w:ascii="Arial" w:eastAsiaTheme="minorEastAsia" w:hAnsi="Arial" w:cs="Arial"/>
        </w:rPr>
        <w:t xml:space="preserve"> </w:t>
      </w:r>
      <w:r w:rsidR="00124B4E">
        <w:rPr>
          <w:rFonts w:ascii="Arial" w:eastAsiaTheme="minorEastAsia" w:hAnsi="Arial" w:cs="Arial"/>
        </w:rPr>
        <w:t xml:space="preserve">(ACAS, </w:t>
      </w:r>
      <w:r w:rsidR="007F7748">
        <w:rPr>
          <w:rFonts w:ascii="Arial" w:eastAsiaTheme="minorEastAsia" w:hAnsi="Arial" w:cs="Arial"/>
        </w:rPr>
        <w:t>2024e)</w:t>
      </w:r>
    </w:p>
    <w:p w14:paraId="4699E956" w14:textId="77777777" w:rsidR="00D1073A" w:rsidRDefault="00D1073A" w:rsidP="00D1073A">
      <w:pPr>
        <w:spacing w:after="0" w:line="240" w:lineRule="auto"/>
        <w:ind w:left="1170"/>
        <w:textAlignment w:val="baseline"/>
        <w:rPr>
          <w:rFonts w:ascii="Arial" w:eastAsiaTheme="minorEastAsia" w:hAnsi="Arial" w:cs="Arial"/>
        </w:rPr>
      </w:pPr>
    </w:p>
    <w:p w14:paraId="0F3CCE4D" w14:textId="566D3B99" w:rsidR="0073350D" w:rsidRDefault="00284A47" w:rsidP="0073350D">
      <w:pPr>
        <w:spacing w:after="0" w:line="240" w:lineRule="auto"/>
        <w:textAlignment w:val="baseline"/>
        <w:rPr>
          <w:rFonts w:ascii="Arial" w:eastAsiaTheme="minorEastAsia" w:hAnsi="Arial" w:cs="Arial"/>
        </w:rPr>
      </w:pPr>
      <w:r>
        <w:rPr>
          <w:rFonts w:ascii="Arial" w:eastAsiaTheme="minorEastAsia" w:hAnsi="Arial" w:cs="Arial"/>
        </w:rPr>
        <w:lastRenderedPageBreak/>
        <w:t xml:space="preserve">The government reviews </w:t>
      </w:r>
      <w:r w:rsidR="006E223C">
        <w:rPr>
          <w:rFonts w:ascii="Arial" w:eastAsiaTheme="minorEastAsia" w:hAnsi="Arial" w:cs="Arial"/>
        </w:rPr>
        <w:t xml:space="preserve">minimum wage rates </w:t>
      </w:r>
      <w:r w:rsidR="00A02C69">
        <w:rPr>
          <w:rFonts w:ascii="Arial" w:eastAsiaTheme="minorEastAsia" w:hAnsi="Arial" w:cs="Arial"/>
        </w:rPr>
        <w:t>annually</w:t>
      </w:r>
      <w:r w:rsidR="006E223C">
        <w:rPr>
          <w:rFonts w:ascii="Arial" w:eastAsiaTheme="minorEastAsia" w:hAnsi="Arial" w:cs="Arial"/>
        </w:rPr>
        <w:t xml:space="preserve"> and these are usually updated in April, therefor Charlotte and Madeline need to </w:t>
      </w:r>
      <w:r w:rsidR="002F0B10">
        <w:rPr>
          <w:rFonts w:ascii="Arial" w:eastAsiaTheme="minorEastAsia" w:hAnsi="Arial" w:cs="Arial"/>
        </w:rPr>
        <w:t>continuously review and ensure all employees are being paid in accordance with</w:t>
      </w:r>
      <w:r w:rsidR="00B53488">
        <w:rPr>
          <w:rFonts w:ascii="Arial" w:eastAsiaTheme="minorEastAsia" w:hAnsi="Arial" w:cs="Arial"/>
        </w:rPr>
        <w:t xml:space="preserve"> the law. As of </w:t>
      </w:r>
      <w:r w:rsidR="00363D0B">
        <w:rPr>
          <w:rFonts w:ascii="Arial" w:eastAsiaTheme="minorEastAsia" w:hAnsi="Arial" w:cs="Arial"/>
        </w:rPr>
        <w:t>April 2024,</w:t>
      </w:r>
      <w:r w:rsidR="00B53488">
        <w:rPr>
          <w:rFonts w:ascii="Arial" w:eastAsiaTheme="minorEastAsia" w:hAnsi="Arial" w:cs="Arial"/>
        </w:rPr>
        <w:t xml:space="preserve"> current rates of pay are </w:t>
      </w:r>
      <w:r w:rsidR="00363D0B">
        <w:rPr>
          <w:rFonts w:ascii="Arial" w:eastAsiaTheme="minorEastAsia" w:hAnsi="Arial" w:cs="Arial"/>
        </w:rPr>
        <w:t>depicted below</w:t>
      </w:r>
      <w:r w:rsidR="00714554">
        <w:rPr>
          <w:rFonts w:ascii="Arial" w:eastAsiaTheme="minorEastAsia" w:hAnsi="Arial" w:cs="Arial"/>
        </w:rPr>
        <w:t xml:space="preserve"> (ACAS, 2024e)</w:t>
      </w:r>
      <w:r w:rsidR="00363D0B">
        <w:rPr>
          <w:rFonts w:ascii="Arial" w:eastAsiaTheme="minorEastAsia" w:hAnsi="Arial" w:cs="Arial"/>
        </w:rPr>
        <w:t xml:space="preserve">: </w:t>
      </w:r>
    </w:p>
    <w:p w14:paraId="18B46ECD" w14:textId="77777777" w:rsidR="00363D0B" w:rsidRDefault="00363D0B" w:rsidP="0073350D">
      <w:pPr>
        <w:spacing w:after="0" w:line="240" w:lineRule="auto"/>
        <w:textAlignment w:val="baseline"/>
        <w:rPr>
          <w:rFonts w:ascii="Arial" w:eastAsiaTheme="minorEastAsia" w:hAnsi="Arial" w:cs="Arial"/>
        </w:rPr>
      </w:pPr>
    </w:p>
    <w:p w14:paraId="18E776E2" w14:textId="5CC67943" w:rsidR="00363D0B" w:rsidRDefault="00206952" w:rsidP="0073350D">
      <w:pPr>
        <w:spacing w:after="0" w:line="240" w:lineRule="auto"/>
        <w:textAlignment w:val="baseline"/>
        <w:rPr>
          <w:rFonts w:ascii="Arial" w:eastAsiaTheme="minorEastAsia" w:hAnsi="Arial" w:cs="Arial"/>
        </w:rPr>
      </w:pPr>
      <w:r>
        <w:rPr>
          <w:noProof/>
        </w:rPr>
        <w:drawing>
          <wp:inline distT="0" distB="0" distL="0" distR="0" wp14:anchorId="7B5344A6" wp14:editId="4E21F202">
            <wp:extent cx="4518660" cy="2210269"/>
            <wp:effectExtent l="0" t="0" r="0" b="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4547022" cy="2224142"/>
                    </a:xfrm>
                    <a:prstGeom prst="rect">
                      <a:avLst/>
                    </a:prstGeom>
                  </pic:spPr>
                </pic:pic>
              </a:graphicData>
            </a:graphic>
          </wp:inline>
        </w:drawing>
      </w:r>
      <w:r>
        <w:rPr>
          <w:rFonts w:ascii="Arial" w:eastAsiaTheme="minorEastAsia" w:hAnsi="Arial" w:cs="Arial"/>
        </w:rPr>
        <w:t>(ACAS, 2024e)</w:t>
      </w:r>
    </w:p>
    <w:p w14:paraId="3FD1AFE6" w14:textId="77777777" w:rsidR="00EA74A7" w:rsidRDefault="00EA74A7" w:rsidP="0073350D">
      <w:pPr>
        <w:spacing w:after="0" w:line="240" w:lineRule="auto"/>
        <w:textAlignment w:val="baseline"/>
        <w:rPr>
          <w:rFonts w:ascii="Arial" w:eastAsiaTheme="minorEastAsia" w:hAnsi="Arial" w:cs="Arial"/>
        </w:rPr>
      </w:pPr>
    </w:p>
    <w:p w14:paraId="15F6E063" w14:textId="42CD4362" w:rsidR="00714554" w:rsidRDefault="001D259E" w:rsidP="0073350D">
      <w:pPr>
        <w:spacing w:after="0" w:line="240" w:lineRule="auto"/>
        <w:textAlignment w:val="baseline"/>
        <w:rPr>
          <w:rFonts w:ascii="Arial" w:eastAsiaTheme="minorEastAsia" w:hAnsi="Arial" w:cs="Arial"/>
        </w:rPr>
      </w:pPr>
      <w:r>
        <w:rPr>
          <w:rFonts w:ascii="Arial" w:eastAsiaTheme="minorEastAsia" w:hAnsi="Arial" w:cs="Arial"/>
        </w:rPr>
        <w:t>As e</w:t>
      </w:r>
      <w:r w:rsidR="00F34CAB">
        <w:rPr>
          <w:rFonts w:ascii="Arial" w:eastAsiaTheme="minorEastAsia" w:hAnsi="Arial" w:cs="Arial"/>
        </w:rPr>
        <w:t>mployers</w:t>
      </w:r>
      <w:r>
        <w:rPr>
          <w:rFonts w:ascii="Arial" w:eastAsiaTheme="minorEastAsia" w:hAnsi="Arial" w:cs="Arial"/>
        </w:rPr>
        <w:t xml:space="preserve">, Charlotte and Madeline are also </w:t>
      </w:r>
      <w:r w:rsidR="00F34CAB">
        <w:rPr>
          <w:rFonts w:ascii="Arial" w:eastAsiaTheme="minorEastAsia" w:hAnsi="Arial" w:cs="Arial"/>
        </w:rPr>
        <w:t>mandate</w:t>
      </w:r>
      <w:r>
        <w:rPr>
          <w:rFonts w:ascii="Arial" w:eastAsiaTheme="minorEastAsia" w:hAnsi="Arial" w:cs="Arial"/>
        </w:rPr>
        <w:t>d</w:t>
      </w:r>
      <w:r w:rsidR="00F34CAB">
        <w:rPr>
          <w:rFonts w:ascii="Arial" w:eastAsiaTheme="minorEastAsia" w:hAnsi="Arial" w:cs="Arial"/>
        </w:rPr>
        <w:t xml:space="preserve"> to maintain payment records for at</w:t>
      </w:r>
      <w:r w:rsidR="00836837">
        <w:rPr>
          <w:rFonts w:ascii="Arial" w:eastAsiaTheme="minorEastAsia" w:hAnsi="Arial" w:cs="Arial"/>
        </w:rPr>
        <w:t xml:space="preserve"> least three years. </w:t>
      </w:r>
      <w:r w:rsidR="00C75F39">
        <w:rPr>
          <w:rFonts w:ascii="Arial" w:eastAsiaTheme="minorEastAsia" w:hAnsi="Arial" w:cs="Arial"/>
        </w:rPr>
        <w:t>If</w:t>
      </w:r>
      <w:r w:rsidR="00836837">
        <w:rPr>
          <w:rFonts w:ascii="Arial" w:eastAsiaTheme="minorEastAsia" w:hAnsi="Arial" w:cs="Arial"/>
        </w:rPr>
        <w:t xml:space="preserve"> an employee suspects discrepancies in their pay as per NMW laws, or if </w:t>
      </w:r>
      <w:r w:rsidR="002E6F30">
        <w:rPr>
          <w:rFonts w:ascii="Arial" w:eastAsiaTheme="minorEastAsia" w:hAnsi="Arial" w:cs="Arial"/>
        </w:rPr>
        <w:t>an employer</w:t>
      </w:r>
      <w:r w:rsidR="00D06FB2">
        <w:rPr>
          <w:rFonts w:ascii="Arial" w:eastAsiaTheme="minorEastAsia" w:hAnsi="Arial" w:cs="Arial"/>
        </w:rPr>
        <w:t xml:space="preserve"> </w:t>
      </w:r>
      <w:r w:rsidR="007250A7">
        <w:rPr>
          <w:rFonts w:ascii="Arial" w:eastAsiaTheme="minorEastAsia" w:hAnsi="Arial" w:cs="Arial"/>
        </w:rPr>
        <w:t>decline</w:t>
      </w:r>
      <w:r w:rsidR="00E57FD7">
        <w:rPr>
          <w:rFonts w:ascii="Arial" w:eastAsiaTheme="minorEastAsia" w:hAnsi="Arial" w:cs="Arial"/>
        </w:rPr>
        <w:t>s</w:t>
      </w:r>
      <w:r w:rsidR="007250A7">
        <w:rPr>
          <w:rFonts w:ascii="Arial" w:eastAsiaTheme="minorEastAsia" w:hAnsi="Arial" w:cs="Arial"/>
        </w:rPr>
        <w:t xml:space="preserve"> to provide access to the records, the employee has the </w:t>
      </w:r>
      <w:r w:rsidR="00C75F39">
        <w:rPr>
          <w:rFonts w:ascii="Arial" w:eastAsiaTheme="minorEastAsia" w:hAnsi="Arial" w:cs="Arial"/>
        </w:rPr>
        <w:t>right</w:t>
      </w:r>
      <w:r w:rsidR="007250A7">
        <w:rPr>
          <w:rFonts w:ascii="Arial" w:eastAsiaTheme="minorEastAsia" w:hAnsi="Arial" w:cs="Arial"/>
        </w:rPr>
        <w:t xml:space="preserve"> to file a complaint with an ET</w:t>
      </w:r>
      <w:r w:rsidR="007B1FC3">
        <w:rPr>
          <w:rFonts w:ascii="Arial" w:eastAsiaTheme="minorEastAsia" w:hAnsi="Arial" w:cs="Arial"/>
        </w:rPr>
        <w:t>. Consequences on non-compliance include a fine of up to £20,000 per employee, as well as public identificat</w:t>
      </w:r>
      <w:r w:rsidR="00383DF2">
        <w:rPr>
          <w:rFonts w:ascii="Arial" w:eastAsiaTheme="minorEastAsia" w:hAnsi="Arial" w:cs="Arial"/>
        </w:rPr>
        <w:t xml:space="preserve">ion of the offending employers by the government (Daniels, 2022.p.99). </w:t>
      </w:r>
    </w:p>
    <w:p w14:paraId="579E4CBB" w14:textId="77777777" w:rsidR="003A40BD" w:rsidRDefault="003A40BD" w:rsidP="0073350D">
      <w:pPr>
        <w:spacing w:after="0" w:line="240" w:lineRule="auto"/>
        <w:textAlignment w:val="baseline"/>
        <w:rPr>
          <w:rFonts w:ascii="Arial" w:eastAsiaTheme="minorEastAsia" w:hAnsi="Arial" w:cs="Arial"/>
        </w:rPr>
      </w:pPr>
    </w:p>
    <w:p w14:paraId="67EAA7F2" w14:textId="7B8CC89D" w:rsidR="003A40BD" w:rsidRDefault="00E42E47" w:rsidP="0073350D">
      <w:pPr>
        <w:spacing w:after="0" w:line="240" w:lineRule="auto"/>
        <w:textAlignment w:val="baseline"/>
        <w:rPr>
          <w:rFonts w:ascii="Arial" w:eastAsiaTheme="minorEastAsia" w:hAnsi="Arial" w:cs="Arial"/>
        </w:rPr>
      </w:pPr>
      <w:r>
        <w:rPr>
          <w:rFonts w:ascii="Arial" w:eastAsiaTheme="minorEastAsia" w:hAnsi="Arial" w:cs="Arial"/>
        </w:rPr>
        <w:t>In addition to the above, Charlotte and Madeline have also been advised that</w:t>
      </w:r>
      <w:r w:rsidR="00736C45">
        <w:rPr>
          <w:rFonts w:ascii="Arial" w:eastAsiaTheme="minorEastAsia" w:hAnsi="Arial" w:cs="Arial"/>
        </w:rPr>
        <w:t xml:space="preserve"> in accordance with </w:t>
      </w:r>
      <w:r w:rsidR="00736C45" w:rsidRPr="00736C45">
        <w:rPr>
          <w:rFonts w:ascii="Arial" w:eastAsiaTheme="minorEastAsia" w:hAnsi="Arial" w:cs="Arial"/>
          <w:i/>
          <w:iCs/>
        </w:rPr>
        <w:t>The Employment Rights Act</w:t>
      </w:r>
      <w:r w:rsidR="00736C45">
        <w:rPr>
          <w:rFonts w:ascii="Arial" w:eastAsiaTheme="minorEastAsia" w:hAnsi="Arial" w:cs="Arial"/>
        </w:rPr>
        <w:t xml:space="preserve"> 1996</w:t>
      </w:r>
      <w:r>
        <w:rPr>
          <w:rFonts w:ascii="Arial" w:eastAsiaTheme="minorEastAsia" w:hAnsi="Arial" w:cs="Arial"/>
        </w:rPr>
        <w:t xml:space="preserve"> </w:t>
      </w:r>
      <w:r w:rsidR="00321218">
        <w:rPr>
          <w:rFonts w:ascii="Arial" w:eastAsiaTheme="minorEastAsia" w:hAnsi="Arial" w:cs="Arial"/>
        </w:rPr>
        <w:t>every employee is entitled by law to receive a written payslip or statement prior to or at the time of payment</w:t>
      </w:r>
      <w:r w:rsidR="00BC293D">
        <w:rPr>
          <w:rFonts w:ascii="Arial" w:eastAsiaTheme="minorEastAsia" w:hAnsi="Arial" w:cs="Arial"/>
        </w:rPr>
        <w:t xml:space="preserve"> (</w:t>
      </w:r>
      <w:r w:rsidR="002C77D8">
        <w:rPr>
          <w:rFonts w:ascii="Arial" w:eastAsiaTheme="minorEastAsia" w:hAnsi="Arial" w:cs="Arial"/>
        </w:rPr>
        <w:t>Daniels</w:t>
      </w:r>
      <w:r w:rsidR="00845C7C">
        <w:rPr>
          <w:rFonts w:ascii="Arial" w:eastAsiaTheme="minorEastAsia" w:hAnsi="Arial" w:cs="Arial"/>
        </w:rPr>
        <w:t>, 2022. p.93</w:t>
      </w:r>
      <w:r w:rsidR="00BC293D">
        <w:rPr>
          <w:rFonts w:ascii="Arial" w:eastAsiaTheme="minorEastAsia" w:hAnsi="Arial" w:cs="Arial"/>
        </w:rPr>
        <w:t>)</w:t>
      </w:r>
      <w:r w:rsidR="00321218">
        <w:rPr>
          <w:rFonts w:ascii="Arial" w:eastAsiaTheme="minorEastAsia" w:hAnsi="Arial" w:cs="Arial"/>
        </w:rPr>
        <w:t xml:space="preserve">. </w:t>
      </w:r>
      <w:r w:rsidR="007627A3">
        <w:rPr>
          <w:rFonts w:ascii="Arial" w:eastAsiaTheme="minorEastAsia" w:hAnsi="Arial" w:cs="Arial"/>
        </w:rPr>
        <w:t xml:space="preserve">The contents of the pay statement </w:t>
      </w:r>
      <w:r w:rsidR="007A4265">
        <w:rPr>
          <w:rFonts w:ascii="Arial" w:eastAsiaTheme="minorEastAsia" w:hAnsi="Arial" w:cs="Arial"/>
        </w:rPr>
        <w:t xml:space="preserve">were </w:t>
      </w:r>
      <w:r w:rsidR="004D7E83">
        <w:rPr>
          <w:rFonts w:ascii="Arial" w:eastAsiaTheme="minorEastAsia" w:hAnsi="Arial" w:cs="Arial"/>
        </w:rPr>
        <w:t>updated</w:t>
      </w:r>
      <w:r w:rsidR="007A4265">
        <w:rPr>
          <w:rFonts w:ascii="Arial" w:eastAsiaTheme="minorEastAsia" w:hAnsi="Arial" w:cs="Arial"/>
        </w:rPr>
        <w:t xml:space="preserve"> </w:t>
      </w:r>
      <w:r w:rsidR="00FF032D">
        <w:rPr>
          <w:rFonts w:ascii="Arial" w:eastAsiaTheme="minorEastAsia" w:hAnsi="Arial" w:cs="Arial"/>
        </w:rPr>
        <w:t>in</w:t>
      </w:r>
      <w:r w:rsidR="007A4265">
        <w:rPr>
          <w:rFonts w:ascii="Arial" w:eastAsiaTheme="minorEastAsia" w:hAnsi="Arial" w:cs="Arial"/>
        </w:rPr>
        <w:t xml:space="preserve"> April 2019, and now must include: </w:t>
      </w:r>
    </w:p>
    <w:p w14:paraId="7470EC49" w14:textId="77777777" w:rsidR="007A4265" w:rsidRDefault="007A4265" w:rsidP="0073350D">
      <w:pPr>
        <w:spacing w:after="0" w:line="240" w:lineRule="auto"/>
        <w:textAlignment w:val="baseline"/>
        <w:rPr>
          <w:rFonts w:ascii="Arial" w:eastAsiaTheme="minorEastAsia" w:hAnsi="Arial" w:cs="Arial"/>
        </w:rPr>
      </w:pPr>
    </w:p>
    <w:p w14:paraId="5EEA2C54" w14:textId="3701531E" w:rsidR="007A4265" w:rsidRDefault="007A4265" w:rsidP="007A4265">
      <w:pPr>
        <w:pStyle w:val="ListParagraph"/>
        <w:numPr>
          <w:ilvl w:val="0"/>
          <w:numId w:val="13"/>
        </w:numPr>
        <w:spacing w:line="240" w:lineRule="auto"/>
        <w:textAlignment w:val="baseline"/>
        <w:rPr>
          <w:rFonts w:eastAsiaTheme="minorEastAsia" w:cs="Arial"/>
        </w:rPr>
      </w:pPr>
      <w:r>
        <w:rPr>
          <w:rFonts w:eastAsiaTheme="minorEastAsia" w:cs="Arial"/>
        </w:rPr>
        <w:t>Gross Salary</w:t>
      </w:r>
    </w:p>
    <w:p w14:paraId="17B82B4A" w14:textId="1E6F5257" w:rsidR="007A4265" w:rsidRDefault="00A45167" w:rsidP="007A4265">
      <w:pPr>
        <w:pStyle w:val="ListParagraph"/>
        <w:numPr>
          <w:ilvl w:val="0"/>
          <w:numId w:val="13"/>
        </w:numPr>
        <w:spacing w:line="240" w:lineRule="auto"/>
        <w:textAlignment w:val="baseline"/>
        <w:rPr>
          <w:rFonts w:eastAsiaTheme="minorEastAsia" w:cs="Arial"/>
        </w:rPr>
      </w:pPr>
      <w:r>
        <w:rPr>
          <w:rFonts w:eastAsiaTheme="minorEastAsia" w:cs="Arial"/>
        </w:rPr>
        <w:t>Elements of variable pay</w:t>
      </w:r>
    </w:p>
    <w:p w14:paraId="08520357" w14:textId="087BE404" w:rsidR="00A45167" w:rsidRDefault="00A45167" w:rsidP="007A4265">
      <w:pPr>
        <w:pStyle w:val="ListParagraph"/>
        <w:numPr>
          <w:ilvl w:val="0"/>
          <w:numId w:val="13"/>
        </w:numPr>
        <w:spacing w:line="240" w:lineRule="auto"/>
        <w:textAlignment w:val="baseline"/>
        <w:rPr>
          <w:rFonts w:eastAsiaTheme="minorEastAsia" w:cs="Arial"/>
        </w:rPr>
      </w:pPr>
      <w:r>
        <w:rPr>
          <w:rFonts w:eastAsiaTheme="minorEastAsia" w:cs="Arial"/>
        </w:rPr>
        <w:t>Any deductions from gross amount, and their purpose</w:t>
      </w:r>
    </w:p>
    <w:p w14:paraId="2787BDDF" w14:textId="33701B2A" w:rsidR="00A45167" w:rsidRDefault="00A45167" w:rsidP="007A4265">
      <w:pPr>
        <w:pStyle w:val="ListParagraph"/>
        <w:numPr>
          <w:ilvl w:val="0"/>
          <w:numId w:val="13"/>
        </w:numPr>
        <w:spacing w:line="240" w:lineRule="auto"/>
        <w:textAlignment w:val="baseline"/>
        <w:rPr>
          <w:rFonts w:eastAsiaTheme="minorEastAsia" w:cs="Arial"/>
        </w:rPr>
      </w:pPr>
      <w:r>
        <w:rPr>
          <w:rFonts w:eastAsiaTheme="minorEastAsia" w:cs="Arial"/>
        </w:rPr>
        <w:t>Net salary</w:t>
      </w:r>
    </w:p>
    <w:p w14:paraId="190E2C07" w14:textId="73A52657" w:rsidR="00545123" w:rsidRDefault="00545123" w:rsidP="007A4265">
      <w:pPr>
        <w:pStyle w:val="ListParagraph"/>
        <w:numPr>
          <w:ilvl w:val="0"/>
          <w:numId w:val="13"/>
        </w:numPr>
        <w:spacing w:line="240" w:lineRule="auto"/>
        <w:textAlignment w:val="baseline"/>
        <w:rPr>
          <w:rFonts w:eastAsiaTheme="minorEastAsia" w:cs="Arial"/>
        </w:rPr>
      </w:pPr>
      <w:r>
        <w:rPr>
          <w:rFonts w:eastAsiaTheme="minorEastAsia" w:cs="Arial"/>
        </w:rPr>
        <w:t>Amount and method of any part payments</w:t>
      </w:r>
      <w:r w:rsidR="00B06A71">
        <w:rPr>
          <w:rFonts w:eastAsiaTheme="minorEastAsia" w:cs="Arial"/>
        </w:rPr>
        <w:t xml:space="preserve"> (Daniels, 2022.p.93)</w:t>
      </w:r>
    </w:p>
    <w:p w14:paraId="65484B04" w14:textId="77777777" w:rsidR="00B06A71" w:rsidRDefault="00B06A71" w:rsidP="00B06A71">
      <w:pPr>
        <w:spacing w:line="240" w:lineRule="auto"/>
        <w:textAlignment w:val="baseline"/>
        <w:rPr>
          <w:rFonts w:eastAsiaTheme="minorEastAsia" w:cs="Arial"/>
        </w:rPr>
      </w:pPr>
    </w:p>
    <w:p w14:paraId="1F17CFE6" w14:textId="70337A34" w:rsidR="00B06A71" w:rsidRDefault="00492738" w:rsidP="00B06A71">
      <w:pPr>
        <w:spacing w:line="240" w:lineRule="auto"/>
        <w:textAlignment w:val="baseline"/>
        <w:rPr>
          <w:rFonts w:ascii="Arial" w:eastAsiaTheme="minorEastAsia" w:hAnsi="Arial" w:cs="Arial"/>
        </w:rPr>
      </w:pPr>
      <w:r w:rsidRPr="00492738">
        <w:rPr>
          <w:rFonts w:ascii="Arial" w:eastAsiaTheme="minorEastAsia" w:hAnsi="Arial" w:cs="Arial"/>
        </w:rPr>
        <w:t>If</w:t>
      </w:r>
      <w:r w:rsidR="00E96C0E" w:rsidRPr="00492738">
        <w:rPr>
          <w:rFonts w:ascii="Arial" w:eastAsiaTheme="minorEastAsia" w:hAnsi="Arial" w:cs="Arial"/>
        </w:rPr>
        <w:t xml:space="preserve"> an employee does not receive a pay statement, they may seek relief through</w:t>
      </w:r>
      <w:r w:rsidR="00EB45F1" w:rsidRPr="00492738">
        <w:rPr>
          <w:rFonts w:ascii="Arial" w:eastAsiaTheme="minorEastAsia" w:hAnsi="Arial" w:cs="Arial"/>
        </w:rPr>
        <w:t xml:space="preserve"> the ET to request declaration of the specific details. Should any unauthorised deductions have been taken within the 13 weeks prior to the </w:t>
      </w:r>
      <w:r w:rsidRPr="00492738">
        <w:rPr>
          <w:rFonts w:ascii="Arial" w:eastAsiaTheme="minorEastAsia" w:hAnsi="Arial" w:cs="Arial"/>
        </w:rPr>
        <w:t>tribunal application, the tribunal can instruct the employer to reimburse said deductions</w:t>
      </w:r>
      <w:r>
        <w:rPr>
          <w:rFonts w:ascii="Arial" w:eastAsiaTheme="minorEastAsia" w:hAnsi="Arial" w:cs="Arial"/>
        </w:rPr>
        <w:t xml:space="preserve"> (Daniels, 2022.p.</w:t>
      </w:r>
      <w:r w:rsidR="00865F5E">
        <w:rPr>
          <w:rFonts w:ascii="Arial" w:eastAsiaTheme="minorEastAsia" w:hAnsi="Arial" w:cs="Arial"/>
        </w:rPr>
        <w:t xml:space="preserve">93). </w:t>
      </w:r>
    </w:p>
    <w:p w14:paraId="535D7E41" w14:textId="7359CA94" w:rsidR="00B261A6" w:rsidRDefault="00B261A6" w:rsidP="00B06A71">
      <w:pPr>
        <w:spacing w:line="240" w:lineRule="auto"/>
        <w:textAlignment w:val="baseline"/>
        <w:rPr>
          <w:rFonts w:ascii="Arial" w:eastAsiaTheme="minorEastAsia" w:hAnsi="Arial" w:cs="Arial"/>
        </w:rPr>
      </w:pPr>
      <w:r>
        <w:rPr>
          <w:rFonts w:ascii="Arial" w:eastAsiaTheme="minorEastAsia" w:hAnsi="Arial" w:cs="Arial"/>
        </w:rPr>
        <w:t xml:space="preserve">Lawful deductions are shown in the image below: </w:t>
      </w:r>
    </w:p>
    <w:p w14:paraId="5EF8940E" w14:textId="5A6C6E32" w:rsidR="00A4076F" w:rsidRPr="00EE13B4" w:rsidRDefault="008F07C7" w:rsidP="008F07C7">
      <w:pPr>
        <w:spacing w:after="0" w:line="240" w:lineRule="auto"/>
        <w:textAlignment w:val="baseline"/>
        <w:rPr>
          <w:rFonts w:eastAsiaTheme="minorEastAsia" w:cs="Arial"/>
        </w:rPr>
      </w:pPr>
      <w:r>
        <w:rPr>
          <w:noProof/>
        </w:rPr>
        <w:lastRenderedPageBreak/>
        <w:drawing>
          <wp:inline distT="0" distB="0" distL="0" distR="0" wp14:anchorId="07FF44F8" wp14:editId="3163646E">
            <wp:extent cx="4251734" cy="2317115"/>
            <wp:effectExtent l="0" t="0" r="0" b="6985"/>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4263947" cy="2323771"/>
                    </a:xfrm>
                    <a:prstGeom prst="rect">
                      <a:avLst/>
                    </a:prstGeom>
                    <a:effectLst>
                      <a:innerShdw blurRad="114300">
                        <a:prstClr val="black"/>
                      </a:innerShdw>
                    </a:effectLst>
                  </pic:spPr>
                </pic:pic>
              </a:graphicData>
            </a:graphic>
          </wp:inline>
        </w:drawing>
      </w:r>
      <w:r>
        <w:rPr>
          <w:rFonts w:ascii="Arial" w:eastAsiaTheme="minorEastAsia" w:hAnsi="Arial" w:cs="Arial"/>
        </w:rPr>
        <w:t xml:space="preserve"> </w:t>
      </w:r>
      <w:r w:rsidR="00EE13B4">
        <w:rPr>
          <w:rFonts w:ascii="Arial" w:eastAsiaTheme="minorEastAsia" w:hAnsi="Arial" w:cs="Arial"/>
        </w:rPr>
        <w:t xml:space="preserve">(ACAS, 2024f). </w:t>
      </w:r>
    </w:p>
    <w:p w14:paraId="0C2C625C" w14:textId="77777777" w:rsidR="004E0A8E" w:rsidRPr="005B7545" w:rsidRDefault="004E0A8E" w:rsidP="0073350D">
      <w:pPr>
        <w:spacing w:after="0" w:line="240" w:lineRule="auto"/>
        <w:textAlignment w:val="baseline"/>
        <w:rPr>
          <w:rFonts w:ascii="Arial" w:eastAsiaTheme="minorEastAsia" w:hAnsi="Arial" w:cs="Arial"/>
        </w:rPr>
      </w:pPr>
    </w:p>
    <w:p w14:paraId="446065CE" w14:textId="734FFF93" w:rsidR="00F80468" w:rsidRPr="00645F94" w:rsidRDefault="00C77BFD" w:rsidP="4E52D044">
      <w:pPr>
        <w:spacing w:after="120" w:line="264" w:lineRule="auto"/>
        <w:rPr>
          <w:rFonts w:ascii="Arial" w:eastAsiaTheme="minorEastAsia" w:hAnsi="Arial" w:cs="Arial"/>
        </w:rPr>
      </w:pPr>
      <w:r>
        <w:rPr>
          <w:rFonts w:ascii="Arial" w:eastAsiaTheme="minorEastAsia" w:hAnsi="Arial" w:cs="Arial"/>
        </w:rPr>
        <w:t xml:space="preserve">To conclude, it </w:t>
      </w:r>
      <w:r w:rsidR="004A26E4">
        <w:rPr>
          <w:rFonts w:ascii="Arial" w:eastAsiaTheme="minorEastAsia" w:hAnsi="Arial" w:cs="Arial"/>
        </w:rPr>
        <w:t xml:space="preserve">has </w:t>
      </w:r>
      <w:r>
        <w:rPr>
          <w:rFonts w:ascii="Arial" w:eastAsiaTheme="minorEastAsia" w:hAnsi="Arial" w:cs="Arial"/>
        </w:rPr>
        <w:t xml:space="preserve">been advised that Charlotte and Madeline </w:t>
      </w:r>
      <w:r w:rsidR="008C2AE2">
        <w:rPr>
          <w:rFonts w:ascii="Arial" w:eastAsiaTheme="minorEastAsia" w:hAnsi="Arial" w:cs="Arial"/>
        </w:rPr>
        <w:t>undertaken</w:t>
      </w:r>
      <w:r>
        <w:rPr>
          <w:rFonts w:ascii="Arial" w:eastAsiaTheme="minorEastAsia" w:hAnsi="Arial" w:cs="Arial"/>
        </w:rPr>
        <w:t xml:space="preserve"> an audit of </w:t>
      </w:r>
      <w:r w:rsidR="00786377">
        <w:rPr>
          <w:rFonts w:ascii="Arial" w:eastAsiaTheme="minorEastAsia" w:hAnsi="Arial" w:cs="Arial"/>
        </w:rPr>
        <w:t xml:space="preserve">all employees to ensure all </w:t>
      </w:r>
      <w:r w:rsidR="008C2AE2">
        <w:rPr>
          <w:rFonts w:ascii="Arial" w:eastAsiaTheme="minorEastAsia" w:hAnsi="Arial" w:cs="Arial"/>
        </w:rPr>
        <w:t>are</w:t>
      </w:r>
      <w:r w:rsidR="00786377">
        <w:rPr>
          <w:rFonts w:ascii="Arial" w:eastAsiaTheme="minorEastAsia" w:hAnsi="Arial" w:cs="Arial"/>
        </w:rPr>
        <w:t xml:space="preserve"> being paid in accordance with NMW regulations</w:t>
      </w:r>
      <w:r w:rsidR="008C2AE2">
        <w:rPr>
          <w:rFonts w:ascii="Arial" w:eastAsiaTheme="minorEastAsia" w:hAnsi="Arial" w:cs="Arial"/>
        </w:rPr>
        <w:t xml:space="preserve">. In addition to this, they need to provide all employees with pay statements </w:t>
      </w:r>
      <w:r w:rsidR="004A26E4">
        <w:rPr>
          <w:rFonts w:ascii="Arial" w:eastAsiaTheme="minorEastAsia" w:hAnsi="Arial" w:cs="Arial"/>
        </w:rPr>
        <w:t xml:space="preserve">in accordance with </w:t>
      </w:r>
      <w:r w:rsidR="00A26874">
        <w:rPr>
          <w:rFonts w:ascii="Arial" w:eastAsiaTheme="minorEastAsia" w:hAnsi="Arial" w:cs="Arial"/>
        </w:rPr>
        <w:t>T</w:t>
      </w:r>
      <w:r w:rsidR="004A26E4">
        <w:rPr>
          <w:rFonts w:ascii="Arial" w:eastAsiaTheme="minorEastAsia" w:hAnsi="Arial" w:cs="Arial"/>
        </w:rPr>
        <w:t xml:space="preserve">he Employment Rights Act </w:t>
      </w:r>
      <w:r w:rsidR="00A26874">
        <w:rPr>
          <w:rFonts w:ascii="Arial" w:eastAsiaTheme="minorEastAsia" w:hAnsi="Arial" w:cs="Arial"/>
        </w:rPr>
        <w:t xml:space="preserve">(1996) </w:t>
      </w:r>
      <w:r w:rsidR="00F018ED">
        <w:rPr>
          <w:rFonts w:ascii="Arial" w:eastAsiaTheme="minorEastAsia" w:hAnsi="Arial" w:cs="Arial"/>
        </w:rPr>
        <w:t xml:space="preserve">regulations stipulated above. </w:t>
      </w:r>
      <w:r w:rsidR="00E644F9">
        <w:rPr>
          <w:rFonts w:ascii="Arial" w:eastAsiaTheme="minorEastAsia" w:hAnsi="Arial" w:cs="Arial"/>
        </w:rPr>
        <w:t xml:space="preserve">Failure to comply can result in not only hefty fines and potential ET, but significant reputational damage. </w:t>
      </w:r>
    </w:p>
    <w:p w14:paraId="5D39DAAC" w14:textId="77777777" w:rsidR="00123B1B" w:rsidRPr="007C6DE4" w:rsidRDefault="00123B1B" w:rsidP="007C6DE4">
      <w:pPr>
        <w:spacing w:after="120" w:line="264" w:lineRule="auto"/>
        <w:rPr>
          <w:rFonts w:ascii="Arial" w:eastAsiaTheme="minorEastAsia" w:hAnsi="Arial" w:cs="Arial"/>
          <w:b/>
          <w:bCs/>
        </w:rPr>
      </w:pPr>
    </w:p>
    <w:p w14:paraId="63B4F906" w14:textId="77777777" w:rsidR="007C6DE4" w:rsidRDefault="007C6DE4" w:rsidP="007C6DE4">
      <w:pPr>
        <w:spacing w:after="120" w:line="264" w:lineRule="auto"/>
        <w:rPr>
          <w:rFonts w:ascii="Arial" w:eastAsiaTheme="minorEastAsia" w:hAnsi="Arial" w:cs="Arial"/>
          <w:b/>
          <w:bCs/>
        </w:rPr>
      </w:pPr>
      <w:r w:rsidRPr="007C6DE4">
        <w:rPr>
          <w:rFonts w:ascii="Arial" w:eastAsiaTheme="minorEastAsia" w:hAnsi="Arial" w:cs="Arial"/>
          <w:b/>
          <w:bCs/>
        </w:rPr>
        <w:t>Charlotte has received a complaint from Kit, manager of a restaurant that trades seven days a week. Kit states his working hours are too long, and that he does not have adequate breaks or sufficient days off.  He normally works five days a week from 9.30am to 9.30pm but when his supervisor is on holiday, he must cover their days off. Advise on whether Kit has a legal cause for complaint, with reference to employment law. (AC 4.2)</w:t>
      </w:r>
    </w:p>
    <w:p w14:paraId="45A684A3" w14:textId="034F52B9" w:rsidR="00123B1B" w:rsidRDefault="00D81E65" w:rsidP="007C6DE4">
      <w:pPr>
        <w:spacing w:after="120" w:line="264" w:lineRule="auto"/>
        <w:rPr>
          <w:rFonts w:ascii="Arial" w:eastAsiaTheme="minorEastAsia" w:hAnsi="Arial" w:cs="Arial"/>
        </w:rPr>
      </w:pPr>
      <w:r>
        <w:rPr>
          <w:rFonts w:ascii="Arial" w:eastAsiaTheme="minorEastAsia" w:hAnsi="Arial" w:cs="Arial"/>
        </w:rPr>
        <w:t xml:space="preserve">Charlotte, in her capacity as an employer, is responsible for ensuring </w:t>
      </w:r>
      <w:r w:rsidR="00FA2DC6">
        <w:rPr>
          <w:rFonts w:ascii="Arial" w:eastAsiaTheme="minorEastAsia" w:hAnsi="Arial" w:cs="Arial"/>
        </w:rPr>
        <w:t xml:space="preserve">the health, safety, and wellbeing of all her </w:t>
      </w:r>
      <w:r w:rsidR="00FE0239">
        <w:rPr>
          <w:rFonts w:ascii="Arial" w:eastAsiaTheme="minorEastAsia" w:hAnsi="Arial" w:cs="Arial"/>
        </w:rPr>
        <w:t>employees</w:t>
      </w:r>
      <w:r w:rsidR="00FA2DC6">
        <w:rPr>
          <w:rFonts w:ascii="Arial" w:eastAsiaTheme="minorEastAsia" w:hAnsi="Arial" w:cs="Arial"/>
        </w:rPr>
        <w:t>. This entails safeguarding workers from excessive workloads</w:t>
      </w:r>
      <w:r w:rsidR="00FE0239">
        <w:rPr>
          <w:rFonts w:ascii="Arial" w:eastAsiaTheme="minorEastAsia" w:hAnsi="Arial" w:cs="Arial"/>
        </w:rPr>
        <w:t xml:space="preserve"> and </w:t>
      </w:r>
      <w:r w:rsidR="00FA2DC6">
        <w:rPr>
          <w:rFonts w:ascii="Arial" w:eastAsiaTheme="minorEastAsia" w:hAnsi="Arial" w:cs="Arial"/>
        </w:rPr>
        <w:t>prolonged</w:t>
      </w:r>
      <w:r w:rsidR="00FE0239">
        <w:rPr>
          <w:rFonts w:ascii="Arial" w:eastAsiaTheme="minorEastAsia" w:hAnsi="Arial" w:cs="Arial"/>
        </w:rPr>
        <w:t xml:space="preserve"> working</w:t>
      </w:r>
      <w:r w:rsidR="00FA2DC6">
        <w:rPr>
          <w:rFonts w:ascii="Arial" w:eastAsiaTheme="minorEastAsia" w:hAnsi="Arial" w:cs="Arial"/>
        </w:rPr>
        <w:t xml:space="preserve"> hours</w:t>
      </w:r>
      <w:r w:rsidR="0056353E">
        <w:rPr>
          <w:rFonts w:ascii="Arial" w:eastAsiaTheme="minorEastAsia" w:hAnsi="Arial" w:cs="Arial"/>
        </w:rPr>
        <w:t xml:space="preserve"> (</w:t>
      </w:r>
      <w:r w:rsidR="00E940BF">
        <w:rPr>
          <w:rFonts w:ascii="Arial" w:eastAsiaTheme="minorEastAsia" w:hAnsi="Arial" w:cs="Arial"/>
        </w:rPr>
        <w:t xml:space="preserve">Ayling and </w:t>
      </w:r>
      <w:r w:rsidR="0056353E">
        <w:rPr>
          <w:rFonts w:ascii="Arial" w:eastAsiaTheme="minorEastAsia" w:hAnsi="Arial" w:cs="Arial"/>
        </w:rPr>
        <w:t xml:space="preserve">Suff, 2024). </w:t>
      </w:r>
    </w:p>
    <w:p w14:paraId="19BAA0FB" w14:textId="2FF97F0F" w:rsidR="00991104" w:rsidRDefault="00093ECF" w:rsidP="007C6DE4">
      <w:pPr>
        <w:spacing w:after="120" w:line="264" w:lineRule="auto"/>
        <w:rPr>
          <w:rFonts w:ascii="Arial" w:eastAsiaTheme="minorEastAsia" w:hAnsi="Arial" w:cs="Arial"/>
        </w:rPr>
      </w:pPr>
      <w:r>
        <w:rPr>
          <w:rFonts w:ascii="Arial" w:eastAsiaTheme="minorEastAsia" w:hAnsi="Arial" w:cs="Arial"/>
        </w:rPr>
        <w:t>The primary regulations dictating working hours</w:t>
      </w:r>
      <w:r w:rsidR="00016D9C">
        <w:rPr>
          <w:rFonts w:ascii="Arial" w:eastAsiaTheme="minorEastAsia" w:hAnsi="Arial" w:cs="Arial"/>
        </w:rPr>
        <w:t xml:space="preserve"> in the UK are </w:t>
      </w:r>
      <w:r w:rsidR="00227F6F" w:rsidRPr="00227F6F">
        <w:rPr>
          <w:rFonts w:ascii="Arial" w:eastAsiaTheme="minorEastAsia" w:hAnsi="Arial" w:cs="Arial"/>
          <w:i/>
          <w:iCs/>
        </w:rPr>
        <w:t>T</w:t>
      </w:r>
      <w:r w:rsidR="00016D9C" w:rsidRPr="00227F6F">
        <w:rPr>
          <w:rFonts w:ascii="Arial" w:eastAsiaTheme="minorEastAsia" w:hAnsi="Arial" w:cs="Arial"/>
          <w:i/>
          <w:iCs/>
        </w:rPr>
        <w:t xml:space="preserve">he Working Time </w:t>
      </w:r>
      <w:r w:rsidR="00056CA2" w:rsidRPr="00227F6F">
        <w:rPr>
          <w:rFonts w:ascii="Arial" w:eastAsiaTheme="minorEastAsia" w:hAnsi="Arial" w:cs="Arial"/>
          <w:i/>
          <w:iCs/>
        </w:rPr>
        <w:t>regulations</w:t>
      </w:r>
      <w:r w:rsidR="00016D9C">
        <w:rPr>
          <w:rFonts w:ascii="Arial" w:eastAsiaTheme="minorEastAsia" w:hAnsi="Arial" w:cs="Arial"/>
        </w:rPr>
        <w:t xml:space="preserve"> 1998 (WTR). </w:t>
      </w:r>
      <w:r w:rsidR="00DD1C41">
        <w:rPr>
          <w:rFonts w:ascii="Arial" w:eastAsiaTheme="minorEastAsia" w:hAnsi="Arial" w:cs="Arial"/>
        </w:rPr>
        <w:t>Using the regulations as guidance I have advised Charlotte to familiarise and understand t</w:t>
      </w:r>
      <w:r w:rsidR="00016D9C">
        <w:rPr>
          <w:rFonts w:ascii="Arial" w:eastAsiaTheme="minorEastAsia" w:hAnsi="Arial" w:cs="Arial"/>
        </w:rPr>
        <w:t xml:space="preserve">hese regulations </w:t>
      </w:r>
      <w:r w:rsidR="000646B5">
        <w:rPr>
          <w:rFonts w:ascii="Arial" w:eastAsiaTheme="minorEastAsia" w:hAnsi="Arial" w:cs="Arial"/>
        </w:rPr>
        <w:t xml:space="preserve">to ensure and </w:t>
      </w:r>
      <w:r w:rsidR="00016D9C">
        <w:rPr>
          <w:rFonts w:ascii="Arial" w:eastAsiaTheme="minorEastAsia" w:hAnsi="Arial" w:cs="Arial"/>
        </w:rPr>
        <w:t xml:space="preserve">establish basic requirements such </w:t>
      </w:r>
      <w:r w:rsidR="005B33D7">
        <w:rPr>
          <w:rFonts w:ascii="Arial" w:eastAsiaTheme="minorEastAsia" w:hAnsi="Arial" w:cs="Arial"/>
        </w:rPr>
        <w:t>as the maximum number of hours that can be worked in a week, breaks that must be provide</w:t>
      </w:r>
      <w:r w:rsidR="000646B5">
        <w:rPr>
          <w:rFonts w:ascii="Arial" w:eastAsiaTheme="minorEastAsia" w:hAnsi="Arial" w:cs="Arial"/>
        </w:rPr>
        <w:t>d</w:t>
      </w:r>
      <w:r w:rsidR="005B33D7">
        <w:rPr>
          <w:rFonts w:ascii="Arial" w:eastAsiaTheme="minorEastAsia" w:hAnsi="Arial" w:cs="Arial"/>
        </w:rPr>
        <w:t>, and the minimum amount of annual leave entitlement</w:t>
      </w:r>
      <w:r w:rsidR="00BA6852">
        <w:rPr>
          <w:rFonts w:ascii="Arial" w:eastAsiaTheme="minorEastAsia" w:hAnsi="Arial" w:cs="Arial"/>
        </w:rPr>
        <w:t xml:space="preserve"> (Taylor and Woodhams, 2022. P. 104). </w:t>
      </w:r>
    </w:p>
    <w:p w14:paraId="2C393F8B" w14:textId="238FC685" w:rsidR="00983D00" w:rsidRDefault="00983D00" w:rsidP="007C6DE4">
      <w:pPr>
        <w:spacing w:after="120" w:line="264" w:lineRule="auto"/>
        <w:rPr>
          <w:rFonts w:ascii="Arial" w:eastAsiaTheme="minorEastAsia" w:hAnsi="Arial" w:cs="Arial"/>
        </w:rPr>
      </w:pPr>
      <w:r>
        <w:rPr>
          <w:rFonts w:ascii="Arial" w:eastAsiaTheme="minorEastAsia" w:hAnsi="Arial" w:cs="Arial"/>
        </w:rPr>
        <w:t>The basic rights</w:t>
      </w:r>
      <w:r w:rsidR="00B83A10">
        <w:rPr>
          <w:rFonts w:ascii="Arial" w:eastAsiaTheme="minorEastAsia" w:hAnsi="Arial" w:cs="Arial"/>
        </w:rPr>
        <w:t xml:space="preserve"> of WTR</w:t>
      </w:r>
      <w:r>
        <w:rPr>
          <w:rFonts w:ascii="Arial" w:eastAsiaTheme="minorEastAsia" w:hAnsi="Arial" w:cs="Arial"/>
        </w:rPr>
        <w:t xml:space="preserve"> include</w:t>
      </w:r>
      <w:r w:rsidR="002F76CD">
        <w:rPr>
          <w:rFonts w:ascii="Arial" w:eastAsiaTheme="minorEastAsia" w:hAnsi="Arial" w:cs="Arial"/>
        </w:rPr>
        <w:t xml:space="preserve"> but are not limited to</w:t>
      </w:r>
      <w:r>
        <w:rPr>
          <w:rFonts w:ascii="Arial" w:eastAsiaTheme="minorEastAsia" w:hAnsi="Arial" w:cs="Arial"/>
        </w:rPr>
        <w:t xml:space="preserve">: </w:t>
      </w:r>
    </w:p>
    <w:p w14:paraId="4E7D62DE" w14:textId="07A1713F" w:rsidR="00706C74" w:rsidRDefault="006A4147" w:rsidP="00D56ABF">
      <w:pPr>
        <w:shd w:val="clear" w:color="auto" w:fill="FFFFFF" w:themeFill="background1"/>
        <w:spacing w:before="100" w:beforeAutospacing="1" w:after="0" w:line="240" w:lineRule="auto"/>
        <w:rPr>
          <w:rFonts w:ascii="Arial" w:eastAsiaTheme="minorEastAsia" w:hAnsi="Arial" w:cs="Arial"/>
        </w:rPr>
      </w:pPr>
      <w:r>
        <w:rPr>
          <w:noProof/>
        </w:rPr>
        <w:lastRenderedPageBreak/>
        <w:drawing>
          <wp:inline distT="0" distB="0" distL="0" distR="0" wp14:anchorId="57822FCA" wp14:editId="75D227A1">
            <wp:extent cx="5292314" cy="1989455"/>
            <wp:effectExtent l="0" t="0" r="3810" b="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352931" cy="2012242"/>
                    </a:xfrm>
                    <a:prstGeom prst="rect">
                      <a:avLst/>
                    </a:prstGeom>
                    <a:effectLst>
                      <a:innerShdw blurRad="114300">
                        <a:prstClr val="black"/>
                      </a:innerShdw>
                    </a:effectLst>
                  </pic:spPr>
                </pic:pic>
              </a:graphicData>
            </a:graphic>
          </wp:inline>
        </w:drawing>
      </w:r>
      <w:r w:rsidR="004E2FE4" w:rsidRPr="6E6F5D81">
        <w:rPr>
          <w:rFonts w:ascii="Arial" w:eastAsiaTheme="minorEastAsia" w:hAnsi="Arial" w:cs="Arial"/>
        </w:rPr>
        <w:t xml:space="preserve"> (Ayling and Suff, 2024</w:t>
      </w:r>
      <w:r w:rsidR="00E94C6E">
        <w:rPr>
          <w:rFonts w:ascii="Arial" w:eastAsiaTheme="minorEastAsia" w:hAnsi="Arial" w:cs="Arial"/>
        </w:rPr>
        <w:t>).</w:t>
      </w:r>
    </w:p>
    <w:p w14:paraId="7551DCA7" w14:textId="77777777" w:rsidR="00D6195D" w:rsidRDefault="00A169A9" w:rsidP="00EA176C">
      <w:pPr>
        <w:shd w:val="clear" w:color="auto" w:fill="FFFFFF"/>
        <w:spacing w:before="100" w:beforeAutospacing="1" w:after="0" w:line="240" w:lineRule="auto"/>
        <w:rPr>
          <w:rFonts w:ascii="Arial" w:eastAsiaTheme="minorEastAsia" w:hAnsi="Arial" w:cs="Arial"/>
        </w:rPr>
      </w:pPr>
      <w:r>
        <w:rPr>
          <w:rFonts w:ascii="Arial" w:eastAsiaTheme="minorEastAsia" w:hAnsi="Arial" w:cs="Arial"/>
        </w:rPr>
        <w:t>Because</w:t>
      </w:r>
      <w:r w:rsidR="00EA176C">
        <w:rPr>
          <w:rFonts w:ascii="Arial" w:eastAsiaTheme="minorEastAsia" w:hAnsi="Arial" w:cs="Arial"/>
        </w:rPr>
        <w:t xml:space="preserve"> Kit is currently working 60 hours per week</w:t>
      </w:r>
      <w:r w:rsidR="00A11765">
        <w:rPr>
          <w:rFonts w:ascii="Arial" w:eastAsiaTheme="minorEastAsia" w:hAnsi="Arial" w:cs="Arial"/>
        </w:rPr>
        <w:t xml:space="preserve"> and</w:t>
      </w:r>
      <w:r w:rsidR="00436AF2">
        <w:rPr>
          <w:rFonts w:ascii="Arial" w:eastAsiaTheme="minorEastAsia" w:hAnsi="Arial" w:cs="Arial"/>
        </w:rPr>
        <w:t xml:space="preserve"> he is</w:t>
      </w:r>
      <w:r w:rsidR="00A11765">
        <w:rPr>
          <w:rFonts w:ascii="Arial" w:eastAsiaTheme="minorEastAsia" w:hAnsi="Arial" w:cs="Arial"/>
        </w:rPr>
        <w:t xml:space="preserve"> working over the </w:t>
      </w:r>
      <w:r w:rsidR="000922D3">
        <w:rPr>
          <w:rFonts w:ascii="Arial" w:eastAsiaTheme="minorEastAsia" w:hAnsi="Arial" w:cs="Arial"/>
        </w:rPr>
        <w:t>48-hour</w:t>
      </w:r>
      <w:r w:rsidR="00A11765">
        <w:rPr>
          <w:rFonts w:ascii="Arial" w:eastAsiaTheme="minorEastAsia" w:hAnsi="Arial" w:cs="Arial"/>
        </w:rPr>
        <w:t xml:space="preserve"> time limit</w:t>
      </w:r>
      <w:r w:rsidR="00EA176C">
        <w:rPr>
          <w:rFonts w:ascii="Arial" w:eastAsiaTheme="minorEastAsia" w:hAnsi="Arial" w:cs="Arial"/>
        </w:rPr>
        <w:t xml:space="preserve"> </w:t>
      </w:r>
      <w:r w:rsidR="00524E28">
        <w:rPr>
          <w:rFonts w:ascii="Arial" w:eastAsiaTheme="minorEastAsia" w:hAnsi="Arial" w:cs="Arial"/>
        </w:rPr>
        <w:t>Charlotte needs to ensure Kit is happy with this arrangement, and if so, Kit will need to sign a</w:t>
      </w:r>
      <w:r w:rsidR="0024510D">
        <w:rPr>
          <w:rFonts w:ascii="Arial" w:eastAsiaTheme="minorEastAsia" w:hAnsi="Arial" w:cs="Arial"/>
        </w:rPr>
        <w:t xml:space="preserve"> writte</w:t>
      </w:r>
      <w:r w:rsidR="005E39B0">
        <w:rPr>
          <w:rFonts w:ascii="Arial" w:eastAsiaTheme="minorEastAsia" w:hAnsi="Arial" w:cs="Arial"/>
        </w:rPr>
        <w:t>n</w:t>
      </w:r>
      <w:r w:rsidR="00524E28">
        <w:rPr>
          <w:rFonts w:ascii="Arial" w:eastAsiaTheme="minorEastAsia" w:hAnsi="Arial" w:cs="Arial"/>
        </w:rPr>
        <w:t xml:space="preserve"> ‘opt out’ </w:t>
      </w:r>
      <w:r w:rsidR="00E3308A">
        <w:rPr>
          <w:rFonts w:ascii="Arial" w:eastAsiaTheme="minorEastAsia" w:hAnsi="Arial" w:cs="Arial"/>
        </w:rPr>
        <w:t>agreement</w:t>
      </w:r>
      <w:r w:rsidR="005F7BE9">
        <w:rPr>
          <w:rFonts w:ascii="Arial" w:eastAsiaTheme="minorEastAsia" w:hAnsi="Arial" w:cs="Arial"/>
        </w:rPr>
        <w:t xml:space="preserve"> (Daniels, 2022.p.90)</w:t>
      </w:r>
      <w:r w:rsidR="00E3308A">
        <w:rPr>
          <w:rFonts w:ascii="Arial" w:eastAsiaTheme="minorEastAsia" w:hAnsi="Arial" w:cs="Arial"/>
        </w:rPr>
        <w:t>, which will allow him to lawfully continue to work 60 hours per week</w:t>
      </w:r>
      <w:r w:rsidR="00895BE8">
        <w:rPr>
          <w:rFonts w:ascii="Arial" w:eastAsiaTheme="minorEastAsia" w:hAnsi="Arial" w:cs="Arial"/>
        </w:rPr>
        <w:t xml:space="preserve">. If Kit does not wish to sign this, he cannot be dismissed for doing so. </w:t>
      </w:r>
      <w:r w:rsidR="008907BF">
        <w:rPr>
          <w:rFonts w:ascii="Arial" w:eastAsiaTheme="minorEastAsia" w:hAnsi="Arial" w:cs="Arial"/>
        </w:rPr>
        <w:t xml:space="preserve">Kit can also later decide to </w:t>
      </w:r>
      <w:r w:rsidR="00F922FF">
        <w:rPr>
          <w:rFonts w:ascii="Arial" w:eastAsiaTheme="minorEastAsia" w:hAnsi="Arial" w:cs="Arial"/>
        </w:rPr>
        <w:t>terminate the agreement</w:t>
      </w:r>
      <w:r w:rsidR="008907BF">
        <w:rPr>
          <w:rFonts w:ascii="Arial" w:eastAsiaTheme="minorEastAsia" w:hAnsi="Arial" w:cs="Arial"/>
        </w:rPr>
        <w:t xml:space="preserve">, and </w:t>
      </w:r>
      <w:r w:rsidR="009A5D34">
        <w:rPr>
          <w:rFonts w:ascii="Arial" w:eastAsiaTheme="minorEastAsia" w:hAnsi="Arial" w:cs="Arial"/>
        </w:rPr>
        <w:t>this will require giving</w:t>
      </w:r>
      <w:r w:rsidR="005E39B0">
        <w:rPr>
          <w:rFonts w:ascii="Arial" w:eastAsiaTheme="minorEastAsia" w:hAnsi="Arial" w:cs="Arial"/>
        </w:rPr>
        <w:t xml:space="preserve"> 7 </w:t>
      </w:r>
      <w:r>
        <w:rPr>
          <w:rFonts w:ascii="Arial" w:eastAsiaTheme="minorEastAsia" w:hAnsi="Arial" w:cs="Arial"/>
        </w:rPr>
        <w:t>days’ notice</w:t>
      </w:r>
      <w:r w:rsidR="005E39B0">
        <w:rPr>
          <w:rFonts w:ascii="Arial" w:eastAsiaTheme="minorEastAsia" w:hAnsi="Arial" w:cs="Arial"/>
        </w:rPr>
        <w:t xml:space="preserve"> (or an agreed</w:t>
      </w:r>
      <w:r w:rsidR="00F922FF">
        <w:rPr>
          <w:rFonts w:ascii="Arial" w:eastAsiaTheme="minorEastAsia" w:hAnsi="Arial" w:cs="Arial"/>
        </w:rPr>
        <w:t xml:space="preserve"> longer period)</w:t>
      </w:r>
      <w:r w:rsidR="009A5D34">
        <w:rPr>
          <w:rFonts w:ascii="Arial" w:eastAsiaTheme="minorEastAsia" w:hAnsi="Arial" w:cs="Arial"/>
        </w:rPr>
        <w:t xml:space="preserve"> </w:t>
      </w:r>
      <w:r w:rsidR="00AC63FB">
        <w:rPr>
          <w:rFonts w:ascii="Arial" w:eastAsiaTheme="minorEastAsia" w:hAnsi="Arial" w:cs="Arial"/>
        </w:rPr>
        <w:t xml:space="preserve">but must </w:t>
      </w:r>
      <w:r w:rsidR="009A5D34">
        <w:rPr>
          <w:rFonts w:ascii="Arial" w:eastAsiaTheme="minorEastAsia" w:hAnsi="Arial" w:cs="Arial"/>
        </w:rPr>
        <w:t xml:space="preserve">not </w:t>
      </w:r>
      <w:r w:rsidR="00AC63FB">
        <w:rPr>
          <w:rFonts w:ascii="Arial" w:eastAsiaTheme="minorEastAsia" w:hAnsi="Arial" w:cs="Arial"/>
        </w:rPr>
        <w:t xml:space="preserve">be </w:t>
      </w:r>
      <w:r>
        <w:rPr>
          <w:rFonts w:ascii="Arial" w:eastAsiaTheme="minorEastAsia" w:hAnsi="Arial" w:cs="Arial"/>
        </w:rPr>
        <w:t>more than</w:t>
      </w:r>
      <w:r w:rsidR="009A5D34">
        <w:rPr>
          <w:rFonts w:ascii="Arial" w:eastAsiaTheme="minorEastAsia" w:hAnsi="Arial" w:cs="Arial"/>
        </w:rPr>
        <w:t xml:space="preserve"> 3 months</w:t>
      </w:r>
      <w:r w:rsidR="00AC63FB">
        <w:rPr>
          <w:rFonts w:ascii="Arial" w:eastAsiaTheme="minorEastAsia" w:hAnsi="Arial" w:cs="Arial"/>
        </w:rPr>
        <w:t xml:space="preserve"> (</w:t>
      </w:r>
      <w:r w:rsidR="005F7BE9">
        <w:rPr>
          <w:rFonts w:ascii="Arial" w:eastAsiaTheme="minorEastAsia" w:hAnsi="Arial" w:cs="Arial"/>
        </w:rPr>
        <w:t xml:space="preserve">Daniels, 2022. p. 90). </w:t>
      </w:r>
      <w:r w:rsidR="005329B3">
        <w:rPr>
          <w:rFonts w:ascii="Arial" w:eastAsiaTheme="minorEastAsia" w:hAnsi="Arial" w:cs="Arial"/>
        </w:rPr>
        <w:t xml:space="preserve">Charlotte </w:t>
      </w:r>
      <w:r w:rsidR="0056011B">
        <w:rPr>
          <w:rFonts w:ascii="Arial" w:eastAsiaTheme="minorEastAsia" w:hAnsi="Arial" w:cs="Arial"/>
        </w:rPr>
        <w:t xml:space="preserve">has also been advised she is </w:t>
      </w:r>
      <w:r w:rsidR="00DA6F61">
        <w:rPr>
          <w:rFonts w:ascii="Arial" w:eastAsiaTheme="minorEastAsia" w:hAnsi="Arial" w:cs="Arial"/>
        </w:rPr>
        <w:t>required</w:t>
      </w:r>
      <w:r w:rsidR="005329B3">
        <w:rPr>
          <w:rFonts w:ascii="Arial" w:eastAsiaTheme="minorEastAsia" w:hAnsi="Arial" w:cs="Arial"/>
        </w:rPr>
        <w:t xml:space="preserve"> by law to </w:t>
      </w:r>
      <w:r w:rsidR="0056011B">
        <w:rPr>
          <w:rFonts w:ascii="Arial" w:eastAsiaTheme="minorEastAsia" w:hAnsi="Arial" w:cs="Arial"/>
        </w:rPr>
        <w:t xml:space="preserve">keep </w:t>
      </w:r>
      <w:r w:rsidR="006C5AD5">
        <w:rPr>
          <w:rFonts w:ascii="Arial" w:eastAsiaTheme="minorEastAsia" w:hAnsi="Arial" w:cs="Arial"/>
        </w:rPr>
        <w:t xml:space="preserve">up to date </w:t>
      </w:r>
      <w:r w:rsidR="0056011B">
        <w:rPr>
          <w:rFonts w:ascii="Arial" w:eastAsiaTheme="minorEastAsia" w:hAnsi="Arial" w:cs="Arial"/>
        </w:rPr>
        <w:t xml:space="preserve">records of any ‘opt out’ agreements </w:t>
      </w:r>
      <w:r w:rsidR="00DA6F61">
        <w:rPr>
          <w:rFonts w:ascii="Arial" w:eastAsiaTheme="minorEastAsia" w:hAnsi="Arial" w:cs="Arial"/>
        </w:rPr>
        <w:t>for 2 years after the date they were made</w:t>
      </w:r>
      <w:r w:rsidR="006757CB">
        <w:rPr>
          <w:rFonts w:ascii="Arial" w:eastAsiaTheme="minorEastAsia" w:hAnsi="Arial" w:cs="Arial"/>
        </w:rPr>
        <w:t xml:space="preserve">. </w:t>
      </w:r>
    </w:p>
    <w:p w14:paraId="728F3101" w14:textId="7FCF3D30" w:rsidR="00D6195D" w:rsidRDefault="00740813" w:rsidP="00EA176C">
      <w:pPr>
        <w:shd w:val="clear" w:color="auto" w:fill="FFFFFF"/>
        <w:spacing w:before="100" w:beforeAutospacing="1" w:after="0" w:line="240" w:lineRule="auto"/>
        <w:rPr>
          <w:rFonts w:ascii="Arial" w:eastAsiaTheme="minorEastAsia" w:hAnsi="Arial" w:cs="Arial"/>
        </w:rPr>
      </w:pPr>
      <w:r>
        <w:rPr>
          <w:rFonts w:ascii="Arial" w:eastAsiaTheme="minorEastAsia" w:hAnsi="Arial" w:cs="Arial"/>
        </w:rPr>
        <w:t>Furthermore, as outlined in the WTR</w:t>
      </w:r>
      <w:r w:rsidR="00151B4D">
        <w:rPr>
          <w:rFonts w:ascii="Arial" w:eastAsiaTheme="minorEastAsia" w:hAnsi="Arial" w:cs="Arial"/>
        </w:rPr>
        <w:t xml:space="preserve">, Charlotte has been instructed to guarantee that Kit and any other relevant employee is provided with sufficient rest breaks. This entails </w:t>
      </w:r>
      <w:r w:rsidR="00476D1D">
        <w:rPr>
          <w:rFonts w:ascii="Arial" w:eastAsiaTheme="minorEastAsia" w:hAnsi="Arial" w:cs="Arial"/>
        </w:rPr>
        <w:t>granting a 20 minute break for every 6 hours work completed, and also ensuring he has a continuous 24-hour rest period within each 7-day period</w:t>
      </w:r>
      <w:r w:rsidR="00CB4C77">
        <w:rPr>
          <w:rFonts w:ascii="Arial" w:eastAsiaTheme="minorEastAsia" w:hAnsi="Arial" w:cs="Arial"/>
        </w:rPr>
        <w:t xml:space="preserve"> (Daniels, 2022.p.91). </w:t>
      </w:r>
    </w:p>
    <w:p w14:paraId="5EAF89B2" w14:textId="78E385C2" w:rsidR="00001773" w:rsidRDefault="00001773" w:rsidP="00EA176C">
      <w:pPr>
        <w:shd w:val="clear" w:color="auto" w:fill="FFFFFF"/>
        <w:spacing w:before="100" w:beforeAutospacing="1" w:after="0" w:line="240" w:lineRule="auto"/>
        <w:rPr>
          <w:rFonts w:ascii="Arial" w:eastAsiaTheme="minorEastAsia" w:hAnsi="Arial" w:cs="Arial"/>
        </w:rPr>
      </w:pPr>
      <w:r>
        <w:rPr>
          <w:rFonts w:ascii="Arial" w:eastAsiaTheme="minorEastAsia" w:hAnsi="Arial" w:cs="Arial"/>
        </w:rPr>
        <w:t xml:space="preserve">In addition to the above, Charlotte has been </w:t>
      </w:r>
      <w:r w:rsidR="00BF6D12">
        <w:rPr>
          <w:rFonts w:ascii="Arial" w:eastAsiaTheme="minorEastAsia" w:hAnsi="Arial" w:cs="Arial"/>
        </w:rPr>
        <w:t xml:space="preserve">advised as per the requirements of WTR that all workers are entitled to </w:t>
      </w:r>
      <w:r w:rsidR="00951E0B">
        <w:rPr>
          <w:rFonts w:ascii="Arial" w:eastAsiaTheme="minorEastAsia" w:hAnsi="Arial" w:cs="Arial"/>
        </w:rPr>
        <w:t>28 days paid leave (including bank holidays) per year</w:t>
      </w:r>
      <w:r w:rsidR="00627A49">
        <w:rPr>
          <w:rFonts w:ascii="Arial" w:eastAsiaTheme="minorEastAsia" w:hAnsi="Arial" w:cs="Arial"/>
        </w:rPr>
        <w:t xml:space="preserve">. Workers are entitled to receive </w:t>
      </w:r>
      <w:r w:rsidR="00515A8C">
        <w:rPr>
          <w:rFonts w:ascii="Arial" w:eastAsiaTheme="minorEastAsia" w:hAnsi="Arial" w:cs="Arial"/>
        </w:rPr>
        <w:t xml:space="preserve">a sum equivalent to a weeks pay, for each week of annual leave </w:t>
      </w:r>
      <w:r w:rsidR="002D0C0A">
        <w:rPr>
          <w:rFonts w:ascii="Arial" w:eastAsiaTheme="minorEastAsia" w:hAnsi="Arial" w:cs="Arial"/>
        </w:rPr>
        <w:t xml:space="preserve">taken. In instances of variable pay, the </w:t>
      </w:r>
      <w:r w:rsidR="00603374">
        <w:rPr>
          <w:rFonts w:ascii="Arial" w:eastAsiaTheme="minorEastAsia" w:hAnsi="Arial" w:cs="Arial"/>
        </w:rPr>
        <w:t>weeks pay would be based on an average over the last 52 weeks (Daniels, 2022. P.88).</w:t>
      </w:r>
    </w:p>
    <w:p w14:paraId="0A889CB0" w14:textId="1D0A6B18" w:rsidR="00EA176C" w:rsidRDefault="006757CB" w:rsidP="00EA176C">
      <w:pPr>
        <w:shd w:val="clear" w:color="auto" w:fill="FFFFFF"/>
        <w:spacing w:before="100" w:beforeAutospacing="1" w:after="0" w:line="240" w:lineRule="auto"/>
        <w:rPr>
          <w:rFonts w:ascii="Arial" w:eastAsiaTheme="minorEastAsia" w:hAnsi="Arial" w:cs="Arial"/>
        </w:rPr>
      </w:pPr>
      <w:r>
        <w:rPr>
          <w:rFonts w:ascii="Arial" w:eastAsiaTheme="minorEastAsia" w:hAnsi="Arial" w:cs="Arial"/>
        </w:rPr>
        <w:t xml:space="preserve">Failure to comply with any of the WTR can result in </w:t>
      </w:r>
      <w:r w:rsidR="00EB0B0C">
        <w:rPr>
          <w:rFonts w:ascii="Arial" w:eastAsiaTheme="minorEastAsia" w:hAnsi="Arial" w:cs="Arial"/>
        </w:rPr>
        <w:t>an ET claim</w:t>
      </w:r>
      <w:r w:rsidR="00D6647D">
        <w:rPr>
          <w:rFonts w:ascii="Arial" w:eastAsiaTheme="minorEastAsia" w:hAnsi="Arial" w:cs="Arial"/>
        </w:rPr>
        <w:t xml:space="preserve"> being made</w:t>
      </w:r>
      <w:r w:rsidR="00EB0B0C">
        <w:rPr>
          <w:rFonts w:ascii="Arial" w:eastAsiaTheme="minorEastAsia" w:hAnsi="Arial" w:cs="Arial"/>
        </w:rPr>
        <w:t xml:space="preserve"> or being reported to the local authority</w:t>
      </w:r>
      <w:r w:rsidR="00D6647D">
        <w:rPr>
          <w:rFonts w:ascii="Arial" w:eastAsiaTheme="minorEastAsia" w:hAnsi="Arial" w:cs="Arial"/>
        </w:rPr>
        <w:t xml:space="preserve"> (ACAS, </w:t>
      </w:r>
      <w:r w:rsidR="00697B68">
        <w:rPr>
          <w:rFonts w:ascii="Arial" w:eastAsiaTheme="minorEastAsia" w:hAnsi="Arial" w:cs="Arial"/>
        </w:rPr>
        <w:t xml:space="preserve">2024g). </w:t>
      </w:r>
    </w:p>
    <w:p w14:paraId="529C2C41" w14:textId="77777777" w:rsidR="00BE155D" w:rsidRDefault="00BE155D" w:rsidP="007C6DE4">
      <w:pPr>
        <w:pStyle w:val="Nornal"/>
        <w:spacing w:line="264" w:lineRule="auto"/>
        <w:rPr>
          <w:b/>
          <w:bCs/>
        </w:rPr>
      </w:pPr>
    </w:p>
    <w:p w14:paraId="30C2565D" w14:textId="27CF311F" w:rsidR="007C6DE4" w:rsidRDefault="00BE155D" w:rsidP="007C6DE4">
      <w:pPr>
        <w:pStyle w:val="Nornal"/>
        <w:spacing w:line="264" w:lineRule="auto"/>
        <w:rPr>
          <w:b/>
          <w:bCs/>
        </w:rPr>
      </w:pPr>
      <w:r>
        <w:rPr>
          <w:b/>
          <w:bCs/>
        </w:rPr>
        <w:t>C</w:t>
      </w:r>
      <w:r w:rsidR="007C6DE4" w:rsidRPr="007C6DE4">
        <w:rPr>
          <w:b/>
          <w:bCs/>
        </w:rPr>
        <w:t>oco, a restaurant manager with eight years’ service, was delighted to inform Charlotte and Madeleine that she is pregnant and that her baby is due in six months’ time. Charlotte, who took two weeks off after the birth of her baby, is unhappy at the disruption this will cause but is happy to let Coco book two weeks’ annual leave to coincide with the birth of her baby. Charlotte feels a small business cannot afford the maternity leave and maternity pay that a larger organisation could offer, and she knows from experience that two weeks off is sufficient. Advise Charlotte and Madeleine on Coco’s maternity rights. You are concerned about Charlotte and Madeleine’s lack of knowledge in this area and decide to add a brief overview of paternity and adoption rights in case they make mistakes in this area too. (AC 4.3)</w:t>
      </w:r>
    </w:p>
    <w:p w14:paraId="06B9EBBB" w14:textId="6024D965" w:rsidR="0081538C" w:rsidRDefault="000778F3" w:rsidP="007C6DE4">
      <w:pPr>
        <w:pStyle w:val="Nornal"/>
        <w:spacing w:line="264" w:lineRule="auto"/>
      </w:pPr>
      <w:r w:rsidRPr="00B77C07">
        <w:t xml:space="preserve">As Coco is a legal employee of Madeline and Charlotte, she </w:t>
      </w:r>
      <w:r w:rsidR="003A3A52">
        <w:t>is</w:t>
      </w:r>
      <w:r w:rsidRPr="00B77C07">
        <w:t xml:space="preserve"> entitled to </w:t>
      </w:r>
      <w:r w:rsidR="00B77C07" w:rsidRPr="00B77C07">
        <w:t xml:space="preserve">52 weeks maternity </w:t>
      </w:r>
      <w:r w:rsidR="00EE38FD">
        <w:t>leave</w:t>
      </w:r>
      <w:r w:rsidR="0030172E">
        <w:t xml:space="preserve"> </w:t>
      </w:r>
      <w:r w:rsidR="00E17B47">
        <w:t>(ACAS, 2024h).</w:t>
      </w:r>
      <w:r w:rsidR="006E5375">
        <w:t xml:space="preserve"> As Coco has </w:t>
      </w:r>
      <w:r w:rsidR="00A3709D">
        <w:t>informed Madeline and Charlotte before her 15</w:t>
      </w:r>
      <w:r w:rsidR="00A3709D" w:rsidRPr="00A3709D">
        <w:rPr>
          <w:vertAlign w:val="superscript"/>
        </w:rPr>
        <w:t>th</w:t>
      </w:r>
      <w:r w:rsidR="00A3709D">
        <w:t xml:space="preserve"> week of childbirth, Coco </w:t>
      </w:r>
      <w:r w:rsidR="00021402">
        <w:t>qualifies for maternity leave (Daniels, 2022. P. 103).</w:t>
      </w:r>
      <w:r w:rsidR="00D01B4C">
        <w:t xml:space="preserve"> </w:t>
      </w:r>
    </w:p>
    <w:p w14:paraId="40135A2D" w14:textId="00D2EDF9" w:rsidR="002373B6" w:rsidRDefault="004426D9" w:rsidP="002373B6">
      <w:pPr>
        <w:pStyle w:val="Nornal"/>
        <w:spacing w:line="264" w:lineRule="auto"/>
      </w:pPr>
      <w:r>
        <w:lastRenderedPageBreak/>
        <w:t>By law,</w:t>
      </w:r>
      <w:r w:rsidR="001D3F47">
        <w:t xml:space="preserve"> </w:t>
      </w:r>
      <w:r w:rsidR="00994FF1">
        <w:t>a</w:t>
      </w:r>
      <w:r w:rsidR="00FA2B29">
        <w:t xml:space="preserve">ny </w:t>
      </w:r>
      <w:r w:rsidR="00994FF1">
        <w:t>employee</w:t>
      </w:r>
      <w:r w:rsidR="00FA2B29">
        <w:t xml:space="preserve"> </w:t>
      </w:r>
      <w:r w:rsidR="001D3F47">
        <w:t xml:space="preserve">must legally take a minimum of 2 weeks off after the birth of </w:t>
      </w:r>
      <w:r w:rsidR="00AA2100">
        <w:t>a</w:t>
      </w:r>
      <w:r w:rsidR="001D3F47">
        <w:t xml:space="preserve"> baby</w:t>
      </w:r>
      <w:r w:rsidR="002A65EF">
        <w:t>,</w:t>
      </w:r>
      <w:r w:rsidR="00D64DCA">
        <w:t xml:space="preserve"> this is known as compulsory maternity leave</w:t>
      </w:r>
      <w:r w:rsidR="00CC5A56">
        <w:t xml:space="preserve"> (Daniels, 2022. P. 102). However,</w:t>
      </w:r>
      <w:r w:rsidR="00B23440">
        <w:t xml:space="preserve"> all employees are</w:t>
      </w:r>
      <w:r w:rsidR="005702C4">
        <w:t xml:space="preserve"> entitled to take up to</w:t>
      </w:r>
      <w:r w:rsidR="000101B2">
        <w:t xml:space="preserve"> 52 weeks</w:t>
      </w:r>
      <w:r w:rsidR="00B46C74">
        <w:t xml:space="preserve"> maternity</w:t>
      </w:r>
      <w:r w:rsidR="000101B2">
        <w:t xml:space="preserve"> leave</w:t>
      </w:r>
      <w:r w:rsidR="009D2586">
        <w:t>:</w:t>
      </w:r>
    </w:p>
    <w:p w14:paraId="62B885A3" w14:textId="7FA6E104" w:rsidR="000101B2" w:rsidRDefault="00CB097D" w:rsidP="002373B6">
      <w:pPr>
        <w:pStyle w:val="Nornal"/>
        <w:numPr>
          <w:ilvl w:val="0"/>
          <w:numId w:val="22"/>
        </w:numPr>
        <w:spacing w:line="264" w:lineRule="auto"/>
      </w:pPr>
      <w:r>
        <w:t>Ordinary Maternity Leave (OML) – Which allows all pregnant women to take up 26 weeks</w:t>
      </w:r>
      <w:r w:rsidR="009815CD">
        <w:t xml:space="preserve"> OML regardless of length of service. </w:t>
      </w:r>
    </w:p>
    <w:p w14:paraId="70FD0EB5" w14:textId="17990783" w:rsidR="009815CD" w:rsidRDefault="009815CD" w:rsidP="002938BF">
      <w:pPr>
        <w:pStyle w:val="Nornal"/>
        <w:numPr>
          <w:ilvl w:val="0"/>
          <w:numId w:val="17"/>
        </w:numPr>
        <w:spacing w:line="264" w:lineRule="auto"/>
      </w:pPr>
      <w:r>
        <w:t>Additional Maternity Leave (AML)</w:t>
      </w:r>
      <w:r w:rsidR="001E1482">
        <w:t xml:space="preserve"> – this allows up to an additional 26 weeks </w:t>
      </w:r>
      <w:r w:rsidR="001F30DC">
        <w:t xml:space="preserve">maternity leave, </w:t>
      </w:r>
      <w:r w:rsidR="00973FEF">
        <w:t>starting</w:t>
      </w:r>
      <w:r w:rsidR="001F30DC">
        <w:t xml:space="preserve"> immediately after OML finishes – giving a total leave period of 52 weeks</w:t>
      </w:r>
      <w:r w:rsidR="00327439">
        <w:t xml:space="preserve"> (Taylor and Woodhams, 2022. P. </w:t>
      </w:r>
      <w:r w:rsidR="00C64302">
        <w:t>104-105)</w:t>
      </w:r>
      <w:r w:rsidR="002373B6">
        <w:t>.</w:t>
      </w:r>
    </w:p>
    <w:p w14:paraId="2499A156" w14:textId="253933DF" w:rsidR="00B23440" w:rsidRDefault="00C27CD3" w:rsidP="00B23440">
      <w:pPr>
        <w:pStyle w:val="Nornal"/>
        <w:spacing w:line="264" w:lineRule="auto"/>
      </w:pPr>
      <w:r>
        <w:t>It is important to note her</w:t>
      </w:r>
      <w:r w:rsidR="003C5187">
        <w:t>e</w:t>
      </w:r>
      <w:r>
        <w:t xml:space="preserve"> that Statutory adoption leave </w:t>
      </w:r>
      <w:r w:rsidR="00BF1695">
        <w:t>can also last up to 5</w:t>
      </w:r>
      <w:r w:rsidR="00EA27D0">
        <w:t>2</w:t>
      </w:r>
      <w:r w:rsidR="00BF1695">
        <w:t xml:space="preserve"> weeks and is treated the same way as maternity leave (ACAS, 2024</w:t>
      </w:r>
      <w:r w:rsidR="00646E09">
        <w:t>i</w:t>
      </w:r>
      <w:r w:rsidR="00C86A34">
        <w:t>)</w:t>
      </w:r>
    </w:p>
    <w:p w14:paraId="6B27DA79" w14:textId="15EB0334" w:rsidR="000322C6" w:rsidRDefault="000322C6" w:rsidP="000322C6">
      <w:pPr>
        <w:pStyle w:val="Nornal"/>
        <w:spacing w:line="264" w:lineRule="auto"/>
      </w:pPr>
      <w:r>
        <w:t>As employers Charlotte and Madeline</w:t>
      </w:r>
      <w:r w:rsidR="00153E75">
        <w:t xml:space="preserve"> </w:t>
      </w:r>
      <w:r w:rsidR="003B7D57">
        <w:t xml:space="preserve">must also provide Statutory Maternity Pay during the first 39 weeks of Maternity leave. </w:t>
      </w:r>
    </w:p>
    <w:p w14:paraId="6AE5CF28" w14:textId="049CDC4C" w:rsidR="0037736D" w:rsidRDefault="0037736D" w:rsidP="002E245C">
      <w:pPr>
        <w:pStyle w:val="Nornal"/>
        <w:spacing w:line="264" w:lineRule="auto"/>
      </w:pPr>
      <w:r>
        <w:rPr>
          <w:noProof/>
        </w:rPr>
        <w:drawing>
          <wp:inline distT="0" distB="0" distL="0" distR="0" wp14:anchorId="2043E787" wp14:editId="0D491AA9">
            <wp:extent cx="3028950" cy="2187250"/>
            <wp:effectExtent l="0" t="0" r="0" b="3810"/>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3051858" cy="2203792"/>
                    </a:xfrm>
                    <a:prstGeom prst="rect">
                      <a:avLst/>
                    </a:prstGeom>
                    <a:effectLst>
                      <a:innerShdw blurRad="114300">
                        <a:prstClr val="black"/>
                      </a:innerShdw>
                    </a:effectLst>
                  </pic:spPr>
                </pic:pic>
              </a:graphicData>
            </a:graphic>
          </wp:inline>
        </w:drawing>
      </w:r>
      <w:r w:rsidR="00C90D27">
        <w:t xml:space="preserve"> (ACAS, 2024i)</w:t>
      </w:r>
    </w:p>
    <w:p w14:paraId="69D9B24E" w14:textId="70B856C6" w:rsidR="002E245C" w:rsidRDefault="002E245C" w:rsidP="002E245C">
      <w:pPr>
        <w:pStyle w:val="Nornal"/>
        <w:spacing w:line="264" w:lineRule="auto"/>
      </w:pPr>
      <w:r>
        <w:t>Again, as per Maternity Pay, Adoption Pay is calculated the same way and the entitlement is the same (ACAS, 2024</w:t>
      </w:r>
      <w:r w:rsidR="00646E09">
        <w:t>i)</w:t>
      </w:r>
    </w:p>
    <w:p w14:paraId="1DEA176C" w14:textId="2254A0CE" w:rsidR="00DF774B" w:rsidRDefault="00DF774B" w:rsidP="00DF774B">
      <w:pPr>
        <w:pStyle w:val="Nornal"/>
        <w:spacing w:line="264" w:lineRule="auto"/>
      </w:pPr>
      <w:r>
        <w:t xml:space="preserve">If Coco decides to take the full 52 weeks, the last 13 weeks will be unpaid, </w:t>
      </w:r>
      <w:r w:rsidR="003337F0">
        <w:t>as</w:t>
      </w:r>
      <w:r>
        <w:t xml:space="preserve"> </w:t>
      </w:r>
      <w:r w:rsidR="00E07E55">
        <w:t xml:space="preserve">Charlotte and Madeline </w:t>
      </w:r>
      <w:r w:rsidR="003337F0">
        <w:t>don’t offer</w:t>
      </w:r>
      <w:r w:rsidR="00E07E55">
        <w:t xml:space="preserve"> enhanced maternity pay (ACAS,</w:t>
      </w:r>
      <w:r w:rsidR="00EC0EDA">
        <w:t>2024</w:t>
      </w:r>
      <w:r w:rsidR="00045809">
        <w:t>h</w:t>
      </w:r>
      <w:r w:rsidR="00EC0EDA">
        <w:t>)</w:t>
      </w:r>
      <w:r w:rsidR="00045809">
        <w:t xml:space="preserve">. </w:t>
      </w:r>
    </w:p>
    <w:p w14:paraId="33CE507F" w14:textId="6B995293" w:rsidR="009B674F" w:rsidRDefault="0048009F" w:rsidP="00DF774B">
      <w:pPr>
        <w:pStyle w:val="Nornal"/>
        <w:spacing w:line="264" w:lineRule="auto"/>
      </w:pPr>
      <w:r>
        <w:t>U</w:t>
      </w:r>
      <w:r w:rsidR="009B674F">
        <w:t xml:space="preserve">pon returning from OML, </w:t>
      </w:r>
      <w:r w:rsidR="001A7812">
        <w:t>employees are</w:t>
      </w:r>
      <w:r w:rsidR="009B674F">
        <w:t xml:space="preserve"> entitled to resume </w:t>
      </w:r>
      <w:r w:rsidR="008A2F75">
        <w:t>into</w:t>
      </w:r>
      <w:r w:rsidR="001A7812">
        <w:t xml:space="preserve"> their</w:t>
      </w:r>
      <w:r w:rsidR="009B674F">
        <w:t xml:space="preserve"> previous rol</w:t>
      </w:r>
      <w:r w:rsidR="00717D4A">
        <w:t>e</w:t>
      </w:r>
      <w:r w:rsidR="009C1AEE">
        <w:t xml:space="preserve"> </w:t>
      </w:r>
      <w:r w:rsidR="00717D4A">
        <w:t xml:space="preserve">unless it is determined to be unfeasible. In such instances, Charlotte and Madeline must provide an alternative position with equivalent pay, </w:t>
      </w:r>
      <w:r w:rsidR="00AA295C">
        <w:t>terms,</w:t>
      </w:r>
      <w:r w:rsidR="00717D4A">
        <w:t xml:space="preserve"> and conditions (</w:t>
      </w:r>
      <w:r w:rsidR="00AA295C">
        <w:t>Daniels, 2022.p.104).</w:t>
      </w:r>
      <w:r w:rsidR="00034ACB">
        <w:t xml:space="preserve"> This also applies in </w:t>
      </w:r>
      <w:r w:rsidR="00A670CC">
        <w:t xml:space="preserve">cases of </w:t>
      </w:r>
      <w:r w:rsidR="00034ACB">
        <w:t>Paternity and Adoption leave</w:t>
      </w:r>
      <w:r w:rsidR="003F1843">
        <w:t xml:space="preserve">, the rights remain the same. </w:t>
      </w:r>
    </w:p>
    <w:p w14:paraId="3F30FD5A" w14:textId="19EFF34D" w:rsidR="00FC352D" w:rsidRDefault="00FC352D" w:rsidP="00DF774B">
      <w:pPr>
        <w:pStyle w:val="Nornal"/>
        <w:spacing w:line="264" w:lineRule="auto"/>
      </w:pPr>
      <w:r>
        <w:t xml:space="preserve">There are several other </w:t>
      </w:r>
      <w:r w:rsidR="000F0F7E">
        <w:t xml:space="preserve">rights pregnant women are entitled to which I have shared with Charlotte and Madeline, including: </w:t>
      </w:r>
    </w:p>
    <w:p w14:paraId="100C3C2A" w14:textId="52365D7C" w:rsidR="007A1A18" w:rsidRDefault="007A1A18" w:rsidP="00DF774B">
      <w:pPr>
        <w:pStyle w:val="Nornal"/>
        <w:spacing w:line="264" w:lineRule="auto"/>
      </w:pPr>
      <w:r>
        <w:rPr>
          <w:noProof/>
        </w:rPr>
        <w:lastRenderedPageBreak/>
        <w:drawing>
          <wp:inline distT="0" distB="0" distL="0" distR="0" wp14:anchorId="5EDFA970" wp14:editId="2C9F77A0">
            <wp:extent cx="4937760" cy="3412558"/>
            <wp:effectExtent l="0" t="0" r="0" b="0"/>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4954309" cy="3423995"/>
                    </a:xfrm>
                    <a:prstGeom prst="rect">
                      <a:avLst/>
                    </a:prstGeom>
                    <a:effectLst>
                      <a:innerShdw blurRad="114300">
                        <a:schemeClr val="accent1"/>
                      </a:innerShdw>
                    </a:effectLst>
                  </pic:spPr>
                </pic:pic>
              </a:graphicData>
            </a:graphic>
          </wp:inline>
        </w:drawing>
      </w:r>
      <w:r w:rsidR="00DB4FBE">
        <w:t xml:space="preserve"> (Ayling and Suff, 2024).</w:t>
      </w:r>
    </w:p>
    <w:p w14:paraId="1DDC1CA9" w14:textId="64D2F44C" w:rsidR="00123B1B" w:rsidRDefault="008C5A1E" w:rsidP="007C6DE4">
      <w:pPr>
        <w:pStyle w:val="Nornal"/>
        <w:spacing w:line="264" w:lineRule="auto"/>
      </w:pPr>
      <w:r w:rsidRPr="007373B8">
        <w:t>Paternity rights</w:t>
      </w:r>
      <w:r w:rsidR="00921146">
        <w:t xml:space="preserve"> differ slightly but</w:t>
      </w:r>
      <w:r w:rsidRPr="007373B8">
        <w:t xml:space="preserve"> many of the same rules apply as per maternity and ado</w:t>
      </w:r>
      <w:r w:rsidR="007373B8" w:rsidRPr="007373B8">
        <w:t>ption,</w:t>
      </w:r>
      <w:r w:rsidRPr="007373B8">
        <w:t xml:space="preserve"> you </w:t>
      </w:r>
      <w:r w:rsidR="007373B8" w:rsidRPr="007373B8">
        <w:t>must</w:t>
      </w:r>
      <w:r w:rsidRPr="007373B8">
        <w:t xml:space="preserve"> be classed as an employee to be elig</w:t>
      </w:r>
      <w:r w:rsidR="007373B8" w:rsidRPr="007373B8">
        <w:t xml:space="preserve">ible for Statutory paternity leave, </w:t>
      </w:r>
      <w:r w:rsidR="00B55C63">
        <w:t>however, th</w:t>
      </w:r>
      <w:r w:rsidR="00475B02">
        <w:t>e maximum paternity leave is 2 weeks</w:t>
      </w:r>
      <w:r w:rsidR="008B17E2">
        <w:t xml:space="preserve">, this can be taken consecutively or in </w:t>
      </w:r>
      <w:r w:rsidR="00921146">
        <w:t>2 periods within 52 weeks of the child being born</w:t>
      </w:r>
      <w:r w:rsidR="002761F1">
        <w:t xml:space="preserve"> (ACAS, 2024j)</w:t>
      </w:r>
      <w:r w:rsidR="00475B02">
        <w:t xml:space="preserve">. </w:t>
      </w:r>
    </w:p>
    <w:p w14:paraId="13A84305" w14:textId="7487C522" w:rsidR="00922903" w:rsidRDefault="00922903" w:rsidP="007C6DE4">
      <w:pPr>
        <w:pStyle w:val="Nornal"/>
        <w:spacing w:line="264" w:lineRule="auto"/>
      </w:pPr>
      <w:r>
        <w:t xml:space="preserve">To be eligible for paternity leave an employee must be: </w:t>
      </w:r>
    </w:p>
    <w:p w14:paraId="52B4C7EC" w14:textId="52D0FB94" w:rsidR="00922903" w:rsidRDefault="00922903" w:rsidP="00922903">
      <w:pPr>
        <w:pStyle w:val="Nornal"/>
        <w:numPr>
          <w:ilvl w:val="0"/>
          <w:numId w:val="21"/>
        </w:numPr>
        <w:spacing w:line="264" w:lineRule="auto"/>
      </w:pPr>
      <w:r>
        <w:t xml:space="preserve">The </w:t>
      </w:r>
      <w:r w:rsidR="00C81D13">
        <w:t>child’s</w:t>
      </w:r>
      <w:r>
        <w:t xml:space="preserve"> father or </w:t>
      </w:r>
      <w:r w:rsidR="00B00436">
        <w:t>married to or be a partner of the expectant mother</w:t>
      </w:r>
      <w:r w:rsidR="00863284">
        <w:t xml:space="preserve"> and have responsibility for the child upbringing. </w:t>
      </w:r>
    </w:p>
    <w:p w14:paraId="509908FE" w14:textId="7EA1EFD4" w:rsidR="00B00436" w:rsidRDefault="00B00436" w:rsidP="00922903">
      <w:pPr>
        <w:pStyle w:val="Nornal"/>
        <w:numPr>
          <w:ilvl w:val="0"/>
          <w:numId w:val="21"/>
        </w:numPr>
        <w:spacing w:line="264" w:lineRule="auto"/>
      </w:pPr>
      <w:r>
        <w:t xml:space="preserve">They must have been continuously employed for </w:t>
      </w:r>
      <w:r w:rsidR="00735665">
        <w:t xml:space="preserve">at least </w:t>
      </w:r>
      <w:r>
        <w:t>26 weeks</w:t>
      </w:r>
      <w:r w:rsidR="00735665">
        <w:t xml:space="preserve"> prior to the qualifying week of paternity</w:t>
      </w:r>
      <w:r w:rsidR="00863284">
        <w:t xml:space="preserve"> (</w:t>
      </w:r>
      <w:r w:rsidR="79E7B683">
        <w:t>Taylor and Woodhams</w:t>
      </w:r>
      <w:r w:rsidR="00863284">
        <w:t>, 2022. P. 106).</w:t>
      </w:r>
    </w:p>
    <w:p w14:paraId="7483A920" w14:textId="60D84FCE" w:rsidR="00C21AA4" w:rsidRPr="007373B8" w:rsidRDefault="00AC161F" w:rsidP="00C81D13">
      <w:pPr>
        <w:pStyle w:val="Nornal"/>
        <w:spacing w:line="264" w:lineRule="auto"/>
      </w:pPr>
      <w:r>
        <w:t xml:space="preserve">All employees are protected </w:t>
      </w:r>
      <w:r w:rsidR="007B0323">
        <w:t xml:space="preserve">against unfair treatment and dismissal during whilst pregnant, on maternity leave or paternity and adoption leave. </w:t>
      </w:r>
      <w:r w:rsidR="001A70CD">
        <w:t xml:space="preserve">If Charlotte and Madeline fail to ensure the appropriate steps are taken, Coco will be </w:t>
      </w:r>
      <w:r w:rsidR="008E798A">
        <w:t xml:space="preserve">within her rights to file a claim against </w:t>
      </w:r>
      <w:r w:rsidR="00C21AA4">
        <w:t>them for discrimination (ACAS, 2024</w:t>
      </w:r>
      <w:r w:rsidR="00AC4ED3">
        <w:t xml:space="preserve">j). </w:t>
      </w:r>
    </w:p>
    <w:p w14:paraId="2A77F8F1" w14:textId="77777777" w:rsidR="007C6DE4" w:rsidRDefault="007C6DE4" w:rsidP="007C6DE4">
      <w:pPr>
        <w:pStyle w:val="Nornal"/>
        <w:spacing w:line="264" w:lineRule="auto"/>
        <w:rPr>
          <w:b/>
          <w:bCs/>
        </w:rPr>
      </w:pPr>
      <w:r w:rsidRPr="007C6DE4">
        <w:rPr>
          <w:b/>
          <w:bCs/>
        </w:rPr>
        <w:t>Chelsea, a restaurant manager, has made a flexible working request and wants to change from working full-time to working three days a week. Charlotte informs you she will let Chelsea know that Peachy Desserts Ltd ‘don’t do’ flexible working and if she does not like it, she should leave and find a part-time job somewhere else. Advise Charlotte and Madeleine of the risks of their approach and what they should do instead. (AC 4.4)</w:t>
      </w:r>
    </w:p>
    <w:p w14:paraId="09A23422" w14:textId="1E3AC60C" w:rsidR="00192274" w:rsidRDefault="00EE6FBE" w:rsidP="007C6DE4">
      <w:pPr>
        <w:pStyle w:val="Nornal"/>
        <w:spacing w:line="264" w:lineRule="auto"/>
      </w:pPr>
      <w:r>
        <w:t xml:space="preserve">In accordance with the </w:t>
      </w:r>
      <w:r w:rsidR="007472EB">
        <w:t>law (Employment Rights Act, 1996)</w:t>
      </w:r>
      <w:r>
        <w:t xml:space="preserve"> I have advised Charlotte and Madeline that all employees have a legal right to make a flexible working request. </w:t>
      </w:r>
      <w:r w:rsidR="005C28A1">
        <w:t xml:space="preserve">This is known as </w:t>
      </w:r>
      <w:r w:rsidR="00614ADE">
        <w:t xml:space="preserve">making a </w:t>
      </w:r>
      <w:r w:rsidR="005C28A1">
        <w:t xml:space="preserve">statutory application </w:t>
      </w:r>
      <w:r w:rsidR="00614ADE">
        <w:t xml:space="preserve">and is a day one right for any employee (GOV.UK, </w:t>
      </w:r>
      <w:r w:rsidR="008548B7">
        <w:t>2024</w:t>
      </w:r>
      <w:r w:rsidR="003236F7">
        <w:t xml:space="preserve">). </w:t>
      </w:r>
    </w:p>
    <w:p w14:paraId="4E04B2B2" w14:textId="27811AFE" w:rsidR="00443647" w:rsidRDefault="00063D07" w:rsidP="007C6DE4">
      <w:pPr>
        <w:pStyle w:val="Nornal"/>
        <w:spacing w:line="264" w:lineRule="auto"/>
      </w:pPr>
      <w:r>
        <w:lastRenderedPageBreak/>
        <w:t>As an employee, Chelsea is entitled to make a maximum of two flexible working requests in a 12 month period (ACAS, 2024</w:t>
      </w:r>
      <w:r w:rsidR="00AC4ED3">
        <w:t>k</w:t>
      </w:r>
      <w:r>
        <w:t xml:space="preserve">). </w:t>
      </w:r>
    </w:p>
    <w:p w14:paraId="64AE6171" w14:textId="153C0C7B" w:rsidR="00A2446A" w:rsidRDefault="00A2446A" w:rsidP="007C6DE4">
      <w:pPr>
        <w:pStyle w:val="Nornal"/>
        <w:spacing w:line="264" w:lineRule="auto"/>
      </w:pPr>
      <w:r>
        <w:t xml:space="preserve">As an employer, </w:t>
      </w:r>
      <w:r w:rsidR="009558E3">
        <w:t>Charlotte and</w:t>
      </w:r>
      <w:r w:rsidR="00BE19D8">
        <w:t xml:space="preserve"> Madeline</w:t>
      </w:r>
      <w:r w:rsidR="00984D91">
        <w:t xml:space="preserve"> need to follow a process for handling the request, which includes: </w:t>
      </w:r>
    </w:p>
    <w:p w14:paraId="7145C4B8" w14:textId="53D9DA84" w:rsidR="002A2AAD" w:rsidRDefault="001E5219" w:rsidP="00974F76">
      <w:pPr>
        <w:pStyle w:val="Nornal"/>
        <w:spacing w:line="264" w:lineRule="auto"/>
      </w:pPr>
      <w:r>
        <w:rPr>
          <w:noProof/>
        </w:rPr>
        <w:drawing>
          <wp:inline distT="0" distB="0" distL="0" distR="0" wp14:anchorId="64BEF01D" wp14:editId="2F2FC3FB">
            <wp:extent cx="4702810" cy="1701682"/>
            <wp:effectExtent l="0" t="0" r="2540" b="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4750621" cy="1718982"/>
                    </a:xfrm>
                    <a:prstGeom prst="rect">
                      <a:avLst/>
                    </a:prstGeom>
                    <a:effectLst>
                      <a:innerShdw blurRad="114300">
                        <a:schemeClr val="accent1"/>
                      </a:innerShdw>
                    </a:effectLst>
                  </pic:spPr>
                </pic:pic>
              </a:graphicData>
            </a:graphic>
          </wp:inline>
        </w:drawing>
      </w:r>
      <w:r w:rsidR="00FC5CFC">
        <w:t xml:space="preserve"> (ACAS, 2024j)</w:t>
      </w:r>
    </w:p>
    <w:p w14:paraId="3A9C79E9" w14:textId="42EB8CA5" w:rsidR="009928F6" w:rsidRDefault="001D4564" w:rsidP="00974F76">
      <w:pPr>
        <w:pStyle w:val="Nornal"/>
        <w:spacing w:line="264" w:lineRule="auto"/>
      </w:pPr>
      <w:r>
        <w:t xml:space="preserve">Legislation </w:t>
      </w:r>
      <w:r w:rsidR="00E27C58">
        <w:t>establishes various reasons that an employer may use to refuse a request, including</w:t>
      </w:r>
      <w:r w:rsidR="00320163">
        <w:t xml:space="preserve"> but not limited to;</w:t>
      </w:r>
      <w:r w:rsidR="00E27C58">
        <w:t xml:space="preserve"> the burden of costs, or an adverse impact on the ability to satisfy </w:t>
      </w:r>
      <w:r w:rsidR="00320163">
        <w:t>customer requirements (Daniels, 2022.p.75)</w:t>
      </w:r>
      <w:r w:rsidR="00AC1DD9">
        <w:t xml:space="preserve">. </w:t>
      </w:r>
    </w:p>
    <w:p w14:paraId="65844A84" w14:textId="77777777" w:rsidR="000A248D" w:rsidRDefault="00831B9D" w:rsidP="00831B9D">
      <w:pPr>
        <w:pStyle w:val="Nornal"/>
        <w:spacing w:line="264" w:lineRule="auto"/>
      </w:pPr>
      <w:r>
        <w:t xml:space="preserve">Failure to adhere to the standards set out above, could result in </w:t>
      </w:r>
      <w:r w:rsidR="007F11BB">
        <w:t>Chelsea</w:t>
      </w:r>
      <w:r>
        <w:t xml:space="preserve"> filing a claim, with the ET, if it reaches this stage a judge will decide if the employee and employer have followed the code of practice (Daniels, 2022.p.75). </w:t>
      </w:r>
      <w:r w:rsidR="00FE6388">
        <w:t xml:space="preserve">If </w:t>
      </w:r>
      <w:r w:rsidR="00D66204">
        <w:t>an ET finds that Charlotte and Madeline have not considered or followed the correct procedure</w:t>
      </w:r>
      <w:r w:rsidR="00CA09ED">
        <w:t xml:space="preserve">, Chelsea could be awarded compensation (Up to 8 weeks pay) </w:t>
      </w:r>
      <w:r w:rsidR="0028049F">
        <w:t>or enforce the request to be reconsidered</w:t>
      </w:r>
      <w:r w:rsidR="000A248D">
        <w:t xml:space="preserve"> (Daniels, 2022.p. 76)</w:t>
      </w:r>
    </w:p>
    <w:p w14:paraId="448D4F54" w14:textId="7054A2F2" w:rsidR="002538D6" w:rsidRDefault="00F2033F" w:rsidP="00831B9D">
      <w:pPr>
        <w:pStyle w:val="Nornal"/>
        <w:spacing w:line="264" w:lineRule="auto"/>
      </w:pPr>
      <w:r>
        <w:t xml:space="preserve">To avoid this </w:t>
      </w:r>
      <w:r w:rsidR="00092BCB">
        <w:t>situation,</w:t>
      </w:r>
      <w:r w:rsidR="00046A7C">
        <w:t xml:space="preserve"> </w:t>
      </w:r>
      <w:r>
        <w:t>Charlotte and Madeline</w:t>
      </w:r>
      <w:r w:rsidR="00046A7C">
        <w:t xml:space="preserve"> have been advised</w:t>
      </w:r>
      <w:r>
        <w:t xml:space="preserve"> to have a conversation with Chelsea to fully understand her </w:t>
      </w:r>
      <w:r w:rsidR="00DB72F1">
        <w:t>needs and</w:t>
      </w:r>
      <w:r w:rsidR="00AD3730">
        <w:t xml:space="preserve"> </w:t>
      </w:r>
      <w:r w:rsidR="00DB72F1">
        <w:t>consider</w:t>
      </w:r>
      <w:r w:rsidR="00634A43">
        <w:t xml:space="preserve"> all alternative</w:t>
      </w:r>
      <w:r w:rsidR="00AD3730">
        <w:t xml:space="preserve"> options. </w:t>
      </w:r>
    </w:p>
    <w:p w14:paraId="4F8FA1CA" w14:textId="799BF810" w:rsidR="00AD3730" w:rsidRDefault="000A248D" w:rsidP="00831B9D">
      <w:pPr>
        <w:pStyle w:val="Nornal"/>
        <w:spacing w:line="264" w:lineRule="auto"/>
      </w:pPr>
      <w:r>
        <w:t xml:space="preserve">Once a decision has been made, </w:t>
      </w:r>
      <w:r w:rsidR="002445C0">
        <w:t xml:space="preserve">any agreements or changes must be communicated in writing, if Charlotte and Madeline cannot agree to the request fully or in part, Chelsea does have the right to appeal and </w:t>
      </w:r>
      <w:r w:rsidR="001210A0">
        <w:t>as employers they need to ensure Chelsea understands her rights as well as the appropriate time for appealing the decision</w:t>
      </w:r>
      <w:r w:rsidR="00D4693A">
        <w:t xml:space="preserve"> (ACAS, 2024k). </w:t>
      </w:r>
    </w:p>
    <w:p w14:paraId="232BF9F4" w14:textId="7F495B79" w:rsidR="00831B9D" w:rsidRDefault="005812E9" w:rsidP="00974F76">
      <w:pPr>
        <w:pStyle w:val="Nornal"/>
        <w:spacing w:line="264" w:lineRule="auto"/>
      </w:pPr>
      <w:r>
        <w:t>I</w:t>
      </w:r>
      <w:r w:rsidR="00120849">
        <w:t xml:space="preserve">n addition to the above </w:t>
      </w:r>
      <w:r w:rsidR="009A00B2">
        <w:t>Charlotte and Madeline</w:t>
      </w:r>
      <w:r w:rsidR="00120849">
        <w:t xml:space="preserve"> have been advised</w:t>
      </w:r>
      <w:r w:rsidR="009A00B2">
        <w:t xml:space="preserve"> t</w:t>
      </w:r>
      <w:r w:rsidR="008276DA">
        <w:t xml:space="preserve">o look at implementing a flexible working policy, research shows that </w:t>
      </w:r>
      <w:r w:rsidR="00567BA7">
        <w:t xml:space="preserve">offering flexible working can reduce sickness and absence rates, increase job satisfaction, </w:t>
      </w:r>
      <w:r w:rsidR="00C160D2">
        <w:t>and lead to a better work life balance</w:t>
      </w:r>
      <w:r w:rsidR="009A00B2">
        <w:t xml:space="preserve"> </w:t>
      </w:r>
      <w:r w:rsidR="00C92FD3">
        <w:t xml:space="preserve">which ultimately </w:t>
      </w:r>
      <w:r w:rsidR="009E2305">
        <w:t xml:space="preserve">increases business performance and turnover (McCartney, </w:t>
      </w:r>
      <w:r w:rsidR="004B1AC4">
        <w:t xml:space="preserve">2024). </w:t>
      </w:r>
    </w:p>
    <w:p w14:paraId="117AAD7D" w14:textId="77777777" w:rsidR="005B1F14" w:rsidRPr="007332A5" w:rsidRDefault="005B1F14" w:rsidP="00974F76">
      <w:pPr>
        <w:pStyle w:val="Nornal"/>
        <w:spacing w:line="264" w:lineRule="auto"/>
      </w:pPr>
    </w:p>
    <w:p w14:paraId="5A883D09" w14:textId="77777777" w:rsidR="00C475C3" w:rsidRPr="007C6DE4" w:rsidRDefault="00C475C3" w:rsidP="007C6DE4">
      <w:pPr>
        <w:pStyle w:val="Nornal"/>
        <w:spacing w:line="264" w:lineRule="auto"/>
        <w:rPr>
          <w:b/>
          <w:bCs/>
        </w:rPr>
      </w:pPr>
    </w:p>
    <w:p w14:paraId="2A156122" w14:textId="77777777" w:rsidR="004B1AC4" w:rsidRDefault="004B1AC4" w:rsidP="013A2BD2">
      <w:pPr>
        <w:pStyle w:val="Nornal"/>
        <w:spacing w:line="264" w:lineRule="auto"/>
        <w:textAlignment w:val="baseline"/>
        <w:rPr>
          <w:rFonts w:ascii="Segoe UI" w:hAnsi="Segoe UI" w:cs="Segoe UI"/>
          <w:sz w:val="28"/>
          <w:szCs w:val="28"/>
          <w:u w:val="single"/>
        </w:rPr>
      </w:pPr>
    </w:p>
    <w:p w14:paraId="4ADD3424" w14:textId="77777777" w:rsidR="004B1AC4" w:rsidRDefault="004B1AC4" w:rsidP="013A2BD2">
      <w:pPr>
        <w:pStyle w:val="Nornal"/>
        <w:spacing w:line="264" w:lineRule="auto"/>
        <w:textAlignment w:val="baseline"/>
        <w:rPr>
          <w:rFonts w:ascii="Segoe UI" w:hAnsi="Segoe UI" w:cs="Segoe UI"/>
          <w:sz w:val="28"/>
          <w:szCs w:val="28"/>
          <w:u w:val="single"/>
        </w:rPr>
      </w:pPr>
    </w:p>
    <w:p w14:paraId="070E1A74" w14:textId="77777777" w:rsidR="004B1AC4" w:rsidRDefault="004B1AC4" w:rsidP="013A2BD2">
      <w:pPr>
        <w:pStyle w:val="Nornal"/>
        <w:spacing w:line="264" w:lineRule="auto"/>
        <w:textAlignment w:val="baseline"/>
        <w:rPr>
          <w:rFonts w:ascii="Segoe UI" w:hAnsi="Segoe UI" w:cs="Segoe UI"/>
          <w:sz w:val="28"/>
          <w:szCs w:val="28"/>
          <w:u w:val="single"/>
        </w:rPr>
      </w:pPr>
    </w:p>
    <w:p w14:paraId="47EFCD7D" w14:textId="77777777" w:rsidR="004B1AC4" w:rsidRDefault="004B1AC4" w:rsidP="013A2BD2">
      <w:pPr>
        <w:pStyle w:val="Nornal"/>
        <w:spacing w:line="264" w:lineRule="auto"/>
        <w:textAlignment w:val="baseline"/>
        <w:rPr>
          <w:rFonts w:ascii="Segoe UI" w:hAnsi="Segoe UI" w:cs="Segoe UI"/>
          <w:sz w:val="28"/>
          <w:szCs w:val="28"/>
          <w:u w:val="single"/>
        </w:rPr>
      </w:pPr>
    </w:p>
    <w:p w14:paraId="1FBB8E80" w14:textId="77777777" w:rsidR="004B1AC4" w:rsidRDefault="004B1AC4" w:rsidP="013A2BD2">
      <w:pPr>
        <w:pStyle w:val="Nornal"/>
        <w:spacing w:line="264" w:lineRule="auto"/>
        <w:textAlignment w:val="baseline"/>
        <w:rPr>
          <w:rFonts w:ascii="Segoe UI" w:hAnsi="Segoe UI" w:cs="Segoe UI"/>
          <w:sz w:val="28"/>
          <w:szCs w:val="28"/>
          <w:u w:val="single"/>
        </w:rPr>
      </w:pPr>
    </w:p>
    <w:p w14:paraId="07424C9B" w14:textId="77777777" w:rsidR="004B1AC4" w:rsidRDefault="004B1AC4" w:rsidP="013A2BD2">
      <w:pPr>
        <w:pStyle w:val="Nornal"/>
        <w:spacing w:line="264" w:lineRule="auto"/>
        <w:textAlignment w:val="baseline"/>
        <w:rPr>
          <w:rFonts w:ascii="Segoe UI" w:hAnsi="Segoe UI" w:cs="Segoe UI"/>
          <w:sz w:val="28"/>
          <w:szCs w:val="28"/>
          <w:u w:val="single"/>
        </w:rPr>
      </w:pPr>
    </w:p>
    <w:p w14:paraId="256D373F" w14:textId="77777777" w:rsidR="004B1AC4" w:rsidRDefault="004B1AC4" w:rsidP="013A2BD2">
      <w:pPr>
        <w:pStyle w:val="Nornal"/>
        <w:spacing w:line="264" w:lineRule="auto"/>
        <w:textAlignment w:val="baseline"/>
        <w:rPr>
          <w:rFonts w:ascii="Segoe UI" w:hAnsi="Segoe UI" w:cs="Segoe UI"/>
          <w:sz w:val="28"/>
          <w:szCs w:val="28"/>
          <w:u w:val="single"/>
        </w:rPr>
      </w:pPr>
    </w:p>
    <w:p w14:paraId="4A713218" w14:textId="77777777" w:rsidR="004B1AC4" w:rsidRDefault="004B1AC4" w:rsidP="013A2BD2">
      <w:pPr>
        <w:pStyle w:val="Nornal"/>
        <w:spacing w:line="264" w:lineRule="auto"/>
        <w:textAlignment w:val="baseline"/>
        <w:rPr>
          <w:rFonts w:ascii="Segoe UI" w:hAnsi="Segoe UI" w:cs="Segoe UI"/>
          <w:sz w:val="28"/>
          <w:szCs w:val="28"/>
          <w:u w:val="single"/>
        </w:rPr>
      </w:pPr>
    </w:p>
    <w:p w14:paraId="324AFD36" w14:textId="77777777" w:rsidR="004B1AC4" w:rsidRDefault="004B1AC4" w:rsidP="013A2BD2">
      <w:pPr>
        <w:pStyle w:val="Nornal"/>
        <w:spacing w:line="264" w:lineRule="auto"/>
        <w:textAlignment w:val="baseline"/>
        <w:rPr>
          <w:rFonts w:ascii="Segoe UI" w:hAnsi="Segoe UI" w:cs="Segoe UI"/>
          <w:sz w:val="28"/>
          <w:szCs w:val="28"/>
          <w:u w:val="single"/>
        </w:rPr>
      </w:pPr>
    </w:p>
    <w:p w14:paraId="27DF268F" w14:textId="77777777" w:rsidR="004B1AC4" w:rsidRDefault="004B1AC4" w:rsidP="013A2BD2">
      <w:pPr>
        <w:pStyle w:val="Nornal"/>
        <w:spacing w:line="264" w:lineRule="auto"/>
        <w:textAlignment w:val="baseline"/>
        <w:rPr>
          <w:rFonts w:ascii="Segoe UI" w:hAnsi="Segoe UI" w:cs="Segoe UI"/>
          <w:sz w:val="28"/>
          <w:szCs w:val="28"/>
          <w:u w:val="single"/>
        </w:rPr>
      </w:pPr>
    </w:p>
    <w:p w14:paraId="73DC1585" w14:textId="77777777" w:rsidR="004B1AC4" w:rsidRDefault="004B1AC4" w:rsidP="013A2BD2">
      <w:pPr>
        <w:pStyle w:val="Nornal"/>
        <w:spacing w:line="264" w:lineRule="auto"/>
        <w:textAlignment w:val="baseline"/>
        <w:rPr>
          <w:rFonts w:ascii="Segoe UI" w:hAnsi="Segoe UI" w:cs="Segoe UI"/>
          <w:sz w:val="28"/>
          <w:szCs w:val="28"/>
          <w:u w:val="single"/>
        </w:rPr>
      </w:pPr>
    </w:p>
    <w:p w14:paraId="786DCAFD" w14:textId="77777777" w:rsidR="004B1AC4" w:rsidRDefault="004B1AC4" w:rsidP="013A2BD2">
      <w:pPr>
        <w:pStyle w:val="Nornal"/>
        <w:spacing w:line="264" w:lineRule="auto"/>
        <w:textAlignment w:val="baseline"/>
        <w:rPr>
          <w:rFonts w:ascii="Segoe UI" w:hAnsi="Segoe UI" w:cs="Segoe UI"/>
          <w:sz w:val="28"/>
          <w:szCs w:val="28"/>
          <w:u w:val="single"/>
        </w:rPr>
      </w:pPr>
    </w:p>
    <w:p w14:paraId="5B3D81E7" w14:textId="77777777" w:rsidR="004B1AC4" w:rsidRDefault="004B1AC4" w:rsidP="013A2BD2">
      <w:pPr>
        <w:pStyle w:val="Nornal"/>
        <w:spacing w:line="264" w:lineRule="auto"/>
        <w:textAlignment w:val="baseline"/>
        <w:rPr>
          <w:rFonts w:ascii="Segoe UI" w:hAnsi="Segoe UI" w:cs="Segoe UI"/>
          <w:sz w:val="28"/>
          <w:szCs w:val="28"/>
          <w:u w:val="single"/>
        </w:rPr>
      </w:pPr>
    </w:p>
    <w:p w14:paraId="52EF78C2" w14:textId="77777777" w:rsidR="004B1AC4" w:rsidRDefault="004B1AC4" w:rsidP="013A2BD2">
      <w:pPr>
        <w:pStyle w:val="Nornal"/>
        <w:spacing w:line="264" w:lineRule="auto"/>
        <w:textAlignment w:val="baseline"/>
        <w:rPr>
          <w:rFonts w:ascii="Segoe UI" w:hAnsi="Segoe UI" w:cs="Segoe UI"/>
          <w:sz w:val="28"/>
          <w:szCs w:val="28"/>
          <w:u w:val="single"/>
        </w:rPr>
      </w:pPr>
    </w:p>
    <w:p w14:paraId="2526BB85" w14:textId="77777777" w:rsidR="004B1AC4" w:rsidRDefault="004B1AC4" w:rsidP="013A2BD2">
      <w:pPr>
        <w:pStyle w:val="Nornal"/>
        <w:spacing w:line="264" w:lineRule="auto"/>
        <w:textAlignment w:val="baseline"/>
        <w:rPr>
          <w:rFonts w:ascii="Segoe UI" w:hAnsi="Segoe UI" w:cs="Segoe UI"/>
          <w:sz w:val="28"/>
          <w:szCs w:val="28"/>
          <w:u w:val="single"/>
        </w:rPr>
      </w:pPr>
    </w:p>
    <w:p w14:paraId="780FC501" w14:textId="59F4ABFD" w:rsidR="00BC7BAD" w:rsidRDefault="3EA8F237" w:rsidP="013A2BD2">
      <w:pPr>
        <w:pStyle w:val="Nornal"/>
        <w:spacing w:line="264" w:lineRule="auto"/>
        <w:textAlignment w:val="baseline"/>
        <w:rPr>
          <w:rFonts w:ascii="Segoe UI" w:hAnsi="Segoe UI" w:cs="Segoe UI"/>
          <w:sz w:val="28"/>
          <w:szCs w:val="28"/>
          <w:u w:val="single"/>
        </w:rPr>
      </w:pPr>
      <w:r w:rsidRPr="30C408E5">
        <w:rPr>
          <w:rFonts w:ascii="Segoe UI" w:hAnsi="Segoe UI" w:cs="Segoe UI"/>
          <w:sz w:val="28"/>
          <w:szCs w:val="28"/>
          <w:u w:val="single"/>
        </w:rPr>
        <w:t xml:space="preserve">Reference List </w:t>
      </w:r>
    </w:p>
    <w:p w14:paraId="4F92ED2B" w14:textId="69D1F571" w:rsidR="44B5C520" w:rsidRDefault="44B5C520" w:rsidP="30C408E5">
      <w:pPr>
        <w:pStyle w:val="Nornal"/>
        <w:spacing w:line="264" w:lineRule="auto"/>
      </w:pPr>
      <w:r w:rsidRPr="30C408E5">
        <w:rPr>
          <w:rFonts w:asciiTheme="minorHAnsi" w:hAnsiTheme="minorHAnsi" w:cstheme="minorBidi"/>
        </w:rPr>
        <w:t>ACAS (2021).</w:t>
      </w:r>
      <w:r w:rsidRPr="30C408E5">
        <w:rPr>
          <w:rFonts w:asciiTheme="minorHAnsi" w:hAnsiTheme="minorHAnsi" w:cstheme="minorBidi"/>
          <w:i/>
          <w:iCs/>
        </w:rPr>
        <w:t xml:space="preserve"> Changing your contract</w:t>
      </w:r>
      <w:r w:rsidRPr="30C408E5">
        <w:rPr>
          <w:rFonts w:asciiTheme="minorHAnsi" w:hAnsiTheme="minorHAnsi" w:cstheme="minorBidi"/>
        </w:rPr>
        <w:t xml:space="preserve">. Available at: </w:t>
      </w:r>
      <w:hyperlink r:id="rId20" w:history="1">
        <w:r w:rsidR="001131D9" w:rsidRPr="000E1574">
          <w:rPr>
            <w:rStyle w:val="Hyperlink"/>
          </w:rPr>
          <w:t>https://www.acas.org.uk/employee-rights-during-a-tupe-transfer/changing-your-employment-contract-after-a-tupe-transfer</w:t>
        </w:r>
      </w:hyperlink>
      <w:r w:rsidR="035AAA52" w:rsidRPr="30C408E5">
        <w:t xml:space="preserve"> (Accessed: 25</w:t>
      </w:r>
      <w:r w:rsidR="035AAA52" w:rsidRPr="30C408E5">
        <w:rPr>
          <w:vertAlign w:val="superscript"/>
        </w:rPr>
        <w:t>th</w:t>
      </w:r>
      <w:r w:rsidR="035AAA52" w:rsidRPr="30C408E5">
        <w:t xml:space="preserve"> April 2024). </w:t>
      </w:r>
    </w:p>
    <w:p w14:paraId="71DAAA47" w14:textId="678E497B" w:rsidR="0C2CA3F7" w:rsidRDefault="0C2CA3F7" w:rsidP="30C408E5">
      <w:pPr>
        <w:pStyle w:val="Nornal"/>
        <w:spacing w:line="264" w:lineRule="auto"/>
      </w:pPr>
      <w:r w:rsidRPr="30C408E5">
        <w:t xml:space="preserve">ACAS (2021b) </w:t>
      </w:r>
      <w:r w:rsidRPr="30C408E5">
        <w:rPr>
          <w:i/>
          <w:iCs/>
        </w:rPr>
        <w:t>Transferring to a new employer</w:t>
      </w:r>
      <w:r w:rsidRPr="30C408E5">
        <w:t xml:space="preserve">. Available at: </w:t>
      </w:r>
      <w:hyperlink r:id="rId21" w:anchor="refusetransfer">
        <w:r w:rsidRPr="30C408E5">
          <w:rPr>
            <w:rStyle w:val="Hyperlink"/>
          </w:rPr>
          <w:t>https://www.acas.org.uk/employee-rights-during-a-tupe-transfer/transferring-to-your-new-employer#refusetransfer</w:t>
        </w:r>
      </w:hyperlink>
      <w:r w:rsidRPr="30C408E5">
        <w:t xml:space="preserve"> (Accessed: 25</w:t>
      </w:r>
      <w:r w:rsidRPr="30C408E5">
        <w:rPr>
          <w:vertAlign w:val="superscript"/>
        </w:rPr>
        <w:t>th</w:t>
      </w:r>
      <w:r w:rsidRPr="30C408E5">
        <w:t xml:space="preserve"> April 2</w:t>
      </w:r>
      <w:r w:rsidR="44FEEB6A" w:rsidRPr="30C408E5">
        <w:t xml:space="preserve">024). </w:t>
      </w:r>
    </w:p>
    <w:p w14:paraId="269C2449" w14:textId="7509369E" w:rsidR="3D6ED662" w:rsidRDefault="3D6ED662" w:rsidP="30C408E5">
      <w:pPr>
        <w:pStyle w:val="Nornal"/>
        <w:spacing w:line="264" w:lineRule="auto"/>
      </w:pPr>
      <w:r w:rsidRPr="30C408E5">
        <w:t>ACAS (2021</w:t>
      </w:r>
      <w:r w:rsidR="192EBE51" w:rsidRPr="30C408E5">
        <w:t>c</w:t>
      </w:r>
      <w:r w:rsidRPr="30C408E5">
        <w:t>)</w:t>
      </w:r>
      <w:r w:rsidRPr="30C408E5">
        <w:rPr>
          <w:i/>
          <w:iCs/>
        </w:rPr>
        <w:t xml:space="preserve"> Informing and consulting you</w:t>
      </w:r>
      <w:r w:rsidRPr="30C408E5">
        <w:t xml:space="preserve">. Available at: </w:t>
      </w:r>
      <w:hyperlink r:id="rId22">
        <w:r w:rsidRPr="30C408E5">
          <w:rPr>
            <w:rStyle w:val="Hyperlink"/>
          </w:rPr>
          <w:t>https://www.acas.org.uk/employee-rights-during-a-tupe-transfer/how-your-employer-should-inform-and-consult-you-during-tupe</w:t>
        </w:r>
      </w:hyperlink>
      <w:r w:rsidRPr="30C408E5">
        <w:t xml:space="preserve"> (A</w:t>
      </w:r>
      <w:r w:rsidR="46CEE11A" w:rsidRPr="30C408E5">
        <w:t>ccessed: 25</w:t>
      </w:r>
      <w:r w:rsidR="46CEE11A" w:rsidRPr="30C408E5">
        <w:rPr>
          <w:vertAlign w:val="superscript"/>
        </w:rPr>
        <w:t>th</w:t>
      </w:r>
      <w:r w:rsidR="46CEE11A" w:rsidRPr="30C408E5">
        <w:t xml:space="preserve"> April 2024). </w:t>
      </w:r>
    </w:p>
    <w:p w14:paraId="1B06FE41" w14:textId="7785B384" w:rsidR="00F40255" w:rsidRDefault="00F40255" w:rsidP="013A2BD2">
      <w:pPr>
        <w:pStyle w:val="Nornal"/>
        <w:spacing w:line="264" w:lineRule="auto"/>
        <w:textAlignment w:val="baseline"/>
      </w:pPr>
      <w:r w:rsidRPr="30C408E5">
        <w:rPr>
          <w:rFonts w:asciiTheme="minorHAnsi" w:hAnsiTheme="minorHAnsi" w:cstheme="minorBidi"/>
        </w:rPr>
        <w:t>ACAS (2022</w:t>
      </w:r>
      <w:r w:rsidR="00D54CCA" w:rsidRPr="30C408E5">
        <w:rPr>
          <w:rFonts w:asciiTheme="minorHAnsi" w:hAnsiTheme="minorHAnsi" w:cstheme="minorBidi"/>
        </w:rPr>
        <w:t>a</w:t>
      </w:r>
      <w:r w:rsidRPr="30C408E5">
        <w:rPr>
          <w:rFonts w:asciiTheme="minorHAnsi" w:hAnsiTheme="minorHAnsi" w:cstheme="minorBidi"/>
        </w:rPr>
        <w:t xml:space="preserve">) </w:t>
      </w:r>
      <w:r w:rsidR="00640C3A" w:rsidRPr="30C408E5">
        <w:rPr>
          <w:rFonts w:asciiTheme="minorHAnsi" w:hAnsiTheme="minorHAnsi" w:cstheme="minorBidi"/>
          <w:i/>
          <w:iCs/>
        </w:rPr>
        <w:t>Early Conciliation</w:t>
      </w:r>
      <w:r w:rsidR="00640C3A" w:rsidRPr="30C408E5">
        <w:rPr>
          <w:rFonts w:asciiTheme="minorHAnsi" w:hAnsiTheme="minorHAnsi" w:cstheme="minorBidi"/>
        </w:rPr>
        <w:t xml:space="preserve">. Available at: </w:t>
      </w:r>
      <w:hyperlink r:id="rId23">
        <w:r w:rsidR="00640C3A" w:rsidRPr="30C408E5">
          <w:rPr>
            <w:rFonts w:asciiTheme="minorHAnsi" w:hAnsiTheme="minorHAnsi" w:cstheme="minorBidi"/>
          </w:rPr>
          <w:t>http</w:t>
        </w:r>
        <w:r w:rsidR="00640C3A" w:rsidRPr="30C408E5">
          <w:rPr>
            <w:rStyle w:val="Hyperlink"/>
          </w:rPr>
          <w:t>s://www.acas.org.uk/early-conciliation</w:t>
        </w:r>
      </w:hyperlink>
      <w:r w:rsidR="00E8491A">
        <w:t xml:space="preserve"> (Accessed: 21</w:t>
      </w:r>
      <w:r w:rsidR="00E8491A" w:rsidRPr="30C408E5">
        <w:rPr>
          <w:vertAlign w:val="superscript"/>
        </w:rPr>
        <w:t>st</w:t>
      </w:r>
      <w:r w:rsidR="00E8491A">
        <w:t xml:space="preserve"> April 2024). </w:t>
      </w:r>
    </w:p>
    <w:p w14:paraId="18B7DA08" w14:textId="4E8CDEE6" w:rsidR="00D54CCA" w:rsidRPr="0087035C" w:rsidRDefault="00D54CCA" w:rsidP="013A2BD2">
      <w:pPr>
        <w:pStyle w:val="Nornal"/>
        <w:spacing w:line="264" w:lineRule="auto"/>
        <w:textAlignment w:val="baseline"/>
        <w:rPr>
          <w:rFonts w:ascii="Segoe UI" w:eastAsia="Times New Roman" w:hAnsi="Segoe UI" w:cs="Segoe UI"/>
          <w:lang w:eastAsia="en-GB"/>
        </w:rPr>
      </w:pPr>
      <w:r>
        <w:t>ACAS (2022b)</w:t>
      </w:r>
      <w:r w:rsidR="0087035C">
        <w:t xml:space="preserve"> </w:t>
      </w:r>
      <w:r w:rsidR="0087035C" w:rsidRPr="0087035C">
        <w:rPr>
          <w:i/>
          <w:iCs/>
        </w:rPr>
        <w:t>Conciliation up to and during tribunal</w:t>
      </w:r>
      <w:r w:rsidR="0087035C">
        <w:t xml:space="preserve">. Available at: </w:t>
      </w:r>
      <w:hyperlink r:id="rId24" w:history="1">
        <w:r w:rsidR="0087035C">
          <w:rPr>
            <w:rStyle w:val="Hyperlink"/>
          </w:rPr>
          <w:t>https://www.acas.org.uk/early-conciliation/conciliation-up-to-and-during-a-tribunal-claim</w:t>
        </w:r>
      </w:hyperlink>
      <w:r w:rsidR="0087035C">
        <w:t xml:space="preserve"> (Accessed: 21</w:t>
      </w:r>
      <w:r w:rsidR="0087035C" w:rsidRPr="0087035C">
        <w:rPr>
          <w:vertAlign w:val="superscript"/>
        </w:rPr>
        <w:t>st</w:t>
      </w:r>
      <w:r w:rsidR="0087035C">
        <w:t xml:space="preserve"> April 2024). </w:t>
      </w:r>
    </w:p>
    <w:p w14:paraId="16BEAF4F" w14:textId="4BB20BE6" w:rsidR="00E93475" w:rsidRDefault="00E93475" w:rsidP="013A2BD2">
      <w:pPr>
        <w:pStyle w:val="Nornal"/>
        <w:spacing w:line="264" w:lineRule="auto"/>
        <w:textAlignment w:val="baseline"/>
      </w:pPr>
      <w:r w:rsidRPr="00E93475">
        <w:rPr>
          <w:rFonts w:ascii="Segoe UI" w:eastAsia="Times New Roman" w:hAnsi="Segoe UI" w:cs="Segoe UI"/>
          <w:lang w:eastAsia="en-GB"/>
        </w:rPr>
        <w:t>ACAS (2023</w:t>
      </w:r>
      <w:r w:rsidR="00A203AE">
        <w:rPr>
          <w:rFonts w:ascii="Segoe UI" w:eastAsia="Times New Roman" w:hAnsi="Segoe UI" w:cs="Segoe UI"/>
          <w:lang w:eastAsia="en-GB"/>
        </w:rPr>
        <w:t>a</w:t>
      </w:r>
      <w:r w:rsidRPr="00E93475">
        <w:rPr>
          <w:rFonts w:ascii="Segoe UI" w:eastAsia="Times New Roman" w:hAnsi="Segoe UI" w:cs="Segoe UI"/>
          <w:lang w:eastAsia="en-GB"/>
        </w:rPr>
        <w:t>)</w:t>
      </w:r>
      <w:r w:rsidR="004718A4">
        <w:rPr>
          <w:rFonts w:ascii="Segoe UI" w:eastAsia="Times New Roman" w:hAnsi="Segoe UI" w:cs="Segoe UI"/>
          <w:lang w:eastAsia="en-GB"/>
        </w:rPr>
        <w:t xml:space="preserve"> </w:t>
      </w:r>
      <w:r w:rsidR="004718A4" w:rsidRPr="004718A4">
        <w:rPr>
          <w:rFonts w:ascii="Segoe UI" w:eastAsia="Times New Roman" w:hAnsi="Segoe UI" w:cs="Segoe UI"/>
          <w:i/>
          <w:iCs/>
          <w:lang w:eastAsia="en-GB"/>
        </w:rPr>
        <w:t>Employment tribunal time limits</w:t>
      </w:r>
      <w:r w:rsidR="004718A4">
        <w:rPr>
          <w:rFonts w:ascii="Segoe UI" w:eastAsia="Times New Roman" w:hAnsi="Segoe UI" w:cs="Segoe UI"/>
          <w:lang w:eastAsia="en-GB"/>
        </w:rPr>
        <w:t xml:space="preserve">. </w:t>
      </w:r>
      <w:r w:rsidR="00455588">
        <w:rPr>
          <w:rFonts w:ascii="Segoe UI" w:eastAsia="Times New Roman" w:hAnsi="Segoe UI" w:cs="Segoe UI"/>
          <w:lang w:eastAsia="en-GB"/>
        </w:rPr>
        <w:t xml:space="preserve">Available at: </w:t>
      </w:r>
      <w:hyperlink r:id="rId25" w:history="1">
        <w:r w:rsidR="00455588">
          <w:rPr>
            <w:rStyle w:val="Hyperlink"/>
          </w:rPr>
          <w:t>https://www.acas.org.uk/employment-tribunal-time-limits</w:t>
        </w:r>
      </w:hyperlink>
      <w:r w:rsidR="00455588">
        <w:t xml:space="preserve"> (Accessed: 21</w:t>
      </w:r>
      <w:r w:rsidR="00455588" w:rsidRPr="00455588">
        <w:rPr>
          <w:vertAlign w:val="superscript"/>
        </w:rPr>
        <w:t>st</w:t>
      </w:r>
      <w:r w:rsidR="00455588">
        <w:t xml:space="preserve"> April 2024). </w:t>
      </w:r>
    </w:p>
    <w:p w14:paraId="41B4E9EE" w14:textId="3045BEF6" w:rsidR="00932F17" w:rsidRDefault="00932F17" w:rsidP="013A2BD2">
      <w:pPr>
        <w:pStyle w:val="Nornal"/>
        <w:spacing w:line="264" w:lineRule="auto"/>
        <w:textAlignment w:val="baseline"/>
      </w:pPr>
      <w:r>
        <w:t>ACAS (2023</w:t>
      </w:r>
      <w:r w:rsidR="00A203AE">
        <w:t xml:space="preserve">b) </w:t>
      </w:r>
      <w:r w:rsidR="00A203AE" w:rsidRPr="00A203AE">
        <w:rPr>
          <w:i/>
          <w:iCs/>
        </w:rPr>
        <w:t>Discrimination and the Equality Act.</w:t>
      </w:r>
      <w:r w:rsidR="00A203AE">
        <w:t xml:space="preserve"> Available at: </w:t>
      </w:r>
      <w:hyperlink r:id="rId26" w:history="1">
        <w:r w:rsidR="00A92301">
          <w:rPr>
            <w:rStyle w:val="Hyperlink"/>
          </w:rPr>
          <w:t>https://www.acas.org.uk/discrimination-and-the-law</w:t>
        </w:r>
      </w:hyperlink>
      <w:r w:rsidR="00A92301">
        <w:t xml:space="preserve"> (Accessed: 21</w:t>
      </w:r>
      <w:r w:rsidR="00A92301" w:rsidRPr="00A92301">
        <w:rPr>
          <w:vertAlign w:val="superscript"/>
        </w:rPr>
        <w:t>st</w:t>
      </w:r>
      <w:r w:rsidR="00A92301">
        <w:t xml:space="preserve"> April 2024). </w:t>
      </w:r>
    </w:p>
    <w:p w14:paraId="66A028F6" w14:textId="15B39F52" w:rsidR="00064E7F" w:rsidRPr="00064E7F" w:rsidRDefault="00064E7F" w:rsidP="013A2BD2">
      <w:pPr>
        <w:pStyle w:val="Nornal"/>
        <w:spacing w:line="264" w:lineRule="auto"/>
        <w:textAlignment w:val="baseline"/>
        <w:rPr>
          <w:rFonts w:ascii="Segoe UI" w:eastAsia="Times New Roman" w:hAnsi="Segoe UI" w:cs="Segoe UI"/>
          <w:lang w:eastAsia="en-GB"/>
        </w:rPr>
      </w:pPr>
      <w:r>
        <w:t xml:space="preserve">ACAS (2023c) </w:t>
      </w:r>
      <w:r w:rsidRPr="0B35D69C">
        <w:rPr>
          <w:i/>
          <w:iCs/>
        </w:rPr>
        <w:t>Direct Discrimination</w:t>
      </w:r>
      <w:r>
        <w:t xml:space="preserve">. Available at: </w:t>
      </w:r>
      <w:hyperlink r:id="rId27">
        <w:r w:rsidRPr="0B35D69C">
          <w:rPr>
            <w:rStyle w:val="Hyperlink"/>
          </w:rPr>
          <w:t>https://www.acas.org.uk/discrimination-and-the-law/direct-discrimination</w:t>
        </w:r>
      </w:hyperlink>
      <w:r>
        <w:t xml:space="preserve"> (Accessed: 21</w:t>
      </w:r>
      <w:r w:rsidRPr="0B35D69C">
        <w:rPr>
          <w:vertAlign w:val="superscript"/>
        </w:rPr>
        <w:t>st</w:t>
      </w:r>
      <w:r>
        <w:t xml:space="preserve"> April 2024). </w:t>
      </w:r>
    </w:p>
    <w:p w14:paraId="3C69DF07" w14:textId="044DDB68" w:rsidR="352E309F" w:rsidRDefault="352E309F" w:rsidP="0B35D69C">
      <w:pPr>
        <w:pStyle w:val="Nornal"/>
        <w:spacing w:line="264" w:lineRule="auto"/>
      </w:pPr>
      <w:r>
        <w:lastRenderedPageBreak/>
        <w:t xml:space="preserve">ACAS (2024) </w:t>
      </w:r>
      <w:r w:rsidRPr="620E1E37">
        <w:rPr>
          <w:i/>
          <w:iCs/>
        </w:rPr>
        <w:t>Equal Pay: Advice for employees</w:t>
      </w:r>
      <w:r>
        <w:t xml:space="preserve">. Available at: </w:t>
      </w:r>
      <w:hyperlink r:id="rId28">
        <w:r w:rsidRPr="620E1E37">
          <w:rPr>
            <w:rStyle w:val="Hyperlink"/>
          </w:rPr>
          <w:t>https://www.acas.org.uk/equal-pay/advice-for-employees</w:t>
        </w:r>
      </w:hyperlink>
      <w:r w:rsidRPr="620E1E37">
        <w:t xml:space="preserve"> (Accessed:</w:t>
      </w:r>
      <w:r w:rsidR="1F89E96C" w:rsidRPr="620E1E37">
        <w:t xml:space="preserve"> 22</w:t>
      </w:r>
      <w:r w:rsidR="1F89E96C" w:rsidRPr="620E1E37">
        <w:rPr>
          <w:vertAlign w:val="superscript"/>
        </w:rPr>
        <w:t>nd</w:t>
      </w:r>
      <w:r w:rsidR="1F89E96C" w:rsidRPr="620E1E37">
        <w:t xml:space="preserve"> April 2024). </w:t>
      </w:r>
    </w:p>
    <w:p w14:paraId="7B0E6EB4" w14:textId="33C3F544" w:rsidR="6B19A484" w:rsidRDefault="6B19A484" w:rsidP="620E1E37">
      <w:pPr>
        <w:pStyle w:val="Nornal"/>
        <w:spacing w:line="264" w:lineRule="auto"/>
      </w:pPr>
      <w:r w:rsidRPr="620E1E37">
        <w:t xml:space="preserve">ACAS (2024b) </w:t>
      </w:r>
      <w:r w:rsidRPr="620E1E37">
        <w:rPr>
          <w:i/>
          <w:iCs/>
        </w:rPr>
        <w:t>When redundancy can happen</w:t>
      </w:r>
      <w:r w:rsidRPr="620E1E37">
        <w:t xml:space="preserve">. Available at: </w:t>
      </w:r>
      <w:hyperlink r:id="rId29">
        <w:r w:rsidRPr="620E1E37">
          <w:rPr>
            <w:rStyle w:val="Hyperlink"/>
          </w:rPr>
          <w:t>https://www.acas.org.uk/your-rights-during-redundancy</w:t>
        </w:r>
      </w:hyperlink>
      <w:r w:rsidRPr="620E1E37">
        <w:t xml:space="preserve"> (Accessed: 22</w:t>
      </w:r>
      <w:r w:rsidRPr="620E1E37">
        <w:rPr>
          <w:vertAlign w:val="superscript"/>
        </w:rPr>
        <w:t>nd</w:t>
      </w:r>
      <w:r w:rsidRPr="620E1E37">
        <w:t xml:space="preserve"> April 2024). </w:t>
      </w:r>
    </w:p>
    <w:p w14:paraId="50D20509" w14:textId="60443713" w:rsidR="17626BB7" w:rsidRDefault="17626BB7" w:rsidP="620E1E37">
      <w:pPr>
        <w:pStyle w:val="Nornal"/>
        <w:spacing w:line="264" w:lineRule="auto"/>
      </w:pPr>
      <w:r w:rsidRPr="620E1E37">
        <w:t xml:space="preserve">ACAS (2024c) </w:t>
      </w:r>
      <w:r w:rsidRPr="620E1E37">
        <w:rPr>
          <w:i/>
          <w:iCs/>
        </w:rPr>
        <w:t>How your employer must consult you</w:t>
      </w:r>
      <w:r w:rsidRPr="620E1E37">
        <w:t xml:space="preserve">. Available at: </w:t>
      </w:r>
      <w:hyperlink r:id="rId30">
        <w:r w:rsidRPr="620E1E37">
          <w:rPr>
            <w:rStyle w:val="Hyperlink"/>
          </w:rPr>
          <w:t>https://www.acas.org.uk/your-rights-during-redundancy/how-your-employer-must-consult-you</w:t>
        </w:r>
      </w:hyperlink>
      <w:r w:rsidRPr="620E1E37">
        <w:t xml:space="preserve"> (Accessed: 22</w:t>
      </w:r>
      <w:r w:rsidRPr="620E1E37">
        <w:rPr>
          <w:vertAlign w:val="superscript"/>
        </w:rPr>
        <w:t>nd</w:t>
      </w:r>
      <w:r w:rsidRPr="620E1E37">
        <w:t xml:space="preserve"> April 2</w:t>
      </w:r>
      <w:r w:rsidR="2A11FCC1" w:rsidRPr="620E1E37">
        <w:t xml:space="preserve">024). </w:t>
      </w:r>
    </w:p>
    <w:p w14:paraId="3DFEFD33" w14:textId="75475D44" w:rsidR="00D276C1" w:rsidRDefault="00D276C1" w:rsidP="620E1E37">
      <w:pPr>
        <w:pStyle w:val="Nornal"/>
        <w:spacing w:line="264" w:lineRule="auto"/>
      </w:pPr>
      <w:r>
        <w:t xml:space="preserve">ACAS (2024d) Redundancy Pay. Available at: </w:t>
      </w:r>
      <w:hyperlink r:id="rId31" w:history="1">
        <w:r>
          <w:rPr>
            <w:rStyle w:val="Hyperlink"/>
          </w:rPr>
          <w:t xml:space="preserve"> </w:t>
        </w:r>
      </w:hyperlink>
      <w:r w:rsidR="00746306" w:rsidRPr="00746306">
        <w:t xml:space="preserve"> </w:t>
      </w:r>
      <w:hyperlink r:id="rId32" w:history="1">
        <w:r w:rsidR="00746306">
          <w:rPr>
            <w:rStyle w:val="Hyperlink"/>
          </w:rPr>
          <w:t>https://www.acas.org.uk/your-rights-during-redundancy/redundancy-pay</w:t>
        </w:r>
      </w:hyperlink>
      <w:r w:rsidR="00746306">
        <w:t xml:space="preserve"> (Accessed: 24</w:t>
      </w:r>
      <w:r w:rsidR="00746306" w:rsidRPr="00746306">
        <w:rPr>
          <w:vertAlign w:val="superscript"/>
        </w:rPr>
        <w:t>th</w:t>
      </w:r>
      <w:r w:rsidR="00746306">
        <w:t xml:space="preserve"> April 2024). </w:t>
      </w:r>
    </w:p>
    <w:p w14:paraId="61BF2CB0" w14:textId="738DA616" w:rsidR="004D7D74" w:rsidRDefault="004D7D74" w:rsidP="620E1E37">
      <w:pPr>
        <w:pStyle w:val="Nornal"/>
        <w:spacing w:line="264" w:lineRule="auto"/>
      </w:pPr>
      <w:r>
        <w:t xml:space="preserve">ACAS (2024e) </w:t>
      </w:r>
      <w:r w:rsidRPr="004D7D74">
        <w:rPr>
          <w:i/>
          <w:iCs/>
        </w:rPr>
        <w:t>What is the minimum wage</w:t>
      </w:r>
      <w:r>
        <w:t xml:space="preserve">. Available at: </w:t>
      </w:r>
      <w:hyperlink r:id="rId33" w:history="1">
        <w:r w:rsidR="00D53FCE">
          <w:rPr>
            <w:rStyle w:val="Hyperlink"/>
          </w:rPr>
          <w:t>https://www.acas.org.uk/national-minimum-wage-entitlement</w:t>
        </w:r>
      </w:hyperlink>
      <w:r w:rsidR="00D53FCE">
        <w:t xml:space="preserve"> (Accessed: 26</w:t>
      </w:r>
      <w:r w:rsidR="00D53FCE" w:rsidRPr="00D53FCE">
        <w:rPr>
          <w:vertAlign w:val="superscript"/>
        </w:rPr>
        <w:t>th</w:t>
      </w:r>
      <w:r w:rsidR="00D53FCE">
        <w:t xml:space="preserve"> April 2024). </w:t>
      </w:r>
    </w:p>
    <w:p w14:paraId="65C74395" w14:textId="518D08AF" w:rsidR="00AC448E" w:rsidRDefault="00AC448E" w:rsidP="620E1E37">
      <w:pPr>
        <w:pStyle w:val="Nornal"/>
        <w:spacing w:line="264" w:lineRule="auto"/>
      </w:pPr>
      <w:r>
        <w:t xml:space="preserve">ACAS (2024f) </w:t>
      </w:r>
      <w:r w:rsidR="003C62EC" w:rsidRPr="003C62EC">
        <w:rPr>
          <w:i/>
          <w:iCs/>
        </w:rPr>
        <w:t>Making and Checking Deductions</w:t>
      </w:r>
      <w:r w:rsidR="003C62EC">
        <w:t xml:space="preserve">. Available at: </w:t>
      </w:r>
      <w:hyperlink r:id="rId34" w:anchor=":~:text=By%20law%20(Employment%20Rights%20Act,overpaid%20the%20employee%20by%20mistake" w:history="1">
        <w:r w:rsidR="003C62EC">
          <w:rPr>
            <w:rStyle w:val="Hyperlink"/>
          </w:rPr>
          <w:t>https://www.acas.org.uk/deductions-from-pay-and-wages - :~:text=By%20law%20(Employment%20Rights%20Act,overpaid%20the%20employee%20by%20mistake</w:t>
        </w:r>
      </w:hyperlink>
      <w:r w:rsidR="003C62EC">
        <w:t xml:space="preserve"> (Accessed: 26</w:t>
      </w:r>
      <w:r w:rsidR="003C62EC" w:rsidRPr="003C62EC">
        <w:rPr>
          <w:vertAlign w:val="superscript"/>
        </w:rPr>
        <w:t>th</w:t>
      </w:r>
      <w:r w:rsidR="003C62EC">
        <w:t xml:space="preserve"> April 2024). </w:t>
      </w:r>
    </w:p>
    <w:p w14:paraId="7C74029E" w14:textId="650F290A" w:rsidR="004475EC" w:rsidRDefault="004475EC" w:rsidP="620E1E37">
      <w:pPr>
        <w:pStyle w:val="Nornal"/>
        <w:spacing w:line="264" w:lineRule="auto"/>
      </w:pPr>
      <w:r>
        <w:t xml:space="preserve">ACAS (2024g) </w:t>
      </w:r>
      <w:r w:rsidRPr="004475EC">
        <w:rPr>
          <w:i/>
          <w:iCs/>
        </w:rPr>
        <w:t>Understanding the Working Time Regulations</w:t>
      </w:r>
      <w:r>
        <w:t xml:space="preserve">. Available at: </w:t>
      </w:r>
      <w:hyperlink r:id="rId35" w:history="1">
        <w:r w:rsidR="001E5E05">
          <w:rPr>
            <w:rStyle w:val="Hyperlink"/>
          </w:rPr>
          <w:t>https://www.acas.org.uk/working-time-rules</w:t>
        </w:r>
      </w:hyperlink>
      <w:r w:rsidR="001E5E05">
        <w:t xml:space="preserve"> (Accessed: 26</w:t>
      </w:r>
      <w:r w:rsidR="001E5E05" w:rsidRPr="001E5E05">
        <w:rPr>
          <w:vertAlign w:val="superscript"/>
        </w:rPr>
        <w:t>th</w:t>
      </w:r>
      <w:r w:rsidR="001E5E05">
        <w:t xml:space="preserve"> April 2024). </w:t>
      </w:r>
    </w:p>
    <w:p w14:paraId="75D2DC56" w14:textId="1069D29F" w:rsidR="00E17B47" w:rsidRDefault="00E17B47" w:rsidP="620E1E37">
      <w:pPr>
        <w:pStyle w:val="Nornal"/>
        <w:spacing w:line="264" w:lineRule="auto"/>
      </w:pPr>
      <w:r>
        <w:t xml:space="preserve">ACAS (2024h) </w:t>
      </w:r>
      <w:r w:rsidR="008D00B3" w:rsidRPr="008D00B3">
        <w:rPr>
          <w:i/>
          <w:iCs/>
        </w:rPr>
        <w:t xml:space="preserve">Maternity Leave and Pay: </w:t>
      </w:r>
      <w:r w:rsidRPr="008D00B3">
        <w:rPr>
          <w:i/>
          <w:iCs/>
        </w:rPr>
        <w:t>Checking your rights</w:t>
      </w:r>
      <w:r w:rsidR="008D00B3">
        <w:t xml:space="preserve">. Available at: </w:t>
      </w:r>
      <w:hyperlink r:id="rId36" w:history="1">
        <w:r w:rsidR="003819EB">
          <w:rPr>
            <w:rStyle w:val="Hyperlink"/>
          </w:rPr>
          <w:t>https://www.acas.org.uk/your-maternity-leave-pay-and-other-rights</w:t>
        </w:r>
      </w:hyperlink>
      <w:r w:rsidR="003819EB">
        <w:t xml:space="preserve"> (Accessed: 26</w:t>
      </w:r>
      <w:r w:rsidR="003819EB" w:rsidRPr="003819EB">
        <w:rPr>
          <w:vertAlign w:val="superscript"/>
        </w:rPr>
        <w:t>th</w:t>
      </w:r>
      <w:r w:rsidR="003819EB">
        <w:t xml:space="preserve"> April 2024).</w:t>
      </w:r>
    </w:p>
    <w:p w14:paraId="15EF128A" w14:textId="7B4535C1" w:rsidR="00646E09" w:rsidRDefault="00646E09" w:rsidP="620E1E37">
      <w:pPr>
        <w:pStyle w:val="Nornal"/>
        <w:spacing w:line="264" w:lineRule="auto"/>
      </w:pPr>
      <w:r>
        <w:t xml:space="preserve">ACAS (2024i) </w:t>
      </w:r>
      <w:r w:rsidRPr="00554693">
        <w:rPr>
          <w:i/>
          <w:iCs/>
        </w:rPr>
        <w:t>Adoption Leave and Pay</w:t>
      </w:r>
      <w:r w:rsidR="00554693">
        <w:t xml:space="preserve">. Available at: </w:t>
      </w:r>
      <w:hyperlink r:id="rId37" w:history="1">
        <w:r w:rsidR="00554693">
          <w:rPr>
            <w:rStyle w:val="Hyperlink"/>
          </w:rPr>
          <w:t>https://www.acas.org.uk/your-adoption-leave-pay-and-other-rights</w:t>
        </w:r>
      </w:hyperlink>
      <w:r w:rsidR="00554693">
        <w:t xml:space="preserve"> (Accessed: 29</w:t>
      </w:r>
      <w:r w:rsidR="00554693" w:rsidRPr="00554693">
        <w:rPr>
          <w:vertAlign w:val="superscript"/>
        </w:rPr>
        <w:t>th</w:t>
      </w:r>
      <w:r w:rsidR="00554693">
        <w:t xml:space="preserve"> April 2024). </w:t>
      </w:r>
    </w:p>
    <w:p w14:paraId="04155889" w14:textId="44D209EA" w:rsidR="002761F1" w:rsidRDefault="002761F1" w:rsidP="620E1E37">
      <w:pPr>
        <w:pStyle w:val="Nornal"/>
        <w:spacing w:line="264" w:lineRule="auto"/>
      </w:pPr>
      <w:r>
        <w:t xml:space="preserve">ACAS (2024j) </w:t>
      </w:r>
      <w:r w:rsidR="00DE2AD2" w:rsidRPr="00DE2AD2">
        <w:rPr>
          <w:i/>
          <w:iCs/>
        </w:rPr>
        <w:t>Paternity Leave and Pay</w:t>
      </w:r>
      <w:r w:rsidR="00DE2AD2">
        <w:t xml:space="preserve">. Available at: </w:t>
      </w:r>
      <w:hyperlink r:id="rId38" w:history="1">
        <w:r w:rsidR="00DE2AD2">
          <w:rPr>
            <w:rStyle w:val="Hyperlink"/>
          </w:rPr>
          <w:t>https://www.acas.org.uk/paternity-rights-leave-and-pay</w:t>
        </w:r>
      </w:hyperlink>
      <w:r w:rsidR="00DE2AD2">
        <w:t xml:space="preserve"> (Accessed: 29</w:t>
      </w:r>
      <w:r w:rsidR="00DE2AD2" w:rsidRPr="00DE2AD2">
        <w:rPr>
          <w:vertAlign w:val="superscript"/>
        </w:rPr>
        <w:t>th</w:t>
      </w:r>
      <w:r w:rsidR="00DE2AD2">
        <w:t xml:space="preserve"> April 2024). </w:t>
      </w:r>
    </w:p>
    <w:p w14:paraId="00C460F0" w14:textId="56C193A9" w:rsidR="005B1F14" w:rsidRPr="008D00B3" w:rsidRDefault="005B1F14" w:rsidP="620E1E37">
      <w:pPr>
        <w:pStyle w:val="Nornal"/>
        <w:spacing w:line="264" w:lineRule="auto"/>
      </w:pPr>
      <w:r>
        <w:t xml:space="preserve">ACAS (2024k) </w:t>
      </w:r>
      <w:r w:rsidR="009C00AE" w:rsidRPr="009C00AE">
        <w:rPr>
          <w:i/>
          <w:iCs/>
        </w:rPr>
        <w:t>Statutory Flexible working requests</w:t>
      </w:r>
      <w:r w:rsidR="009C00AE">
        <w:t xml:space="preserve">. Available at: </w:t>
      </w:r>
      <w:hyperlink r:id="rId39" w:history="1">
        <w:r w:rsidR="00AF05C8">
          <w:rPr>
            <w:rStyle w:val="Hyperlink"/>
          </w:rPr>
          <w:t>https://www.acas.org.uk/statutory-flexible-working-requests/options-for-agreeing-changes</w:t>
        </w:r>
      </w:hyperlink>
      <w:r w:rsidR="00AF05C8">
        <w:t xml:space="preserve"> (Accessed: 29</w:t>
      </w:r>
      <w:r w:rsidR="00AF05C8" w:rsidRPr="00AF05C8">
        <w:rPr>
          <w:vertAlign w:val="superscript"/>
        </w:rPr>
        <w:t>th</w:t>
      </w:r>
      <w:r w:rsidR="00AF05C8">
        <w:t xml:space="preserve"> April 2024). </w:t>
      </w:r>
    </w:p>
    <w:p w14:paraId="16665987" w14:textId="483D3A99" w:rsidR="005E4E89" w:rsidRDefault="005E4E89" w:rsidP="013A2BD2">
      <w:pPr>
        <w:pStyle w:val="Nornal"/>
        <w:spacing w:line="264" w:lineRule="auto"/>
        <w:textAlignment w:val="baseline"/>
      </w:pPr>
      <w:r w:rsidRPr="0B35D69C">
        <w:rPr>
          <w:rFonts w:ascii="Segoe UI" w:eastAsia="Times New Roman" w:hAnsi="Segoe UI" w:cs="Segoe UI"/>
          <w:lang w:eastAsia="en-GB"/>
        </w:rPr>
        <w:t>Ayling</w:t>
      </w:r>
      <w:r w:rsidR="002508BA">
        <w:rPr>
          <w:rFonts w:ascii="Segoe UI" w:eastAsia="Times New Roman" w:hAnsi="Segoe UI" w:cs="Segoe UI"/>
          <w:lang w:eastAsia="en-GB"/>
        </w:rPr>
        <w:t xml:space="preserve">, L. </w:t>
      </w:r>
      <w:r w:rsidRPr="0B35D69C">
        <w:rPr>
          <w:rFonts w:ascii="Segoe UI" w:eastAsia="Times New Roman" w:hAnsi="Segoe UI" w:cs="Segoe UI"/>
          <w:lang w:eastAsia="en-GB"/>
        </w:rPr>
        <w:t>and Suff</w:t>
      </w:r>
      <w:r w:rsidR="002508BA">
        <w:rPr>
          <w:rFonts w:ascii="Segoe UI" w:eastAsia="Times New Roman" w:hAnsi="Segoe UI" w:cs="Segoe UI"/>
          <w:lang w:eastAsia="en-GB"/>
        </w:rPr>
        <w:t>, R.</w:t>
      </w:r>
      <w:r w:rsidRPr="0B35D69C">
        <w:rPr>
          <w:rFonts w:ascii="Segoe UI" w:eastAsia="Times New Roman" w:hAnsi="Segoe UI" w:cs="Segoe UI"/>
          <w:lang w:eastAsia="en-GB"/>
        </w:rPr>
        <w:t xml:space="preserve"> (2023)</w:t>
      </w:r>
      <w:r w:rsidR="003A0831" w:rsidRPr="0B35D69C">
        <w:rPr>
          <w:rFonts w:ascii="Segoe UI" w:eastAsia="Times New Roman" w:hAnsi="Segoe UI" w:cs="Segoe UI"/>
          <w:lang w:eastAsia="en-GB"/>
        </w:rPr>
        <w:t xml:space="preserve"> </w:t>
      </w:r>
      <w:r w:rsidR="003A0831" w:rsidRPr="0B35D69C">
        <w:rPr>
          <w:rFonts w:ascii="Segoe UI" w:eastAsia="Times New Roman" w:hAnsi="Segoe UI" w:cs="Segoe UI"/>
          <w:i/>
          <w:iCs/>
          <w:lang w:eastAsia="en-GB"/>
        </w:rPr>
        <w:t xml:space="preserve">The role of employment tribunals. </w:t>
      </w:r>
      <w:r w:rsidR="003A0831" w:rsidRPr="0B35D69C">
        <w:rPr>
          <w:rFonts w:ascii="Segoe UI" w:eastAsia="Times New Roman" w:hAnsi="Segoe UI" w:cs="Segoe UI"/>
          <w:lang w:eastAsia="en-GB"/>
        </w:rPr>
        <w:t xml:space="preserve">CIPD. Available at: </w:t>
      </w:r>
      <w:hyperlink r:id="rId40">
        <w:r w:rsidR="003A0831" w:rsidRPr="0B35D69C">
          <w:rPr>
            <w:rStyle w:val="Hyperlink"/>
          </w:rPr>
          <w:t>https://www.cipd.org/uk/knowledge/factsheets/tribunals-factsheet/</w:t>
        </w:r>
      </w:hyperlink>
      <w:r w:rsidR="003A0831">
        <w:t xml:space="preserve"> </w:t>
      </w:r>
      <w:r w:rsidR="5D43209B">
        <w:t>(</w:t>
      </w:r>
      <w:r w:rsidR="003A0831">
        <w:t>Accessed: 21</w:t>
      </w:r>
      <w:r w:rsidR="003A0831" w:rsidRPr="0B35D69C">
        <w:rPr>
          <w:vertAlign w:val="superscript"/>
        </w:rPr>
        <w:t>st</w:t>
      </w:r>
      <w:r w:rsidR="003A0831">
        <w:t xml:space="preserve"> April 2024)</w:t>
      </w:r>
    </w:p>
    <w:p w14:paraId="500E84FB" w14:textId="48DD04DA" w:rsidR="00E940BF" w:rsidRDefault="00E940BF" w:rsidP="013A2BD2">
      <w:pPr>
        <w:pStyle w:val="Nornal"/>
        <w:spacing w:line="264" w:lineRule="auto"/>
        <w:textAlignment w:val="baseline"/>
      </w:pPr>
      <w:r>
        <w:t xml:space="preserve">Ayling, </w:t>
      </w:r>
      <w:r w:rsidR="002508BA">
        <w:t xml:space="preserve">L. and Suff, R. (2024) </w:t>
      </w:r>
      <w:r w:rsidR="00991104" w:rsidRPr="00991104">
        <w:rPr>
          <w:i/>
          <w:iCs/>
        </w:rPr>
        <w:t>Working Hours and time off working</w:t>
      </w:r>
      <w:r w:rsidR="00991104">
        <w:t xml:space="preserve">. CIPD. Available at: </w:t>
      </w:r>
      <w:hyperlink r:id="rId41" w:history="1">
        <w:r w:rsidR="00991104">
          <w:rPr>
            <w:rStyle w:val="Hyperlink"/>
          </w:rPr>
          <w:t>https://www.cipd.org/uk/knowledge/factsheets/working-time-factsheet/</w:t>
        </w:r>
      </w:hyperlink>
      <w:r w:rsidR="00991104">
        <w:t xml:space="preserve"> (Accessed: 26</w:t>
      </w:r>
      <w:r w:rsidR="00991104" w:rsidRPr="00991104">
        <w:rPr>
          <w:vertAlign w:val="superscript"/>
        </w:rPr>
        <w:t>th</w:t>
      </w:r>
      <w:r w:rsidR="00991104">
        <w:t xml:space="preserve"> April 2024). </w:t>
      </w:r>
    </w:p>
    <w:p w14:paraId="02A74CA9" w14:textId="69CA8BA3" w:rsidR="64487480" w:rsidRDefault="64487480" w:rsidP="0B35D69C">
      <w:pPr>
        <w:pStyle w:val="Nornal"/>
        <w:spacing w:line="264" w:lineRule="auto"/>
      </w:pPr>
      <w:r>
        <w:t xml:space="preserve">Bright HR (2024) </w:t>
      </w:r>
      <w:r w:rsidRPr="0B35D69C">
        <w:rPr>
          <w:i/>
          <w:iCs/>
        </w:rPr>
        <w:t>Unfair Treatment of an employee at work</w:t>
      </w:r>
      <w:r>
        <w:t xml:space="preserve">. Available at: </w:t>
      </w:r>
      <w:hyperlink r:id="rId42">
        <w:r w:rsidRPr="0B35D69C">
          <w:rPr>
            <w:rStyle w:val="Hyperlink"/>
          </w:rPr>
          <w:t>https://www.brighthr.com/articles/equality-and-discrimination/unfair-treatment-at-work/</w:t>
        </w:r>
      </w:hyperlink>
      <w:r w:rsidRPr="0B35D69C">
        <w:t xml:space="preserve"> (Accessed: 22</w:t>
      </w:r>
      <w:r w:rsidRPr="0B35D69C">
        <w:rPr>
          <w:vertAlign w:val="superscript"/>
        </w:rPr>
        <w:t>nd</w:t>
      </w:r>
      <w:r w:rsidRPr="0B35D69C">
        <w:t xml:space="preserve"> A</w:t>
      </w:r>
      <w:r w:rsidR="6514787E" w:rsidRPr="0B35D69C">
        <w:t xml:space="preserve">pril 2024). </w:t>
      </w:r>
    </w:p>
    <w:p w14:paraId="2CEF4479" w14:textId="5F45D8ED" w:rsidR="005024F1" w:rsidRPr="003A0831" w:rsidRDefault="005024F1" w:rsidP="013A2BD2">
      <w:pPr>
        <w:pStyle w:val="Nornal"/>
        <w:spacing w:line="264" w:lineRule="auto"/>
        <w:textAlignment w:val="baseline"/>
        <w:rPr>
          <w:rFonts w:ascii="Segoe UI" w:eastAsia="Times New Roman" w:hAnsi="Segoe UI" w:cs="Segoe UI"/>
          <w:lang w:eastAsia="en-GB"/>
        </w:rPr>
      </w:pPr>
      <w:r>
        <w:t xml:space="preserve">CIPD (2022) </w:t>
      </w:r>
      <w:r w:rsidRPr="0B35D69C">
        <w:rPr>
          <w:i/>
          <w:iCs/>
        </w:rPr>
        <w:t>Inclusive Recruitment</w:t>
      </w:r>
      <w:r>
        <w:t xml:space="preserve">. Available at: </w:t>
      </w:r>
      <w:hyperlink r:id="rId43">
        <w:r w:rsidR="00234AA3" w:rsidRPr="0B35D69C">
          <w:rPr>
            <w:rStyle w:val="Hyperlink"/>
          </w:rPr>
          <w:t>https://www.cipd.org/uk/knowledge/guides/inclusive-employers/</w:t>
        </w:r>
      </w:hyperlink>
      <w:r w:rsidR="00234AA3">
        <w:t xml:space="preserve"> (Accessed: 21</w:t>
      </w:r>
      <w:r w:rsidR="00234AA3" w:rsidRPr="0B35D69C">
        <w:rPr>
          <w:vertAlign w:val="superscript"/>
        </w:rPr>
        <w:t>st</w:t>
      </w:r>
      <w:r w:rsidR="00234AA3">
        <w:t xml:space="preserve"> April 2024). </w:t>
      </w:r>
    </w:p>
    <w:p w14:paraId="5A34A466" w14:textId="5149F6C2" w:rsidR="22E09D74" w:rsidRDefault="22E09D74" w:rsidP="30C408E5">
      <w:pPr>
        <w:pStyle w:val="Nornal"/>
        <w:spacing w:line="264" w:lineRule="auto"/>
      </w:pPr>
      <w:r>
        <w:t xml:space="preserve">CIPD (2024) </w:t>
      </w:r>
      <w:r w:rsidRPr="30C408E5">
        <w:rPr>
          <w:i/>
          <w:iCs/>
        </w:rPr>
        <w:t>Equal pay: UK Employment Law</w:t>
      </w:r>
      <w:r>
        <w:t xml:space="preserve">. Available at: </w:t>
      </w:r>
      <w:hyperlink r:id="rId44" w:anchor=":~:text=Equal%20pay%20for%20equal%20work,under%20the%20Equality%20Act%202010.">
        <w:r w:rsidRPr="30C408E5">
          <w:rPr>
            <w:rStyle w:val="Hyperlink"/>
          </w:rPr>
          <w:t>https://www.cipd.org/uk/knowledge/employment-law/equal-</w:t>
        </w:r>
        <w:r w:rsidRPr="30C408E5">
          <w:rPr>
            <w:rStyle w:val="Hyperlink"/>
          </w:rPr>
          <w:lastRenderedPageBreak/>
          <w:t>pay/#:~:text=Equal%20pay%20for%20equal%20work,under%20the%20Equality%20Act%202010.</w:t>
        </w:r>
      </w:hyperlink>
      <w:r>
        <w:t xml:space="preserve"> (Acce</w:t>
      </w:r>
      <w:r w:rsidR="55139F2B">
        <w:t>ssed: 22</w:t>
      </w:r>
      <w:r w:rsidR="55139F2B" w:rsidRPr="30C408E5">
        <w:rPr>
          <w:vertAlign w:val="superscript"/>
        </w:rPr>
        <w:t>nd</w:t>
      </w:r>
      <w:r w:rsidR="55139F2B">
        <w:t xml:space="preserve"> April 2024). </w:t>
      </w:r>
    </w:p>
    <w:p w14:paraId="39DAD67B" w14:textId="5B0F2CF5" w:rsidR="00BC83BD" w:rsidRDefault="00BC83BD" w:rsidP="013A2BD2">
      <w:pPr>
        <w:pStyle w:val="Nornal"/>
        <w:spacing w:line="264" w:lineRule="auto"/>
      </w:pPr>
      <w:r w:rsidRPr="00625D69">
        <w:rPr>
          <w:rFonts w:ascii="Segoe UI" w:eastAsia="Times New Roman" w:hAnsi="Segoe UI" w:cs="Segoe UI"/>
          <w:lang w:eastAsia="en-GB"/>
        </w:rPr>
        <w:t>Courts and Tribunals Judiciary (2024) What are the Employment Tribunals? Available at:</w:t>
      </w:r>
      <w:r w:rsidRPr="013A2BD2">
        <w:rPr>
          <w:rFonts w:asciiTheme="minorHAnsi" w:hAnsiTheme="minorHAnsi" w:cstheme="minorBidi"/>
          <w:lang w:eastAsia="en-GB"/>
        </w:rPr>
        <w:t xml:space="preserve"> </w:t>
      </w:r>
      <w:hyperlink r:id="rId45">
        <w:r w:rsidR="4E804541" w:rsidRPr="013A2BD2">
          <w:rPr>
            <w:rStyle w:val="Hyperlink"/>
          </w:rPr>
          <w:t>https://www.judiciary.uk/courts-and-tribunals/tribunals/employment-tribunal/employment-tribunal-england-wales/work-of-the-employment-tribunal/what-is-the-employment-tribunal/</w:t>
        </w:r>
      </w:hyperlink>
      <w:r w:rsidR="4E804541" w:rsidRPr="013A2BD2">
        <w:t xml:space="preserve"> (Accessed: 8</w:t>
      </w:r>
      <w:r w:rsidR="4E804541" w:rsidRPr="013A2BD2">
        <w:rPr>
          <w:vertAlign w:val="superscript"/>
        </w:rPr>
        <w:t>th</w:t>
      </w:r>
      <w:r w:rsidR="4E804541" w:rsidRPr="013A2BD2">
        <w:t xml:space="preserve"> April 2024). </w:t>
      </w:r>
    </w:p>
    <w:p w14:paraId="7B176E76" w14:textId="1E52A39C" w:rsidR="00CD52F2" w:rsidRPr="00822537" w:rsidRDefault="00CD52F2" w:rsidP="00BC7BAD">
      <w:pPr>
        <w:pStyle w:val="paragraph"/>
        <w:spacing w:before="0" w:beforeAutospacing="0" w:after="0" w:afterAutospacing="0"/>
        <w:textAlignment w:val="baseline"/>
        <w:rPr>
          <w:rFonts w:ascii="Segoe UI" w:hAnsi="Segoe UI" w:cs="Segoe UI"/>
          <w:sz w:val="22"/>
          <w:szCs w:val="22"/>
        </w:rPr>
      </w:pPr>
      <w:r w:rsidRPr="739BCDA5">
        <w:rPr>
          <w:rFonts w:ascii="Segoe UI" w:hAnsi="Segoe UI" w:cs="Segoe UI"/>
          <w:sz w:val="22"/>
          <w:szCs w:val="22"/>
        </w:rPr>
        <w:t xml:space="preserve">Daniels, K. (2022) </w:t>
      </w:r>
      <w:r w:rsidR="00AD0CF0" w:rsidRPr="0048663C">
        <w:rPr>
          <w:rFonts w:ascii="Segoe UI" w:hAnsi="Segoe UI" w:cs="Segoe UI"/>
          <w:i/>
          <w:iCs/>
          <w:sz w:val="22"/>
          <w:szCs w:val="22"/>
        </w:rPr>
        <w:t>Introduction to employment law</w:t>
      </w:r>
      <w:r w:rsidR="00AD0CF0" w:rsidRPr="739BCDA5">
        <w:rPr>
          <w:rFonts w:ascii="Segoe UI" w:hAnsi="Segoe UI" w:cs="Segoe UI"/>
          <w:sz w:val="22"/>
          <w:szCs w:val="22"/>
        </w:rPr>
        <w:t xml:space="preserve">. </w:t>
      </w:r>
      <w:r w:rsidR="00822537" w:rsidRPr="739BCDA5">
        <w:rPr>
          <w:rFonts w:ascii="Segoe UI" w:hAnsi="Segoe UI" w:cs="Segoe UI"/>
          <w:sz w:val="22"/>
          <w:szCs w:val="22"/>
        </w:rPr>
        <w:t xml:space="preserve">Kogan Page. London. </w:t>
      </w:r>
    </w:p>
    <w:p w14:paraId="760F794E" w14:textId="0313DA51" w:rsidR="739BCDA5" w:rsidRDefault="739BCDA5" w:rsidP="739BCDA5">
      <w:pPr>
        <w:pStyle w:val="paragraph"/>
        <w:spacing w:before="0" w:beforeAutospacing="0" w:after="0" w:afterAutospacing="0"/>
        <w:rPr>
          <w:rFonts w:ascii="Segoe UI" w:hAnsi="Segoe UI" w:cs="Segoe UI"/>
          <w:sz w:val="22"/>
          <w:szCs w:val="22"/>
        </w:rPr>
      </w:pPr>
    </w:p>
    <w:p w14:paraId="2FB45730" w14:textId="584F9690" w:rsidR="05981253" w:rsidRDefault="1B2C7FA5" w:rsidP="30C408E5">
      <w:pPr>
        <w:pStyle w:val="paragraph"/>
        <w:spacing w:before="0" w:beforeAutospacing="0" w:after="0" w:afterAutospacing="0"/>
      </w:pPr>
      <w:r w:rsidRPr="30C408E5">
        <w:rPr>
          <w:rFonts w:ascii="Segoe UI" w:hAnsi="Segoe UI" w:cs="Segoe UI"/>
          <w:sz w:val="22"/>
          <w:szCs w:val="22"/>
        </w:rPr>
        <w:t xml:space="preserve">Factorial HR (2024) </w:t>
      </w:r>
      <w:r w:rsidRPr="30C408E5">
        <w:rPr>
          <w:rFonts w:ascii="Segoe UI" w:hAnsi="Segoe UI" w:cs="Segoe UI"/>
          <w:i/>
          <w:iCs/>
          <w:sz w:val="22"/>
          <w:szCs w:val="22"/>
        </w:rPr>
        <w:t>Employment Law Changes 2024</w:t>
      </w:r>
      <w:r w:rsidRPr="30C408E5">
        <w:rPr>
          <w:rFonts w:ascii="Segoe UI" w:hAnsi="Segoe UI" w:cs="Segoe UI"/>
          <w:sz w:val="22"/>
          <w:szCs w:val="22"/>
        </w:rPr>
        <w:t xml:space="preserve">. Available at: </w:t>
      </w:r>
      <w:hyperlink r:id="rId46">
        <w:r w:rsidR="20150CA5" w:rsidRPr="30C408E5">
          <w:rPr>
            <w:rStyle w:val="Hyperlink"/>
          </w:rPr>
          <w:t>https://factorialhr.co.uk/blog/uk-employment-laws/</w:t>
        </w:r>
      </w:hyperlink>
      <w:r w:rsidR="20150CA5">
        <w:t xml:space="preserve"> (Accessed: 7</w:t>
      </w:r>
      <w:r w:rsidR="20150CA5" w:rsidRPr="30C408E5">
        <w:rPr>
          <w:vertAlign w:val="superscript"/>
        </w:rPr>
        <w:t>th</w:t>
      </w:r>
      <w:r w:rsidR="20150CA5">
        <w:t xml:space="preserve"> April 2024). </w:t>
      </w:r>
    </w:p>
    <w:p w14:paraId="068170F8" w14:textId="14103FB8" w:rsidR="30C408E5" w:rsidRDefault="30C408E5" w:rsidP="30C408E5">
      <w:pPr>
        <w:pStyle w:val="paragraph"/>
        <w:spacing w:before="0" w:beforeAutospacing="0" w:after="0" w:afterAutospacing="0"/>
      </w:pPr>
    </w:p>
    <w:p w14:paraId="761D2BDE" w14:textId="23186063" w:rsidR="5B24601E" w:rsidRDefault="5B24601E" w:rsidP="30C408E5">
      <w:pPr>
        <w:pStyle w:val="paragraph"/>
        <w:spacing w:before="0" w:beforeAutospacing="0" w:after="0" w:afterAutospacing="0"/>
      </w:pPr>
      <w:r w:rsidRPr="30C408E5">
        <w:rPr>
          <w:rFonts w:asciiTheme="minorHAnsi" w:eastAsiaTheme="minorEastAsia" w:hAnsiTheme="minorHAnsi" w:cstheme="minorBidi"/>
          <w:sz w:val="22"/>
          <w:szCs w:val="22"/>
        </w:rPr>
        <w:t xml:space="preserve">GOV. UK (No date) </w:t>
      </w:r>
      <w:r w:rsidRPr="30C408E5">
        <w:rPr>
          <w:rFonts w:asciiTheme="minorHAnsi" w:eastAsiaTheme="minorEastAsia" w:hAnsiTheme="minorHAnsi" w:cstheme="minorBidi"/>
          <w:i/>
          <w:iCs/>
          <w:sz w:val="22"/>
          <w:szCs w:val="22"/>
        </w:rPr>
        <w:t>Business Transfers, takeovers and TUPE</w:t>
      </w:r>
      <w:r w:rsidRPr="30C408E5">
        <w:rPr>
          <w:rFonts w:asciiTheme="minorHAnsi" w:eastAsiaTheme="minorEastAsia" w:hAnsiTheme="minorHAnsi" w:cstheme="minorBidi"/>
          <w:sz w:val="22"/>
          <w:szCs w:val="22"/>
        </w:rPr>
        <w:t>. Available at:</w:t>
      </w:r>
      <w:r w:rsidR="365ED9A4" w:rsidRPr="30C408E5">
        <w:rPr>
          <w:rFonts w:asciiTheme="minorHAnsi" w:eastAsiaTheme="minorEastAsia" w:hAnsiTheme="minorHAnsi" w:cstheme="minorBidi"/>
          <w:sz w:val="22"/>
          <w:szCs w:val="22"/>
        </w:rPr>
        <w:t xml:space="preserve"> </w:t>
      </w:r>
      <w:hyperlink r:id="rId47">
        <w:r w:rsidR="365ED9A4" w:rsidRPr="30C408E5">
          <w:rPr>
            <w:rStyle w:val="Hyperlink"/>
          </w:rPr>
          <w:t>https://www.gov.uk/transfers-takeovers/transfers-of-employment-contracts</w:t>
        </w:r>
      </w:hyperlink>
      <w:r w:rsidR="365ED9A4" w:rsidRPr="30C408E5">
        <w:t xml:space="preserve"> (Accessed: 25</w:t>
      </w:r>
      <w:r w:rsidR="365ED9A4" w:rsidRPr="30C408E5">
        <w:rPr>
          <w:vertAlign w:val="superscript"/>
        </w:rPr>
        <w:t>th</w:t>
      </w:r>
      <w:r w:rsidR="365ED9A4" w:rsidRPr="30C408E5">
        <w:t xml:space="preserve"> April 2024). </w:t>
      </w:r>
    </w:p>
    <w:p w14:paraId="2B0041B0" w14:textId="77777777" w:rsidR="008E11F5" w:rsidRDefault="008E11F5" w:rsidP="30C408E5">
      <w:pPr>
        <w:pStyle w:val="paragraph"/>
        <w:spacing w:before="0" w:beforeAutospacing="0" w:after="0" w:afterAutospacing="0"/>
      </w:pPr>
    </w:p>
    <w:p w14:paraId="37DA9DF9" w14:textId="49511953" w:rsidR="008E11F5" w:rsidRDefault="008E11F5" w:rsidP="30C408E5">
      <w:pPr>
        <w:pStyle w:val="paragraph"/>
        <w:spacing w:before="0" w:beforeAutospacing="0" w:after="0" w:afterAutospacing="0"/>
      </w:pPr>
      <w:r>
        <w:t xml:space="preserve">GOV.UK (2013) </w:t>
      </w:r>
      <w:r w:rsidR="00D45A43" w:rsidRPr="00D45A43">
        <w:rPr>
          <w:i/>
          <w:iCs/>
        </w:rPr>
        <w:t>Research Shows perceptions of employment law do not reflect reality</w:t>
      </w:r>
      <w:r w:rsidR="00D45A43">
        <w:t xml:space="preserve">. </w:t>
      </w:r>
      <w:r w:rsidR="00571F04">
        <w:t xml:space="preserve">Available at: </w:t>
      </w:r>
      <w:hyperlink r:id="rId48" w:history="1">
        <w:r w:rsidR="00571F04">
          <w:rPr>
            <w:rStyle w:val="Hyperlink"/>
            <w:rFonts w:eastAsiaTheme="minorEastAsia"/>
          </w:rPr>
          <w:t>https://www.gov.uk/government/news/research-shows-perceptions-of-employment-law-do-not-reflect-reality</w:t>
        </w:r>
      </w:hyperlink>
      <w:r w:rsidR="00571F04">
        <w:t xml:space="preserve"> (Accessed: 30</w:t>
      </w:r>
      <w:r w:rsidR="00571F04" w:rsidRPr="00571F04">
        <w:rPr>
          <w:vertAlign w:val="superscript"/>
        </w:rPr>
        <w:t>th</w:t>
      </w:r>
      <w:r w:rsidR="00571F04">
        <w:t xml:space="preserve"> April 2024). </w:t>
      </w:r>
    </w:p>
    <w:p w14:paraId="0C296E1C" w14:textId="4A11045A" w:rsidR="003236F7" w:rsidRDefault="003236F7" w:rsidP="30C408E5">
      <w:pPr>
        <w:pStyle w:val="paragraph"/>
        <w:spacing w:before="0" w:beforeAutospacing="0" w:after="0" w:afterAutospacing="0"/>
      </w:pPr>
    </w:p>
    <w:p w14:paraId="12813C05" w14:textId="3136C161" w:rsidR="003236F7" w:rsidRDefault="003236F7" w:rsidP="30C408E5">
      <w:pPr>
        <w:pStyle w:val="paragraph"/>
        <w:spacing w:before="0" w:beforeAutospacing="0" w:after="0" w:afterAutospacing="0"/>
      </w:pPr>
      <w:r>
        <w:t>GOV.UK (</w:t>
      </w:r>
      <w:r w:rsidR="00A02644">
        <w:t>2024</w:t>
      </w:r>
      <w:r>
        <w:t xml:space="preserve">) </w:t>
      </w:r>
      <w:r w:rsidR="003233DE" w:rsidRPr="003233DE">
        <w:rPr>
          <w:i/>
          <w:iCs/>
        </w:rPr>
        <w:t>Flexible Working</w:t>
      </w:r>
      <w:r w:rsidR="003233DE">
        <w:t xml:space="preserve">. Available at: </w:t>
      </w:r>
      <w:hyperlink r:id="rId49" w:history="1">
        <w:r w:rsidR="00A02644">
          <w:rPr>
            <w:rStyle w:val="Hyperlink"/>
            <w:rFonts w:eastAsiaTheme="minorEastAsia"/>
          </w:rPr>
          <w:t>https://www.gov.uk/flexible-working</w:t>
        </w:r>
      </w:hyperlink>
      <w:r w:rsidR="00A02644">
        <w:t xml:space="preserve"> (Accessed:</w:t>
      </w:r>
      <w:r w:rsidR="008548B7">
        <w:t xml:space="preserve"> 29</w:t>
      </w:r>
      <w:r w:rsidR="008548B7" w:rsidRPr="008548B7">
        <w:rPr>
          <w:vertAlign w:val="superscript"/>
        </w:rPr>
        <w:t>th</w:t>
      </w:r>
      <w:r w:rsidR="008548B7">
        <w:t xml:space="preserve"> April 2024). </w:t>
      </w:r>
    </w:p>
    <w:p w14:paraId="5A390B95" w14:textId="77777777" w:rsidR="00857D20" w:rsidRDefault="00857D20" w:rsidP="30C408E5">
      <w:pPr>
        <w:pStyle w:val="paragraph"/>
        <w:spacing w:before="0" w:beforeAutospacing="0" w:after="0" w:afterAutospacing="0"/>
      </w:pPr>
    </w:p>
    <w:p w14:paraId="5A9E0019" w14:textId="0D93CBC0" w:rsidR="00857D20" w:rsidRPr="00857D20" w:rsidRDefault="00857D20" w:rsidP="30C408E5">
      <w:pPr>
        <w:pStyle w:val="paragraph"/>
        <w:spacing w:before="0" w:beforeAutospacing="0" w:after="0" w:afterAutospacing="0"/>
        <w:rPr>
          <w:rFonts w:ascii="Arial" w:eastAsiaTheme="minorEastAsia" w:hAnsi="Arial" w:cs="Arial"/>
          <w:sz w:val="22"/>
          <w:szCs w:val="22"/>
          <w:lang w:eastAsia="en-US"/>
        </w:rPr>
      </w:pPr>
      <w:r w:rsidRPr="00857D20">
        <w:rPr>
          <w:rFonts w:ascii="Arial" w:eastAsiaTheme="minorEastAsia" w:hAnsi="Arial" w:cs="Arial"/>
          <w:sz w:val="22"/>
          <w:szCs w:val="22"/>
          <w:lang w:eastAsia="en-US"/>
        </w:rPr>
        <w:t xml:space="preserve">Judiciary (2024) </w:t>
      </w:r>
      <w:r w:rsidRPr="00857D20">
        <w:rPr>
          <w:rFonts w:ascii="Arial" w:eastAsiaTheme="minorEastAsia" w:hAnsi="Arial" w:cs="Arial"/>
          <w:i/>
          <w:iCs/>
          <w:sz w:val="22"/>
          <w:szCs w:val="22"/>
          <w:lang w:eastAsia="en-US"/>
        </w:rPr>
        <w:t>Structure of the courts and tribunal system</w:t>
      </w:r>
      <w:r>
        <w:rPr>
          <w:rFonts w:ascii="Arial" w:eastAsiaTheme="minorEastAsia" w:hAnsi="Arial" w:cs="Arial"/>
          <w:sz w:val="22"/>
          <w:szCs w:val="22"/>
          <w:lang w:eastAsia="en-US"/>
        </w:rPr>
        <w:t xml:space="preserve">. Available at: </w:t>
      </w:r>
      <w:hyperlink r:id="rId50" w:history="1">
        <w:r w:rsidR="008734B4">
          <w:rPr>
            <w:rStyle w:val="Hyperlink"/>
            <w:rFonts w:eastAsiaTheme="minorEastAsia"/>
          </w:rPr>
          <w:t>https://www.judiciary.uk/about-the-judiciary/our-justice-system/court-structure/</w:t>
        </w:r>
      </w:hyperlink>
      <w:r w:rsidR="008734B4">
        <w:t xml:space="preserve"> (Accessed: 1</w:t>
      </w:r>
      <w:r w:rsidR="008734B4" w:rsidRPr="008734B4">
        <w:rPr>
          <w:vertAlign w:val="superscript"/>
        </w:rPr>
        <w:t>st</w:t>
      </w:r>
      <w:r w:rsidR="008734B4">
        <w:t xml:space="preserve"> May 2024). </w:t>
      </w:r>
    </w:p>
    <w:p w14:paraId="3209F0E7" w14:textId="77777777" w:rsidR="00234AA3" w:rsidRDefault="00234AA3" w:rsidP="739BCDA5">
      <w:pPr>
        <w:pStyle w:val="paragraph"/>
        <w:spacing w:before="0" w:beforeAutospacing="0" w:after="0" w:afterAutospacing="0"/>
      </w:pPr>
    </w:p>
    <w:p w14:paraId="32C8606C" w14:textId="634C7FC6" w:rsidR="00234AA3" w:rsidRDefault="00234AA3" w:rsidP="739BCDA5">
      <w:pPr>
        <w:pStyle w:val="paragraph"/>
        <w:spacing w:before="0" w:beforeAutospacing="0" w:after="0" w:afterAutospacing="0"/>
        <w:rPr>
          <w:rFonts w:ascii="Segoe UI" w:hAnsi="Segoe UI" w:cs="Segoe UI"/>
          <w:sz w:val="22"/>
          <w:szCs w:val="22"/>
        </w:rPr>
      </w:pPr>
      <w:r w:rsidRPr="00234AA3">
        <w:rPr>
          <w:rFonts w:ascii="Segoe UI" w:hAnsi="Segoe UI" w:cs="Segoe UI"/>
          <w:sz w:val="22"/>
          <w:szCs w:val="22"/>
        </w:rPr>
        <w:t>Lutfur, A. (</w:t>
      </w:r>
      <w:r>
        <w:t xml:space="preserve">2022) </w:t>
      </w:r>
      <w:r w:rsidRPr="00234AA3">
        <w:rPr>
          <w:rFonts w:ascii="Segoe UI" w:hAnsi="Segoe UI" w:cs="Segoe UI"/>
          <w:i/>
          <w:iCs/>
          <w:sz w:val="22"/>
          <w:szCs w:val="22"/>
        </w:rPr>
        <w:t>Equality, Diversity and Inclusion (EDI) In the workplace</w:t>
      </w:r>
      <w:r w:rsidRPr="00234AA3">
        <w:rPr>
          <w:rFonts w:ascii="Segoe UI" w:hAnsi="Segoe UI" w:cs="Segoe UI"/>
          <w:sz w:val="22"/>
          <w:szCs w:val="22"/>
        </w:rPr>
        <w:t xml:space="preserve">. Available at: </w:t>
      </w:r>
      <w:hyperlink r:id="rId51" w:history="1">
        <w:r w:rsidRPr="00234AA3">
          <w:rPr>
            <w:rStyle w:val="Hyperlink"/>
            <w:rFonts w:ascii="Segoe UI" w:hAnsi="Segoe UI" w:cs="Segoe UI"/>
            <w:sz w:val="22"/>
            <w:szCs w:val="22"/>
          </w:rPr>
          <w:t>https://www.cipd.org/uk/knowledge/factsheets/diversity-factsheet/</w:t>
        </w:r>
      </w:hyperlink>
      <w:r w:rsidRPr="00234AA3">
        <w:rPr>
          <w:rFonts w:ascii="Segoe UI" w:hAnsi="Segoe UI" w:cs="Segoe UI"/>
          <w:sz w:val="22"/>
          <w:szCs w:val="22"/>
        </w:rPr>
        <w:t xml:space="preserve"> (Accessed: 21st April 2024). </w:t>
      </w:r>
    </w:p>
    <w:p w14:paraId="7DDF6C61" w14:textId="77777777" w:rsidR="00357275" w:rsidRDefault="00357275" w:rsidP="739BCDA5">
      <w:pPr>
        <w:pStyle w:val="paragraph"/>
        <w:spacing w:before="0" w:beforeAutospacing="0" w:after="0" w:afterAutospacing="0"/>
        <w:rPr>
          <w:rFonts w:ascii="Segoe UI" w:hAnsi="Segoe UI" w:cs="Segoe UI"/>
          <w:sz w:val="22"/>
          <w:szCs w:val="22"/>
        </w:rPr>
      </w:pPr>
    </w:p>
    <w:p w14:paraId="628015B2" w14:textId="6FC6380A" w:rsidR="00357275" w:rsidRPr="00234AA3" w:rsidRDefault="00357275" w:rsidP="739BCDA5">
      <w:pPr>
        <w:pStyle w:val="paragraph"/>
        <w:spacing w:before="0" w:beforeAutospacing="0" w:after="0" w:afterAutospacing="0"/>
        <w:rPr>
          <w:rFonts w:ascii="Segoe UI" w:hAnsi="Segoe UI" w:cs="Segoe UI"/>
          <w:sz w:val="22"/>
          <w:szCs w:val="22"/>
        </w:rPr>
      </w:pPr>
      <w:r>
        <w:rPr>
          <w:rFonts w:ascii="Segoe UI" w:hAnsi="Segoe UI" w:cs="Segoe UI"/>
          <w:sz w:val="22"/>
          <w:szCs w:val="22"/>
        </w:rPr>
        <w:t xml:space="preserve">McCartney, C (2024). </w:t>
      </w:r>
      <w:r w:rsidRPr="00357275">
        <w:rPr>
          <w:rFonts w:ascii="Segoe UI" w:hAnsi="Segoe UI" w:cs="Segoe UI"/>
          <w:i/>
          <w:iCs/>
          <w:sz w:val="22"/>
          <w:szCs w:val="22"/>
        </w:rPr>
        <w:t>Flexible working practices</w:t>
      </w:r>
      <w:r>
        <w:rPr>
          <w:rFonts w:ascii="Segoe UI" w:hAnsi="Segoe UI" w:cs="Segoe UI"/>
          <w:sz w:val="22"/>
          <w:szCs w:val="22"/>
        </w:rPr>
        <w:t xml:space="preserve">. CIPD. Available at: </w:t>
      </w:r>
      <w:hyperlink r:id="rId52" w:anchor="title4" w:history="1">
        <w:r w:rsidR="00120849">
          <w:rPr>
            <w:rStyle w:val="Hyperlink"/>
            <w:rFonts w:eastAsiaTheme="minorEastAsia"/>
          </w:rPr>
          <w:t>https://www.cipd.org/uk/knowledge/factsheets/flexible-working-factsheet/ - title4</w:t>
        </w:r>
      </w:hyperlink>
      <w:r w:rsidR="00120849">
        <w:t xml:space="preserve"> (Accessed: 29</w:t>
      </w:r>
      <w:r w:rsidR="00120849" w:rsidRPr="00120849">
        <w:rPr>
          <w:vertAlign w:val="superscript"/>
        </w:rPr>
        <w:t>th</w:t>
      </w:r>
      <w:r w:rsidR="00120849">
        <w:t xml:space="preserve"> April 2024). </w:t>
      </w:r>
    </w:p>
    <w:p w14:paraId="4499E111" w14:textId="6F43EB23" w:rsidR="013A2BD2" w:rsidRDefault="013A2BD2" w:rsidP="013A2BD2">
      <w:pPr>
        <w:pStyle w:val="paragraph"/>
        <w:spacing w:before="0" w:beforeAutospacing="0" w:after="0" w:afterAutospacing="0"/>
      </w:pPr>
    </w:p>
    <w:p w14:paraId="595E2267" w14:textId="593CBA1F" w:rsidR="0056353E" w:rsidRDefault="28E5BC4C" w:rsidP="013A2BD2">
      <w:pPr>
        <w:pStyle w:val="Nornal"/>
      </w:pPr>
      <w:r w:rsidRPr="013A2BD2">
        <w:t xml:space="preserve">Ministry of Justice (2024) </w:t>
      </w:r>
      <w:r w:rsidRPr="013A2BD2">
        <w:rPr>
          <w:i/>
          <w:iCs/>
        </w:rPr>
        <w:t>Introducing fees in the Employment Tribunals and the Employment Appeal Tribunal</w:t>
      </w:r>
      <w:r w:rsidR="63658C99" w:rsidRPr="013A2BD2">
        <w:t xml:space="preserve">. Available at: </w:t>
      </w:r>
      <w:hyperlink r:id="rId53">
        <w:r w:rsidR="63658C99" w:rsidRPr="013A2BD2">
          <w:rPr>
            <w:rStyle w:val="Hyperlink"/>
          </w:rPr>
          <w:t>https://www.gov.uk/government/consultations/introducing-fees-in-the-employment-tribunals-and-the-employment-appeal-tribunal/introducing-fees-in-the-employment-tribunals-and-the-employment-appeal-tribunal</w:t>
        </w:r>
      </w:hyperlink>
      <w:r w:rsidR="63658C99" w:rsidRPr="013A2BD2">
        <w:t xml:space="preserve"> (Accessed: 8</w:t>
      </w:r>
      <w:r w:rsidR="63658C99" w:rsidRPr="013A2BD2">
        <w:rPr>
          <w:vertAlign w:val="superscript"/>
        </w:rPr>
        <w:t>th</w:t>
      </w:r>
      <w:r w:rsidR="63658C99" w:rsidRPr="013A2BD2">
        <w:t xml:space="preserve"> April 2024)</w:t>
      </w:r>
    </w:p>
    <w:p w14:paraId="17F1A1EB" w14:textId="47371C6E" w:rsidR="00D461EC" w:rsidRPr="000A0C55" w:rsidRDefault="00D461EC" w:rsidP="013A2BD2">
      <w:pPr>
        <w:pStyle w:val="Nornal"/>
      </w:pPr>
      <w:r>
        <w:t xml:space="preserve">Taylor, S &amp; Woodhams, C </w:t>
      </w:r>
      <w:r w:rsidR="00C60E12">
        <w:t xml:space="preserve">(2022) </w:t>
      </w:r>
      <w:r w:rsidR="00C60E12" w:rsidRPr="00C60E12">
        <w:rPr>
          <w:i/>
          <w:iCs/>
        </w:rPr>
        <w:t>Human Resource Management</w:t>
      </w:r>
      <w:r w:rsidR="000A0C55">
        <w:t xml:space="preserve">. </w:t>
      </w:r>
      <w:r w:rsidR="00D13CE1">
        <w:t xml:space="preserve">Third Edition. Kogan Page. London. </w:t>
      </w:r>
    </w:p>
    <w:p w14:paraId="55C201C9" w14:textId="1FA678B6" w:rsidR="281C8F67" w:rsidRDefault="281C8F67" w:rsidP="013A2BD2">
      <w:pPr>
        <w:pStyle w:val="Nornal"/>
      </w:pPr>
      <w:r w:rsidRPr="013A2BD2">
        <w:t xml:space="preserve">Taylor, S. (2023) Employment Law in the UK: The court system. </w:t>
      </w:r>
      <w:r w:rsidR="3B618EA3" w:rsidRPr="013A2BD2">
        <w:t xml:space="preserve">Available at: </w:t>
      </w:r>
      <w:hyperlink r:id="rId54" w:anchor="criminal-and-civil-courts">
        <w:r w:rsidR="3B618EA3" w:rsidRPr="013A2BD2">
          <w:rPr>
            <w:rStyle w:val="Hyperlink"/>
          </w:rPr>
          <w:t>https://www.cipd.org/uk/knowledge/factsheets/uk-court-system-factsheet/#criminal-and-civil-courts</w:t>
        </w:r>
      </w:hyperlink>
      <w:r w:rsidR="3B618EA3" w:rsidRPr="013A2BD2">
        <w:t xml:space="preserve"> (Accessed: 8</w:t>
      </w:r>
      <w:r w:rsidR="3B618EA3" w:rsidRPr="013A2BD2">
        <w:rPr>
          <w:vertAlign w:val="superscript"/>
        </w:rPr>
        <w:t>th</w:t>
      </w:r>
      <w:r w:rsidR="3B618EA3" w:rsidRPr="013A2BD2">
        <w:t xml:space="preserve"> April 2024). </w:t>
      </w:r>
    </w:p>
    <w:p w14:paraId="37B20C5A" w14:textId="3D3A3ED6" w:rsidR="009537DF" w:rsidRDefault="009537DF" w:rsidP="013A2BD2">
      <w:pPr>
        <w:pStyle w:val="Nornal"/>
      </w:pPr>
      <w:r w:rsidRPr="00ED3C51">
        <w:rPr>
          <w:i/>
          <w:iCs/>
        </w:rPr>
        <w:t>The Employment Rights Act</w:t>
      </w:r>
      <w:r w:rsidR="00ED3C51">
        <w:t xml:space="preserve"> 1996, c.18</w:t>
      </w:r>
      <w:r w:rsidR="00CB3CA4">
        <w:t xml:space="preserve">. Available at: </w:t>
      </w:r>
      <w:hyperlink r:id="rId55" w:history="1">
        <w:r w:rsidR="00CB3CA4">
          <w:rPr>
            <w:rStyle w:val="Hyperlink"/>
          </w:rPr>
          <w:t>https://www.legislation.gov.uk/ukpga/1996/18/section/139</w:t>
        </w:r>
      </w:hyperlink>
      <w:r w:rsidR="00CB3CA4">
        <w:t xml:space="preserve"> (Accessed: 24</w:t>
      </w:r>
      <w:r w:rsidR="00CB3CA4" w:rsidRPr="00CB3CA4">
        <w:rPr>
          <w:vertAlign w:val="superscript"/>
        </w:rPr>
        <w:t>th</w:t>
      </w:r>
      <w:r w:rsidR="00CB3CA4">
        <w:t xml:space="preserve"> April 2024). </w:t>
      </w:r>
    </w:p>
    <w:p w14:paraId="5B584DAC" w14:textId="0F0642D7" w:rsidR="00385C54" w:rsidRDefault="00385C54" w:rsidP="013A2BD2">
      <w:pPr>
        <w:pStyle w:val="Nornal"/>
      </w:pPr>
      <w:r w:rsidRPr="003D7129">
        <w:rPr>
          <w:i/>
          <w:iCs/>
        </w:rPr>
        <w:lastRenderedPageBreak/>
        <w:t>The Employment Rights Act 1996</w:t>
      </w:r>
      <w:r>
        <w:t xml:space="preserve">, c. </w:t>
      </w:r>
      <w:r w:rsidR="00AF078C">
        <w:t xml:space="preserve">18.Part 1. Available at: </w:t>
      </w:r>
      <w:hyperlink r:id="rId56" w:history="1">
        <w:r w:rsidR="00AF078C">
          <w:rPr>
            <w:rStyle w:val="Hyperlink"/>
          </w:rPr>
          <w:t>https://www.legislation.gov.uk/ukpga/1996/18/part/I/crossheading/right-to-itemised-pay-statement</w:t>
        </w:r>
      </w:hyperlink>
      <w:r w:rsidR="00466C82">
        <w:t xml:space="preserve"> (Accessed: 26</w:t>
      </w:r>
      <w:r w:rsidR="00466C82" w:rsidRPr="00466C82">
        <w:rPr>
          <w:vertAlign w:val="superscript"/>
        </w:rPr>
        <w:t>th</w:t>
      </w:r>
      <w:r w:rsidR="00466C82">
        <w:t xml:space="preserve"> April 2024).</w:t>
      </w:r>
    </w:p>
    <w:p w14:paraId="7D42333A" w14:textId="0AE9A529" w:rsidR="05981253" w:rsidRDefault="05981253" w:rsidP="739BCDA5">
      <w:pPr>
        <w:pStyle w:val="paragraph"/>
        <w:spacing w:before="0" w:beforeAutospacing="0" w:after="0" w:afterAutospacing="0"/>
      </w:pPr>
      <w:r w:rsidRPr="00CB3CA4">
        <w:rPr>
          <w:rFonts w:ascii="Arial" w:eastAsiaTheme="minorEastAsia" w:hAnsi="Arial" w:cs="Arial"/>
          <w:i/>
          <w:iCs/>
          <w:sz w:val="22"/>
          <w:szCs w:val="22"/>
          <w:lang w:eastAsia="en-US"/>
        </w:rPr>
        <w:t>The Equality Act 2010, c. 15. Available at:</w:t>
      </w:r>
      <w:r w:rsidRPr="739BCDA5">
        <w:t xml:space="preserve"> </w:t>
      </w:r>
      <w:hyperlink r:id="rId57">
        <w:r w:rsidRPr="739BCDA5">
          <w:rPr>
            <w:rStyle w:val="Hyperlink"/>
          </w:rPr>
          <w:t>https://www.legislation.gov.uk/ukpga/2010/15/contents</w:t>
        </w:r>
      </w:hyperlink>
      <w:r w:rsidRPr="739BCDA5">
        <w:t xml:space="preserve"> (Accessed: 7</w:t>
      </w:r>
      <w:r w:rsidRPr="739BCDA5">
        <w:rPr>
          <w:vertAlign w:val="superscript"/>
        </w:rPr>
        <w:t>th</w:t>
      </w:r>
      <w:r w:rsidRPr="739BCDA5">
        <w:t xml:space="preserve"> April 2024).</w:t>
      </w:r>
    </w:p>
    <w:p w14:paraId="7CFCEC5F" w14:textId="2120462C" w:rsidR="739BCDA5" w:rsidRDefault="739BCDA5" w:rsidP="739BCDA5">
      <w:pPr>
        <w:pStyle w:val="paragraph"/>
        <w:spacing w:before="0" w:beforeAutospacing="0" w:after="0" w:afterAutospacing="0"/>
        <w:rPr>
          <w:rFonts w:ascii="Segoe UI" w:hAnsi="Segoe UI" w:cs="Segoe UI"/>
          <w:sz w:val="22"/>
          <w:szCs w:val="22"/>
        </w:rPr>
      </w:pPr>
    </w:p>
    <w:p w14:paraId="1BE5FD7E" w14:textId="4460865B" w:rsidR="3218A158" w:rsidRDefault="3218A158" w:rsidP="30C408E5">
      <w:pPr>
        <w:pStyle w:val="paragraph"/>
        <w:spacing w:before="0" w:beforeAutospacing="0" w:after="0" w:afterAutospacing="0"/>
      </w:pPr>
      <w:r w:rsidRPr="30C408E5">
        <w:rPr>
          <w:rFonts w:ascii="Arial" w:eastAsiaTheme="minorEastAsia" w:hAnsi="Arial" w:cs="Arial"/>
          <w:i/>
          <w:iCs/>
          <w:sz w:val="22"/>
          <w:szCs w:val="22"/>
          <w:lang w:eastAsia="en-US"/>
        </w:rPr>
        <w:t xml:space="preserve">The National Minimum Wage Act 1998, c. 39. </w:t>
      </w:r>
      <w:r w:rsidR="0522194B" w:rsidRPr="30C408E5">
        <w:rPr>
          <w:rFonts w:ascii="Arial" w:eastAsiaTheme="minorEastAsia" w:hAnsi="Arial" w:cs="Arial"/>
          <w:i/>
          <w:iCs/>
          <w:sz w:val="22"/>
          <w:szCs w:val="22"/>
          <w:lang w:eastAsia="en-US"/>
        </w:rPr>
        <w:t>Available at:</w:t>
      </w:r>
      <w:r w:rsidR="0522194B" w:rsidRPr="30C408E5">
        <w:rPr>
          <w:rFonts w:ascii="Segoe UI" w:hAnsi="Segoe UI" w:cs="Segoe UI"/>
          <w:sz w:val="22"/>
          <w:szCs w:val="22"/>
        </w:rPr>
        <w:t xml:space="preserve"> </w:t>
      </w:r>
      <w:hyperlink r:id="rId58">
        <w:r w:rsidR="0522194B" w:rsidRPr="30C408E5">
          <w:rPr>
            <w:rStyle w:val="Hyperlink"/>
          </w:rPr>
          <w:t>https://www.legislation.gov.uk/ukpga/1998/39/contents</w:t>
        </w:r>
      </w:hyperlink>
      <w:r w:rsidR="0522194B">
        <w:t xml:space="preserve"> (Accessed: 7</w:t>
      </w:r>
      <w:r w:rsidR="0522194B" w:rsidRPr="30C408E5">
        <w:rPr>
          <w:vertAlign w:val="superscript"/>
        </w:rPr>
        <w:t>th</w:t>
      </w:r>
      <w:r w:rsidR="0522194B">
        <w:t xml:space="preserve"> April 2024)</w:t>
      </w:r>
      <w:r w:rsidR="14974296">
        <w:t>.</w:t>
      </w:r>
    </w:p>
    <w:p w14:paraId="0D4C0B3E" w14:textId="2F44169D" w:rsidR="30C408E5" w:rsidRDefault="30C408E5" w:rsidP="30C408E5">
      <w:pPr>
        <w:pStyle w:val="paragraph"/>
        <w:spacing w:before="0" w:beforeAutospacing="0" w:after="0" w:afterAutospacing="0"/>
      </w:pPr>
    </w:p>
    <w:p w14:paraId="7D9F95CC" w14:textId="035704E2" w:rsidR="3E22294B" w:rsidRDefault="3E22294B" w:rsidP="30C408E5">
      <w:pPr>
        <w:pStyle w:val="paragraph"/>
        <w:spacing w:before="0" w:beforeAutospacing="0" w:after="0" w:afterAutospacing="0"/>
      </w:pPr>
      <w:r w:rsidRPr="30C408E5">
        <w:rPr>
          <w:rFonts w:asciiTheme="minorHAnsi" w:eastAsiaTheme="minorEastAsia" w:hAnsiTheme="minorHAnsi" w:cstheme="minorBidi"/>
          <w:i/>
          <w:iCs/>
          <w:sz w:val="22"/>
          <w:szCs w:val="22"/>
          <w:lang w:eastAsia="en-US"/>
        </w:rPr>
        <w:t>The Transfer of Undertakings (Protection of Employment) Regulations 2006</w:t>
      </w:r>
      <w:r w:rsidR="155903C9" w:rsidRPr="30C408E5">
        <w:rPr>
          <w:rFonts w:asciiTheme="minorHAnsi" w:eastAsiaTheme="minorEastAsia" w:hAnsiTheme="minorHAnsi" w:cstheme="minorBidi"/>
          <w:i/>
          <w:iCs/>
          <w:sz w:val="22"/>
          <w:szCs w:val="22"/>
          <w:lang w:eastAsia="en-US"/>
        </w:rPr>
        <w:t>, N0.  246.</w:t>
      </w:r>
      <w:r w:rsidR="155903C9" w:rsidRPr="30C408E5">
        <w:t xml:space="preserve"> Available at: </w:t>
      </w:r>
      <w:hyperlink r:id="rId59">
        <w:r w:rsidR="155903C9" w:rsidRPr="30C408E5">
          <w:rPr>
            <w:rStyle w:val="Hyperlink"/>
          </w:rPr>
          <w:t>https://www.legislation.gov.uk/uksi/2006/246/contents/made</w:t>
        </w:r>
        <w:r w:rsidR="26832ECB" w:rsidRPr="30C408E5">
          <w:rPr>
            <w:rStyle w:val="Hyperlink"/>
          </w:rPr>
          <w:t>.</w:t>
        </w:r>
      </w:hyperlink>
      <w:r w:rsidR="26832ECB" w:rsidRPr="30C408E5">
        <w:t xml:space="preserve"> (Accessed: 25</w:t>
      </w:r>
      <w:r w:rsidR="26832ECB" w:rsidRPr="30C408E5">
        <w:rPr>
          <w:vertAlign w:val="superscript"/>
        </w:rPr>
        <w:t>th</w:t>
      </w:r>
      <w:r w:rsidR="26832ECB" w:rsidRPr="30C408E5">
        <w:t xml:space="preserve"> April 2024). </w:t>
      </w:r>
    </w:p>
    <w:p w14:paraId="79B89C73" w14:textId="3BC89497" w:rsidR="739BCDA5" w:rsidRDefault="739BCDA5" w:rsidP="739BCDA5">
      <w:pPr>
        <w:pStyle w:val="paragraph"/>
        <w:spacing w:before="0" w:beforeAutospacing="0" w:after="0" w:afterAutospacing="0"/>
      </w:pPr>
    </w:p>
    <w:p w14:paraId="714091A5" w14:textId="08D7420D" w:rsidR="3AAA327B" w:rsidRDefault="3AAA327B" w:rsidP="739BCDA5">
      <w:pPr>
        <w:pStyle w:val="paragraph"/>
        <w:spacing w:before="0" w:beforeAutospacing="0" w:after="0" w:afterAutospacing="0"/>
      </w:pPr>
      <w:r w:rsidRPr="00CB3CA4">
        <w:rPr>
          <w:rFonts w:ascii="Arial" w:eastAsiaTheme="minorEastAsia" w:hAnsi="Arial" w:cs="Arial"/>
          <w:i/>
          <w:iCs/>
          <w:sz w:val="22"/>
          <w:szCs w:val="22"/>
          <w:lang w:eastAsia="en-US"/>
        </w:rPr>
        <w:t>The Working Time Regulations 1998.</w:t>
      </w:r>
      <w:r w:rsidR="006E7D0B">
        <w:rPr>
          <w:rFonts w:ascii="Arial" w:eastAsiaTheme="minorEastAsia" w:hAnsi="Arial" w:cs="Arial"/>
          <w:i/>
          <w:iCs/>
          <w:sz w:val="22"/>
          <w:szCs w:val="22"/>
          <w:lang w:eastAsia="en-US"/>
        </w:rPr>
        <w:t xml:space="preserve"> </w:t>
      </w:r>
      <w:r w:rsidR="001E3799">
        <w:rPr>
          <w:rFonts w:ascii="Arial" w:eastAsiaTheme="minorEastAsia" w:hAnsi="Arial" w:cs="Arial"/>
          <w:i/>
          <w:iCs/>
          <w:sz w:val="22"/>
          <w:szCs w:val="22"/>
          <w:lang w:eastAsia="en-US"/>
        </w:rPr>
        <w:t>N</w:t>
      </w:r>
      <w:r w:rsidR="006E7D0B">
        <w:rPr>
          <w:rFonts w:ascii="Arial" w:eastAsiaTheme="minorEastAsia" w:hAnsi="Arial" w:cs="Arial"/>
          <w:i/>
          <w:iCs/>
          <w:sz w:val="22"/>
          <w:szCs w:val="22"/>
          <w:lang w:eastAsia="en-US"/>
        </w:rPr>
        <w:t>o</w:t>
      </w:r>
      <w:r w:rsidR="001E3799">
        <w:rPr>
          <w:rFonts w:ascii="Arial" w:eastAsiaTheme="minorEastAsia" w:hAnsi="Arial" w:cs="Arial"/>
          <w:i/>
          <w:iCs/>
          <w:sz w:val="22"/>
          <w:szCs w:val="22"/>
          <w:lang w:eastAsia="en-US"/>
        </w:rPr>
        <w:t>.</w:t>
      </w:r>
      <w:r w:rsidRPr="00CB3CA4">
        <w:rPr>
          <w:rFonts w:ascii="Arial" w:eastAsiaTheme="minorEastAsia" w:hAnsi="Arial" w:cs="Arial"/>
          <w:i/>
          <w:iCs/>
          <w:sz w:val="22"/>
          <w:szCs w:val="22"/>
          <w:lang w:eastAsia="en-US"/>
        </w:rPr>
        <w:t xml:space="preserve"> Available at:</w:t>
      </w:r>
      <w:r w:rsidRPr="739BCDA5">
        <w:t xml:space="preserve"> </w:t>
      </w:r>
      <w:hyperlink r:id="rId60">
        <w:r w:rsidRPr="739BCDA5">
          <w:rPr>
            <w:rStyle w:val="Hyperlink"/>
          </w:rPr>
          <w:t>https://www.legislation.gov.uk/uksi/1998/1833/contents/made</w:t>
        </w:r>
      </w:hyperlink>
      <w:r w:rsidRPr="739BCDA5">
        <w:t xml:space="preserve"> (Access</w:t>
      </w:r>
      <w:r w:rsidR="77A2F5DB" w:rsidRPr="739BCDA5">
        <w:t>ed: 7</w:t>
      </w:r>
      <w:r w:rsidR="77A2F5DB" w:rsidRPr="739BCDA5">
        <w:rPr>
          <w:vertAlign w:val="superscript"/>
        </w:rPr>
        <w:t>th</w:t>
      </w:r>
      <w:r w:rsidR="77A2F5DB" w:rsidRPr="739BCDA5">
        <w:t xml:space="preserve"> April 2024). </w:t>
      </w:r>
    </w:p>
    <w:p w14:paraId="79894F6D" w14:textId="77777777" w:rsidR="001E3799" w:rsidRDefault="001E3799" w:rsidP="739BCDA5">
      <w:pPr>
        <w:pStyle w:val="paragraph"/>
        <w:spacing w:before="0" w:beforeAutospacing="0" w:after="0" w:afterAutospacing="0"/>
      </w:pPr>
    </w:p>
    <w:p w14:paraId="24A9F0F4" w14:textId="77777777" w:rsidR="00BC7BAD" w:rsidRPr="00AD0CF0" w:rsidRDefault="00BC7BAD">
      <w:pPr>
        <w:rPr>
          <w:rFonts w:ascii="Segoe UI" w:eastAsia="Times New Roman" w:hAnsi="Segoe UI" w:cs="Segoe UI"/>
          <w:i/>
          <w:iCs/>
          <w:sz w:val="18"/>
          <w:szCs w:val="18"/>
          <w:lang w:eastAsia="en-GB"/>
        </w:rPr>
      </w:pPr>
      <w:r w:rsidRPr="00AD0CF0">
        <w:rPr>
          <w:rFonts w:ascii="Segoe UI" w:hAnsi="Segoe UI" w:cs="Segoe UI"/>
          <w:i/>
          <w:iCs/>
          <w:sz w:val="18"/>
          <w:szCs w:val="18"/>
        </w:rPr>
        <w:br w:type="page"/>
      </w:r>
    </w:p>
    <w:p w14:paraId="370A5F72" w14:textId="77777777" w:rsidR="00BC7BAD" w:rsidRDefault="00BC7BAD" w:rsidP="00BC7BAD">
      <w:pPr>
        <w:pStyle w:val="paragraph"/>
        <w:spacing w:before="0" w:beforeAutospacing="0" w:after="0" w:afterAutospacing="0"/>
        <w:textAlignment w:val="baseline"/>
        <w:rPr>
          <w:rFonts w:ascii="Segoe UI" w:hAnsi="Segoe UI" w:cs="Segoe UI"/>
          <w:sz w:val="18"/>
          <w:szCs w:val="18"/>
        </w:rPr>
      </w:pPr>
    </w:p>
    <w:p w14:paraId="463A1D80" w14:textId="77777777" w:rsidR="005465BB" w:rsidRDefault="005465BB"/>
    <w:sectPr w:rsidR="005465BB" w:rsidSect="00F44105">
      <w:pgSz w:w="11906" w:h="16838"/>
      <w:pgMar w:top="1440" w:right="1440" w:bottom="1440" w:left="1440" w:header="720" w:footer="720" w:gutter="0"/>
      <w:pgNumType w:start="0"/>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intelligence2.xml><?xml version="1.0" encoding="utf-8"?>
<int2:intelligence xmlns:int2="http://schemas.microsoft.com/office/intelligence/2020/intelligence" xmlns:oel="http://schemas.microsoft.com/office/2019/extlst">
  <int2:observations>
    <int2:textHash int2:hashCode="BiwhDh/Ja5XjB0" int2:id="0NvgqjZu">
      <int2:state int2:value="Rejected" int2:type="AugLoop_Text_Critique"/>
    </int2:textHash>
    <int2:bookmark int2:bookmarkName="_Int_3UsQ9Wfb" int2:invalidationBookmarkName="" int2:hashCode="VGcfpb798qcf5U" int2:id="FcirlyFp">
      <int2:state int2:value="Rejected" int2:type="AugLoop_Text_Critiqu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262967"/>
    <w:multiLevelType w:val="hybridMultilevel"/>
    <w:tmpl w:val="59021E0A"/>
    <w:lvl w:ilvl="0" w:tplc="E3FE38C4">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8CC25AD"/>
    <w:multiLevelType w:val="hybridMultilevel"/>
    <w:tmpl w:val="0C1E5E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70675C8"/>
    <w:multiLevelType w:val="hybridMultilevel"/>
    <w:tmpl w:val="938E3A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E061514"/>
    <w:multiLevelType w:val="hybridMultilevel"/>
    <w:tmpl w:val="1ACA05D2"/>
    <w:lvl w:ilvl="0" w:tplc="FFFFFFFF">
      <w:start w:val="1"/>
      <w:numFmt w:val="bullet"/>
      <w:lvlText w:val="•"/>
      <w:lvlJc w:val="left"/>
      <w:pPr>
        <w:ind w:left="1080" w:hanging="360"/>
      </w:pPr>
      <w:rPr>
        <w:rFonts w:ascii="Arial" w:hAnsi="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 w15:restartNumberingAfterBreak="0">
    <w:nsid w:val="2B7A182A"/>
    <w:multiLevelType w:val="hybridMultilevel"/>
    <w:tmpl w:val="971EE6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D432FAC"/>
    <w:multiLevelType w:val="multilevel"/>
    <w:tmpl w:val="39B4029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D5309F8"/>
    <w:multiLevelType w:val="multilevel"/>
    <w:tmpl w:val="31F4A3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2DAA42A9"/>
    <w:multiLevelType w:val="hybridMultilevel"/>
    <w:tmpl w:val="297863C0"/>
    <w:lvl w:ilvl="0" w:tplc="1742B29A">
      <w:start w:val="1"/>
      <w:numFmt w:val="bullet"/>
      <w:lvlText w:val="-"/>
      <w:lvlJc w:val="left"/>
      <w:pPr>
        <w:ind w:left="720" w:hanging="360"/>
      </w:pPr>
      <w:rPr>
        <w:rFonts w:ascii="Aptos" w:hAnsi="Aptos" w:hint="default"/>
      </w:rPr>
    </w:lvl>
    <w:lvl w:ilvl="1" w:tplc="514E7DC4">
      <w:start w:val="1"/>
      <w:numFmt w:val="bullet"/>
      <w:lvlText w:val="o"/>
      <w:lvlJc w:val="left"/>
      <w:pPr>
        <w:ind w:left="1440" w:hanging="360"/>
      </w:pPr>
      <w:rPr>
        <w:rFonts w:ascii="Courier New" w:hAnsi="Courier New" w:hint="default"/>
      </w:rPr>
    </w:lvl>
    <w:lvl w:ilvl="2" w:tplc="644C30E6">
      <w:start w:val="1"/>
      <w:numFmt w:val="bullet"/>
      <w:lvlText w:val=""/>
      <w:lvlJc w:val="left"/>
      <w:pPr>
        <w:ind w:left="2160" w:hanging="360"/>
      </w:pPr>
      <w:rPr>
        <w:rFonts w:ascii="Wingdings" w:hAnsi="Wingdings" w:hint="default"/>
      </w:rPr>
    </w:lvl>
    <w:lvl w:ilvl="3" w:tplc="5F70E74C">
      <w:start w:val="1"/>
      <w:numFmt w:val="bullet"/>
      <w:lvlText w:val=""/>
      <w:lvlJc w:val="left"/>
      <w:pPr>
        <w:ind w:left="2880" w:hanging="360"/>
      </w:pPr>
      <w:rPr>
        <w:rFonts w:ascii="Symbol" w:hAnsi="Symbol" w:hint="default"/>
      </w:rPr>
    </w:lvl>
    <w:lvl w:ilvl="4" w:tplc="10A00888">
      <w:start w:val="1"/>
      <w:numFmt w:val="bullet"/>
      <w:lvlText w:val="o"/>
      <w:lvlJc w:val="left"/>
      <w:pPr>
        <w:ind w:left="3600" w:hanging="360"/>
      </w:pPr>
      <w:rPr>
        <w:rFonts w:ascii="Courier New" w:hAnsi="Courier New" w:hint="default"/>
      </w:rPr>
    </w:lvl>
    <w:lvl w:ilvl="5" w:tplc="B550743A">
      <w:start w:val="1"/>
      <w:numFmt w:val="bullet"/>
      <w:lvlText w:val=""/>
      <w:lvlJc w:val="left"/>
      <w:pPr>
        <w:ind w:left="4320" w:hanging="360"/>
      </w:pPr>
      <w:rPr>
        <w:rFonts w:ascii="Wingdings" w:hAnsi="Wingdings" w:hint="default"/>
      </w:rPr>
    </w:lvl>
    <w:lvl w:ilvl="6" w:tplc="78A8655C">
      <w:start w:val="1"/>
      <w:numFmt w:val="bullet"/>
      <w:lvlText w:val=""/>
      <w:lvlJc w:val="left"/>
      <w:pPr>
        <w:ind w:left="5040" w:hanging="360"/>
      </w:pPr>
      <w:rPr>
        <w:rFonts w:ascii="Symbol" w:hAnsi="Symbol" w:hint="default"/>
      </w:rPr>
    </w:lvl>
    <w:lvl w:ilvl="7" w:tplc="D6DE7D2C">
      <w:start w:val="1"/>
      <w:numFmt w:val="bullet"/>
      <w:lvlText w:val="o"/>
      <w:lvlJc w:val="left"/>
      <w:pPr>
        <w:ind w:left="5760" w:hanging="360"/>
      </w:pPr>
      <w:rPr>
        <w:rFonts w:ascii="Courier New" w:hAnsi="Courier New" w:hint="default"/>
      </w:rPr>
    </w:lvl>
    <w:lvl w:ilvl="8" w:tplc="84D8C98A">
      <w:start w:val="1"/>
      <w:numFmt w:val="bullet"/>
      <w:lvlText w:val=""/>
      <w:lvlJc w:val="left"/>
      <w:pPr>
        <w:ind w:left="6480" w:hanging="360"/>
      </w:pPr>
      <w:rPr>
        <w:rFonts w:ascii="Wingdings" w:hAnsi="Wingdings" w:hint="default"/>
      </w:rPr>
    </w:lvl>
  </w:abstractNum>
  <w:abstractNum w:abstractNumId="8" w15:restartNumberingAfterBreak="0">
    <w:nsid w:val="34171D92"/>
    <w:multiLevelType w:val="hybridMultilevel"/>
    <w:tmpl w:val="2612DD8E"/>
    <w:lvl w:ilvl="0" w:tplc="08090019">
      <w:start w:val="1"/>
      <w:numFmt w:val="lowerLetter"/>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9" w15:restartNumberingAfterBreak="0">
    <w:nsid w:val="3ECF4DAA"/>
    <w:multiLevelType w:val="hybridMultilevel"/>
    <w:tmpl w:val="9668A4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23642B6"/>
    <w:multiLevelType w:val="multilevel"/>
    <w:tmpl w:val="EEF006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4B9C6C2B"/>
    <w:multiLevelType w:val="hybridMultilevel"/>
    <w:tmpl w:val="15327B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00C3135"/>
    <w:multiLevelType w:val="multilevel"/>
    <w:tmpl w:val="D22C84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52B77756"/>
    <w:multiLevelType w:val="hybridMultilevel"/>
    <w:tmpl w:val="BAA24D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69D0370"/>
    <w:multiLevelType w:val="hybridMultilevel"/>
    <w:tmpl w:val="FFC868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09D38D4"/>
    <w:multiLevelType w:val="hybridMultilevel"/>
    <w:tmpl w:val="BC86EC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2785812"/>
    <w:multiLevelType w:val="hybridMultilevel"/>
    <w:tmpl w:val="CE9E0F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31C05FE"/>
    <w:multiLevelType w:val="hybridMultilevel"/>
    <w:tmpl w:val="A86CC754"/>
    <w:lvl w:ilvl="0" w:tplc="F4667D76">
      <w:start w:val="1"/>
      <w:numFmt w:val="upperLetter"/>
      <w:lvlText w:val="%1)"/>
      <w:lvlJc w:val="left"/>
      <w:pPr>
        <w:ind w:left="720" w:hanging="360"/>
      </w:pPr>
      <w:rPr>
        <w:rFonts w:ascii="Arial" w:hAnsi="Aria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6A033D6B"/>
    <w:multiLevelType w:val="hybridMultilevel"/>
    <w:tmpl w:val="E16201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BF609BE"/>
    <w:multiLevelType w:val="multilevel"/>
    <w:tmpl w:val="ECB453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0" w15:restartNumberingAfterBreak="0">
    <w:nsid w:val="6FB1173C"/>
    <w:multiLevelType w:val="hybridMultilevel"/>
    <w:tmpl w:val="DA0821C8"/>
    <w:lvl w:ilvl="0" w:tplc="633C7CC4">
      <w:numFmt w:val="bullet"/>
      <w:lvlText w:val="•"/>
      <w:lvlJc w:val="left"/>
      <w:pPr>
        <w:ind w:left="720" w:hanging="360"/>
      </w:pPr>
      <w:rPr>
        <w:rFonts w:ascii="Arial" w:eastAsiaTheme="minorEastAsia"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6882017"/>
    <w:multiLevelType w:val="multilevel"/>
    <w:tmpl w:val="ACE2D7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2" w15:restartNumberingAfterBreak="0">
    <w:nsid w:val="794A6DBE"/>
    <w:multiLevelType w:val="hybridMultilevel"/>
    <w:tmpl w:val="DD7ECD80"/>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num w:numId="1" w16cid:durableId="603734402">
    <w:abstractNumId w:val="7"/>
  </w:num>
  <w:num w:numId="2" w16cid:durableId="662204840">
    <w:abstractNumId w:val="5"/>
  </w:num>
  <w:num w:numId="3" w16cid:durableId="982779561">
    <w:abstractNumId w:val="0"/>
  </w:num>
  <w:num w:numId="4" w16cid:durableId="1168908648">
    <w:abstractNumId w:val="13"/>
  </w:num>
  <w:num w:numId="5" w16cid:durableId="586310897">
    <w:abstractNumId w:val="20"/>
  </w:num>
  <w:num w:numId="6" w16cid:durableId="565729319">
    <w:abstractNumId w:val="3"/>
  </w:num>
  <w:num w:numId="7" w16cid:durableId="2108039923">
    <w:abstractNumId w:val="22"/>
  </w:num>
  <w:num w:numId="8" w16cid:durableId="529030765">
    <w:abstractNumId w:val="11"/>
  </w:num>
  <w:num w:numId="9" w16cid:durableId="1719354109">
    <w:abstractNumId w:val="8"/>
  </w:num>
  <w:num w:numId="10" w16cid:durableId="1453791009">
    <w:abstractNumId w:val="17"/>
  </w:num>
  <w:num w:numId="11" w16cid:durableId="1607805188">
    <w:abstractNumId w:val="19"/>
  </w:num>
  <w:num w:numId="12" w16cid:durableId="1239825000">
    <w:abstractNumId w:val="21"/>
  </w:num>
  <w:num w:numId="13" w16cid:durableId="1792245598">
    <w:abstractNumId w:val="1"/>
  </w:num>
  <w:num w:numId="14" w16cid:durableId="1706978547">
    <w:abstractNumId w:val="6"/>
  </w:num>
  <w:num w:numId="15" w16cid:durableId="1956475343">
    <w:abstractNumId w:val="16"/>
  </w:num>
  <w:num w:numId="16" w16cid:durableId="1338507373">
    <w:abstractNumId w:val="12"/>
  </w:num>
  <w:num w:numId="17" w16cid:durableId="985086157">
    <w:abstractNumId w:val="9"/>
  </w:num>
  <w:num w:numId="18" w16cid:durableId="394789586">
    <w:abstractNumId w:val="14"/>
  </w:num>
  <w:num w:numId="19" w16cid:durableId="1458599739">
    <w:abstractNumId w:val="15"/>
  </w:num>
  <w:num w:numId="20" w16cid:durableId="2080664568">
    <w:abstractNumId w:val="10"/>
  </w:num>
  <w:num w:numId="21" w16cid:durableId="220672831">
    <w:abstractNumId w:val="4"/>
  </w:num>
  <w:num w:numId="22" w16cid:durableId="158157191">
    <w:abstractNumId w:val="2"/>
  </w:num>
  <w:num w:numId="23" w16cid:durableId="350229050">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1CEA5508"/>
    <w:rsid w:val="00001773"/>
    <w:rsid w:val="000049FE"/>
    <w:rsid w:val="000101B2"/>
    <w:rsid w:val="0001180C"/>
    <w:rsid w:val="00016D9C"/>
    <w:rsid w:val="00020DB2"/>
    <w:rsid w:val="00021402"/>
    <w:rsid w:val="00024768"/>
    <w:rsid w:val="00025A6E"/>
    <w:rsid w:val="00025CC1"/>
    <w:rsid w:val="000322C6"/>
    <w:rsid w:val="00034ACB"/>
    <w:rsid w:val="0003593C"/>
    <w:rsid w:val="00035ECB"/>
    <w:rsid w:val="0004421F"/>
    <w:rsid w:val="00045809"/>
    <w:rsid w:val="00046A7C"/>
    <w:rsid w:val="0005620E"/>
    <w:rsid w:val="00056CA2"/>
    <w:rsid w:val="0005ED25"/>
    <w:rsid w:val="00063D07"/>
    <w:rsid w:val="000641FA"/>
    <w:rsid w:val="000646B5"/>
    <w:rsid w:val="00064E7F"/>
    <w:rsid w:val="00066654"/>
    <w:rsid w:val="000708E3"/>
    <w:rsid w:val="000727FF"/>
    <w:rsid w:val="00072BBA"/>
    <w:rsid w:val="000778F3"/>
    <w:rsid w:val="000809A0"/>
    <w:rsid w:val="000922D3"/>
    <w:rsid w:val="000924C4"/>
    <w:rsid w:val="00092BCB"/>
    <w:rsid w:val="00093ECF"/>
    <w:rsid w:val="0009450E"/>
    <w:rsid w:val="00094D45"/>
    <w:rsid w:val="000958D4"/>
    <w:rsid w:val="000A0C55"/>
    <w:rsid w:val="000A248D"/>
    <w:rsid w:val="000A4EAB"/>
    <w:rsid w:val="000A6798"/>
    <w:rsid w:val="000AEE01"/>
    <w:rsid w:val="000C02BF"/>
    <w:rsid w:val="000C296C"/>
    <w:rsid w:val="000C3003"/>
    <w:rsid w:val="000C321B"/>
    <w:rsid w:val="000D0266"/>
    <w:rsid w:val="000D562B"/>
    <w:rsid w:val="000D6416"/>
    <w:rsid w:val="000D654B"/>
    <w:rsid w:val="000F07CC"/>
    <w:rsid w:val="000F0F7E"/>
    <w:rsid w:val="0010257C"/>
    <w:rsid w:val="00105030"/>
    <w:rsid w:val="001076B9"/>
    <w:rsid w:val="00111771"/>
    <w:rsid w:val="00112CC9"/>
    <w:rsid w:val="001131D9"/>
    <w:rsid w:val="00117A11"/>
    <w:rsid w:val="00117ACA"/>
    <w:rsid w:val="00120849"/>
    <w:rsid w:val="001210A0"/>
    <w:rsid w:val="00123B1B"/>
    <w:rsid w:val="00124B4E"/>
    <w:rsid w:val="00126405"/>
    <w:rsid w:val="00145B71"/>
    <w:rsid w:val="00147E01"/>
    <w:rsid w:val="00151B4D"/>
    <w:rsid w:val="00153E75"/>
    <w:rsid w:val="00156DD0"/>
    <w:rsid w:val="00160CB0"/>
    <w:rsid w:val="001652FB"/>
    <w:rsid w:val="001666AD"/>
    <w:rsid w:val="00171968"/>
    <w:rsid w:val="00177284"/>
    <w:rsid w:val="0018197C"/>
    <w:rsid w:val="00183404"/>
    <w:rsid w:val="00192274"/>
    <w:rsid w:val="00194099"/>
    <w:rsid w:val="001A0D90"/>
    <w:rsid w:val="001A56EC"/>
    <w:rsid w:val="001A70CD"/>
    <w:rsid w:val="001A7812"/>
    <w:rsid w:val="001B3C88"/>
    <w:rsid w:val="001C2BD2"/>
    <w:rsid w:val="001C627D"/>
    <w:rsid w:val="001C6736"/>
    <w:rsid w:val="001D1C09"/>
    <w:rsid w:val="001D259E"/>
    <w:rsid w:val="001D2859"/>
    <w:rsid w:val="001D3F47"/>
    <w:rsid w:val="001D4564"/>
    <w:rsid w:val="001E052F"/>
    <w:rsid w:val="001E1482"/>
    <w:rsid w:val="001E183D"/>
    <w:rsid w:val="001E3799"/>
    <w:rsid w:val="001E3DF1"/>
    <w:rsid w:val="001E5219"/>
    <w:rsid w:val="001E5E05"/>
    <w:rsid w:val="001F30DC"/>
    <w:rsid w:val="001F42AB"/>
    <w:rsid w:val="00204316"/>
    <w:rsid w:val="00206952"/>
    <w:rsid w:val="002112FC"/>
    <w:rsid w:val="00213BDF"/>
    <w:rsid w:val="00222010"/>
    <w:rsid w:val="002239DA"/>
    <w:rsid w:val="002268CF"/>
    <w:rsid w:val="00227F6F"/>
    <w:rsid w:val="002321D4"/>
    <w:rsid w:val="00233300"/>
    <w:rsid w:val="00234AA3"/>
    <w:rsid w:val="00236102"/>
    <w:rsid w:val="002373B6"/>
    <w:rsid w:val="002445C0"/>
    <w:rsid w:val="0024510D"/>
    <w:rsid w:val="002508BA"/>
    <w:rsid w:val="00252A0D"/>
    <w:rsid w:val="002538D6"/>
    <w:rsid w:val="00255584"/>
    <w:rsid w:val="00257F98"/>
    <w:rsid w:val="002625F5"/>
    <w:rsid w:val="00272D4B"/>
    <w:rsid w:val="002761F1"/>
    <w:rsid w:val="0028049F"/>
    <w:rsid w:val="00281A5D"/>
    <w:rsid w:val="00284A47"/>
    <w:rsid w:val="0028530E"/>
    <w:rsid w:val="00286E1F"/>
    <w:rsid w:val="0029123F"/>
    <w:rsid w:val="002938BF"/>
    <w:rsid w:val="0029472C"/>
    <w:rsid w:val="002A28C0"/>
    <w:rsid w:val="002A2AAD"/>
    <w:rsid w:val="002A65EF"/>
    <w:rsid w:val="002B1699"/>
    <w:rsid w:val="002B3A19"/>
    <w:rsid w:val="002C032F"/>
    <w:rsid w:val="002C1422"/>
    <w:rsid w:val="002C77D8"/>
    <w:rsid w:val="002D0351"/>
    <w:rsid w:val="002D0BB2"/>
    <w:rsid w:val="002D0C0A"/>
    <w:rsid w:val="002D48B8"/>
    <w:rsid w:val="002D5881"/>
    <w:rsid w:val="002D6283"/>
    <w:rsid w:val="002E245C"/>
    <w:rsid w:val="002E2673"/>
    <w:rsid w:val="002E5226"/>
    <w:rsid w:val="002E6F30"/>
    <w:rsid w:val="002F0B10"/>
    <w:rsid w:val="002F2010"/>
    <w:rsid w:val="002F4562"/>
    <w:rsid w:val="002F47ED"/>
    <w:rsid w:val="002F5C24"/>
    <w:rsid w:val="002F76CD"/>
    <w:rsid w:val="0030162E"/>
    <w:rsid w:val="0030172E"/>
    <w:rsid w:val="0030249B"/>
    <w:rsid w:val="00302BAF"/>
    <w:rsid w:val="00305723"/>
    <w:rsid w:val="00310E44"/>
    <w:rsid w:val="003132C1"/>
    <w:rsid w:val="00314069"/>
    <w:rsid w:val="00317A10"/>
    <w:rsid w:val="00320163"/>
    <w:rsid w:val="00321218"/>
    <w:rsid w:val="003233DE"/>
    <w:rsid w:val="003236F7"/>
    <w:rsid w:val="00327439"/>
    <w:rsid w:val="00330BBF"/>
    <w:rsid w:val="003337F0"/>
    <w:rsid w:val="00341120"/>
    <w:rsid w:val="003420C8"/>
    <w:rsid w:val="00347569"/>
    <w:rsid w:val="00355F6D"/>
    <w:rsid w:val="00357275"/>
    <w:rsid w:val="00363D0B"/>
    <w:rsid w:val="0036429C"/>
    <w:rsid w:val="00370D88"/>
    <w:rsid w:val="0037271D"/>
    <w:rsid w:val="0037736D"/>
    <w:rsid w:val="00377FA0"/>
    <w:rsid w:val="003819EB"/>
    <w:rsid w:val="003837D4"/>
    <w:rsid w:val="00383DF2"/>
    <w:rsid w:val="0038454D"/>
    <w:rsid w:val="00385C54"/>
    <w:rsid w:val="003A0831"/>
    <w:rsid w:val="003A1179"/>
    <w:rsid w:val="003A3A52"/>
    <w:rsid w:val="003A40BD"/>
    <w:rsid w:val="003A59B8"/>
    <w:rsid w:val="003B0106"/>
    <w:rsid w:val="003B6DD6"/>
    <w:rsid w:val="003B6DF9"/>
    <w:rsid w:val="003B7A0F"/>
    <w:rsid w:val="003B7D57"/>
    <w:rsid w:val="003C2C0F"/>
    <w:rsid w:val="003C5187"/>
    <w:rsid w:val="003C62EC"/>
    <w:rsid w:val="003D161B"/>
    <w:rsid w:val="003D6D83"/>
    <w:rsid w:val="003D70D0"/>
    <w:rsid w:val="003D7129"/>
    <w:rsid w:val="003E48E4"/>
    <w:rsid w:val="003E4982"/>
    <w:rsid w:val="003F1843"/>
    <w:rsid w:val="003F5FE6"/>
    <w:rsid w:val="00400736"/>
    <w:rsid w:val="0040366F"/>
    <w:rsid w:val="004165DC"/>
    <w:rsid w:val="00416861"/>
    <w:rsid w:val="00436AF2"/>
    <w:rsid w:val="00442666"/>
    <w:rsid w:val="004426D9"/>
    <w:rsid w:val="00443647"/>
    <w:rsid w:val="004475EC"/>
    <w:rsid w:val="00452937"/>
    <w:rsid w:val="00454A19"/>
    <w:rsid w:val="00455588"/>
    <w:rsid w:val="00460544"/>
    <w:rsid w:val="00462F53"/>
    <w:rsid w:val="00464139"/>
    <w:rsid w:val="00464F9D"/>
    <w:rsid w:val="00466C82"/>
    <w:rsid w:val="00467142"/>
    <w:rsid w:val="004718A4"/>
    <w:rsid w:val="00475B02"/>
    <w:rsid w:val="00475D3C"/>
    <w:rsid w:val="00476D1D"/>
    <w:rsid w:val="0048009F"/>
    <w:rsid w:val="0048663C"/>
    <w:rsid w:val="0049010F"/>
    <w:rsid w:val="00490B82"/>
    <w:rsid w:val="00492738"/>
    <w:rsid w:val="00494979"/>
    <w:rsid w:val="00496E70"/>
    <w:rsid w:val="004A26E4"/>
    <w:rsid w:val="004A3E96"/>
    <w:rsid w:val="004A6766"/>
    <w:rsid w:val="004B1AC4"/>
    <w:rsid w:val="004B357B"/>
    <w:rsid w:val="004B65E3"/>
    <w:rsid w:val="004C3E1E"/>
    <w:rsid w:val="004D0CD9"/>
    <w:rsid w:val="004D1D0A"/>
    <w:rsid w:val="004D2150"/>
    <w:rsid w:val="004D7D74"/>
    <w:rsid w:val="004D7E83"/>
    <w:rsid w:val="004E0A8E"/>
    <w:rsid w:val="004E2FE4"/>
    <w:rsid w:val="004F21AA"/>
    <w:rsid w:val="005024F1"/>
    <w:rsid w:val="0050329F"/>
    <w:rsid w:val="00515A8C"/>
    <w:rsid w:val="00517328"/>
    <w:rsid w:val="00517D5F"/>
    <w:rsid w:val="00517F93"/>
    <w:rsid w:val="00522EC1"/>
    <w:rsid w:val="00524E28"/>
    <w:rsid w:val="005329B3"/>
    <w:rsid w:val="00535DE1"/>
    <w:rsid w:val="005400A0"/>
    <w:rsid w:val="00543D9F"/>
    <w:rsid w:val="00545123"/>
    <w:rsid w:val="00545FDE"/>
    <w:rsid w:val="005465BB"/>
    <w:rsid w:val="00551C2B"/>
    <w:rsid w:val="00551FAE"/>
    <w:rsid w:val="00554693"/>
    <w:rsid w:val="0056011B"/>
    <w:rsid w:val="0056353E"/>
    <w:rsid w:val="00564B03"/>
    <w:rsid w:val="00565F17"/>
    <w:rsid w:val="00567BA7"/>
    <w:rsid w:val="005702C4"/>
    <w:rsid w:val="00570B1F"/>
    <w:rsid w:val="00571F04"/>
    <w:rsid w:val="00574A04"/>
    <w:rsid w:val="005812E9"/>
    <w:rsid w:val="005834EC"/>
    <w:rsid w:val="00590184"/>
    <w:rsid w:val="0059057E"/>
    <w:rsid w:val="00597F4E"/>
    <w:rsid w:val="005A11FD"/>
    <w:rsid w:val="005A49F5"/>
    <w:rsid w:val="005B1F14"/>
    <w:rsid w:val="005B33D7"/>
    <w:rsid w:val="005B7545"/>
    <w:rsid w:val="005BE1A7"/>
    <w:rsid w:val="005C0830"/>
    <w:rsid w:val="005C1B5A"/>
    <w:rsid w:val="005C28A1"/>
    <w:rsid w:val="005D3161"/>
    <w:rsid w:val="005E1838"/>
    <w:rsid w:val="005E39B0"/>
    <w:rsid w:val="005E4E89"/>
    <w:rsid w:val="005E6A99"/>
    <w:rsid w:val="005E77AA"/>
    <w:rsid w:val="005F1EE5"/>
    <w:rsid w:val="005F24B9"/>
    <w:rsid w:val="005F7125"/>
    <w:rsid w:val="005F7BE9"/>
    <w:rsid w:val="00603374"/>
    <w:rsid w:val="006049A5"/>
    <w:rsid w:val="00607785"/>
    <w:rsid w:val="00612334"/>
    <w:rsid w:val="00614ADE"/>
    <w:rsid w:val="00625D69"/>
    <w:rsid w:val="00627A49"/>
    <w:rsid w:val="00632AA4"/>
    <w:rsid w:val="00633631"/>
    <w:rsid w:val="00634A43"/>
    <w:rsid w:val="00640C3A"/>
    <w:rsid w:val="00643BB0"/>
    <w:rsid w:val="00645F94"/>
    <w:rsid w:val="00646E09"/>
    <w:rsid w:val="00651A7A"/>
    <w:rsid w:val="0065799D"/>
    <w:rsid w:val="006639EC"/>
    <w:rsid w:val="00671632"/>
    <w:rsid w:val="00672111"/>
    <w:rsid w:val="0067316C"/>
    <w:rsid w:val="006757CB"/>
    <w:rsid w:val="00676568"/>
    <w:rsid w:val="00687B37"/>
    <w:rsid w:val="00697B68"/>
    <w:rsid w:val="006A17D4"/>
    <w:rsid w:val="006A4147"/>
    <w:rsid w:val="006B02E6"/>
    <w:rsid w:val="006B2A4B"/>
    <w:rsid w:val="006B4B4A"/>
    <w:rsid w:val="006B52AE"/>
    <w:rsid w:val="006C3BA4"/>
    <w:rsid w:val="006C5AD5"/>
    <w:rsid w:val="006D494F"/>
    <w:rsid w:val="006D74B7"/>
    <w:rsid w:val="006E223C"/>
    <w:rsid w:val="006E5375"/>
    <w:rsid w:val="006E7D0B"/>
    <w:rsid w:val="006F3C19"/>
    <w:rsid w:val="00700937"/>
    <w:rsid w:val="00704970"/>
    <w:rsid w:val="00706C74"/>
    <w:rsid w:val="007127F8"/>
    <w:rsid w:val="0071343B"/>
    <w:rsid w:val="00714554"/>
    <w:rsid w:val="007155C4"/>
    <w:rsid w:val="00717502"/>
    <w:rsid w:val="00717D4A"/>
    <w:rsid w:val="00723BB6"/>
    <w:rsid w:val="007250A7"/>
    <w:rsid w:val="00728497"/>
    <w:rsid w:val="007310B2"/>
    <w:rsid w:val="0073217F"/>
    <w:rsid w:val="007332A5"/>
    <w:rsid w:val="0073350D"/>
    <w:rsid w:val="00735665"/>
    <w:rsid w:val="00736C45"/>
    <w:rsid w:val="007373B8"/>
    <w:rsid w:val="00740813"/>
    <w:rsid w:val="00741156"/>
    <w:rsid w:val="00741412"/>
    <w:rsid w:val="00746306"/>
    <w:rsid w:val="007472EB"/>
    <w:rsid w:val="0075096A"/>
    <w:rsid w:val="007627A3"/>
    <w:rsid w:val="00767369"/>
    <w:rsid w:val="00786377"/>
    <w:rsid w:val="00790DDB"/>
    <w:rsid w:val="00794CF1"/>
    <w:rsid w:val="007A01AB"/>
    <w:rsid w:val="007A1A18"/>
    <w:rsid w:val="007A1F70"/>
    <w:rsid w:val="007A41E7"/>
    <w:rsid w:val="007A4265"/>
    <w:rsid w:val="007A50AE"/>
    <w:rsid w:val="007B0323"/>
    <w:rsid w:val="007B1FC3"/>
    <w:rsid w:val="007B2580"/>
    <w:rsid w:val="007B5ABF"/>
    <w:rsid w:val="007B7AB1"/>
    <w:rsid w:val="007C0BFE"/>
    <w:rsid w:val="007C61F0"/>
    <w:rsid w:val="007C6DE4"/>
    <w:rsid w:val="007D3AF4"/>
    <w:rsid w:val="007E34AF"/>
    <w:rsid w:val="007F11BB"/>
    <w:rsid w:val="007F7748"/>
    <w:rsid w:val="007F7FDE"/>
    <w:rsid w:val="008021F9"/>
    <w:rsid w:val="0080560E"/>
    <w:rsid w:val="0081538C"/>
    <w:rsid w:val="00817170"/>
    <w:rsid w:val="00820D22"/>
    <w:rsid w:val="0082195C"/>
    <w:rsid w:val="00822537"/>
    <w:rsid w:val="008276DA"/>
    <w:rsid w:val="00831B9D"/>
    <w:rsid w:val="00836837"/>
    <w:rsid w:val="00841E86"/>
    <w:rsid w:val="008441DC"/>
    <w:rsid w:val="00845C7C"/>
    <w:rsid w:val="00845ED0"/>
    <w:rsid w:val="008548B7"/>
    <w:rsid w:val="00857554"/>
    <w:rsid w:val="00857D20"/>
    <w:rsid w:val="00862AFE"/>
    <w:rsid w:val="00863284"/>
    <w:rsid w:val="00865F5E"/>
    <w:rsid w:val="0087035C"/>
    <w:rsid w:val="008709AA"/>
    <w:rsid w:val="008734B4"/>
    <w:rsid w:val="00877727"/>
    <w:rsid w:val="008907BF"/>
    <w:rsid w:val="00892452"/>
    <w:rsid w:val="00895BE8"/>
    <w:rsid w:val="008964F4"/>
    <w:rsid w:val="008A0842"/>
    <w:rsid w:val="008A2F75"/>
    <w:rsid w:val="008A4D54"/>
    <w:rsid w:val="008B0103"/>
    <w:rsid w:val="008B1430"/>
    <w:rsid w:val="008B17E2"/>
    <w:rsid w:val="008B2D89"/>
    <w:rsid w:val="008B2ED9"/>
    <w:rsid w:val="008B319E"/>
    <w:rsid w:val="008B53A3"/>
    <w:rsid w:val="008C0AEB"/>
    <w:rsid w:val="008C17F6"/>
    <w:rsid w:val="008C29D8"/>
    <w:rsid w:val="008C2AE2"/>
    <w:rsid w:val="008C2C91"/>
    <w:rsid w:val="008C5A1E"/>
    <w:rsid w:val="008D00B3"/>
    <w:rsid w:val="008D2EB4"/>
    <w:rsid w:val="008D7EF0"/>
    <w:rsid w:val="008E0A38"/>
    <w:rsid w:val="008E11F5"/>
    <w:rsid w:val="008E798A"/>
    <w:rsid w:val="008F07C7"/>
    <w:rsid w:val="008F0D6F"/>
    <w:rsid w:val="008F66EB"/>
    <w:rsid w:val="0091620F"/>
    <w:rsid w:val="00920F00"/>
    <w:rsid w:val="00921146"/>
    <w:rsid w:val="00922903"/>
    <w:rsid w:val="00923116"/>
    <w:rsid w:val="009265FF"/>
    <w:rsid w:val="00932F17"/>
    <w:rsid w:val="00933562"/>
    <w:rsid w:val="009450CE"/>
    <w:rsid w:val="0094680B"/>
    <w:rsid w:val="009508D9"/>
    <w:rsid w:val="00951E0B"/>
    <w:rsid w:val="009537DF"/>
    <w:rsid w:val="009542A9"/>
    <w:rsid w:val="009557ED"/>
    <w:rsid w:val="009558E3"/>
    <w:rsid w:val="009708A9"/>
    <w:rsid w:val="00970A7A"/>
    <w:rsid w:val="00971EA1"/>
    <w:rsid w:val="00973FEF"/>
    <w:rsid w:val="00974BF2"/>
    <w:rsid w:val="00974F76"/>
    <w:rsid w:val="009815CD"/>
    <w:rsid w:val="00983D00"/>
    <w:rsid w:val="00984D91"/>
    <w:rsid w:val="00986805"/>
    <w:rsid w:val="00990369"/>
    <w:rsid w:val="00991104"/>
    <w:rsid w:val="009923CD"/>
    <w:rsid w:val="009928F6"/>
    <w:rsid w:val="00994FF1"/>
    <w:rsid w:val="00996CB8"/>
    <w:rsid w:val="009A00B2"/>
    <w:rsid w:val="009A2986"/>
    <w:rsid w:val="009A5A5A"/>
    <w:rsid w:val="009A5D34"/>
    <w:rsid w:val="009B674F"/>
    <w:rsid w:val="009C00AE"/>
    <w:rsid w:val="009C1AEE"/>
    <w:rsid w:val="009C42FF"/>
    <w:rsid w:val="009C690B"/>
    <w:rsid w:val="009D1B08"/>
    <w:rsid w:val="009D2586"/>
    <w:rsid w:val="009D645A"/>
    <w:rsid w:val="009D79B7"/>
    <w:rsid w:val="009E2305"/>
    <w:rsid w:val="009E7D08"/>
    <w:rsid w:val="009F5B14"/>
    <w:rsid w:val="00A0201B"/>
    <w:rsid w:val="00A02644"/>
    <w:rsid w:val="00A02C69"/>
    <w:rsid w:val="00A047CB"/>
    <w:rsid w:val="00A0664E"/>
    <w:rsid w:val="00A069A7"/>
    <w:rsid w:val="00A06F99"/>
    <w:rsid w:val="00A10561"/>
    <w:rsid w:val="00A11765"/>
    <w:rsid w:val="00A1562F"/>
    <w:rsid w:val="00A16219"/>
    <w:rsid w:val="00A169A9"/>
    <w:rsid w:val="00A203AE"/>
    <w:rsid w:val="00A23B65"/>
    <w:rsid w:val="00A2446A"/>
    <w:rsid w:val="00A26874"/>
    <w:rsid w:val="00A30B9C"/>
    <w:rsid w:val="00A32A37"/>
    <w:rsid w:val="00A32E62"/>
    <w:rsid w:val="00A35B7B"/>
    <w:rsid w:val="00A37064"/>
    <w:rsid w:val="00A3709D"/>
    <w:rsid w:val="00A3789D"/>
    <w:rsid w:val="00A4076F"/>
    <w:rsid w:val="00A4260A"/>
    <w:rsid w:val="00A45167"/>
    <w:rsid w:val="00A54E0D"/>
    <w:rsid w:val="00A56A78"/>
    <w:rsid w:val="00A6220B"/>
    <w:rsid w:val="00A63E25"/>
    <w:rsid w:val="00A670CC"/>
    <w:rsid w:val="00A714B5"/>
    <w:rsid w:val="00A73276"/>
    <w:rsid w:val="00A92212"/>
    <w:rsid w:val="00A92301"/>
    <w:rsid w:val="00A96FCE"/>
    <w:rsid w:val="00AA2100"/>
    <w:rsid w:val="00AA2582"/>
    <w:rsid w:val="00AA295C"/>
    <w:rsid w:val="00AA795D"/>
    <w:rsid w:val="00AB3959"/>
    <w:rsid w:val="00AB3D5A"/>
    <w:rsid w:val="00AB76D4"/>
    <w:rsid w:val="00AC161F"/>
    <w:rsid w:val="00AC1DD9"/>
    <w:rsid w:val="00AC2ECB"/>
    <w:rsid w:val="00AC448E"/>
    <w:rsid w:val="00AC4E54"/>
    <w:rsid w:val="00AC4ED3"/>
    <w:rsid w:val="00AC63FB"/>
    <w:rsid w:val="00AD0CF0"/>
    <w:rsid w:val="00AD1A7D"/>
    <w:rsid w:val="00AD1C7A"/>
    <w:rsid w:val="00AD3730"/>
    <w:rsid w:val="00AE471E"/>
    <w:rsid w:val="00AF05C8"/>
    <w:rsid w:val="00AF078C"/>
    <w:rsid w:val="00AF3D24"/>
    <w:rsid w:val="00B00436"/>
    <w:rsid w:val="00B0319E"/>
    <w:rsid w:val="00B06A71"/>
    <w:rsid w:val="00B12078"/>
    <w:rsid w:val="00B14321"/>
    <w:rsid w:val="00B1453C"/>
    <w:rsid w:val="00B23440"/>
    <w:rsid w:val="00B24BDD"/>
    <w:rsid w:val="00B261A6"/>
    <w:rsid w:val="00B30926"/>
    <w:rsid w:val="00B332C7"/>
    <w:rsid w:val="00B366EA"/>
    <w:rsid w:val="00B36B41"/>
    <w:rsid w:val="00B43AE2"/>
    <w:rsid w:val="00B46C74"/>
    <w:rsid w:val="00B50334"/>
    <w:rsid w:val="00B53488"/>
    <w:rsid w:val="00B54A5C"/>
    <w:rsid w:val="00B55C63"/>
    <w:rsid w:val="00B5610C"/>
    <w:rsid w:val="00B7279C"/>
    <w:rsid w:val="00B733CC"/>
    <w:rsid w:val="00B77C07"/>
    <w:rsid w:val="00B83A10"/>
    <w:rsid w:val="00B87320"/>
    <w:rsid w:val="00BA6852"/>
    <w:rsid w:val="00BA795A"/>
    <w:rsid w:val="00BB4C45"/>
    <w:rsid w:val="00BC293D"/>
    <w:rsid w:val="00BC7BAD"/>
    <w:rsid w:val="00BC83BD"/>
    <w:rsid w:val="00BD181E"/>
    <w:rsid w:val="00BE155D"/>
    <w:rsid w:val="00BE19D8"/>
    <w:rsid w:val="00BE48FA"/>
    <w:rsid w:val="00BF1695"/>
    <w:rsid w:val="00BF2AFE"/>
    <w:rsid w:val="00BF6D12"/>
    <w:rsid w:val="00C012A1"/>
    <w:rsid w:val="00C135E8"/>
    <w:rsid w:val="00C160D2"/>
    <w:rsid w:val="00C2116C"/>
    <w:rsid w:val="00C21AA4"/>
    <w:rsid w:val="00C27CD3"/>
    <w:rsid w:val="00C36F20"/>
    <w:rsid w:val="00C40FC8"/>
    <w:rsid w:val="00C411FF"/>
    <w:rsid w:val="00C41C12"/>
    <w:rsid w:val="00C42738"/>
    <w:rsid w:val="00C475C3"/>
    <w:rsid w:val="00C60E12"/>
    <w:rsid w:val="00C61FC2"/>
    <w:rsid w:val="00C61FEE"/>
    <w:rsid w:val="00C62C69"/>
    <w:rsid w:val="00C64302"/>
    <w:rsid w:val="00C653E5"/>
    <w:rsid w:val="00C7216E"/>
    <w:rsid w:val="00C721D6"/>
    <w:rsid w:val="00C746C0"/>
    <w:rsid w:val="00C75F39"/>
    <w:rsid w:val="00C77BFD"/>
    <w:rsid w:val="00C81D13"/>
    <w:rsid w:val="00C85699"/>
    <w:rsid w:val="00C86A34"/>
    <w:rsid w:val="00C90D27"/>
    <w:rsid w:val="00C92A4C"/>
    <w:rsid w:val="00C92FD3"/>
    <w:rsid w:val="00C93E15"/>
    <w:rsid w:val="00C94965"/>
    <w:rsid w:val="00CA09ED"/>
    <w:rsid w:val="00CA2C16"/>
    <w:rsid w:val="00CA35CD"/>
    <w:rsid w:val="00CB097D"/>
    <w:rsid w:val="00CB3CA4"/>
    <w:rsid w:val="00CB411A"/>
    <w:rsid w:val="00CB4C77"/>
    <w:rsid w:val="00CB6561"/>
    <w:rsid w:val="00CB6DD1"/>
    <w:rsid w:val="00CB76F9"/>
    <w:rsid w:val="00CC2122"/>
    <w:rsid w:val="00CC38AA"/>
    <w:rsid w:val="00CC5A56"/>
    <w:rsid w:val="00CD2EDF"/>
    <w:rsid w:val="00CD48AA"/>
    <w:rsid w:val="00CD52F2"/>
    <w:rsid w:val="00CE3797"/>
    <w:rsid w:val="00CF0A0B"/>
    <w:rsid w:val="00CF2DDD"/>
    <w:rsid w:val="00CF603C"/>
    <w:rsid w:val="00D0108D"/>
    <w:rsid w:val="00D01B4C"/>
    <w:rsid w:val="00D0233C"/>
    <w:rsid w:val="00D058A1"/>
    <w:rsid w:val="00D06FB2"/>
    <w:rsid w:val="00D1073A"/>
    <w:rsid w:val="00D10B09"/>
    <w:rsid w:val="00D13CE1"/>
    <w:rsid w:val="00D14FA7"/>
    <w:rsid w:val="00D1565D"/>
    <w:rsid w:val="00D17923"/>
    <w:rsid w:val="00D21DAB"/>
    <w:rsid w:val="00D24DBE"/>
    <w:rsid w:val="00D27612"/>
    <w:rsid w:val="00D276C1"/>
    <w:rsid w:val="00D30F37"/>
    <w:rsid w:val="00D34892"/>
    <w:rsid w:val="00D36659"/>
    <w:rsid w:val="00D37E35"/>
    <w:rsid w:val="00D45A43"/>
    <w:rsid w:val="00D461EC"/>
    <w:rsid w:val="00D4693A"/>
    <w:rsid w:val="00D524F0"/>
    <w:rsid w:val="00D53FCE"/>
    <w:rsid w:val="00D54CCA"/>
    <w:rsid w:val="00D553D8"/>
    <w:rsid w:val="00D56ABF"/>
    <w:rsid w:val="00D5733A"/>
    <w:rsid w:val="00D6195D"/>
    <w:rsid w:val="00D64DCA"/>
    <w:rsid w:val="00D66204"/>
    <w:rsid w:val="00D6647D"/>
    <w:rsid w:val="00D81E65"/>
    <w:rsid w:val="00D82B73"/>
    <w:rsid w:val="00D82E49"/>
    <w:rsid w:val="00DA6F61"/>
    <w:rsid w:val="00DB20D5"/>
    <w:rsid w:val="00DB3B0A"/>
    <w:rsid w:val="00DB4B71"/>
    <w:rsid w:val="00DB4FBE"/>
    <w:rsid w:val="00DB72F1"/>
    <w:rsid w:val="00DC058C"/>
    <w:rsid w:val="00DD15A5"/>
    <w:rsid w:val="00DD1C41"/>
    <w:rsid w:val="00DD1FF3"/>
    <w:rsid w:val="00DD362A"/>
    <w:rsid w:val="00DD3844"/>
    <w:rsid w:val="00DD57EE"/>
    <w:rsid w:val="00DD7C73"/>
    <w:rsid w:val="00DE2AD2"/>
    <w:rsid w:val="00DE3E81"/>
    <w:rsid w:val="00DE50B9"/>
    <w:rsid w:val="00DF3D24"/>
    <w:rsid w:val="00DF774B"/>
    <w:rsid w:val="00E01968"/>
    <w:rsid w:val="00E06809"/>
    <w:rsid w:val="00E07E55"/>
    <w:rsid w:val="00E1080F"/>
    <w:rsid w:val="00E126EB"/>
    <w:rsid w:val="00E17B47"/>
    <w:rsid w:val="00E213CE"/>
    <w:rsid w:val="00E25CA4"/>
    <w:rsid w:val="00E26A58"/>
    <w:rsid w:val="00E27C58"/>
    <w:rsid w:val="00E3308A"/>
    <w:rsid w:val="00E369B5"/>
    <w:rsid w:val="00E42E47"/>
    <w:rsid w:val="00E4380A"/>
    <w:rsid w:val="00E44A69"/>
    <w:rsid w:val="00E52205"/>
    <w:rsid w:val="00E57FD7"/>
    <w:rsid w:val="00E644F9"/>
    <w:rsid w:val="00E72B21"/>
    <w:rsid w:val="00E72BF1"/>
    <w:rsid w:val="00E8491A"/>
    <w:rsid w:val="00E93475"/>
    <w:rsid w:val="00E940BF"/>
    <w:rsid w:val="00E94C6E"/>
    <w:rsid w:val="00E95809"/>
    <w:rsid w:val="00E96C0E"/>
    <w:rsid w:val="00EA1746"/>
    <w:rsid w:val="00EA176C"/>
    <w:rsid w:val="00EA27D0"/>
    <w:rsid w:val="00EA392C"/>
    <w:rsid w:val="00EA74A7"/>
    <w:rsid w:val="00EB0B0C"/>
    <w:rsid w:val="00EB20E3"/>
    <w:rsid w:val="00EB45F1"/>
    <w:rsid w:val="00EB6AEA"/>
    <w:rsid w:val="00EB6C47"/>
    <w:rsid w:val="00EB7071"/>
    <w:rsid w:val="00EB7AC5"/>
    <w:rsid w:val="00EC0EDA"/>
    <w:rsid w:val="00EC430C"/>
    <w:rsid w:val="00ED013C"/>
    <w:rsid w:val="00ED1940"/>
    <w:rsid w:val="00ED25BC"/>
    <w:rsid w:val="00ED3C51"/>
    <w:rsid w:val="00EE13B4"/>
    <w:rsid w:val="00EE17A6"/>
    <w:rsid w:val="00EE38FD"/>
    <w:rsid w:val="00EE6FBE"/>
    <w:rsid w:val="00EF2845"/>
    <w:rsid w:val="00EF2CEE"/>
    <w:rsid w:val="00EF46C8"/>
    <w:rsid w:val="00F018ED"/>
    <w:rsid w:val="00F04B45"/>
    <w:rsid w:val="00F11399"/>
    <w:rsid w:val="00F118AF"/>
    <w:rsid w:val="00F16178"/>
    <w:rsid w:val="00F16AEE"/>
    <w:rsid w:val="00F2033F"/>
    <w:rsid w:val="00F24E74"/>
    <w:rsid w:val="00F330B4"/>
    <w:rsid w:val="00F34CAB"/>
    <w:rsid w:val="00F40255"/>
    <w:rsid w:val="00F41192"/>
    <w:rsid w:val="00F44105"/>
    <w:rsid w:val="00F45F8C"/>
    <w:rsid w:val="00F47560"/>
    <w:rsid w:val="00F519D1"/>
    <w:rsid w:val="00F56DFA"/>
    <w:rsid w:val="00F60D9F"/>
    <w:rsid w:val="00F62590"/>
    <w:rsid w:val="00F657A4"/>
    <w:rsid w:val="00F76137"/>
    <w:rsid w:val="00F800B6"/>
    <w:rsid w:val="00F80468"/>
    <w:rsid w:val="00F81C43"/>
    <w:rsid w:val="00F85263"/>
    <w:rsid w:val="00F922FF"/>
    <w:rsid w:val="00F95175"/>
    <w:rsid w:val="00FA2B29"/>
    <w:rsid w:val="00FA2DC6"/>
    <w:rsid w:val="00FA3A03"/>
    <w:rsid w:val="00FA6B60"/>
    <w:rsid w:val="00FA761D"/>
    <w:rsid w:val="00FB0878"/>
    <w:rsid w:val="00FB6F14"/>
    <w:rsid w:val="00FC352D"/>
    <w:rsid w:val="00FC5CFC"/>
    <w:rsid w:val="00FC7049"/>
    <w:rsid w:val="00FD0C87"/>
    <w:rsid w:val="00FD15B5"/>
    <w:rsid w:val="00FE0239"/>
    <w:rsid w:val="00FE1C12"/>
    <w:rsid w:val="00FE35F5"/>
    <w:rsid w:val="00FE4128"/>
    <w:rsid w:val="00FE5653"/>
    <w:rsid w:val="00FE6388"/>
    <w:rsid w:val="00FF032D"/>
    <w:rsid w:val="00FF0DE6"/>
    <w:rsid w:val="00FF1DE6"/>
    <w:rsid w:val="00FF204A"/>
    <w:rsid w:val="00FF6250"/>
    <w:rsid w:val="013A2BD2"/>
    <w:rsid w:val="015A4F33"/>
    <w:rsid w:val="015C16D1"/>
    <w:rsid w:val="01CADBC4"/>
    <w:rsid w:val="01F7B208"/>
    <w:rsid w:val="0202C6F9"/>
    <w:rsid w:val="025ADF8C"/>
    <w:rsid w:val="025D5B50"/>
    <w:rsid w:val="02A3EED3"/>
    <w:rsid w:val="02BAE011"/>
    <w:rsid w:val="02C1CA0A"/>
    <w:rsid w:val="02F5508F"/>
    <w:rsid w:val="03002EF8"/>
    <w:rsid w:val="034E1306"/>
    <w:rsid w:val="03507018"/>
    <w:rsid w:val="035AAA52"/>
    <w:rsid w:val="03635DCC"/>
    <w:rsid w:val="036FF976"/>
    <w:rsid w:val="03853172"/>
    <w:rsid w:val="03B78279"/>
    <w:rsid w:val="03DF856B"/>
    <w:rsid w:val="0407D8E5"/>
    <w:rsid w:val="0451A3FE"/>
    <w:rsid w:val="04B79D01"/>
    <w:rsid w:val="05105C68"/>
    <w:rsid w:val="0520D97F"/>
    <w:rsid w:val="05213298"/>
    <w:rsid w:val="0522194B"/>
    <w:rsid w:val="055F2E40"/>
    <w:rsid w:val="05981253"/>
    <w:rsid w:val="05B40E93"/>
    <w:rsid w:val="05ED202A"/>
    <w:rsid w:val="060242AD"/>
    <w:rsid w:val="063F2D03"/>
    <w:rsid w:val="0668912C"/>
    <w:rsid w:val="0689BF2B"/>
    <w:rsid w:val="06BD02F9"/>
    <w:rsid w:val="0701CF27"/>
    <w:rsid w:val="070FC8E4"/>
    <w:rsid w:val="079A042B"/>
    <w:rsid w:val="07DAFD64"/>
    <w:rsid w:val="084E43D6"/>
    <w:rsid w:val="0879A673"/>
    <w:rsid w:val="089D9F88"/>
    <w:rsid w:val="08A355C7"/>
    <w:rsid w:val="08AD9C1B"/>
    <w:rsid w:val="08BA171D"/>
    <w:rsid w:val="09139A0A"/>
    <w:rsid w:val="09646F5A"/>
    <w:rsid w:val="097A04FF"/>
    <w:rsid w:val="098EFE7C"/>
    <w:rsid w:val="099D31C2"/>
    <w:rsid w:val="09FD0176"/>
    <w:rsid w:val="0A293553"/>
    <w:rsid w:val="0A46C7FD"/>
    <w:rsid w:val="0A61AB8C"/>
    <w:rsid w:val="0A6C61B8"/>
    <w:rsid w:val="0ABF4672"/>
    <w:rsid w:val="0AC1125C"/>
    <w:rsid w:val="0B08049C"/>
    <w:rsid w:val="0B1ED907"/>
    <w:rsid w:val="0B35D69C"/>
    <w:rsid w:val="0B587907"/>
    <w:rsid w:val="0BCF846C"/>
    <w:rsid w:val="0BF68974"/>
    <w:rsid w:val="0C08D64D"/>
    <w:rsid w:val="0C1AA4F7"/>
    <w:rsid w:val="0C1B0C2F"/>
    <w:rsid w:val="0C2A775F"/>
    <w:rsid w:val="0C2CA3F7"/>
    <w:rsid w:val="0C6B915B"/>
    <w:rsid w:val="0C87D7E4"/>
    <w:rsid w:val="0CA5B3F2"/>
    <w:rsid w:val="0CC3D02E"/>
    <w:rsid w:val="0CF44968"/>
    <w:rsid w:val="0D51F040"/>
    <w:rsid w:val="0E013D91"/>
    <w:rsid w:val="0E46138B"/>
    <w:rsid w:val="0E9019C9"/>
    <w:rsid w:val="0ECA1EBC"/>
    <w:rsid w:val="0ED0DA94"/>
    <w:rsid w:val="0EE15322"/>
    <w:rsid w:val="0EE3600B"/>
    <w:rsid w:val="0EE9A58E"/>
    <w:rsid w:val="0F0FDC40"/>
    <w:rsid w:val="0F4E50DE"/>
    <w:rsid w:val="0F772413"/>
    <w:rsid w:val="0F94A5B0"/>
    <w:rsid w:val="0FA2F4ED"/>
    <w:rsid w:val="0FB61650"/>
    <w:rsid w:val="0FC6F9ED"/>
    <w:rsid w:val="0FCD5BC0"/>
    <w:rsid w:val="0FDB6010"/>
    <w:rsid w:val="105AF236"/>
    <w:rsid w:val="106FBB02"/>
    <w:rsid w:val="107D07F7"/>
    <w:rsid w:val="108F8910"/>
    <w:rsid w:val="1132AE5C"/>
    <w:rsid w:val="1145CD63"/>
    <w:rsid w:val="1158AC61"/>
    <w:rsid w:val="118D0D59"/>
    <w:rsid w:val="11A336EE"/>
    <w:rsid w:val="11C7BA8B"/>
    <w:rsid w:val="1201748C"/>
    <w:rsid w:val="12055842"/>
    <w:rsid w:val="120C3906"/>
    <w:rsid w:val="12EE6E48"/>
    <w:rsid w:val="12F98A65"/>
    <w:rsid w:val="130F3C34"/>
    <w:rsid w:val="136CEF9E"/>
    <w:rsid w:val="1374914D"/>
    <w:rsid w:val="137EBF1C"/>
    <w:rsid w:val="139C2907"/>
    <w:rsid w:val="13A75BC4"/>
    <w:rsid w:val="13BD16B1"/>
    <w:rsid w:val="14116CC3"/>
    <w:rsid w:val="14130C5A"/>
    <w:rsid w:val="146A4F1E"/>
    <w:rsid w:val="147733D7"/>
    <w:rsid w:val="14974296"/>
    <w:rsid w:val="14AC361A"/>
    <w:rsid w:val="14B5550F"/>
    <w:rsid w:val="14D95738"/>
    <w:rsid w:val="1510E871"/>
    <w:rsid w:val="152BB497"/>
    <w:rsid w:val="1543D9C8"/>
    <w:rsid w:val="155903C9"/>
    <w:rsid w:val="15E1B098"/>
    <w:rsid w:val="16000122"/>
    <w:rsid w:val="162A9FC5"/>
    <w:rsid w:val="162CE77B"/>
    <w:rsid w:val="16512570"/>
    <w:rsid w:val="1689205D"/>
    <w:rsid w:val="169FB49D"/>
    <w:rsid w:val="172BD665"/>
    <w:rsid w:val="174913C0"/>
    <w:rsid w:val="174D7419"/>
    <w:rsid w:val="17626BB7"/>
    <w:rsid w:val="17B1C0BC"/>
    <w:rsid w:val="17B3581B"/>
    <w:rsid w:val="17CAE919"/>
    <w:rsid w:val="18155811"/>
    <w:rsid w:val="186F9A2A"/>
    <w:rsid w:val="188793D0"/>
    <w:rsid w:val="188AEFA2"/>
    <w:rsid w:val="188D7FAA"/>
    <w:rsid w:val="188D846D"/>
    <w:rsid w:val="1890E8E0"/>
    <w:rsid w:val="18C070F9"/>
    <w:rsid w:val="192EBE51"/>
    <w:rsid w:val="194AA4FA"/>
    <w:rsid w:val="197E0544"/>
    <w:rsid w:val="198455D3"/>
    <w:rsid w:val="1988C632"/>
    <w:rsid w:val="19D73951"/>
    <w:rsid w:val="19EE1CB6"/>
    <w:rsid w:val="1A3260DF"/>
    <w:rsid w:val="1A44D54D"/>
    <w:rsid w:val="1A8C995B"/>
    <w:rsid w:val="1B06DEFE"/>
    <w:rsid w:val="1B236B47"/>
    <w:rsid w:val="1B249693"/>
    <w:rsid w:val="1B2C7FA5"/>
    <w:rsid w:val="1BA73AEC"/>
    <w:rsid w:val="1BAC49A7"/>
    <w:rsid w:val="1BAC65EB"/>
    <w:rsid w:val="1C0BBA46"/>
    <w:rsid w:val="1C20DD2B"/>
    <w:rsid w:val="1C21E678"/>
    <w:rsid w:val="1C9A2B5C"/>
    <w:rsid w:val="1CEA5508"/>
    <w:rsid w:val="1E262142"/>
    <w:rsid w:val="1E77F13D"/>
    <w:rsid w:val="1ECF3B88"/>
    <w:rsid w:val="1EDC7641"/>
    <w:rsid w:val="1F89E96C"/>
    <w:rsid w:val="2007E50E"/>
    <w:rsid w:val="20150CA5"/>
    <w:rsid w:val="2054B31A"/>
    <w:rsid w:val="20B87B68"/>
    <w:rsid w:val="20E2B7AB"/>
    <w:rsid w:val="20F0D0B6"/>
    <w:rsid w:val="216FEECC"/>
    <w:rsid w:val="21B0008C"/>
    <w:rsid w:val="21CB5AE5"/>
    <w:rsid w:val="21ED9E8B"/>
    <w:rsid w:val="221E631B"/>
    <w:rsid w:val="22433A3C"/>
    <w:rsid w:val="227F4A42"/>
    <w:rsid w:val="229317AE"/>
    <w:rsid w:val="22B89591"/>
    <w:rsid w:val="22DE2054"/>
    <w:rsid w:val="22E09D74"/>
    <w:rsid w:val="22E2F8C5"/>
    <w:rsid w:val="22EA8458"/>
    <w:rsid w:val="23010E20"/>
    <w:rsid w:val="23112C51"/>
    <w:rsid w:val="232D9D61"/>
    <w:rsid w:val="23DED1DF"/>
    <w:rsid w:val="23E01642"/>
    <w:rsid w:val="2410EB33"/>
    <w:rsid w:val="2423D012"/>
    <w:rsid w:val="243BCCD3"/>
    <w:rsid w:val="24595E20"/>
    <w:rsid w:val="246AEE72"/>
    <w:rsid w:val="247EC926"/>
    <w:rsid w:val="24D3665F"/>
    <w:rsid w:val="24E628EE"/>
    <w:rsid w:val="25446A3F"/>
    <w:rsid w:val="254FC6F4"/>
    <w:rsid w:val="261A9987"/>
    <w:rsid w:val="261E1321"/>
    <w:rsid w:val="26436924"/>
    <w:rsid w:val="2649A572"/>
    <w:rsid w:val="26832ECB"/>
    <w:rsid w:val="26DF1244"/>
    <w:rsid w:val="2703DFC9"/>
    <w:rsid w:val="271A7E01"/>
    <w:rsid w:val="271B43A4"/>
    <w:rsid w:val="2740AF13"/>
    <w:rsid w:val="27571E6C"/>
    <w:rsid w:val="275B70D4"/>
    <w:rsid w:val="27AABCC6"/>
    <w:rsid w:val="27B669E8"/>
    <w:rsid w:val="27CE87B0"/>
    <w:rsid w:val="27D1BD38"/>
    <w:rsid w:val="2809814D"/>
    <w:rsid w:val="281C8F67"/>
    <w:rsid w:val="2854CAC5"/>
    <w:rsid w:val="28BBA779"/>
    <w:rsid w:val="28E5BC4C"/>
    <w:rsid w:val="28F6EF66"/>
    <w:rsid w:val="2902A27A"/>
    <w:rsid w:val="29523A49"/>
    <w:rsid w:val="29571158"/>
    <w:rsid w:val="2967A484"/>
    <w:rsid w:val="296D8D99"/>
    <w:rsid w:val="297B09E6"/>
    <w:rsid w:val="29BD446D"/>
    <w:rsid w:val="2A11FCC1"/>
    <w:rsid w:val="2A67BECC"/>
    <w:rsid w:val="2AEE0AAA"/>
    <w:rsid w:val="2B0486AB"/>
    <w:rsid w:val="2BA199AE"/>
    <w:rsid w:val="2C02AF5B"/>
    <w:rsid w:val="2C1888AA"/>
    <w:rsid w:val="2C8057D8"/>
    <w:rsid w:val="2CDE7844"/>
    <w:rsid w:val="2CE387FD"/>
    <w:rsid w:val="2CEAB85B"/>
    <w:rsid w:val="2CFC6B7B"/>
    <w:rsid w:val="2D2DB734"/>
    <w:rsid w:val="2D6C4F5A"/>
    <w:rsid w:val="2D723655"/>
    <w:rsid w:val="2DA3B03C"/>
    <w:rsid w:val="2DA3F2B2"/>
    <w:rsid w:val="2DA74577"/>
    <w:rsid w:val="2DBF0F37"/>
    <w:rsid w:val="2E3D51E4"/>
    <w:rsid w:val="2E52AF77"/>
    <w:rsid w:val="2E5C9110"/>
    <w:rsid w:val="2E6CFFA2"/>
    <w:rsid w:val="2F675941"/>
    <w:rsid w:val="2F845F0D"/>
    <w:rsid w:val="2FBA26BA"/>
    <w:rsid w:val="2FDB7A6E"/>
    <w:rsid w:val="2FE2A267"/>
    <w:rsid w:val="2FE426AA"/>
    <w:rsid w:val="3017E439"/>
    <w:rsid w:val="302BAD4F"/>
    <w:rsid w:val="30416790"/>
    <w:rsid w:val="30C408E5"/>
    <w:rsid w:val="3112104E"/>
    <w:rsid w:val="31131567"/>
    <w:rsid w:val="313AD680"/>
    <w:rsid w:val="31A76761"/>
    <w:rsid w:val="31B7811D"/>
    <w:rsid w:val="31CF4456"/>
    <w:rsid w:val="31D60FB4"/>
    <w:rsid w:val="32121E31"/>
    <w:rsid w:val="3218A158"/>
    <w:rsid w:val="32496162"/>
    <w:rsid w:val="32CA6438"/>
    <w:rsid w:val="32D6A6E1"/>
    <w:rsid w:val="32D8553C"/>
    <w:rsid w:val="333B9DCB"/>
    <w:rsid w:val="334DB9C8"/>
    <w:rsid w:val="336C3E41"/>
    <w:rsid w:val="337C21CC"/>
    <w:rsid w:val="33A717CC"/>
    <w:rsid w:val="33BFCFED"/>
    <w:rsid w:val="33FF3498"/>
    <w:rsid w:val="3431CE6B"/>
    <w:rsid w:val="34727742"/>
    <w:rsid w:val="34936B0B"/>
    <w:rsid w:val="3494ECF0"/>
    <w:rsid w:val="34A27998"/>
    <w:rsid w:val="34AEEB91"/>
    <w:rsid w:val="352E309F"/>
    <w:rsid w:val="356C2C91"/>
    <w:rsid w:val="35775B0E"/>
    <w:rsid w:val="359A0FED"/>
    <w:rsid w:val="35A0E001"/>
    <w:rsid w:val="3607845C"/>
    <w:rsid w:val="360E47A3"/>
    <w:rsid w:val="361967B2"/>
    <w:rsid w:val="361AB603"/>
    <w:rsid w:val="361B0126"/>
    <w:rsid w:val="362F3B6C"/>
    <w:rsid w:val="3630BD51"/>
    <w:rsid w:val="36350EDE"/>
    <w:rsid w:val="365ED9A4"/>
    <w:rsid w:val="367AEB2C"/>
    <w:rsid w:val="36C00A62"/>
    <w:rsid w:val="371825D8"/>
    <w:rsid w:val="3718D00C"/>
    <w:rsid w:val="371CD285"/>
    <w:rsid w:val="37284148"/>
    <w:rsid w:val="3758AF35"/>
    <w:rsid w:val="376F57E2"/>
    <w:rsid w:val="379AC19E"/>
    <w:rsid w:val="37C8CE16"/>
    <w:rsid w:val="37E68C53"/>
    <w:rsid w:val="388DE251"/>
    <w:rsid w:val="38A3CD53"/>
    <w:rsid w:val="38B8A2E6"/>
    <w:rsid w:val="38EB76FC"/>
    <w:rsid w:val="38EF5C90"/>
    <w:rsid w:val="39025153"/>
    <w:rsid w:val="39083A0D"/>
    <w:rsid w:val="391E020D"/>
    <w:rsid w:val="392B4ADA"/>
    <w:rsid w:val="39549D48"/>
    <w:rsid w:val="39621968"/>
    <w:rsid w:val="39CC4BD1"/>
    <w:rsid w:val="3A3F9DB4"/>
    <w:rsid w:val="3A51C2CE"/>
    <w:rsid w:val="3AAA327B"/>
    <w:rsid w:val="3AC62EBB"/>
    <w:rsid w:val="3AC91FA7"/>
    <w:rsid w:val="3AE5ABA0"/>
    <w:rsid w:val="3B11AC4B"/>
    <w:rsid w:val="3B618EA3"/>
    <w:rsid w:val="3B681C32"/>
    <w:rsid w:val="3C078F72"/>
    <w:rsid w:val="3C29918E"/>
    <w:rsid w:val="3C60DF8D"/>
    <w:rsid w:val="3C6E1AC0"/>
    <w:rsid w:val="3C780677"/>
    <w:rsid w:val="3CB9E7FA"/>
    <w:rsid w:val="3D3EEAB5"/>
    <w:rsid w:val="3D480523"/>
    <w:rsid w:val="3D6ED662"/>
    <w:rsid w:val="3DB1BD71"/>
    <w:rsid w:val="3E22294B"/>
    <w:rsid w:val="3E2B6EF7"/>
    <w:rsid w:val="3E7C1D12"/>
    <w:rsid w:val="3E7DAEDD"/>
    <w:rsid w:val="3E8CD85B"/>
    <w:rsid w:val="3E954474"/>
    <w:rsid w:val="3EA8F237"/>
    <w:rsid w:val="3EC20ABF"/>
    <w:rsid w:val="3EDCF887"/>
    <w:rsid w:val="3F1A2AD0"/>
    <w:rsid w:val="3F2C1806"/>
    <w:rsid w:val="3F2F7189"/>
    <w:rsid w:val="3FB2754E"/>
    <w:rsid w:val="3FE0A4BC"/>
    <w:rsid w:val="3FFB02A9"/>
    <w:rsid w:val="4020BC31"/>
    <w:rsid w:val="40248824"/>
    <w:rsid w:val="4028AB09"/>
    <w:rsid w:val="40DB09CA"/>
    <w:rsid w:val="40E90303"/>
    <w:rsid w:val="4106D766"/>
    <w:rsid w:val="41217395"/>
    <w:rsid w:val="4150DDA4"/>
    <w:rsid w:val="416608CF"/>
    <w:rsid w:val="418F1C44"/>
    <w:rsid w:val="4191410C"/>
    <w:rsid w:val="41C104B6"/>
    <w:rsid w:val="420842FD"/>
    <w:rsid w:val="42223CA4"/>
    <w:rsid w:val="4231DE93"/>
    <w:rsid w:val="423C3B50"/>
    <w:rsid w:val="424404C6"/>
    <w:rsid w:val="42D049A6"/>
    <w:rsid w:val="431FA707"/>
    <w:rsid w:val="43214EF7"/>
    <w:rsid w:val="43254C20"/>
    <w:rsid w:val="4336CEB8"/>
    <w:rsid w:val="43823803"/>
    <w:rsid w:val="43903A34"/>
    <w:rsid w:val="43A59A8B"/>
    <w:rsid w:val="43B5FA5A"/>
    <w:rsid w:val="441D01ED"/>
    <w:rsid w:val="44B5C520"/>
    <w:rsid w:val="44BE789A"/>
    <w:rsid w:val="44CC4F3E"/>
    <w:rsid w:val="44FEEB6A"/>
    <w:rsid w:val="4523FD57"/>
    <w:rsid w:val="453645DC"/>
    <w:rsid w:val="4585AB50"/>
    <w:rsid w:val="459C2751"/>
    <w:rsid w:val="463A7D53"/>
    <w:rsid w:val="466217E1"/>
    <w:rsid w:val="466EA28B"/>
    <w:rsid w:val="468CBFBD"/>
    <w:rsid w:val="46CEE11A"/>
    <w:rsid w:val="47217BB1"/>
    <w:rsid w:val="47260E42"/>
    <w:rsid w:val="474B83E0"/>
    <w:rsid w:val="478C9FAB"/>
    <w:rsid w:val="47C80B68"/>
    <w:rsid w:val="47F8BD43"/>
    <w:rsid w:val="47FDE842"/>
    <w:rsid w:val="482EDE66"/>
    <w:rsid w:val="4831FFA1"/>
    <w:rsid w:val="488523A4"/>
    <w:rsid w:val="48989E48"/>
    <w:rsid w:val="48A2D1B4"/>
    <w:rsid w:val="48B396C0"/>
    <w:rsid w:val="48D3C813"/>
    <w:rsid w:val="49FC4FE3"/>
    <w:rsid w:val="49FD9ACE"/>
    <w:rsid w:val="4A4186B7"/>
    <w:rsid w:val="4A94914F"/>
    <w:rsid w:val="4AE4E141"/>
    <w:rsid w:val="4AE53C7A"/>
    <w:rsid w:val="4AEB14E7"/>
    <w:rsid w:val="4AFF6B8E"/>
    <w:rsid w:val="4B740CC1"/>
    <w:rsid w:val="4B801A8A"/>
    <w:rsid w:val="4BCF06DF"/>
    <w:rsid w:val="4C05CCA6"/>
    <w:rsid w:val="4C87AE86"/>
    <w:rsid w:val="4CCDAE04"/>
    <w:rsid w:val="4D118EB4"/>
    <w:rsid w:val="4D6204DE"/>
    <w:rsid w:val="4D77D051"/>
    <w:rsid w:val="4D9845C2"/>
    <w:rsid w:val="4DB33544"/>
    <w:rsid w:val="4DE2F2B2"/>
    <w:rsid w:val="4DE55A6E"/>
    <w:rsid w:val="4E1AC13E"/>
    <w:rsid w:val="4E52D044"/>
    <w:rsid w:val="4E804541"/>
    <w:rsid w:val="4E90CFC7"/>
    <w:rsid w:val="4E971CA4"/>
    <w:rsid w:val="4EED0A73"/>
    <w:rsid w:val="4EEF7AEE"/>
    <w:rsid w:val="4F1A8D09"/>
    <w:rsid w:val="4FECD0E4"/>
    <w:rsid w:val="504E32B5"/>
    <w:rsid w:val="50A9DB23"/>
    <w:rsid w:val="512C4BB5"/>
    <w:rsid w:val="51328F79"/>
    <w:rsid w:val="51415581"/>
    <w:rsid w:val="51DD4784"/>
    <w:rsid w:val="51F56F06"/>
    <w:rsid w:val="51FBC123"/>
    <w:rsid w:val="52606EBC"/>
    <w:rsid w:val="526FCCA0"/>
    <w:rsid w:val="529BAF50"/>
    <w:rsid w:val="52C62AA5"/>
    <w:rsid w:val="5370BE24"/>
    <w:rsid w:val="5371751A"/>
    <w:rsid w:val="53979184"/>
    <w:rsid w:val="53FC3F1D"/>
    <w:rsid w:val="540C6945"/>
    <w:rsid w:val="541537FD"/>
    <w:rsid w:val="54912C1C"/>
    <w:rsid w:val="54B07006"/>
    <w:rsid w:val="55139F2B"/>
    <w:rsid w:val="551A2B2F"/>
    <w:rsid w:val="553D780C"/>
    <w:rsid w:val="55523C4F"/>
    <w:rsid w:val="5552F672"/>
    <w:rsid w:val="5588DF2E"/>
    <w:rsid w:val="55D14405"/>
    <w:rsid w:val="55F1574F"/>
    <w:rsid w:val="56025461"/>
    <w:rsid w:val="564C6A0A"/>
    <w:rsid w:val="5664CB3B"/>
    <w:rsid w:val="5674BA6E"/>
    <w:rsid w:val="567EC822"/>
    <w:rsid w:val="56923F1A"/>
    <w:rsid w:val="56935311"/>
    <w:rsid w:val="569D7E5B"/>
    <w:rsid w:val="56B511C3"/>
    <w:rsid w:val="57054FBC"/>
    <w:rsid w:val="57150D27"/>
    <w:rsid w:val="5732699E"/>
    <w:rsid w:val="57420011"/>
    <w:rsid w:val="57998BF9"/>
    <w:rsid w:val="5817F1D4"/>
    <w:rsid w:val="585A380A"/>
    <w:rsid w:val="5863DD7A"/>
    <w:rsid w:val="587394D0"/>
    <w:rsid w:val="58D916D4"/>
    <w:rsid w:val="58DDD072"/>
    <w:rsid w:val="58E97BA3"/>
    <w:rsid w:val="58EAFB6D"/>
    <w:rsid w:val="58F140F0"/>
    <w:rsid w:val="593CFA8E"/>
    <w:rsid w:val="59466786"/>
    <w:rsid w:val="59578912"/>
    <w:rsid w:val="5A73DE5C"/>
    <w:rsid w:val="5A79A0D3"/>
    <w:rsid w:val="5A98545D"/>
    <w:rsid w:val="5AC746F6"/>
    <w:rsid w:val="5B0FB6CF"/>
    <w:rsid w:val="5B24601E"/>
    <w:rsid w:val="5B71C086"/>
    <w:rsid w:val="5B809B9A"/>
    <w:rsid w:val="5B80C077"/>
    <w:rsid w:val="5C70A921"/>
    <w:rsid w:val="5CFB596E"/>
    <w:rsid w:val="5D148549"/>
    <w:rsid w:val="5D1C90D8"/>
    <w:rsid w:val="5D43209B"/>
    <w:rsid w:val="5D49652A"/>
    <w:rsid w:val="5D677561"/>
    <w:rsid w:val="5D8D9BE8"/>
    <w:rsid w:val="5D990002"/>
    <w:rsid w:val="5DAECE85"/>
    <w:rsid w:val="5DBCECC6"/>
    <w:rsid w:val="5DFCF15D"/>
    <w:rsid w:val="5E0FFADF"/>
    <w:rsid w:val="5E860E26"/>
    <w:rsid w:val="5EACCA3F"/>
    <w:rsid w:val="5F1E6F99"/>
    <w:rsid w:val="5F5C047F"/>
    <w:rsid w:val="5F5E2E68"/>
    <w:rsid w:val="5F6BC580"/>
    <w:rsid w:val="5FB52414"/>
    <w:rsid w:val="5FCA6668"/>
    <w:rsid w:val="5FCCA343"/>
    <w:rsid w:val="6013FEA5"/>
    <w:rsid w:val="6029330C"/>
    <w:rsid w:val="6032FA30"/>
    <w:rsid w:val="6062C64E"/>
    <w:rsid w:val="607E0212"/>
    <w:rsid w:val="6095DB6D"/>
    <w:rsid w:val="60E66F47"/>
    <w:rsid w:val="60FD2742"/>
    <w:rsid w:val="6118A6C1"/>
    <w:rsid w:val="617DA27A"/>
    <w:rsid w:val="61A68318"/>
    <w:rsid w:val="61A98B42"/>
    <w:rsid w:val="61BDAEE8"/>
    <w:rsid w:val="61CECA91"/>
    <w:rsid w:val="61E32486"/>
    <w:rsid w:val="62028293"/>
    <w:rsid w:val="620E1E37"/>
    <w:rsid w:val="626F31E6"/>
    <w:rsid w:val="63572142"/>
    <w:rsid w:val="63658C99"/>
    <w:rsid w:val="636A9AF2"/>
    <w:rsid w:val="636C8898"/>
    <w:rsid w:val="642EEFDB"/>
    <w:rsid w:val="64487480"/>
    <w:rsid w:val="645BAD8C"/>
    <w:rsid w:val="65066B53"/>
    <w:rsid w:val="6514787E"/>
    <w:rsid w:val="65236C8C"/>
    <w:rsid w:val="653A1BD8"/>
    <w:rsid w:val="659C1D0C"/>
    <w:rsid w:val="65BCC69F"/>
    <w:rsid w:val="65F71C88"/>
    <w:rsid w:val="669D6D4C"/>
    <w:rsid w:val="66A23BB4"/>
    <w:rsid w:val="66A4295A"/>
    <w:rsid w:val="66D74A21"/>
    <w:rsid w:val="67372DF7"/>
    <w:rsid w:val="675A2641"/>
    <w:rsid w:val="67D6D066"/>
    <w:rsid w:val="67F5C85F"/>
    <w:rsid w:val="67F9A584"/>
    <w:rsid w:val="681FBE91"/>
    <w:rsid w:val="684FFCA7"/>
    <w:rsid w:val="68666B26"/>
    <w:rsid w:val="686A0518"/>
    <w:rsid w:val="688AA2D2"/>
    <w:rsid w:val="690764BA"/>
    <w:rsid w:val="6961840C"/>
    <w:rsid w:val="69745CAE"/>
    <w:rsid w:val="6980F57B"/>
    <w:rsid w:val="69990ED9"/>
    <w:rsid w:val="69B78933"/>
    <w:rsid w:val="69D50E0E"/>
    <w:rsid w:val="69E76F12"/>
    <w:rsid w:val="6A24E458"/>
    <w:rsid w:val="6A6ECEB9"/>
    <w:rsid w:val="6A6FDA5F"/>
    <w:rsid w:val="6A93CC35"/>
    <w:rsid w:val="6A9E315F"/>
    <w:rsid w:val="6ACD59F0"/>
    <w:rsid w:val="6AFE0AAD"/>
    <w:rsid w:val="6B18B158"/>
    <w:rsid w:val="6B19A484"/>
    <w:rsid w:val="6B511B4F"/>
    <w:rsid w:val="6B8A6466"/>
    <w:rsid w:val="6C04BC04"/>
    <w:rsid w:val="6CC4CB94"/>
    <w:rsid w:val="6D2C82EC"/>
    <w:rsid w:val="6D68875D"/>
    <w:rsid w:val="6DBEF46E"/>
    <w:rsid w:val="6DBFE27C"/>
    <w:rsid w:val="6E378EAE"/>
    <w:rsid w:val="6E3B1703"/>
    <w:rsid w:val="6E609BF5"/>
    <w:rsid w:val="6E6C0D40"/>
    <w:rsid w:val="6E6F5D81"/>
    <w:rsid w:val="6E97DF26"/>
    <w:rsid w:val="6E994AAA"/>
    <w:rsid w:val="6EA1FFF5"/>
    <w:rsid w:val="6EA34DE9"/>
    <w:rsid w:val="6F01E035"/>
    <w:rsid w:val="6F5AE393"/>
    <w:rsid w:val="6FA308CA"/>
    <w:rsid w:val="6FBA37EE"/>
    <w:rsid w:val="6FFA5498"/>
    <w:rsid w:val="6FFC6C56"/>
    <w:rsid w:val="7086C241"/>
    <w:rsid w:val="708BFD12"/>
    <w:rsid w:val="70EC1955"/>
    <w:rsid w:val="70F6B3F4"/>
    <w:rsid w:val="710E2AF0"/>
    <w:rsid w:val="711A6425"/>
    <w:rsid w:val="712AF3B7"/>
    <w:rsid w:val="71329CE4"/>
    <w:rsid w:val="7143CA5D"/>
    <w:rsid w:val="7182E197"/>
    <w:rsid w:val="71916435"/>
    <w:rsid w:val="722E8EEA"/>
    <w:rsid w:val="7244FE43"/>
    <w:rsid w:val="726FBB69"/>
    <w:rsid w:val="72742B98"/>
    <w:rsid w:val="72B63486"/>
    <w:rsid w:val="72BF88F1"/>
    <w:rsid w:val="72D1C06A"/>
    <w:rsid w:val="72ECB22A"/>
    <w:rsid w:val="730EAF64"/>
    <w:rsid w:val="7359D5AB"/>
    <w:rsid w:val="7381095B"/>
    <w:rsid w:val="739BCDA5"/>
    <w:rsid w:val="73AF67BF"/>
    <w:rsid w:val="744A5528"/>
    <w:rsid w:val="744F4330"/>
    <w:rsid w:val="75128F6D"/>
    <w:rsid w:val="7561D80B"/>
    <w:rsid w:val="7578FFEB"/>
    <w:rsid w:val="757C68E9"/>
    <w:rsid w:val="75B559F2"/>
    <w:rsid w:val="75E2353B"/>
    <w:rsid w:val="762452EC"/>
    <w:rsid w:val="76394C69"/>
    <w:rsid w:val="768ABB89"/>
    <w:rsid w:val="76BE2E4C"/>
    <w:rsid w:val="772BAD86"/>
    <w:rsid w:val="77512A53"/>
    <w:rsid w:val="77748280"/>
    <w:rsid w:val="7789A5A9"/>
    <w:rsid w:val="77A2F5DB"/>
    <w:rsid w:val="77D51CCA"/>
    <w:rsid w:val="78489A1E"/>
    <w:rsid w:val="78552C81"/>
    <w:rsid w:val="78779B8D"/>
    <w:rsid w:val="78ECFAB4"/>
    <w:rsid w:val="794CCE9A"/>
    <w:rsid w:val="79E7B683"/>
    <w:rsid w:val="79F00E51"/>
    <w:rsid w:val="79F5CF0E"/>
    <w:rsid w:val="79FC3E2D"/>
    <w:rsid w:val="7A036626"/>
    <w:rsid w:val="7AAC3921"/>
    <w:rsid w:val="7ADB3341"/>
    <w:rsid w:val="7B67926D"/>
    <w:rsid w:val="7B9BEBFA"/>
    <w:rsid w:val="7BB28076"/>
    <w:rsid w:val="7BDFF8A8"/>
    <w:rsid w:val="7BEFE031"/>
    <w:rsid w:val="7C26EC89"/>
    <w:rsid w:val="7C2F56CA"/>
    <w:rsid w:val="7C56E325"/>
    <w:rsid w:val="7C5D16CC"/>
    <w:rsid w:val="7C62ECE8"/>
    <w:rsid w:val="7C7EB6A3"/>
    <w:rsid w:val="7C8E6CF1"/>
    <w:rsid w:val="7CE2DCE4"/>
    <w:rsid w:val="7D0A4F39"/>
    <w:rsid w:val="7D29878E"/>
    <w:rsid w:val="7D6A513D"/>
    <w:rsid w:val="7DB589F4"/>
    <w:rsid w:val="7DBD7BF3"/>
    <w:rsid w:val="7DD456BA"/>
    <w:rsid w:val="7DDCFC49"/>
    <w:rsid w:val="7DEB1999"/>
    <w:rsid w:val="7DF6F291"/>
    <w:rsid w:val="7E04293E"/>
    <w:rsid w:val="7E0F79A5"/>
    <w:rsid w:val="7E3EBFF6"/>
    <w:rsid w:val="7EAA7EC4"/>
    <w:rsid w:val="7EDC2986"/>
    <w:rsid w:val="7EFB1424"/>
    <w:rsid w:val="7F1A6067"/>
    <w:rsid w:val="7F29AF10"/>
    <w:rsid w:val="7F833F4E"/>
    <w:rsid w:val="7FD58C8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EA5508"/>
  <w15:chartTrackingRefBased/>
  <w15:docId w15:val="{98EC3D48-C436-4F02-A32B-DF70F11AAD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F44105"/>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F44105"/>
    <w:rPr>
      <w:rFonts w:eastAsiaTheme="minorEastAsia"/>
      <w:lang w:val="en-US"/>
    </w:rPr>
  </w:style>
  <w:style w:type="paragraph" w:customStyle="1" w:styleId="paragraph">
    <w:name w:val="paragraph"/>
    <w:basedOn w:val="Normal"/>
    <w:rsid w:val="00BC7BA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BC7BAD"/>
  </w:style>
  <w:style w:type="character" w:customStyle="1" w:styleId="eop">
    <w:name w:val="eop"/>
    <w:basedOn w:val="DefaultParagraphFont"/>
    <w:rsid w:val="00BC7BAD"/>
  </w:style>
  <w:style w:type="paragraph" w:customStyle="1" w:styleId="Nornal">
    <w:name w:val="Nornal"/>
    <w:basedOn w:val="Normal"/>
    <w:link w:val="NornalChar"/>
    <w:qFormat/>
    <w:rsid w:val="739BCDA5"/>
    <w:rPr>
      <w:rFonts w:ascii="Arial" w:eastAsiaTheme="minorEastAsia" w:hAnsi="Arial" w:cs="Arial"/>
    </w:rPr>
  </w:style>
  <w:style w:type="character" w:customStyle="1" w:styleId="NornalChar">
    <w:name w:val="Nornal Char"/>
    <w:basedOn w:val="DefaultParagraphFont"/>
    <w:link w:val="Nornal"/>
    <w:rsid w:val="739BCDA5"/>
    <w:rPr>
      <w:rFonts w:ascii="Arial" w:eastAsiaTheme="minorEastAsia" w:hAnsi="Arial" w:cs="Arial"/>
      <w:sz w:val="22"/>
      <w:szCs w:val="22"/>
    </w:rPr>
  </w:style>
  <w:style w:type="character" w:styleId="Hyperlink">
    <w:name w:val="Hyperlink"/>
    <w:basedOn w:val="DefaultParagraphFont"/>
    <w:uiPriority w:val="99"/>
    <w:unhideWhenUsed/>
    <w:rPr>
      <w:color w:val="0563C1" w:themeColor="hyperlink"/>
      <w:u w:val="single"/>
    </w:rPr>
  </w:style>
  <w:style w:type="paragraph" w:styleId="ListParagraph">
    <w:name w:val="List Paragraph"/>
    <w:basedOn w:val="Normal"/>
    <w:link w:val="ListParagraphChar"/>
    <w:uiPriority w:val="1"/>
    <w:qFormat/>
    <w:rsid w:val="007C6DE4"/>
    <w:pPr>
      <w:spacing w:after="0"/>
      <w:ind w:left="720"/>
      <w:contextualSpacing/>
    </w:pPr>
    <w:rPr>
      <w:rFonts w:ascii="Arial" w:hAnsi="Arial"/>
      <w:szCs w:val="24"/>
    </w:rPr>
  </w:style>
  <w:style w:type="character" w:customStyle="1" w:styleId="ListParagraphChar">
    <w:name w:val="List Paragraph Char"/>
    <w:basedOn w:val="DefaultParagraphFont"/>
    <w:link w:val="ListParagraph"/>
    <w:uiPriority w:val="1"/>
    <w:rsid w:val="007C6DE4"/>
    <w:rPr>
      <w:rFonts w:ascii="Arial" w:hAnsi="Arial"/>
      <w:szCs w:val="24"/>
    </w:rPr>
  </w:style>
  <w:style w:type="character" w:styleId="UnresolvedMention">
    <w:name w:val="Unresolved Mention"/>
    <w:basedOn w:val="DefaultParagraphFont"/>
    <w:uiPriority w:val="99"/>
    <w:semiHidden/>
    <w:unhideWhenUsed/>
    <w:rsid w:val="00234AA3"/>
    <w:rPr>
      <w:color w:val="605E5C"/>
      <w:shd w:val="clear" w:color="auto" w:fill="E1DFDD"/>
    </w:rPr>
  </w:style>
  <w:style w:type="character" w:styleId="FollowedHyperlink">
    <w:name w:val="FollowedHyperlink"/>
    <w:basedOn w:val="DefaultParagraphFont"/>
    <w:uiPriority w:val="99"/>
    <w:semiHidden/>
    <w:unhideWhenUsed/>
    <w:rsid w:val="00C475C3"/>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870179">
      <w:bodyDiv w:val="1"/>
      <w:marLeft w:val="0"/>
      <w:marRight w:val="0"/>
      <w:marTop w:val="0"/>
      <w:marBottom w:val="0"/>
      <w:divBdr>
        <w:top w:val="none" w:sz="0" w:space="0" w:color="auto"/>
        <w:left w:val="none" w:sz="0" w:space="0" w:color="auto"/>
        <w:bottom w:val="none" w:sz="0" w:space="0" w:color="auto"/>
        <w:right w:val="none" w:sz="0" w:space="0" w:color="auto"/>
      </w:divBdr>
      <w:divsChild>
        <w:div w:id="472063591">
          <w:marLeft w:val="0"/>
          <w:marRight w:val="0"/>
          <w:marTop w:val="0"/>
          <w:marBottom w:val="0"/>
          <w:divBdr>
            <w:top w:val="none" w:sz="0" w:space="0" w:color="auto"/>
            <w:left w:val="none" w:sz="0" w:space="0" w:color="auto"/>
            <w:bottom w:val="none" w:sz="0" w:space="0" w:color="auto"/>
            <w:right w:val="none" w:sz="0" w:space="0" w:color="auto"/>
          </w:divBdr>
        </w:div>
        <w:div w:id="1966545449">
          <w:marLeft w:val="0"/>
          <w:marRight w:val="0"/>
          <w:marTop w:val="0"/>
          <w:marBottom w:val="0"/>
          <w:divBdr>
            <w:top w:val="none" w:sz="0" w:space="0" w:color="auto"/>
            <w:left w:val="none" w:sz="0" w:space="0" w:color="auto"/>
            <w:bottom w:val="none" w:sz="0" w:space="0" w:color="auto"/>
            <w:right w:val="none" w:sz="0" w:space="0" w:color="auto"/>
          </w:divBdr>
        </w:div>
        <w:div w:id="769279455">
          <w:marLeft w:val="0"/>
          <w:marRight w:val="0"/>
          <w:marTop w:val="0"/>
          <w:marBottom w:val="0"/>
          <w:divBdr>
            <w:top w:val="none" w:sz="0" w:space="0" w:color="auto"/>
            <w:left w:val="none" w:sz="0" w:space="0" w:color="auto"/>
            <w:bottom w:val="none" w:sz="0" w:space="0" w:color="auto"/>
            <w:right w:val="none" w:sz="0" w:space="0" w:color="auto"/>
          </w:divBdr>
        </w:div>
        <w:div w:id="205535188">
          <w:marLeft w:val="0"/>
          <w:marRight w:val="0"/>
          <w:marTop w:val="0"/>
          <w:marBottom w:val="0"/>
          <w:divBdr>
            <w:top w:val="none" w:sz="0" w:space="0" w:color="auto"/>
            <w:left w:val="none" w:sz="0" w:space="0" w:color="auto"/>
            <w:bottom w:val="none" w:sz="0" w:space="0" w:color="auto"/>
            <w:right w:val="none" w:sz="0" w:space="0" w:color="auto"/>
          </w:divBdr>
        </w:div>
        <w:div w:id="1559702334">
          <w:marLeft w:val="0"/>
          <w:marRight w:val="0"/>
          <w:marTop w:val="0"/>
          <w:marBottom w:val="0"/>
          <w:divBdr>
            <w:top w:val="none" w:sz="0" w:space="0" w:color="auto"/>
            <w:left w:val="none" w:sz="0" w:space="0" w:color="auto"/>
            <w:bottom w:val="none" w:sz="0" w:space="0" w:color="auto"/>
            <w:right w:val="none" w:sz="0" w:space="0" w:color="auto"/>
          </w:divBdr>
        </w:div>
        <w:div w:id="2107529459">
          <w:marLeft w:val="0"/>
          <w:marRight w:val="0"/>
          <w:marTop w:val="0"/>
          <w:marBottom w:val="0"/>
          <w:divBdr>
            <w:top w:val="none" w:sz="0" w:space="0" w:color="auto"/>
            <w:left w:val="none" w:sz="0" w:space="0" w:color="auto"/>
            <w:bottom w:val="none" w:sz="0" w:space="0" w:color="auto"/>
            <w:right w:val="none" w:sz="0" w:space="0" w:color="auto"/>
          </w:divBdr>
        </w:div>
      </w:divsChild>
    </w:div>
    <w:div w:id="93596637">
      <w:bodyDiv w:val="1"/>
      <w:marLeft w:val="0"/>
      <w:marRight w:val="0"/>
      <w:marTop w:val="0"/>
      <w:marBottom w:val="0"/>
      <w:divBdr>
        <w:top w:val="none" w:sz="0" w:space="0" w:color="auto"/>
        <w:left w:val="none" w:sz="0" w:space="0" w:color="auto"/>
        <w:bottom w:val="none" w:sz="0" w:space="0" w:color="auto"/>
        <w:right w:val="none" w:sz="0" w:space="0" w:color="auto"/>
      </w:divBdr>
    </w:div>
    <w:div w:id="131488419">
      <w:bodyDiv w:val="1"/>
      <w:marLeft w:val="0"/>
      <w:marRight w:val="0"/>
      <w:marTop w:val="0"/>
      <w:marBottom w:val="0"/>
      <w:divBdr>
        <w:top w:val="none" w:sz="0" w:space="0" w:color="auto"/>
        <w:left w:val="none" w:sz="0" w:space="0" w:color="auto"/>
        <w:bottom w:val="none" w:sz="0" w:space="0" w:color="auto"/>
        <w:right w:val="none" w:sz="0" w:space="0" w:color="auto"/>
      </w:divBdr>
    </w:div>
    <w:div w:id="249852138">
      <w:bodyDiv w:val="1"/>
      <w:marLeft w:val="0"/>
      <w:marRight w:val="0"/>
      <w:marTop w:val="0"/>
      <w:marBottom w:val="0"/>
      <w:divBdr>
        <w:top w:val="none" w:sz="0" w:space="0" w:color="auto"/>
        <w:left w:val="none" w:sz="0" w:space="0" w:color="auto"/>
        <w:bottom w:val="none" w:sz="0" w:space="0" w:color="auto"/>
        <w:right w:val="none" w:sz="0" w:space="0" w:color="auto"/>
      </w:divBdr>
    </w:div>
    <w:div w:id="347488844">
      <w:bodyDiv w:val="1"/>
      <w:marLeft w:val="0"/>
      <w:marRight w:val="0"/>
      <w:marTop w:val="0"/>
      <w:marBottom w:val="0"/>
      <w:divBdr>
        <w:top w:val="none" w:sz="0" w:space="0" w:color="auto"/>
        <w:left w:val="none" w:sz="0" w:space="0" w:color="auto"/>
        <w:bottom w:val="none" w:sz="0" w:space="0" w:color="auto"/>
        <w:right w:val="none" w:sz="0" w:space="0" w:color="auto"/>
      </w:divBdr>
      <w:divsChild>
        <w:div w:id="372465289">
          <w:marLeft w:val="0"/>
          <w:marRight w:val="0"/>
          <w:marTop w:val="0"/>
          <w:marBottom w:val="0"/>
          <w:divBdr>
            <w:top w:val="none" w:sz="0" w:space="0" w:color="auto"/>
            <w:left w:val="none" w:sz="0" w:space="0" w:color="auto"/>
            <w:bottom w:val="none" w:sz="0" w:space="0" w:color="auto"/>
            <w:right w:val="none" w:sz="0" w:space="0" w:color="auto"/>
          </w:divBdr>
        </w:div>
        <w:div w:id="1179388309">
          <w:marLeft w:val="0"/>
          <w:marRight w:val="0"/>
          <w:marTop w:val="0"/>
          <w:marBottom w:val="0"/>
          <w:divBdr>
            <w:top w:val="none" w:sz="0" w:space="0" w:color="auto"/>
            <w:left w:val="none" w:sz="0" w:space="0" w:color="auto"/>
            <w:bottom w:val="none" w:sz="0" w:space="0" w:color="auto"/>
            <w:right w:val="none" w:sz="0" w:space="0" w:color="auto"/>
          </w:divBdr>
        </w:div>
      </w:divsChild>
    </w:div>
    <w:div w:id="1320961313">
      <w:bodyDiv w:val="1"/>
      <w:marLeft w:val="0"/>
      <w:marRight w:val="0"/>
      <w:marTop w:val="0"/>
      <w:marBottom w:val="0"/>
      <w:divBdr>
        <w:top w:val="none" w:sz="0" w:space="0" w:color="auto"/>
        <w:left w:val="none" w:sz="0" w:space="0" w:color="auto"/>
        <w:bottom w:val="none" w:sz="0" w:space="0" w:color="auto"/>
        <w:right w:val="none" w:sz="0" w:space="0" w:color="auto"/>
      </w:divBdr>
    </w:div>
    <w:div w:id="14077222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9.png"/><Relationship Id="rId18" Type="http://schemas.openxmlformats.org/officeDocument/2006/relationships/image" Target="media/image14.png"/><Relationship Id="rId26" Type="http://schemas.openxmlformats.org/officeDocument/2006/relationships/hyperlink" Target="https://www.acas.org.uk/discrimination-and-the-law" TargetMode="External"/><Relationship Id="rId39" Type="http://schemas.openxmlformats.org/officeDocument/2006/relationships/hyperlink" Target="https://www.acas.org.uk/statutory-flexible-working-requests/options-for-agreeing-changes" TargetMode="External"/><Relationship Id="rId21" Type="http://schemas.openxmlformats.org/officeDocument/2006/relationships/hyperlink" Target="https://www.acas.org.uk/employee-rights-during-a-tupe-transfer/transferring-to-your-new-employer" TargetMode="External"/><Relationship Id="rId34" Type="http://schemas.openxmlformats.org/officeDocument/2006/relationships/hyperlink" Target="https://www.acas.org.uk/deductions-from-pay-and-wages" TargetMode="External"/><Relationship Id="rId42" Type="http://schemas.openxmlformats.org/officeDocument/2006/relationships/hyperlink" Target="https://www.brighthr.com/articles/equality-and-discrimination/unfair-treatment-at-work/" TargetMode="External"/><Relationship Id="rId47" Type="http://schemas.openxmlformats.org/officeDocument/2006/relationships/hyperlink" Target="https://www.gov.uk/transfers-takeovers/transfers-of-employment-contracts" TargetMode="External"/><Relationship Id="rId50" Type="http://schemas.openxmlformats.org/officeDocument/2006/relationships/hyperlink" Target="https://www.judiciary.uk/about-the-judiciary/our-justice-system/court-structure/" TargetMode="External"/><Relationship Id="rId55" Type="http://schemas.openxmlformats.org/officeDocument/2006/relationships/hyperlink" Target="https://www.legislation.gov.uk/ukpga/1996/18/section/139" TargetMode="External"/><Relationship Id="rId63" Type="http://schemas.microsoft.com/office/2020/10/relationships/intelligence" Target="intelligence2.xml"/><Relationship Id="rId7" Type="http://schemas.openxmlformats.org/officeDocument/2006/relationships/image" Target="media/image3.png"/><Relationship Id="rId2" Type="http://schemas.openxmlformats.org/officeDocument/2006/relationships/styles" Target="styles.xml"/><Relationship Id="rId16" Type="http://schemas.openxmlformats.org/officeDocument/2006/relationships/image" Target="media/image12.png"/><Relationship Id="rId29" Type="http://schemas.openxmlformats.org/officeDocument/2006/relationships/hyperlink" Target="https://www.acas.org.uk/your-rights-during-redundancy" TargetMode="External"/><Relationship Id="rId11" Type="http://schemas.openxmlformats.org/officeDocument/2006/relationships/image" Target="media/image7.png"/><Relationship Id="rId24" Type="http://schemas.openxmlformats.org/officeDocument/2006/relationships/hyperlink" Target="https://www.acas.org.uk/early-conciliation/conciliation-up-to-and-during-a-tribunal-claim" TargetMode="External"/><Relationship Id="rId32" Type="http://schemas.openxmlformats.org/officeDocument/2006/relationships/hyperlink" Target="https://www.acas.org.uk/your-rights-during-redundancy/redundancy-pay" TargetMode="External"/><Relationship Id="rId37" Type="http://schemas.openxmlformats.org/officeDocument/2006/relationships/hyperlink" Target="https://www.acas.org.uk/your-adoption-leave-pay-and-other-rights" TargetMode="External"/><Relationship Id="rId40" Type="http://schemas.openxmlformats.org/officeDocument/2006/relationships/hyperlink" Target="https://www.cipd.org/uk/knowledge/factsheets/tribunals-factsheet/" TargetMode="External"/><Relationship Id="rId45" Type="http://schemas.openxmlformats.org/officeDocument/2006/relationships/hyperlink" Target="https://www.judiciary.uk/courts-and-tribunals/tribunals/employment-tribunal/employment-tribunal-england-wales/work-of-the-employment-tribunal/what-is-the-employment-tribunal/" TargetMode="External"/><Relationship Id="rId53" Type="http://schemas.openxmlformats.org/officeDocument/2006/relationships/hyperlink" Target="https://www.gov.uk/government/consultations/introducing-fees-in-the-employment-tribunals-and-the-employment-appeal-tribunal/introducing-fees-in-the-employment-tribunals-and-the-employment-appeal-tribunal" TargetMode="External"/><Relationship Id="rId58" Type="http://schemas.openxmlformats.org/officeDocument/2006/relationships/hyperlink" Target="https://www.legislation.gov.uk/ukpga/1998/39/contents" TargetMode="External"/><Relationship Id="rId5" Type="http://schemas.openxmlformats.org/officeDocument/2006/relationships/image" Target="media/image1.png"/><Relationship Id="rId61" Type="http://schemas.openxmlformats.org/officeDocument/2006/relationships/fontTable" Target="fontTable.xml"/><Relationship Id="rId19" Type="http://schemas.openxmlformats.org/officeDocument/2006/relationships/image" Target="media/image15.png"/><Relationship Id="rId14" Type="http://schemas.openxmlformats.org/officeDocument/2006/relationships/image" Target="media/image10.png"/><Relationship Id="rId22" Type="http://schemas.openxmlformats.org/officeDocument/2006/relationships/hyperlink" Target="https://www.acas.org.uk/employee-rights-during-a-tupe-transfer/how-your-employer-should-inform-and-consult-you-during-tupe" TargetMode="External"/><Relationship Id="rId27" Type="http://schemas.openxmlformats.org/officeDocument/2006/relationships/hyperlink" Target="https://www.acas.org.uk/discrimination-and-the-law/direct-discrimination" TargetMode="External"/><Relationship Id="rId30" Type="http://schemas.openxmlformats.org/officeDocument/2006/relationships/hyperlink" Target="https://www.acas.org.uk/your-rights-during-redundancy/how-your-employer-must-consult-you" TargetMode="External"/><Relationship Id="rId35" Type="http://schemas.openxmlformats.org/officeDocument/2006/relationships/hyperlink" Target="https://www.acas.org.uk/working-time-rules" TargetMode="External"/><Relationship Id="rId43" Type="http://schemas.openxmlformats.org/officeDocument/2006/relationships/hyperlink" Target="https://www.cipd.org/uk/knowledge/guides/inclusive-employers/" TargetMode="External"/><Relationship Id="rId48" Type="http://schemas.openxmlformats.org/officeDocument/2006/relationships/hyperlink" Target="https://www.gov.uk/government/news/research-shows-perceptions-of-employment-law-do-not-reflect-reality" TargetMode="External"/><Relationship Id="rId56" Type="http://schemas.openxmlformats.org/officeDocument/2006/relationships/hyperlink" Target="https://www.legislation.gov.uk/ukpga/1996/18/part/I/crossheading/right-to-itemised-pay-statement" TargetMode="External"/><Relationship Id="rId8" Type="http://schemas.openxmlformats.org/officeDocument/2006/relationships/image" Target="media/image4.jpeg"/><Relationship Id="rId51" Type="http://schemas.openxmlformats.org/officeDocument/2006/relationships/hyperlink" Target="https://www.cipd.org/uk/knowledge/factsheets/diversity-factsheet/" TargetMode="External"/><Relationship Id="rId3" Type="http://schemas.openxmlformats.org/officeDocument/2006/relationships/settings" Target="settings.xml"/><Relationship Id="rId12" Type="http://schemas.openxmlformats.org/officeDocument/2006/relationships/image" Target="media/image8.png"/><Relationship Id="rId17" Type="http://schemas.openxmlformats.org/officeDocument/2006/relationships/image" Target="media/image13.png"/><Relationship Id="rId25" Type="http://schemas.openxmlformats.org/officeDocument/2006/relationships/hyperlink" Target="https://www.acas.org.uk/employment-tribunal-time-limits" TargetMode="External"/><Relationship Id="rId33" Type="http://schemas.openxmlformats.org/officeDocument/2006/relationships/hyperlink" Target="https://www.acas.org.uk/national-minimum-wage-entitlement" TargetMode="External"/><Relationship Id="rId38" Type="http://schemas.openxmlformats.org/officeDocument/2006/relationships/hyperlink" Target="https://www.acas.org.uk/paternity-rights-leave-and-pay" TargetMode="External"/><Relationship Id="rId46" Type="http://schemas.openxmlformats.org/officeDocument/2006/relationships/hyperlink" Target="https://factorialhr.co.uk/blog/uk-employment-laws/" TargetMode="External"/><Relationship Id="rId59" Type="http://schemas.openxmlformats.org/officeDocument/2006/relationships/hyperlink" Target="https://www.legislation.gov.uk/uksi/2006/246/contents/made." TargetMode="External"/><Relationship Id="rId20" Type="http://schemas.openxmlformats.org/officeDocument/2006/relationships/hyperlink" Target="https://www.acas.org.uk/employee-rights-during-a-tupe-transfer/changing-your-employment-contract-after-a-tupe-transfer" TargetMode="External"/><Relationship Id="rId41" Type="http://schemas.openxmlformats.org/officeDocument/2006/relationships/hyperlink" Target="https://www.cipd.org/uk/knowledge/factsheets/working-time-factsheet/" TargetMode="External"/><Relationship Id="rId54" Type="http://schemas.openxmlformats.org/officeDocument/2006/relationships/hyperlink" Target="https://www.cipd.org/uk/knowledge/factsheets/uk-court-system-factsheet/" TargetMode="External"/><Relationship Id="rId62"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image" Target="media/image2.png"/><Relationship Id="rId15" Type="http://schemas.openxmlformats.org/officeDocument/2006/relationships/image" Target="media/image11.png"/><Relationship Id="rId23" Type="http://schemas.openxmlformats.org/officeDocument/2006/relationships/hyperlink" Target="https://www.acas.org.uk/early-conciliation" TargetMode="External"/><Relationship Id="rId28" Type="http://schemas.openxmlformats.org/officeDocument/2006/relationships/hyperlink" Target="https://www.acas.org.uk/equal-pay/advice-for-employees" TargetMode="External"/><Relationship Id="rId36" Type="http://schemas.openxmlformats.org/officeDocument/2006/relationships/hyperlink" Target="https://www.acas.org.uk/your-maternity-leave-pay-and-other-rights" TargetMode="External"/><Relationship Id="rId49" Type="http://schemas.openxmlformats.org/officeDocument/2006/relationships/hyperlink" Target="https://www.gov.uk/flexible-working" TargetMode="External"/><Relationship Id="rId57" Type="http://schemas.openxmlformats.org/officeDocument/2006/relationships/hyperlink" Target="https://www.legislation.gov.uk/ukpga/2010/15/contents" TargetMode="External"/><Relationship Id="rId10" Type="http://schemas.openxmlformats.org/officeDocument/2006/relationships/image" Target="media/image6.png"/><Relationship Id="rId31" Type="http://schemas.openxmlformats.org/officeDocument/2006/relationships/hyperlink" Target="https://www.acas.org.uk/your-rights-during-redundancy/redundancy-pay" TargetMode="External"/><Relationship Id="rId44" Type="http://schemas.openxmlformats.org/officeDocument/2006/relationships/hyperlink" Target="https://www.cipd.org/uk/knowledge/employment-law/equal-pay/" TargetMode="External"/><Relationship Id="rId52" Type="http://schemas.openxmlformats.org/officeDocument/2006/relationships/hyperlink" Target="https://www.cipd.org/uk/knowledge/factsheets/flexible-working-factsheet/" TargetMode="External"/><Relationship Id="rId60" Type="http://schemas.openxmlformats.org/officeDocument/2006/relationships/hyperlink" Target="https://www.legislation.gov.uk/uksi/1998/1833/contents/made" TargetMode="External"/><Relationship Id="rId4" Type="http://schemas.openxmlformats.org/officeDocument/2006/relationships/webSettings" Target="webSettings.xml"/><Relationship Id="rId9"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327</TotalTime>
  <Pages>21</Pages>
  <Words>6561</Words>
  <Characters>37403</Characters>
  <Application>Microsoft Office Word</Application>
  <DocSecurity>0</DocSecurity>
  <Lines>311</Lines>
  <Paragraphs>87</Paragraphs>
  <ScaleCrop>false</ScaleCrop>
  <Company/>
  <LinksUpToDate>false</LinksUpToDate>
  <CharactersWithSpaces>43877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Specialist Employment Law</dc:title>
  <dc:subject/>
  <dc:creator>By Sarah Russell</dc:creator>
  <cp:keywords/>
  <dc:description/>
  <cp:lastModifiedBy>Sarah Russell (Hywel Dda UHB - Staff Benefits &amp; Rewards Officer)</cp:lastModifiedBy>
  <cp:revision>679</cp:revision>
  <dcterms:created xsi:type="dcterms:W3CDTF">2024-04-21T13:17:00Z</dcterms:created>
  <dcterms:modified xsi:type="dcterms:W3CDTF">2024-05-06T16:00:00Z</dcterms:modified>
</cp:coreProperties>
</file>