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BAB01" w14:textId="77777777" w:rsidR="00E36379" w:rsidRPr="00E36379" w:rsidRDefault="00E36379" w:rsidP="00E36379">
      <w:pPr>
        <w:spacing w:line="360" w:lineRule="auto"/>
        <w:rPr>
          <w:rFonts w:ascii="Arial" w:hAnsi="Arial" w:cs="Arial"/>
          <w:sz w:val="22"/>
          <w:szCs w:val="22"/>
        </w:rPr>
      </w:pPr>
    </w:p>
    <w:p w14:paraId="4EACF3BC" w14:textId="77777777" w:rsidR="00E36379" w:rsidRPr="00E36379" w:rsidRDefault="00E36379" w:rsidP="00E36379">
      <w:pPr>
        <w:spacing w:line="360" w:lineRule="auto"/>
        <w:jc w:val="center"/>
        <w:rPr>
          <w:rFonts w:ascii="Arial" w:hAnsi="Arial" w:cs="Arial"/>
          <w:sz w:val="22"/>
          <w:szCs w:val="22"/>
        </w:rPr>
      </w:pPr>
    </w:p>
    <w:p w14:paraId="53007E86" w14:textId="77777777" w:rsidR="00E36379" w:rsidRPr="00E36379" w:rsidRDefault="00E36379" w:rsidP="00E36379">
      <w:pPr>
        <w:spacing w:line="360" w:lineRule="auto"/>
        <w:jc w:val="center"/>
        <w:rPr>
          <w:rFonts w:ascii="Arial" w:hAnsi="Arial" w:cs="Arial"/>
          <w:sz w:val="22"/>
          <w:szCs w:val="22"/>
        </w:rPr>
      </w:pPr>
    </w:p>
    <w:p w14:paraId="63A06650" w14:textId="77777777" w:rsidR="00E36379" w:rsidRPr="00E36379" w:rsidRDefault="00E36379" w:rsidP="00E36379">
      <w:pPr>
        <w:spacing w:line="360" w:lineRule="auto"/>
        <w:jc w:val="center"/>
        <w:rPr>
          <w:rFonts w:ascii="Arial" w:hAnsi="Arial" w:cs="Arial"/>
          <w:sz w:val="22"/>
          <w:szCs w:val="22"/>
        </w:rPr>
      </w:pPr>
    </w:p>
    <w:p w14:paraId="6684068C" w14:textId="77777777" w:rsidR="00E36379" w:rsidRPr="00E36379" w:rsidRDefault="00E36379" w:rsidP="00E36379">
      <w:pPr>
        <w:spacing w:line="360" w:lineRule="auto"/>
        <w:jc w:val="center"/>
        <w:rPr>
          <w:rFonts w:ascii="Arial" w:hAnsi="Arial" w:cs="Arial"/>
          <w:sz w:val="22"/>
          <w:szCs w:val="22"/>
        </w:rPr>
      </w:pPr>
    </w:p>
    <w:p w14:paraId="6DA40BD1" w14:textId="77777777" w:rsidR="00E36379" w:rsidRPr="00E36379" w:rsidRDefault="00E36379" w:rsidP="00E36379">
      <w:pPr>
        <w:spacing w:line="360" w:lineRule="auto"/>
        <w:jc w:val="center"/>
        <w:rPr>
          <w:rFonts w:ascii="Arial" w:hAnsi="Arial" w:cs="Arial"/>
          <w:sz w:val="22"/>
          <w:szCs w:val="22"/>
        </w:rPr>
      </w:pPr>
    </w:p>
    <w:p w14:paraId="7143DEC6" w14:textId="77777777" w:rsidR="00E36379" w:rsidRPr="00E36379" w:rsidRDefault="00E36379" w:rsidP="00E36379">
      <w:pPr>
        <w:spacing w:line="360" w:lineRule="auto"/>
        <w:jc w:val="center"/>
        <w:rPr>
          <w:rFonts w:ascii="Arial" w:hAnsi="Arial" w:cs="Arial"/>
          <w:sz w:val="22"/>
          <w:szCs w:val="22"/>
        </w:rPr>
      </w:pPr>
    </w:p>
    <w:p w14:paraId="76E87B19" w14:textId="77777777" w:rsidR="00E36379" w:rsidRPr="00E36379" w:rsidRDefault="00E36379" w:rsidP="00E36379">
      <w:pPr>
        <w:spacing w:line="360" w:lineRule="auto"/>
        <w:jc w:val="center"/>
        <w:rPr>
          <w:rFonts w:ascii="Arial" w:hAnsi="Arial" w:cs="Arial"/>
          <w:sz w:val="22"/>
          <w:szCs w:val="22"/>
        </w:rPr>
      </w:pPr>
    </w:p>
    <w:p w14:paraId="5EFBFF82" w14:textId="53C63B94" w:rsidR="00E36379" w:rsidRPr="00E36379" w:rsidRDefault="00E36379" w:rsidP="00E36379">
      <w:pPr>
        <w:spacing w:line="360" w:lineRule="auto"/>
        <w:jc w:val="center"/>
        <w:rPr>
          <w:rFonts w:ascii="Arial" w:hAnsi="Arial" w:cs="Arial"/>
          <w:sz w:val="22"/>
          <w:szCs w:val="22"/>
        </w:rPr>
      </w:pPr>
      <w:r w:rsidRPr="00E36379">
        <w:rPr>
          <w:rFonts w:ascii="Arial" w:hAnsi="Arial" w:cs="Arial"/>
          <w:sz w:val="22"/>
          <w:szCs w:val="22"/>
        </w:rPr>
        <w:t>BSc Health and Social Care</w:t>
      </w:r>
    </w:p>
    <w:p w14:paraId="0485F645" w14:textId="77777777" w:rsidR="00E36379" w:rsidRPr="00E36379" w:rsidRDefault="00E36379" w:rsidP="00E36379">
      <w:pPr>
        <w:spacing w:line="360" w:lineRule="auto"/>
        <w:jc w:val="center"/>
        <w:rPr>
          <w:rFonts w:ascii="Arial" w:hAnsi="Arial" w:cs="Arial"/>
          <w:sz w:val="22"/>
          <w:szCs w:val="22"/>
        </w:rPr>
      </w:pPr>
      <w:r w:rsidRPr="00E36379">
        <w:rPr>
          <w:rFonts w:ascii="Arial" w:hAnsi="Arial" w:cs="Arial"/>
          <w:sz w:val="22"/>
          <w:szCs w:val="22"/>
        </w:rPr>
        <w:t>Module: Principles of Health and Social Care Practice</w:t>
      </w:r>
    </w:p>
    <w:p w14:paraId="224578F4" w14:textId="77777777" w:rsidR="00E36379" w:rsidRPr="00E36379" w:rsidRDefault="00E36379" w:rsidP="00E36379">
      <w:pPr>
        <w:spacing w:line="360" w:lineRule="auto"/>
        <w:jc w:val="center"/>
        <w:rPr>
          <w:rFonts w:ascii="Arial" w:hAnsi="Arial" w:cs="Arial"/>
          <w:sz w:val="22"/>
          <w:szCs w:val="22"/>
        </w:rPr>
      </w:pPr>
      <w:r w:rsidRPr="00E36379">
        <w:rPr>
          <w:rFonts w:ascii="Arial" w:hAnsi="Arial" w:cs="Arial"/>
          <w:sz w:val="22"/>
          <w:szCs w:val="22"/>
        </w:rPr>
        <w:t>Module Code: BMHP5016</w:t>
      </w:r>
    </w:p>
    <w:p w14:paraId="5E3DF1D8" w14:textId="6CB4C2C1" w:rsidR="00E36379" w:rsidRPr="00E36379" w:rsidRDefault="00E36379" w:rsidP="00E36379">
      <w:pPr>
        <w:spacing w:line="360" w:lineRule="auto"/>
        <w:jc w:val="center"/>
        <w:rPr>
          <w:rFonts w:ascii="Arial" w:hAnsi="Arial" w:cs="Arial"/>
          <w:sz w:val="22"/>
          <w:szCs w:val="22"/>
        </w:rPr>
      </w:pPr>
    </w:p>
    <w:p w14:paraId="0973D712" w14:textId="6DA04B1D" w:rsidR="00E36379" w:rsidRPr="00E36379" w:rsidRDefault="00E36379" w:rsidP="00E36379">
      <w:pPr>
        <w:spacing w:line="360" w:lineRule="auto"/>
        <w:jc w:val="center"/>
        <w:rPr>
          <w:rFonts w:ascii="Arial" w:hAnsi="Arial" w:cs="Arial"/>
          <w:sz w:val="22"/>
          <w:szCs w:val="22"/>
        </w:rPr>
      </w:pPr>
    </w:p>
    <w:p w14:paraId="3C0E7AB9" w14:textId="77777777" w:rsidR="00E36379" w:rsidRPr="00E36379" w:rsidRDefault="00E36379" w:rsidP="00E36379">
      <w:pPr>
        <w:spacing w:line="360" w:lineRule="auto"/>
        <w:jc w:val="center"/>
        <w:rPr>
          <w:rFonts w:ascii="Arial" w:hAnsi="Arial" w:cs="Arial"/>
          <w:sz w:val="22"/>
          <w:szCs w:val="22"/>
        </w:rPr>
      </w:pPr>
      <w:r w:rsidRPr="00E36379">
        <w:rPr>
          <w:rFonts w:ascii="Arial" w:hAnsi="Arial" w:cs="Arial"/>
          <w:sz w:val="22"/>
          <w:szCs w:val="22"/>
        </w:rPr>
        <w:t>Component 1: Written Assignment (Reflective Report)</w:t>
      </w:r>
    </w:p>
    <w:p w14:paraId="1286D2FE" w14:textId="396E920B" w:rsidR="00E36379" w:rsidRPr="00E36379" w:rsidRDefault="00E36379" w:rsidP="00E36379">
      <w:pPr>
        <w:spacing w:line="360" w:lineRule="auto"/>
        <w:jc w:val="center"/>
        <w:rPr>
          <w:rFonts w:ascii="Arial" w:hAnsi="Arial" w:cs="Arial"/>
          <w:sz w:val="22"/>
          <w:szCs w:val="22"/>
        </w:rPr>
      </w:pPr>
    </w:p>
    <w:p w14:paraId="59590E33" w14:textId="2BDD4B93" w:rsidR="00E36379" w:rsidRPr="00E36379" w:rsidRDefault="00E36379" w:rsidP="00E36379">
      <w:pPr>
        <w:spacing w:line="360" w:lineRule="auto"/>
        <w:jc w:val="center"/>
        <w:rPr>
          <w:rFonts w:ascii="Arial" w:hAnsi="Arial" w:cs="Arial"/>
          <w:sz w:val="22"/>
          <w:szCs w:val="22"/>
        </w:rPr>
      </w:pPr>
      <w:r w:rsidRPr="00E36379">
        <w:rPr>
          <w:rFonts w:ascii="Arial" w:hAnsi="Arial" w:cs="Arial"/>
          <w:sz w:val="22"/>
          <w:szCs w:val="22"/>
        </w:rPr>
        <w:t xml:space="preserve">Student Name: </w:t>
      </w:r>
      <w:r w:rsidR="00F135AA">
        <w:rPr>
          <w:rFonts w:ascii="Arial" w:hAnsi="Arial" w:cs="Arial"/>
          <w:sz w:val="22"/>
          <w:szCs w:val="22"/>
        </w:rPr>
        <w:t xml:space="preserve">Robina </w:t>
      </w:r>
      <w:proofErr w:type="spellStart"/>
      <w:r w:rsidR="00F135AA">
        <w:rPr>
          <w:rFonts w:ascii="Arial" w:hAnsi="Arial" w:cs="Arial"/>
          <w:sz w:val="22"/>
          <w:szCs w:val="22"/>
        </w:rPr>
        <w:t>Kausar</w:t>
      </w:r>
      <w:proofErr w:type="spellEnd"/>
    </w:p>
    <w:p w14:paraId="48828FA5" w14:textId="6FA4D457" w:rsidR="00E36379" w:rsidRDefault="00E36379" w:rsidP="00E36379">
      <w:pPr>
        <w:spacing w:line="360" w:lineRule="auto"/>
        <w:jc w:val="center"/>
        <w:rPr>
          <w:rFonts w:ascii="Arial" w:hAnsi="Arial" w:cs="Arial"/>
          <w:sz w:val="22"/>
          <w:szCs w:val="22"/>
        </w:rPr>
      </w:pPr>
      <w:r w:rsidRPr="00E36379">
        <w:rPr>
          <w:rFonts w:ascii="Arial" w:hAnsi="Arial" w:cs="Arial"/>
          <w:sz w:val="22"/>
          <w:szCs w:val="22"/>
        </w:rPr>
        <w:t xml:space="preserve">Student Number: </w:t>
      </w:r>
      <w:r w:rsidR="006636B9" w:rsidRPr="006636B9">
        <w:rPr>
          <w:rFonts w:ascii="Arial" w:hAnsi="Arial" w:cs="Arial"/>
          <w:sz w:val="22"/>
          <w:szCs w:val="22"/>
        </w:rPr>
        <w:t>2407033</w:t>
      </w:r>
    </w:p>
    <w:p w14:paraId="545BC196" w14:textId="77777777" w:rsidR="006636B9" w:rsidRPr="00E36379" w:rsidRDefault="006636B9" w:rsidP="00E36379">
      <w:pPr>
        <w:spacing w:line="360" w:lineRule="auto"/>
        <w:jc w:val="center"/>
        <w:rPr>
          <w:rFonts w:ascii="Arial" w:hAnsi="Arial" w:cs="Arial"/>
          <w:sz w:val="22"/>
          <w:szCs w:val="22"/>
        </w:rPr>
      </w:pPr>
    </w:p>
    <w:p w14:paraId="53CD93F8" w14:textId="5F4D214E" w:rsidR="00E36379" w:rsidRDefault="00E36379" w:rsidP="00E36379">
      <w:pPr>
        <w:spacing w:line="360" w:lineRule="auto"/>
        <w:jc w:val="center"/>
        <w:rPr>
          <w:rFonts w:ascii="Arial" w:hAnsi="Arial" w:cs="Arial"/>
          <w:sz w:val="22"/>
          <w:szCs w:val="22"/>
        </w:rPr>
      </w:pPr>
      <w:r w:rsidRPr="00E36379">
        <w:rPr>
          <w:rFonts w:ascii="Arial" w:hAnsi="Arial" w:cs="Arial"/>
          <w:sz w:val="22"/>
          <w:szCs w:val="22"/>
        </w:rPr>
        <w:t>Submission Date: 2nd March 2026</w:t>
      </w:r>
    </w:p>
    <w:p w14:paraId="7C5CCFE5" w14:textId="737159C7" w:rsidR="006636B9" w:rsidRPr="00E36379" w:rsidRDefault="007C604C" w:rsidP="00E36379">
      <w:pPr>
        <w:spacing w:line="360" w:lineRule="auto"/>
        <w:jc w:val="center"/>
        <w:rPr>
          <w:rFonts w:ascii="Arial" w:hAnsi="Arial" w:cs="Arial"/>
          <w:sz w:val="22"/>
          <w:szCs w:val="22"/>
        </w:rPr>
      </w:pPr>
      <w:r>
        <w:rPr>
          <w:rFonts w:ascii="Arial" w:hAnsi="Arial" w:cs="Arial"/>
          <w:sz w:val="22"/>
          <w:szCs w:val="22"/>
        </w:rPr>
        <w:t xml:space="preserve">Teacher’s Name: </w:t>
      </w:r>
      <w:r w:rsidR="002A6472">
        <w:rPr>
          <w:rFonts w:ascii="Arial" w:hAnsi="Arial" w:cs="Arial"/>
          <w:sz w:val="22"/>
          <w:szCs w:val="22"/>
        </w:rPr>
        <w:t>Precious Igbi</w:t>
      </w:r>
      <w:r w:rsidR="0001269F">
        <w:rPr>
          <w:rFonts w:ascii="Arial" w:hAnsi="Arial" w:cs="Arial"/>
          <w:sz w:val="22"/>
          <w:szCs w:val="22"/>
        </w:rPr>
        <w:t>nigie</w:t>
      </w:r>
    </w:p>
    <w:p w14:paraId="10B26192"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w:t>
      </w:r>
    </w:p>
    <w:p w14:paraId="2655D4AA"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w:t>
      </w:r>
    </w:p>
    <w:p w14:paraId="1C579B29" w14:textId="77777777" w:rsidR="00E36379" w:rsidRPr="00E36379" w:rsidRDefault="00E36379" w:rsidP="00E36379">
      <w:pPr>
        <w:spacing w:line="360" w:lineRule="auto"/>
        <w:rPr>
          <w:rFonts w:ascii="Arial" w:hAnsi="Arial" w:cs="Arial"/>
          <w:sz w:val="22"/>
          <w:szCs w:val="22"/>
        </w:rPr>
      </w:pPr>
    </w:p>
    <w:p w14:paraId="5257A0DF" w14:textId="77777777" w:rsidR="00E36379" w:rsidRPr="00E36379" w:rsidRDefault="00E36379" w:rsidP="00E36379">
      <w:pPr>
        <w:spacing w:line="360" w:lineRule="auto"/>
        <w:rPr>
          <w:rFonts w:ascii="Arial" w:hAnsi="Arial" w:cs="Arial"/>
          <w:sz w:val="22"/>
          <w:szCs w:val="22"/>
        </w:rPr>
      </w:pPr>
    </w:p>
    <w:p w14:paraId="0FD01E94" w14:textId="77777777" w:rsidR="00E36379" w:rsidRDefault="00E36379" w:rsidP="00E36379">
      <w:pPr>
        <w:spacing w:line="360" w:lineRule="auto"/>
        <w:rPr>
          <w:rFonts w:ascii="Arial" w:hAnsi="Arial" w:cs="Arial"/>
          <w:sz w:val="22"/>
          <w:szCs w:val="22"/>
        </w:rPr>
      </w:pPr>
    </w:p>
    <w:p w14:paraId="60E337F7" w14:textId="77777777" w:rsidR="00E36379" w:rsidRDefault="00E36379" w:rsidP="00E36379">
      <w:pPr>
        <w:spacing w:line="360" w:lineRule="auto"/>
        <w:rPr>
          <w:rFonts w:ascii="Arial" w:hAnsi="Arial" w:cs="Arial"/>
          <w:sz w:val="22"/>
          <w:szCs w:val="22"/>
        </w:rPr>
      </w:pPr>
    </w:p>
    <w:p w14:paraId="42001D51" w14:textId="77777777" w:rsidR="00E36379" w:rsidRDefault="00E36379" w:rsidP="00E36379">
      <w:pPr>
        <w:spacing w:line="360" w:lineRule="auto"/>
        <w:rPr>
          <w:rFonts w:ascii="Arial" w:hAnsi="Arial" w:cs="Arial"/>
          <w:sz w:val="22"/>
          <w:szCs w:val="22"/>
        </w:rPr>
      </w:pPr>
    </w:p>
    <w:p w14:paraId="3F2AB582" w14:textId="77777777" w:rsidR="00E36379" w:rsidRDefault="00E36379" w:rsidP="00E36379">
      <w:pPr>
        <w:spacing w:line="360" w:lineRule="auto"/>
        <w:rPr>
          <w:rFonts w:ascii="Arial" w:hAnsi="Arial" w:cs="Arial"/>
          <w:sz w:val="22"/>
          <w:szCs w:val="22"/>
        </w:rPr>
      </w:pPr>
    </w:p>
    <w:p w14:paraId="6E6FD204" w14:textId="77777777" w:rsidR="00E36379" w:rsidRDefault="00E36379" w:rsidP="00E36379">
      <w:pPr>
        <w:spacing w:line="360" w:lineRule="auto"/>
        <w:rPr>
          <w:rFonts w:ascii="Arial" w:hAnsi="Arial" w:cs="Arial"/>
          <w:sz w:val="22"/>
          <w:szCs w:val="22"/>
        </w:rPr>
      </w:pPr>
    </w:p>
    <w:p w14:paraId="649FC16A" w14:textId="77777777" w:rsidR="00E36379" w:rsidRDefault="00E36379" w:rsidP="00E36379">
      <w:pPr>
        <w:spacing w:line="360" w:lineRule="auto"/>
        <w:rPr>
          <w:rFonts w:ascii="Arial" w:hAnsi="Arial" w:cs="Arial"/>
          <w:sz w:val="22"/>
          <w:szCs w:val="22"/>
        </w:rPr>
      </w:pPr>
    </w:p>
    <w:p w14:paraId="2F2F2586" w14:textId="77777777" w:rsidR="00E36379" w:rsidRDefault="00E36379" w:rsidP="00E36379">
      <w:pPr>
        <w:spacing w:line="360" w:lineRule="auto"/>
        <w:rPr>
          <w:rFonts w:ascii="Arial" w:hAnsi="Arial" w:cs="Arial"/>
          <w:sz w:val="22"/>
          <w:szCs w:val="22"/>
        </w:rPr>
      </w:pPr>
    </w:p>
    <w:p w14:paraId="5A73E5D3" w14:textId="77777777" w:rsidR="00E36379" w:rsidRDefault="00E36379" w:rsidP="00E36379">
      <w:pPr>
        <w:spacing w:line="360" w:lineRule="auto"/>
        <w:rPr>
          <w:rFonts w:ascii="Arial" w:hAnsi="Arial" w:cs="Arial"/>
          <w:sz w:val="22"/>
          <w:szCs w:val="22"/>
        </w:rPr>
      </w:pPr>
    </w:p>
    <w:p w14:paraId="0626C16E" w14:textId="77777777" w:rsidR="00E36379" w:rsidRDefault="00E36379" w:rsidP="00E36379">
      <w:pPr>
        <w:spacing w:line="360" w:lineRule="auto"/>
        <w:rPr>
          <w:rFonts w:ascii="Arial" w:hAnsi="Arial" w:cs="Arial"/>
          <w:sz w:val="22"/>
          <w:szCs w:val="22"/>
        </w:rPr>
      </w:pPr>
    </w:p>
    <w:p w14:paraId="38D8BF27" w14:textId="77777777" w:rsidR="00E36379" w:rsidRDefault="00E36379" w:rsidP="00E36379">
      <w:pPr>
        <w:spacing w:line="360" w:lineRule="auto"/>
        <w:rPr>
          <w:rFonts w:ascii="Arial" w:hAnsi="Arial" w:cs="Arial"/>
          <w:sz w:val="22"/>
          <w:szCs w:val="22"/>
        </w:rPr>
      </w:pPr>
    </w:p>
    <w:p w14:paraId="4E336953" w14:textId="77777777" w:rsidR="00E36379" w:rsidRDefault="00E36379" w:rsidP="00E36379">
      <w:pPr>
        <w:spacing w:line="360" w:lineRule="auto"/>
        <w:rPr>
          <w:rFonts w:ascii="Arial" w:hAnsi="Arial" w:cs="Arial"/>
          <w:sz w:val="22"/>
          <w:szCs w:val="22"/>
        </w:rPr>
      </w:pPr>
    </w:p>
    <w:p w14:paraId="678DA743" w14:textId="77777777" w:rsidR="00E36379" w:rsidRDefault="00E36379" w:rsidP="00E36379">
      <w:pPr>
        <w:spacing w:line="360" w:lineRule="auto"/>
        <w:rPr>
          <w:rFonts w:ascii="Arial" w:hAnsi="Arial" w:cs="Arial"/>
          <w:sz w:val="22"/>
          <w:szCs w:val="22"/>
        </w:rPr>
      </w:pPr>
    </w:p>
    <w:sdt>
      <w:sdtPr>
        <w:rPr>
          <w:rFonts w:asciiTheme="minorHAnsi" w:eastAsiaTheme="minorHAnsi" w:hAnsiTheme="minorHAnsi" w:cstheme="minorBidi"/>
          <w:color w:val="auto"/>
          <w:kern w:val="2"/>
          <w:sz w:val="24"/>
          <w:szCs w:val="24"/>
          <w14:ligatures w14:val="standardContextual"/>
        </w:rPr>
        <w:id w:val="-221991492"/>
        <w:docPartObj>
          <w:docPartGallery w:val="Table of Contents"/>
          <w:docPartUnique/>
        </w:docPartObj>
      </w:sdtPr>
      <w:sdtEndPr>
        <w:rPr>
          <w:b/>
          <w:bCs/>
          <w:noProof/>
        </w:rPr>
      </w:sdtEndPr>
      <w:sdtContent>
        <w:p w14:paraId="7C556355" w14:textId="1829099D" w:rsidR="00E36379" w:rsidRDefault="00E36379">
          <w:pPr>
            <w:pStyle w:val="TOCHeading"/>
          </w:pPr>
          <w:r>
            <w:t>Table of Contents</w:t>
          </w:r>
        </w:p>
        <w:p w14:paraId="62976C72" w14:textId="3B7846D4" w:rsidR="00E36379" w:rsidRDefault="00E3637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3230421" w:history="1">
            <w:r w:rsidRPr="00DF08A4">
              <w:rPr>
                <w:rStyle w:val="Hyperlink"/>
                <w:rFonts w:ascii="Arial" w:hAnsi="Arial" w:cs="Arial"/>
                <w:noProof/>
              </w:rPr>
              <w:t>Task 1: Reflection on the Importance of Principles of Health and Social Care</w:t>
            </w:r>
            <w:r>
              <w:rPr>
                <w:noProof/>
                <w:webHidden/>
              </w:rPr>
              <w:tab/>
            </w:r>
            <w:r>
              <w:rPr>
                <w:noProof/>
                <w:webHidden/>
              </w:rPr>
              <w:fldChar w:fldCharType="begin"/>
            </w:r>
            <w:r>
              <w:rPr>
                <w:noProof/>
                <w:webHidden/>
              </w:rPr>
              <w:instrText xml:space="preserve"> PAGEREF _Toc223230421 \h </w:instrText>
            </w:r>
            <w:r>
              <w:rPr>
                <w:noProof/>
                <w:webHidden/>
              </w:rPr>
            </w:r>
            <w:r>
              <w:rPr>
                <w:noProof/>
                <w:webHidden/>
              </w:rPr>
              <w:fldChar w:fldCharType="separate"/>
            </w:r>
            <w:r>
              <w:rPr>
                <w:noProof/>
                <w:webHidden/>
              </w:rPr>
              <w:t>3</w:t>
            </w:r>
            <w:r>
              <w:rPr>
                <w:noProof/>
                <w:webHidden/>
              </w:rPr>
              <w:fldChar w:fldCharType="end"/>
            </w:r>
          </w:hyperlink>
        </w:p>
        <w:p w14:paraId="66283A50" w14:textId="50433725" w:rsidR="00E36379" w:rsidRDefault="00E36379">
          <w:pPr>
            <w:pStyle w:val="TOC1"/>
            <w:tabs>
              <w:tab w:val="right" w:leader="dot" w:pos="9350"/>
            </w:tabs>
            <w:rPr>
              <w:rFonts w:eastAsiaTheme="minorEastAsia"/>
              <w:noProof/>
            </w:rPr>
          </w:pPr>
          <w:hyperlink w:anchor="_Toc223230422" w:history="1">
            <w:r w:rsidRPr="00DF08A4">
              <w:rPr>
                <w:rStyle w:val="Hyperlink"/>
                <w:rFonts w:ascii="Arial" w:hAnsi="Arial" w:cs="Arial"/>
                <w:noProof/>
              </w:rPr>
              <w:t>Task 2: Practical Examples of Concepts in Practice</w:t>
            </w:r>
            <w:r>
              <w:rPr>
                <w:noProof/>
                <w:webHidden/>
              </w:rPr>
              <w:tab/>
            </w:r>
            <w:r>
              <w:rPr>
                <w:noProof/>
                <w:webHidden/>
              </w:rPr>
              <w:fldChar w:fldCharType="begin"/>
            </w:r>
            <w:r>
              <w:rPr>
                <w:noProof/>
                <w:webHidden/>
              </w:rPr>
              <w:instrText xml:space="preserve"> PAGEREF _Toc223230422 \h </w:instrText>
            </w:r>
            <w:r>
              <w:rPr>
                <w:noProof/>
                <w:webHidden/>
              </w:rPr>
            </w:r>
            <w:r>
              <w:rPr>
                <w:noProof/>
                <w:webHidden/>
              </w:rPr>
              <w:fldChar w:fldCharType="separate"/>
            </w:r>
            <w:r>
              <w:rPr>
                <w:noProof/>
                <w:webHidden/>
              </w:rPr>
              <w:t>5</w:t>
            </w:r>
            <w:r>
              <w:rPr>
                <w:noProof/>
                <w:webHidden/>
              </w:rPr>
              <w:fldChar w:fldCharType="end"/>
            </w:r>
          </w:hyperlink>
        </w:p>
        <w:p w14:paraId="3051F44B" w14:textId="5C0B1A76" w:rsidR="00E36379" w:rsidRDefault="00E36379">
          <w:pPr>
            <w:pStyle w:val="TOC1"/>
            <w:tabs>
              <w:tab w:val="right" w:leader="dot" w:pos="9350"/>
            </w:tabs>
            <w:rPr>
              <w:rFonts w:eastAsiaTheme="minorEastAsia"/>
              <w:noProof/>
            </w:rPr>
          </w:pPr>
          <w:hyperlink w:anchor="_Toc223230423" w:history="1">
            <w:r w:rsidRPr="00DF08A4">
              <w:rPr>
                <w:rStyle w:val="Hyperlink"/>
                <w:rFonts w:ascii="Arial" w:hAnsi="Arial" w:cs="Arial"/>
                <w:noProof/>
              </w:rPr>
              <w:t>Task 3: Self-Reflection as a Health and Social Care Professional</w:t>
            </w:r>
            <w:r>
              <w:rPr>
                <w:noProof/>
                <w:webHidden/>
              </w:rPr>
              <w:tab/>
            </w:r>
            <w:r>
              <w:rPr>
                <w:noProof/>
                <w:webHidden/>
              </w:rPr>
              <w:fldChar w:fldCharType="begin"/>
            </w:r>
            <w:r>
              <w:rPr>
                <w:noProof/>
                <w:webHidden/>
              </w:rPr>
              <w:instrText xml:space="preserve"> PAGEREF _Toc223230423 \h </w:instrText>
            </w:r>
            <w:r>
              <w:rPr>
                <w:noProof/>
                <w:webHidden/>
              </w:rPr>
            </w:r>
            <w:r>
              <w:rPr>
                <w:noProof/>
                <w:webHidden/>
              </w:rPr>
              <w:fldChar w:fldCharType="separate"/>
            </w:r>
            <w:r>
              <w:rPr>
                <w:noProof/>
                <w:webHidden/>
              </w:rPr>
              <w:t>7</w:t>
            </w:r>
            <w:r>
              <w:rPr>
                <w:noProof/>
                <w:webHidden/>
              </w:rPr>
              <w:fldChar w:fldCharType="end"/>
            </w:r>
          </w:hyperlink>
        </w:p>
        <w:p w14:paraId="5315A3EE" w14:textId="5BEB3152" w:rsidR="00E36379" w:rsidRDefault="00E36379">
          <w:pPr>
            <w:pStyle w:val="TOC2"/>
            <w:tabs>
              <w:tab w:val="right" w:leader="dot" w:pos="9350"/>
            </w:tabs>
            <w:rPr>
              <w:rFonts w:eastAsiaTheme="minorEastAsia"/>
              <w:noProof/>
            </w:rPr>
          </w:pPr>
          <w:hyperlink w:anchor="_Toc223230424" w:history="1">
            <w:r w:rsidRPr="00DF08A4">
              <w:rPr>
                <w:rStyle w:val="Hyperlink"/>
                <w:rFonts w:ascii="Arial" w:hAnsi="Arial" w:cs="Arial"/>
                <w:noProof/>
              </w:rPr>
              <w:t>Person-Centred Care in My Nursing Practice</w:t>
            </w:r>
            <w:r>
              <w:rPr>
                <w:noProof/>
                <w:webHidden/>
              </w:rPr>
              <w:tab/>
            </w:r>
            <w:r>
              <w:rPr>
                <w:noProof/>
                <w:webHidden/>
              </w:rPr>
              <w:fldChar w:fldCharType="begin"/>
            </w:r>
            <w:r>
              <w:rPr>
                <w:noProof/>
                <w:webHidden/>
              </w:rPr>
              <w:instrText xml:space="preserve"> PAGEREF _Toc223230424 \h </w:instrText>
            </w:r>
            <w:r>
              <w:rPr>
                <w:noProof/>
                <w:webHidden/>
              </w:rPr>
            </w:r>
            <w:r>
              <w:rPr>
                <w:noProof/>
                <w:webHidden/>
              </w:rPr>
              <w:fldChar w:fldCharType="separate"/>
            </w:r>
            <w:r>
              <w:rPr>
                <w:noProof/>
                <w:webHidden/>
              </w:rPr>
              <w:t>7</w:t>
            </w:r>
            <w:r>
              <w:rPr>
                <w:noProof/>
                <w:webHidden/>
              </w:rPr>
              <w:fldChar w:fldCharType="end"/>
            </w:r>
          </w:hyperlink>
        </w:p>
        <w:p w14:paraId="003ED4A1" w14:textId="0C046587" w:rsidR="00E36379" w:rsidRDefault="00E36379">
          <w:pPr>
            <w:pStyle w:val="TOC2"/>
            <w:tabs>
              <w:tab w:val="right" w:leader="dot" w:pos="9350"/>
            </w:tabs>
            <w:rPr>
              <w:rFonts w:eastAsiaTheme="minorEastAsia"/>
              <w:noProof/>
            </w:rPr>
          </w:pPr>
          <w:hyperlink w:anchor="_Toc223230425" w:history="1">
            <w:r w:rsidRPr="00DF08A4">
              <w:rPr>
                <w:rStyle w:val="Hyperlink"/>
                <w:rFonts w:ascii="Arial" w:hAnsi="Arial" w:cs="Arial"/>
                <w:noProof/>
              </w:rPr>
              <w:t>Partnership Working in My Nursing Practice</w:t>
            </w:r>
            <w:r>
              <w:rPr>
                <w:noProof/>
                <w:webHidden/>
              </w:rPr>
              <w:tab/>
            </w:r>
            <w:r>
              <w:rPr>
                <w:noProof/>
                <w:webHidden/>
              </w:rPr>
              <w:fldChar w:fldCharType="begin"/>
            </w:r>
            <w:r>
              <w:rPr>
                <w:noProof/>
                <w:webHidden/>
              </w:rPr>
              <w:instrText xml:space="preserve"> PAGEREF _Toc223230425 \h </w:instrText>
            </w:r>
            <w:r>
              <w:rPr>
                <w:noProof/>
                <w:webHidden/>
              </w:rPr>
            </w:r>
            <w:r>
              <w:rPr>
                <w:noProof/>
                <w:webHidden/>
              </w:rPr>
              <w:fldChar w:fldCharType="separate"/>
            </w:r>
            <w:r>
              <w:rPr>
                <w:noProof/>
                <w:webHidden/>
              </w:rPr>
              <w:t>8</w:t>
            </w:r>
            <w:r>
              <w:rPr>
                <w:noProof/>
                <w:webHidden/>
              </w:rPr>
              <w:fldChar w:fldCharType="end"/>
            </w:r>
          </w:hyperlink>
        </w:p>
        <w:p w14:paraId="056FDEF0" w14:textId="612D9179" w:rsidR="00E36379" w:rsidRDefault="00E36379">
          <w:pPr>
            <w:pStyle w:val="TOC2"/>
            <w:tabs>
              <w:tab w:val="right" w:leader="dot" w:pos="9350"/>
            </w:tabs>
            <w:rPr>
              <w:rFonts w:eastAsiaTheme="minorEastAsia"/>
              <w:noProof/>
            </w:rPr>
          </w:pPr>
          <w:hyperlink w:anchor="_Toc223230426" w:history="1">
            <w:r w:rsidRPr="00DF08A4">
              <w:rPr>
                <w:rStyle w:val="Hyperlink"/>
                <w:rFonts w:ascii="Arial" w:hAnsi="Arial" w:cs="Arial"/>
                <w:noProof/>
              </w:rPr>
              <w:t>Ethics in My Nursing Practice</w:t>
            </w:r>
            <w:r>
              <w:rPr>
                <w:noProof/>
                <w:webHidden/>
              </w:rPr>
              <w:tab/>
            </w:r>
            <w:r>
              <w:rPr>
                <w:noProof/>
                <w:webHidden/>
              </w:rPr>
              <w:fldChar w:fldCharType="begin"/>
            </w:r>
            <w:r>
              <w:rPr>
                <w:noProof/>
                <w:webHidden/>
              </w:rPr>
              <w:instrText xml:space="preserve"> PAGEREF _Toc223230426 \h </w:instrText>
            </w:r>
            <w:r>
              <w:rPr>
                <w:noProof/>
                <w:webHidden/>
              </w:rPr>
            </w:r>
            <w:r>
              <w:rPr>
                <w:noProof/>
                <w:webHidden/>
              </w:rPr>
              <w:fldChar w:fldCharType="separate"/>
            </w:r>
            <w:r>
              <w:rPr>
                <w:noProof/>
                <w:webHidden/>
              </w:rPr>
              <w:t>8</w:t>
            </w:r>
            <w:r>
              <w:rPr>
                <w:noProof/>
                <w:webHidden/>
              </w:rPr>
              <w:fldChar w:fldCharType="end"/>
            </w:r>
          </w:hyperlink>
        </w:p>
        <w:p w14:paraId="2FC84461" w14:textId="2E9F2A7D" w:rsidR="00E36379" w:rsidRDefault="00E36379">
          <w:pPr>
            <w:pStyle w:val="TOC1"/>
            <w:tabs>
              <w:tab w:val="right" w:leader="dot" w:pos="9350"/>
            </w:tabs>
            <w:rPr>
              <w:rFonts w:eastAsiaTheme="minorEastAsia"/>
              <w:noProof/>
            </w:rPr>
          </w:pPr>
          <w:hyperlink w:anchor="_Toc223230427" w:history="1">
            <w:r w:rsidRPr="00DF08A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_Toc223230427 \h </w:instrText>
            </w:r>
            <w:r>
              <w:rPr>
                <w:noProof/>
                <w:webHidden/>
              </w:rPr>
            </w:r>
            <w:r>
              <w:rPr>
                <w:noProof/>
                <w:webHidden/>
              </w:rPr>
              <w:fldChar w:fldCharType="separate"/>
            </w:r>
            <w:r>
              <w:rPr>
                <w:noProof/>
                <w:webHidden/>
              </w:rPr>
              <w:t>10</w:t>
            </w:r>
            <w:r>
              <w:rPr>
                <w:noProof/>
                <w:webHidden/>
              </w:rPr>
              <w:fldChar w:fldCharType="end"/>
            </w:r>
          </w:hyperlink>
        </w:p>
        <w:p w14:paraId="72D09D26" w14:textId="2B2DD3F4" w:rsidR="00E36379" w:rsidRDefault="00E36379">
          <w:r>
            <w:rPr>
              <w:b/>
              <w:bCs/>
              <w:noProof/>
            </w:rPr>
            <w:fldChar w:fldCharType="end"/>
          </w:r>
        </w:p>
      </w:sdtContent>
    </w:sdt>
    <w:p w14:paraId="34D97DA0" w14:textId="77777777" w:rsidR="00E36379" w:rsidRPr="00E36379" w:rsidRDefault="00E36379" w:rsidP="00E36379">
      <w:pPr>
        <w:spacing w:line="360" w:lineRule="auto"/>
        <w:rPr>
          <w:rFonts w:ascii="Arial" w:hAnsi="Arial" w:cs="Arial"/>
          <w:sz w:val="22"/>
          <w:szCs w:val="22"/>
        </w:rPr>
      </w:pPr>
    </w:p>
    <w:p w14:paraId="18DD4E5E" w14:textId="77777777" w:rsidR="00E36379" w:rsidRPr="00E36379" w:rsidRDefault="00E36379" w:rsidP="00E36379">
      <w:pPr>
        <w:spacing w:line="360" w:lineRule="auto"/>
        <w:rPr>
          <w:rFonts w:ascii="Arial" w:hAnsi="Arial" w:cs="Arial"/>
          <w:sz w:val="22"/>
          <w:szCs w:val="22"/>
        </w:rPr>
      </w:pPr>
    </w:p>
    <w:p w14:paraId="0A24B6BF" w14:textId="77777777" w:rsidR="00E36379" w:rsidRPr="00E36379" w:rsidRDefault="00E36379" w:rsidP="00E36379">
      <w:pPr>
        <w:spacing w:line="360" w:lineRule="auto"/>
        <w:rPr>
          <w:rFonts w:ascii="Arial" w:hAnsi="Arial" w:cs="Arial"/>
          <w:sz w:val="22"/>
          <w:szCs w:val="22"/>
        </w:rPr>
      </w:pPr>
    </w:p>
    <w:p w14:paraId="548040B8" w14:textId="77777777" w:rsidR="00E36379" w:rsidRDefault="00E36379" w:rsidP="00E36379">
      <w:pPr>
        <w:pStyle w:val="Heading1"/>
        <w:rPr>
          <w:rFonts w:ascii="Arial" w:hAnsi="Arial" w:cs="Arial"/>
        </w:rPr>
      </w:pPr>
    </w:p>
    <w:p w14:paraId="71536006" w14:textId="77777777" w:rsidR="00E36379" w:rsidRDefault="00E36379" w:rsidP="00E36379">
      <w:pPr>
        <w:pStyle w:val="Heading1"/>
        <w:rPr>
          <w:rFonts w:ascii="Arial" w:hAnsi="Arial" w:cs="Arial"/>
        </w:rPr>
      </w:pPr>
    </w:p>
    <w:p w14:paraId="47EDE0EC" w14:textId="09F0AE17" w:rsidR="00E36379" w:rsidRPr="00E36379" w:rsidRDefault="00E36379" w:rsidP="00E36379">
      <w:pPr>
        <w:pStyle w:val="Heading1"/>
        <w:rPr>
          <w:rFonts w:ascii="Arial" w:hAnsi="Arial" w:cs="Arial"/>
        </w:rPr>
      </w:pPr>
      <w:bookmarkStart w:id="0" w:name="_Toc223230421"/>
      <w:r w:rsidRPr="00E36379">
        <w:rPr>
          <w:rFonts w:ascii="Arial" w:hAnsi="Arial" w:cs="Arial"/>
        </w:rPr>
        <w:t>Task 1: Reflection on the Importance of Principles of Health and Social Care</w:t>
      </w:r>
      <w:bookmarkEnd w:id="0"/>
    </w:p>
    <w:p w14:paraId="0BDA9BB3" w14:textId="77777777" w:rsidR="00E36379" w:rsidRPr="00E36379" w:rsidRDefault="00E36379" w:rsidP="00E36379">
      <w:pPr>
        <w:spacing w:line="360" w:lineRule="auto"/>
        <w:rPr>
          <w:rFonts w:ascii="Arial" w:hAnsi="Arial" w:cs="Arial"/>
          <w:sz w:val="22"/>
          <w:szCs w:val="22"/>
        </w:rPr>
      </w:pPr>
    </w:p>
    <w:p w14:paraId="5C93CCF6"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Three main values that influence the delivery of health and social care in the UK are </w:t>
      </w:r>
      <w:proofErr w:type="spellStart"/>
      <w:r w:rsidRPr="00E36379">
        <w:rPr>
          <w:rFonts w:ascii="Arial" w:hAnsi="Arial" w:cs="Arial"/>
          <w:sz w:val="22"/>
          <w:szCs w:val="22"/>
        </w:rPr>
        <w:t>person-centred</w:t>
      </w:r>
      <w:proofErr w:type="spellEnd"/>
      <w:r w:rsidRPr="00E36379">
        <w:rPr>
          <w:rFonts w:ascii="Arial" w:hAnsi="Arial" w:cs="Arial"/>
          <w:sz w:val="22"/>
          <w:szCs w:val="22"/>
        </w:rPr>
        <w:t xml:space="preserve"> care, partnership working, and ethics. These are not merely professional values; they are also embedded in the law and national policy since they do make a significant difference in the lives of people. Reflecting on them assists us in understanding what good care looks like and why it matters so much to get it right.</w:t>
      </w:r>
    </w:p>
    <w:p w14:paraId="5F6B449F" w14:textId="4A78D278" w:rsidR="00E36379" w:rsidRPr="00E36379" w:rsidRDefault="00E36379" w:rsidP="00E36379">
      <w:pPr>
        <w:spacing w:line="360" w:lineRule="auto"/>
        <w:rPr>
          <w:rFonts w:ascii="Arial" w:hAnsi="Arial" w:cs="Arial"/>
          <w:sz w:val="22"/>
          <w:szCs w:val="22"/>
        </w:rPr>
      </w:pPr>
      <w:proofErr w:type="spellStart"/>
      <w:r w:rsidRPr="00E36379">
        <w:rPr>
          <w:rFonts w:ascii="Arial" w:hAnsi="Arial" w:cs="Arial"/>
          <w:sz w:val="22"/>
          <w:szCs w:val="22"/>
        </w:rPr>
        <w:t>Person-centred</w:t>
      </w:r>
      <w:proofErr w:type="spellEnd"/>
      <w:r w:rsidRPr="00E36379">
        <w:rPr>
          <w:rFonts w:ascii="Arial" w:hAnsi="Arial" w:cs="Arial"/>
          <w:sz w:val="22"/>
          <w:szCs w:val="22"/>
        </w:rPr>
        <w:t xml:space="preserve"> care entails the treatment of individuals as individuals, attending to their needs and desires as well as involving them in decision-making regarding their care. Instead of providing a universal way of doing things, it understands that each individual has a unique background, values, and needs. The Health and Care Act 2022 compels health and social care </w:t>
      </w:r>
      <w:proofErr w:type="spellStart"/>
      <w:r w:rsidRPr="00E36379">
        <w:rPr>
          <w:rFonts w:ascii="Arial" w:hAnsi="Arial" w:cs="Arial"/>
          <w:sz w:val="22"/>
          <w:szCs w:val="22"/>
        </w:rPr>
        <w:t>organisations</w:t>
      </w:r>
      <w:proofErr w:type="spellEnd"/>
      <w:r w:rsidRPr="00E36379">
        <w:rPr>
          <w:rFonts w:ascii="Arial" w:hAnsi="Arial" w:cs="Arial"/>
          <w:sz w:val="22"/>
          <w:szCs w:val="22"/>
        </w:rPr>
        <w:t xml:space="preserve"> throughout England to collaborate in order to deliver coordinated and </w:t>
      </w:r>
      <w:proofErr w:type="spellStart"/>
      <w:r w:rsidRPr="00E36379">
        <w:rPr>
          <w:rFonts w:ascii="Arial" w:hAnsi="Arial" w:cs="Arial"/>
          <w:sz w:val="22"/>
          <w:szCs w:val="22"/>
        </w:rPr>
        <w:t>personalised</w:t>
      </w:r>
      <w:proofErr w:type="spellEnd"/>
      <w:r w:rsidRPr="00E36379">
        <w:rPr>
          <w:rFonts w:ascii="Arial" w:hAnsi="Arial" w:cs="Arial"/>
          <w:sz w:val="22"/>
          <w:szCs w:val="22"/>
        </w:rPr>
        <w:t xml:space="preserve"> care based on the individual ( Health and Care Act, 2022). A qualitative study of individuals living with long-term conditions in England enabled Wilson and Hutchison</w:t>
      </w:r>
      <w:r w:rsidR="00F45FA7">
        <w:rPr>
          <w:rFonts w:ascii="Arial" w:hAnsi="Arial" w:cs="Arial"/>
          <w:sz w:val="22"/>
          <w:szCs w:val="22"/>
        </w:rPr>
        <w:t>,</w:t>
      </w:r>
      <w:r w:rsidRPr="00E36379">
        <w:rPr>
          <w:rFonts w:ascii="Arial" w:hAnsi="Arial" w:cs="Arial"/>
          <w:sz w:val="22"/>
          <w:szCs w:val="22"/>
        </w:rPr>
        <w:t xml:space="preserve"> (2025) to determine that when services were genuinely </w:t>
      </w:r>
      <w:proofErr w:type="spellStart"/>
      <w:r w:rsidRPr="00E36379">
        <w:rPr>
          <w:rFonts w:ascii="Arial" w:hAnsi="Arial" w:cs="Arial"/>
          <w:sz w:val="22"/>
          <w:szCs w:val="22"/>
        </w:rPr>
        <w:t>person-centred</w:t>
      </w:r>
      <w:proofErr w:type="spellEnd"/>
      <w:r w:rsidRPr="00E36379">
        <w:rPr>
          <w:rFonts w:ascii="Arial" w:hAnsi="Arial" w:cs="Arial"/>
          <w:sz w:val="22"/>
          <w:szCs w:val="22"/>
        </w:rPr>
        <w:t xml:space="preserve">, individuals felt more in control, more satisfied, and more able to manage their own health. This emphasizes the practical effect that </w:t>
      </w:r>
      <w:proofErr w:type="spellStart"/>
      <w:r w:rsidRPr="00E36379">
        <w:rPr>
          <w:rFonts w:ascii="Arial" w:hAnsi="Arial" w:cs="Arial"/>
          <w:sz w:val="22"/>
          <w:szCs w:val="22"/>
        </w:rPr>
        <w:t>person-centred</w:t>
      </w:r>
      <w:proofErr w:type="spellEnd"/>
      <w:r w:rsidRPr="00E36379">
        <w:rPr>
          <w:rFonts w:ascii="Arial" w:hAnsi="Arial" w:cs="Arial"/>
          <w:sz w:val="22"/>
          <w:szCs w:val="22"/>
        </w:rPr>
        <w:t xml:space="preserve"> care could have on the outcomes.</w:t>
      </w:r>
    </w:p>
    <w:p w14:paraId="44EC9BF3"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Maslow's Hierarchy of Needs (1943) is a helpful theory for understanding why </w:t>
      </w:r>
      <w:proofErr w:type="spellStart"/>
      <w:r w:rsidRPr="00E36379">
        <w:rPr>
          <w:rFonts w:ascii="Arial" w:hAnsi="Arial" w:cs="Arial"/>
          <w:sz w:val="22"/>
          <w:szCs w:val="22"/>
        </w:rPr>
        <w:t>person-centred</w:t>
      </w:r>
      <w:proofErr w:type="spellEnd"/>
      <w:r w:rsidRPr="00E36379">
        <w:rPr>
          <w:rFonts w:ascii="Arial" w:hAnsi="Arial" w:cs="Arial"/>
          <w:sz w:val="22"/>
          <w:szCs w:val="22"/>
        </w:rPr>
        <w:t xml:space="preserve"> care is important. Maslow argued that people have different needs that are grouped in stages. The most fundamental needs are things like food, warmth, and safety, while the highest needs are things like belonging, self-esteem, and personal progress.  Within a care context, this implies that a professional needs to ensure that the individual satisfies his or her fundamental needs before attending to the emotional or social needs. As an illustration, an individual experiencing pain or not feeling safe cannot be effectively involved with care decisions until that particular immediate need is met. Professionals must consider the entire individual at every level of this hierarchy for </w:t>
      </w:r>
      <w:proofErr w:type="spellStart"/>
      <w:r w:rsidRPr="00E36379">
        <w:rPr>
          <w:rFonts w:ascii="Arial" w:hAnsi="Arial" w:cs="Arial"/>
          <w:sz w:val="22"/>
          <w:szCs w:val="22"/>
        </w:rPr>
        <w:t>person-centred</w:t>
      </w:r>
      <w:proofErr w:type="spellEnd"/>
      <w:r w:rsidRPr="00E36379">
        <w:rPr>
          <w:rFonts w:ascii="Arial" w:hAnsi="Arial" w:cs="Arial"/>
          <w:sz w:val="22"/>
          <w:szCs w:val="22"/>
        </w:rPr>
        <w:t xml:space="preserve"> care.</w:t>
      </w:r>
    </w:p>
    <w:p w14:paraId="2095E54C"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lastRenderedPageBreak/>
        <w:t>Partnership working is also critical in the provision of quality care. Under the Care Act 2014, local authorities in England have a responsibility of fostering integration and alignment of health services, social care, and other agencies (Care Act, 2014). Thomson and Chatterjee (2024) discovered that collaboration among the NHS, local authorities, and community organizations is essential for minimizing fragmentation and enhancing outcomes for patients with complex needs in UK integrated care. As professionals do not work in a team but individually, they may miss critical information.</w:t>
      </w:r>
    </w:p>
    <w:p w14:paraId="62A38D99" w14:textId="182F2CD9"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Every decision about care is based on ethics. According to Beauchamp and Childress (2019), the most prominent ethical principles are autonomy, which is the right to make personal decisions; beneficence, which is the principle of doing good; non-maleficence, which is the principle of avoiding harm; and justice, which is a principle according to which all people are to be treated equally. HCPC Standards of Conduct, Performance, and Ethics</w:t>
      </w:r>
      <w:r w:rsidR="00F45FA7">
        <w:rPr>
          <w:rFonts w:ascii="Arial" w:hAnsi="Arial" w:cs="Arial"/>
          <w:sz w:val="22"/>
          <w:szCs w:val="22"/>
        </w:rPr>
        <w:t>,</w:t>
      </w:r>
      <w:r w:rsidRPr="00E36379">
        <w:rPr>
          <w:rFonts w:ascii="Arial" w:hAnsi="Arial" w:cs="Arial"/>
          <w:sz w:val="22"/>
          <w:szCs w:val="22"/>
        </w:rPr>
        <w:t xml:space="preserve"> (2024) mandate honesty, confidentiality, and a focus on service users' wellness. The principles in the NHS Compassion in Practice strategy illustrate expected care professional </w:t>
      </w:r>
      <w:proofErr w:type="spellStart"/>
      <w:r w:rsidRPr="00E36379">
        <w:rPr>
          <w:rFonts w:ascii="Arial" w:hAnsi="Arial" w:cs="Arial"/>
          <w:sz w:val="22"/>
          <w:szCs w:val="22"/>
        </w:rPr>
        <w:t>behaviours</w:t>
      </w:r>
      <w:proofErr w:type="spellEnd"/>
      <w:r w:rsidRPr="00E36379">
        <w:rPr>
          <w:rFonts w:ascii="Arial" w:hAnsi="Arial" w:cs="Arial"/>
          <w:sz w:val="22"/>
          <w:szCs w:val="22"/>
        </w:rPr>
        <w:t xml:space="preserve"> and align with </w:t>
      </w:r>
      <w:proofErr w:type="spellStart"/>
      <w:r w:rsidRPr="00E36379">
        <w:rPr>
          <w:rFonts w:ascii="Arial" w:hAnsi="Arial" w:cs="Arial"/>
          <w:sz w:val="22"/>
          <w:szCs w:val="22"/>
        </w:rPr>
        <w:t>person-centred</w:t>
      </w:r>
      <w:proofErr w:type="spellEnd"/>
      <w:r w:rsidRPr="00E36379">
        <w:rPr>
          <w:rFonts w:ascii="Arial" w:hAnsi="Arial" w:cs="Arial"/>
          <w:sz w:val="22"/>
          <w:szCs w:val="22"/>
        </w:rPr>
        <w:t xml:space="preserve"> care and ethical practice (NHS England, 2012).</w:t>
      </w:r>
    </w:p>
    <w:p w14:paraId="377C1E78" w14:textId="77777777" w:rsidR="00E36379" w:rsidRPr="00E36379" w:rsidRDefault="00E36379" w:rsidP="00E36379">
      <w:pPr>
        <w:spacing w:line="360" w:lineRule="auto"/>
        <w:rPr>
          <w:rFonts w:ascii="Arial" w:hAnsi="Arial" w:cs="Arial"/>
          <w:sz w:val="22"/>
          <w:szCs w:val="22"/>
        </w:rPr>
      </w:pPr>
    </w:p>
    <w:p w14:paraId="42D6E997" w14:textId="77777777" w:rsidR="00E36379" w:rsidRDefault="00E36379" w:rsidP="00E36379">
      <w:pPr>
        <w:spacing w:line="360" w:lineRule="auto"/>
        <w:rPr>
          <w:rFonts w:ascii="Arial" w:hAnsi="Arial" w:cs="Arial"/>
          <w:sz w:val="22"/>
          <w:szCs w:val="22"/>
        </w:rPr>
      </w:pPr>
    </w:p>
    <w:p w14:paraId="37531C8D" w14:textId="77777777" w:rsidR="00E36379" w:rsidRDefault="00E36379" w:rsidP="00E36379">
      <w:pPr>
        <w:spacing w:line="360" w:lineRule="auto"/>
        <w:rPr>
          <w:rFonts w:ascii="Arial" w:hAnsi="Arial" w:cs="Arial"/>
          <w:sz w:val="22"/>
          <w:szCs w:val="22"/>
        </w:rPr>
      </w:pPr>
    </w:p>
    <w:p w14:paraId="31AA8195" w14:textId="77777777" w:rsidR="00E36379" w:rsidRDefault="00E36379" w:rsidP="00E36379">
      <w:pPr>
        <w:spacing w:line="360" w:lineRule="auto"/>
        <w:rPr>
          <w:rFonts w:ascii="Arial" w:hAnsi="Arial" w:cs="Arial"/>
          <w:sz w:val="22"/>
          <w:szCs w:val="22"/>
        </w:rPr>
      </w:pPr>
    </w:p>
    <w:p w14:paraId="4A5FB055" w14:textId="77777777" w:rsidR="00E36379" w:rsidRDefault="00E36379" w:rsidP="00E36379">
      <w:pPr>
        <w:spacing w:line="360" w:lineRule="auto"/>
        <w:rPr>
          <w:rFonts w:ascii="Arial" w:hAnsi="Arial" w:cs="Arial"/>
          <w:sz w:val="22"/>
          <w:szCs w:val="22"/>
        </w:rPr>
      </w:pPr>
    </w:p>
    <w:p w14:paraId="19BD9309" w14:textId="77777777" w:rsidR="00E36379" w:rsidRDefault="00E36379" w:rsidP="00E36379">
      <w:pPr>
        <w:spacing w:line="360" w:lineRule="auto"/>
        <w:rPr>
          <w:rFonts w:ascii="Arial" w:hAnsi="Arial" w:cs="Arial"/>
          <w:sz w:val="22"/>
          <w:szCs w:val="22"/>
        </w:rPr>
      </w:pPr>
    </w:p>
    <w:p w14:paraId="5FD25C62" w14:textId="77777777" w:rsidR="00E36379" w:rsidRDefault="00E36379" w:rsidP="00E36379">
      <w:pPr>
        <w:spacing w:line="360" w:lineRule="auto"/>
        <w:rPr>
          <w:rFonts w:ascii="Arial" w:hAnsi="Arial" w:cs="Arial"/>
          <w:sz w:val="22"/>
          <w:szCs w:val="22"/>
        </w:rPr>
      </w:pPr>
    </w:p>
    <w:p w14:paraId="388AC1B9" w14:textId="77777777" w:rsidR="00E36379" w:rsidRDefault="00E36379" w:rsidP="00E36379">
      <w:pPr>
        <w:spacing w:line="360" w:lineRule="auto"/>
        <w:rPr>
          <w:rFonts w:ascii="Arial" w:hAnsi="Arial" w:cs="Arial"/>
          <w:sz w:val="22"/>
          <w:szCs w:val="22"/>
        </w:rPr>
      </w:pPr>
    </w:p>
    <w:p w14:paraId="52FB4ECE" w14:textId="77777777" w:rsidR="00E36379" w:rsidRDefault="00E36379" w:rsidP="00E36379">
      <w:pPr>
        <w:spacing w:line="360" w:lineRule="auto"/>
        <w:rPr>
          <w:rFonts w:ascii="Arial" w:hAnsi="Arial" w:cs="Arial"/>
          <w:sz w:val="22"/>
          <w:szCs w:val="22"/>
        </w:rPr>
      </w:pPr>
    </w:p>
    <w:p w14:paraId="5CE22A9E" w14:textId="77777777" w:rsidR="00E36379" w:rsidRDefault="00E36379" w:rsidP="00E36379">
      <w:pPr>
        <w:spacing w:line="360" w:lineRule="auto"/>
        <w:rPr>
          <w:rFonts w:ascii="Arial" w:hAnsi="Arial" w:cs="Arial"/>
          <w:sz w:val="22"/>
          <w:szCs w:val="22"/>
        </w:rPr>
      </w:pPr>
    </w:p>
    <w:p w14:paraId="21082EAD" w14:textId="77777777" w:rsidR="00E36379" w:rsidRDefault="00E36379" w:rsidP="00E36379">
      <w:pPr>
        <w:spacing w:line="360" w:lineRule="auto"/>
        <w:rPr>
          <w:rFonts w:ascii="Arial" w:hAnsi="Arial" w:cs="Arial"/>
          <w:sz w:val="22"/>
          <w:szCs w:val="22"/>
        </w:rPr>
      </w:pPr>
    </w:p>
    <w:p w14:paraId="046244DB" w14:textId="77777777" w:rsidR="00E36379" w:rsidRDefault="00E36379" w:rsidP="00E36379">
      <w:pPr>
        <w:spacing w:line="360" w:lineRule="auto"/>
        <w:rPr>
          <w:rFonts w:ascii="Arial" w:hAnsi="Arial" w:cs="Arial"/>
          <w:sz w:val="22"/>
          <w:szCs w:val="22"/>
        </w:rPr>
      </w:pPr>
    </w:p>
    <w:p w14:paraId="75B69FAE" w14:textId="77777777" w:rsidR="00E36379" w:rsidRDefault="00E36379" w:rsidP="00E36379">
      <w:pPr>
        <w:spacing w:line="360" w:lineRule="auto"/>
        <w:rPr>
          <w:rFonts w:ascii="Arial" w:hAnsi="Arial" w:cs="Arial"/>
          <w:sz w:val="22"/>
          <w:szCs w:val="22"/>
        </w:rPr>
      </w:pPr>
    </w:p>
    <w:p w14:paraId="24990142" w14:textId="77777777" w:rsidR="00E36379" w:rsidRDefault="00E36379" w:rsidP="00E36379">
      <w:pPr>
        <w:spacing w:line="360" w:lineRule="auto"/>
        <w:rPr>
          <w:rFonts w:ascii="Arial" w:hAnsi="Arial" w:cs="Arial"/>
          <w:sz w:val="22"/>
          <w:szCs w:val="22"/>
        </w:rPr>
      </w:pPr>
    </w:p>
    <w:p w14:paraId="413F2DE9" w14:textId="77777777" w:rsidR="00E36379" w:rsidRDefault="00E36379" w:rsidP="00E36379">
      <w:pPr>
        <w:spacing w:line="360" w:lineRule="auto"/>
        <w:rPr>
          <w:rFonts w:ascii="Arial" w:hAnsi="Arial" w:cs="Arial"/>
          <w:sz w:val="22"/>
          <w:szCs w:val="22"/>
        </w:rPr>
      </w:pPr>
    </w:p>
    <w:p w14:paraId="2FA9AD0C" w14:textId="1CD20CBB" w:rsidR="00E36379" w:rsidRPr="00E36379" w:rsidRDefault="00E36379" w:rsidP="00E36379">
      <w:pPr>
        <w:pStyle w:val="Heading1"/>
        <w:rPr>
          <w:rFonts w:ascii="Arial" w:hAnsi="Arial" w:cs="Arial"/>
        </w:rPr>
      </w:pPr>
      <w:bookmarkStart w:id="1" w:name="_Toc223230422"/>
      <w:r w:rsidRPr="00E36379">
        <w:rPr>
          <w:rFonts w:ascii="Arial" w:hAnsi="Arial" w:cs="Arial"/>
        </w:rPr>
        <w:t>Task 2: Practical Examples of Concepts in Practice</w:t>
      </w:r>
      <w:bookmarkEnd w:id="1"/>
      <w:r w:rsidRPr="00E36379">
        <w:rPr>
          <w:rFonts w:ascii="Arial" w:hAnsi="Arial" w:cs="Arial"/>
        </w:rPr>
        <w:t> </w:t>
      </w:r>
    </w:p>
    <w:p w14:paraId="5F7B3F04"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The best practical example of the combination of </w:t>
      </w:r>
      <w:proofErr w:type="spellStart"/>
      <w:r w:rsidRPr="00E36379">
        <w:rPr>
          <w:rFonts w:ascii="Arial" w:hAnsi="Arial" w:cs="Arial"/>
          <w:sz w:val="22"/>
          <w:szCs w:val="22"/>
        </w:rPr>
        <w:t>person-centred</w:t>
      </w:r>
      <w:proofErr w:type="spellEnd"/>
      <w:r w:rsidRPr="00E36379">
        <w:rPr>
          <w:rFonts w:ascii="Arial" w:hAnsi="Arial" w:cs="Arial"/>
          <w:sz w:val="22"/>
          <w:szCs w:val="22"/>
        </w:rPr>
        <w:t xml:space="preserve"> care, partnership working, and ethics is Integrated Care Systems (ICSs), which are formally instituted in the Health and Care Act 2022. ICSs unite NHS </w:t>
      </w:r>
      <w:proofErr w:type="spellStart"/>
      <w:r w:rsidRPr="00E36379">
        <w:rPr>
          <w:rFonts w:ascii="Arial" w:hAnsi="Arial" w:cs="Arial"/>
          <w:sz w:val="22"/>
          <w:szCs w:val="22"/>
        </w:rPr>
        <w:t>organisations</w:t>
      </w:r>
      <w:proofErr w:type="spellEnd"/>
      <w:r w:rsidRPr="00E36379">
        <w:rPr>
          <w:rFonts w:ascii="Arial" w:hAnsi="Arial" w:cs="Arial"/>
          <w:sz w:val="22"/>
          <w:szCs w:val="22"/>
        </w:rPr>
        <w:t xml:space="preserve">, local authorities, social care providers, and voluntary sector </w:t>
      </w:r>
      <w:proofErr w:type="spellStart"/>
      <w:r w:rsidRPr="00E36379">
        <w:rPr>
          <w:rFonts w:ascii="Arial" w:hAnsi="Arial" w:cs="Arial"/>
          <w:sz w:val="22"/>
          <w:szCs w:val="22"/>
        </w:rPr>
        <w:t>organisations</w:t>
      </w:r>
      <w:proofErr w:type="spellEnd"/>
      <w:r w:rsidRPr="00E36379">
        <w:rPr>
          <w:rFonts w:ascii="Arial" w:hAnsi="Arial" w:cs="Arial"/>
          <w:sz w:val="22"/>
          <w:szCs w:val="22"/>
        </w:rPr>
        <w:t xml:space="preserve"> into collaborative planning and delivery of joined-up services to the people in their area. The three fundamental principles can be observed in action in this model, which applies them together.</w:t>
      </w:r>
    </w:p>
    <w:p w14:paraId="162D75D7" w14:textId="432E6669"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ICSs are designed to deliver person-centered care.</w:t>
      </w:r>
      <w:r w:rsidR="006734BC">
        <w:rPr>
          <w:rFonts w:ascii="Arial" w:hAnsi="Arial" w:cs="Arial"/>
          <w:sz w:val="22"/>
          <w:szCs w:val="22"/>
        </w:rPr>
        <w:t xml:space="preserve"> </w:t>
      </w:r>
      <w:r w:rsidRPr="00E36379">
        <w:rPr>
          <w:rFonts w:ascii="Arial" w:hAnsi="Arial" w:cs="Arial"/>
          <w:sz w:val="22"/>
          <w:szCs w:val="22"/>
        </w:rPr>
        <w:t xml:space="preserve">In line with the guidance by NHS England (2022), integrated care planning should focus on the individual in control, integrating services to achieve maximum benefits. The care plans must be based on the individual needs of that person instead of clinical pathways. </w:t>
      </w:r>
      <w:r w:rsidR="006734BC" w:rsidRPr="006734BC">
        <w:rPr>
          <w:rFonts w:ascii="Arial" w:hAnsi="Arial" w:cs="Arial"/>
          <w:sz w:val="22"/>
          <w:szCs w:val="22"/>
        </w:rPr>
        <w:t xml:space="preserve">Planning </w:t>
      </w:r>
      <w:proofErr w:type="spellStart"/>
      <w:r w:rsidR="006734BC" w:rsidRPr="006734BC">
        <w:rPr>
          <w:rFonts w:ascii="Arial" w:hAnsi="Arial" w:cs="Arial"/>
          <w:sz w:val="22"/>
          <w:szCs w:val="22"/>
        </w:rPr>
        <w:t>person-centred</w:t>
      </w:r>
      <w:proofErr w:type="spellEnd"/>
      <w:r w:rsidR="006734BC" w:rsidRPr="006734BC">
        <w:rPr>
          <w:rFonts w:ascii="Arial" w:hAnsi="Arial" w:cs="Arial"/>
          <w:sz w:val="22"/>
          <w:szCs w:val="22"/>
        </w:rPr>
        <w:t xml:space="preserve"> care requires an understanding of both the Medical Model and the Social Model of Health. The Social Model of Health recognizes that factors such as housing, income, and social relationships play a significant role in determining health outcomes (Dahlgren and Whitehead, 2021).</w:t>
      </w:r>
      <w:r w:rsidR="006734BC">
        <w:rPr>
          <w:rFonts w:ascii="Arial" w:hAnsi="Arial" w:cs="Arial"/>
          <w:sz w:val="22"/>
          <w:szCs w:val="22"/>
        </w:rPr>
        <w:t xml:space="preserve"> </w:t>
      </w:r>
      <w:r w:rsidRPr="00E36379">
        <w:rPr>
          <w:rFonts w:ascii="Arial" w:hAnsi="Arial" w:cs="Arial"/>
          <w:sz w:val="22"/>
          <w:szCs w:val="22"/>
        </w:rPr>
        <w:t xml:space="preserve">Combining both models in care settings provides a thorough understanding of individual needs. </w:t>
      </w:r>
      <w:r w:rsidR="006734BC">
        <w:rPr>
          <w:rFonts w:ascii="Arial" w:hAnsi="Arial" w:cs="Arial"/>
          <w:sz w:val="22"/>
          <w:szCs w:val="22"/>
        </w:rPr>
        <w:t xml:space="preserve">A </w:t>
      </w:r>
      <w:r w:rsidRPr="00E36379">
        <w:rPr>
          <w:rFonts w:ascii="Arial" w:hAnsi="Arial" w:cs="Arial"/>
          <w:sz w:val="22"/>
          <w:szCs w:val="22"/>
        </w:rPr>
        <w:t xml:space="preserve">study of health and social care workers </w:t>
      </w:r>
      <w:r w:rsidR="006734BC">
        <w:rPr>
          <w:rFonts w:ascii="Arial" w:hAnsi="Arial" w:cs="Arial"/>
          <w:sz w:val="22"/>
          <w:szCs w:val="22"/>
        </w:rPr>
        <w:t>demonstrated</w:t>
      </w:r>
      <w:r w:rsidRPr="00E36379">
        <w:rPr>
          <w:rFonts w:ascii="Arial" w:hAnsi="Arial" w:cs="Arial"/>
          <w:sz w:val="22"/>
          <w:szCs w:val="22"/>
        </w:rPr>
        <w:t xml:space="preserve"> that mutual understanding and respect among professionals from various fields improved </w:t>
      </w:r>
      <w:proofErr w:type="spellStart"/>
      <w:r w:rsidRPr="00E36379">
        <w:rPr>
          <w:rFonts w:ascii="Arial" w:hAnsi="Arial" w:cs="Arial"/>
          <w:sz w:val="22"/>
          <w:szCs w:val="22"/>
        </w:rPr>
        <w:t>person-centred</w:t>
      </w:r>
      <w:proofErr w:type="spellEnd"/>
      <w:r w:rsidRPr="00E36379">
        <w:rPr>
          <w:rFonts w:ascii="Arial" w:hAnsi="Arial" w:cs="Arial"/>
          <w:sz w:val="22"/>
          <w:szCs w:val="22"/>
        </w:rPr>
        <w:t xml:space="preserve"> care and reduced ethical conflicts</w:t>
      </w:r>
      <w:r w:rsidR="006734BC">
        <w:rPr>
          <w:rFonts w:ascii="Arial" w:hAnsi="Arial" w:cs="Arial"/>
          <w:sz w:val="22"/>
          <w:szCs w:val="22"/>
        </w:rPr>
        <w:t xml:space="preserve"> (</w:t>
      </w:r>
      <w:r w:rsidR="006734BC" w:rsidRPr="00E36379">
        <w:rPr>
          <w:rFonts w:ascii="Arial" w:hAnsi="Arial" w:cs="Arial"/>
          <w:sz w:val="22"/>
          <w:szCs w:val="22"/>
        </w:rPr>
        <w:t>Pakkanen et al</w:t>
      </w:r>
      <w:r w:rsidR="006734BC">
        <w:rPr>
          <w:rFonts w:ascii="Arial" w:hAnsi="Arial" w:cs="Arial"/>
          <w:sz w:val="22"/>
          <w:szCs w:val="22"/>
        </w:rPr>
        <w:t xml:space="preserve">., </w:t>
      </w:r>
      <w:r w:rsidR="006734BC" w:rsidRPr="00E36379">
        <w:rPr>
          <w:rFonts w:ascii="Arial" w:hAnsi="Arial" w:cs="Arial"/>
          <w:sz w:val="22"/>
          <w:szCs w:val="22"/>
        </w:rPr>
        <w:t>2024)</w:t>
      </w:r>
      <w:r w:rsidRPr="00E36379">
        <w:rPr>
          <w:rFonts w:ascii="Arial" w:hAnsi="Arial" w:cs="Arial"/>
          <w:sz w:val="22"/>
          <w:szCs w:val="22"/>
        </w:rPr>
        <w:t>. This highlights the importance of professional values and teamwork in providing personalized care.</w:t>
      </w:r>
    </w:p>
    <w:p w14:paraId="40CB686E" w14:textId="02894082"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Partnership in ICSs is legal and supported by evidence. A systematic review of UK studies on integrated care and patient experience found that effective communication and collaboration among professionals led to patients feeling more listened to and supported during service transitions (Davidson et al., 2021).</w:t>
      </w:r>
      <w:r w:rsidR="006734BC">
        <w:rPr>
          <w:rFonts w:ascii="Arial" w:hAnsi="Arial" w:cs="Arial"/>
          <w:sz w:val="22"/>
          <w:szCs w:val="22"/>
        </w:rPr>
        <w:t xml:space="preserve"> </w:t>
      </w:r>
      <w:r w:rsidRPr="00E36379">
        <w:rPr>
          <w:rFonts w:ascii="Arial" w:hAnsi="Arial" w:cs="Arial"/>
          <w:sz w:val="22"/>
          <w:szCs w:val="22"/>
        </w:rPr>
        <w:t xml:space="preserve">In their meta-analysis of 22 </w:t>
      </w:r>
      <w:proofErr w:type="spellStart"/>
      <w:r w:rsidRPr="00E36379">
        <w:rPr>
          <w:rFonts w:ascii="Arial" w:hAnsi="Arial" w:cs="Arial"/>
          <w:sz w:val="22"/>
          <w:szCs w:val="22"/>
        </w:rPr>
        <w:t>randomised</w:t>
      </w:r>
      <w:proofErr w:type="spellEnd"/>
      <w:r w:rsidRPr="00E36379">
        <w:rPr>
          <w:rFonts w:ascii="Arial" w:hAnsi="Arial" w:cs="Arial"/>
          <w:sz w:val="22"/>
          <w:szCs w:val="22"/>
        </w:rPr>
        <w:t xml:space="preserve"> controlled trials, Wong et al. (2018) found that complex interventions that combine individual assessment, care planning, and information provision significantly reduced falls and improved self-rated health and mental quality of life in older community residents. Coordinated, multi-professional care has measurable benefits.</w:t>
      </w:r>
    </w:p>
    <w:p w14:paraId="56721D59"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This model has ethics all over, especially concerning consent, autonomy, and equal access. According to the HCPC Standards (2024), the professionals must engage the service users in </w:t>
      </w:r>
      <w:r w:rsidRPr="00E36379">
        <w:rPr>
          <w:rFonts w:ascii="Arial" w:hAnsi="Arial" w:cs="Arial"/>
          <w:sz w:val="22"/>
          <w:szCs w:val="22"/>
        </w:rPr>
        <w:lastRenderedPageBreak/>
        <w:t>decision-making regarding their care, make sure that they get the information in a manner that they can comprehend, and consider all people without discrimination (HCPC, 2024). One of the issues in ICSs is the accessibility of individuals who may struggle more to represent themselves, e.g., individuals with learning disabilities, mental health, or language barriers, to equal quality of care to individuals who are more capable of going through the system. The Mental Capacity Act 2005 is a clear guideline on how to assist in decision making to those who may not have the capacity to make up and their rights and dignity must never be compromised (Mental Capacity Act, 2005). These ethical issues must be addressed to see integrated care achieve its goals of alleviating health disparities.</w:t>
      </w:r>
    </w:p>
    <w:p w14:paraId="72DCD3EB" w14:textId="77777777" w:rsidR="00E36379" w:rsidRDefault="00E36379" w:rsidP="00E36379">
      <w:pPr>
        <w:spacing w:line="360" w:lineRule="auto"/>
        <w:rPr>
          <w:rFonts w:ascii="Arial" w:hAnsi="Arial" w:cs="Arial"/>
          <w:sz w:val="22"/>
          <w:szCs w:val="22"/>
        </w:rPr>
      </w:pPr>
    </w:p>
    <w:p w14:paraId="57FFBC61" w14:textId="77777777" w:rsidR="00E36379" w:rsidRDefault="00E36379" w:rsidP="00E36379">
      <w:pPr>
        <w:spacing w:line="360" w:lineRule="auto"/>
        <w:rPr>
          <w:rFonts w:ascii="Arial" w:hAnsi="Arial" w:cs="Arial"/>
          <w:sz w:val="22"/>
          <w:szCs w:val="22"/>
        </w:rPr>
      </w:pPr>
    </w:p>
    <w:p w14:paraId="32D1CFD2" w14:textId="77777777" w:rsidR="00E36379" w:rsidRDefault="00E36379" w:rsidP="00E36379">
      <w:pPr>
        <w:spacing w:line="360" w:lineRule="auto"/>
        <w:rPr>
          <w:rFonts w:ascii="Arial" w:hAnsi="Arial" w:cs="Arial"/>
          <w:sz w:val="22"/>
          <w:szCs w:val="22"/>
        </w:rPr>
      </w:pPr>
    </w:p>
    <w:p w14:paraId="4A2888B5" w14:textId="77777777" w:rsidR="00E36379" w:rsidRDefault="00E36379" w:rsidP="00E36379">
      <w:pPr>
        <w:spacing w:line="360" w:lineRule="auto"/>
        <w:rPr>
          <w:rFonts w:ascii="Arial" w:hAnsi="Arial" w:cs="Arial"/>
          <w:sz w:val="22"/>
          <w:szCs w:val="22"/>
        </w:rPr>
      </w:pPr>
    </w:p>
    <w:p w14:paraId="03C60DD2" w14:textId="77777777" w:rsidR="00E36379" w:rsidRDefault="00E36379" w:rsidP="00E36379">
      <w:pPr>
        <w:spacing w:line="360" w:lineRule="auto"/>
        <w:rPr>
          <w:rFonts w:ascii="Arial" w:hAnsi="Arial" w:cs="Arial"/>
          <w:sz w:val="22"/>
          <w:szCs w:val="22"/>
        </w:rPr>
      </w:pPr>
    </w:p>
    <w:p w14:paraId="68E4EE0E" w14:textId="77777777" w:rsidR="00E36379" w:rsidRDefault="00E36379" w:rsidP="00E36379">
      <w:pPr>
        <w:spacing w:line="360" w:lineRule="auto"/>
        <w:rPr>
          <w:rFonts w:ascii="Arial" w:hAnsi="Arial" w:cs="Arial"/>
          <w:sz w:val="22"/>
          <w:szCs w:val="22"/>
        </w:rPr>
      </w:pPr>
    </w:p>
    <w:p w14:paraId="1C889509" w14:textId="77777777" w:rsidR="00E36379" w:rsidRDefault="00E36379" w:rsidP="00E36379">
      <w:pPr>
        <w:spacing w:line="360" w:lineRule="auto"/>
        <w:rPr>
          <w:rFonts w:ascii="Arial" w:hAnsi="Arial" w:cs="Arial"/>
          <w:sz w:val="22"/>
          <w:szCs w:val="22"/>
        </w:rPr>
      </w:pPr>
    </w:p>
    <w:p w14:paraId="6E272019" w14:textId="77777777" w:rsidR="00E36379" w:rsidRDefault="00E36379" w:rsidP="00E36379">
      <w:pPr>
        <w:spacing w:line="360" w:lineRule="auto"/>
        <w:rPr>
          <w:rFonts w:ascii="Arial" w:hAnsi="Arial" w:cs="Arial"/>
          <w:sz w:val="22"/>
          <w:szCs w:val="22"/>
        </w:rPr>
      </w:pPr>
    </w:p>
    <w:p w14:paraId="2A3E7818" w14:textId="77777777" w:rsidR="00E36379" w:rsidRDefault="00E36379" w:rsidP="00E36379">
      <w:pPr>
        <w:spacing w:line="360" w:lineRule="auto"/>
        <w:rPr>
          <w:rFonts w:ascii="Arial" w:hAnsi="Arial" w:cs="Arial"/>
          <w:sz w:val="22"/>
          <w:szCs w:val="22"/>
        </w:rPr>
      </w:pPr>
    </w:p>
    <w:p w14:paraId="32446647" w14:textId="77777777" w:rsidR="00E36379" w:rsidRDefault="00E36379" w:rsidP="00E36379">
      <w:pPr>
        <w:spacing w:line="360" w:lineRule="auto"/>
        <w:rPr>
          <w:rFonts w:ascii="Arial" w:hAnsi="Arial" w:cs="Arial"/>
          <w:sz w:val="22"/>
          <w:szCs w:val="22"/>
        </w:rPr>
      </w:pPr>
    </w:p>
    <w:p w14:paraId="7F68E117" w14:textId="77777777" w:rsidR="00E36379" w:rsidRDefault="00E36379" w:rsidP="00E36379">
      <w:pPr>
        <w:spacing w:line="360" w:lineRule="auto"/>
        <w:rPr>
          <w:rFonts w:ascii="Arial" w:hAnsi="Arial" w:cs="Arial"/>
          <w:sz w:val="22"/>
          <w:szCs w:val="22"/>
        </w:rPr>
      </w:pPr>
    </w:p>
    <w:p w14:paraId="372156D6" w14:textId="77777777" w:rsidR="00E36379" w:rsidRDefault="00E36379" w:rsidP="00E36379">
      <w:pPr>
        <w:spacing w:line="360" w:lineRule="auto"/>
        <w:rPr>
          <w:rFonts w:ascii="Arial" w:hAnsi="Arial" w:cs="Arial"/>
          <w:sz w:val="22"/>
          <w:szCs w:val="22"/>
        </w:rPr>
      </w:pPr>
    </w:p>
    <w:p w14:paraId="32C224AB" w14:textId="77777777" w:rsidR="00E36379" w:rsidRDefault="00E36379" w:rsidP="00E36379">
      <w:pPr>
        <w:spacing w:line="360" w:lineRule="auto"/>
        <w:rPr>
          <w:rFonts w:ascii="Arial" w:hAnsi="Arial" w:cs="Arial"/>
          <w:sz w:val="22"/>
          <w:szCs w:val="22"/>
        </w:rPr>
      </w:pPr>
    </w:p>
    <w:p w14:paraId="361BCAF5" w14:textId="77777777" w:rsidR="00E36379" w:rsidRDefault="00E36379" w:rsidP="00E36379">
      <w:pPr>
        <w:spacing w:line="360" w:lineRule="auto"/>
        <w:rPr>
          <w:rFonts w:ascii="Arial" w:hAnsi="Arial" w:cs="Arial"/>
          <w:sz w:val="22"/>
          <w:szCs w:val="22"/>
        </w:rPr>
      </w:pPr>
    </w:p>
    <w:p w14:paraId="0D769AA9" w14:textId="77777777" w:rsidR="00E36379" w:rsidRDefault="00E36379" w:rsidP="00E36379">
      <w:pPr>
        <w:spacing w:line="360" w:lineRule="auto"/>
        <w:rPr>
          <w:rFonts w:ascii="Arial" w:hAnsi="Arial" w:cs="Arial"/>
          <w:sz w:val="22"/>
          <w:szCs w:val="22"/>
        </w:rPr>
      </w:pPr>
    </w:p>
    <w:p w14:paraId="271A7902" w14:textId="77777777" w:rsidR="00E36379" w:rsidRPr="00E36379" w:rsidRDefault="00E36379" w:rsidP="00E36379">
      <w:pPr>
        <w:spacing w:line="360" w:lineRule="auto"/>
        <w:rPr>
          <w:rFonts w:ascii="Arial" w:hAnsi="Arial" w:cs="Arial"/>
          <w:sz w:val="22"/>
          <w:szCs w:val="22"/>
        </w:rPr>
      </w:pPr>
    </w:p>
    <w:p w14:paraId="1CBAD07D" w14:textId="77777777" w:rsidR="00E36379" w:rsidRPr="00E36379" w:rsidRDefault="00E36379" w:rsidP="00E36379">
      <w:pPr>
        <w:pStyle w:val="Heading1"/>
        <w:rPr>
          <w:rFonts w:ascii="Arial" w:hAnsi="Arial" w:cs="Arial"/>
        </w:rPr>
      </w:pPr>
      <w:bookmarkStart w:id="2" w:name="_Toc223230423"/>
      <w:r w:rsidRPr="00E36379">
        <w:rPr>
          <w:rFonts w:ascii="Arial" w:hAnsi="Arial" w:cs="Arial"/>
        </w:rPr>
        <w:t>Task 3: Self-Reflection as a Health and Social Care Professional</w:t>
      </w:r>
      <w:bookmarkEnd w:id="2"/>
    </w:p>
    <w:p w14:paraId="45DD1776" w14:textId="77777777" w:rsidR="00E36379" w:rsidRPr="00E36379" w:rsidRDefault="00E36379" w:rsidP="00E36379">
      <w:pPr>
        <w:pStyle w:val="Heading2"/>
        <w:rPr>
          <w:rFonts w:ascii="Arial" w:hAnsi="Arial" w:cs="Arial"/>
          <w:b/>
          <w:bCs/>
          <w:color w:val="auto"/>
        </w:rPr>
      </w:pPr>
      <w:bookmarkStart w:id="3" w:name="_Toc223230424"/>
      <w:proofErr w:type="spellStart"/>
      <w:r w:rsidRPr="00E36379">
        <w:rPr>
          <w:rFonts w:ascii="Arial" w:hAnsi="Arial" w:cs="Arial"/>
          <w:color w:val="auto"/>
        </w:rPr>
        <w:t>Person-Centred</w:t>
      </w:r>
      <w:proofErr w:type="spellEnd"/>
      <w:r w:rsidRPr="00E36379">
        <w:rPr>
          <w:rFonts w:ascii="Arial" w:hAnsi="Arial" w:cs="Arial"/>
          <w:color w:val="auto"/>
        </w:rPr>
        <w:t xml:space="preserve"> Care in My Nursing Practice</w:t>
      </w:r>
      <w:bookmarkEnd w:id="3"/>
    </w:p>
    <w:p w14:paraId="4DD9F1B8" w14:textId="77777777" w:rsidR="00E36379" w:rsidRPr="00E36379" w:rsidRDefault="00E36379" w:rsidP="00E36379">
      <w:pPr>
        <w:spacing w:line="360" w:lineRule="auto"/>
        <w:rPr>
          <w:rFonts w:ascii="Arial" w:hAnsi="Arial" w:cs="Arial"/>
          <w:sz w:val="22"/>
          <w:szCs w:val="22"/>
        </w:rPr>
      </w:pPr>
      <w:proofErr w:type="spellStart"/>
      <w:r w:rsidRPr="00E36379">
        <w:rPr>
          <w:rFonts w:ascii="Arial" w:hAnsi="Arial" w:cs="Arial"/>
          <w:sz w:val="22"/>
          <w:szCs w:val="22"/>
        </w:rPr>
        <w:t>Person-centred</w:t>
      </w:r>
      <w:proofErr w:type="spellEnd"/>
      <w:r w:rsidRPr="00E36379">
        <w:rPr>
          <w:rFonts w:ascii="Arial" w:hAnsi="Arial" w:cs="Arial"/>
          <w:sz w:val="22"/>
          <w:szCs w:val="22"/>
        </w:rPr>
        <w:t xml:space="preserve"> care is the core of all my activities as a nurse in a community health setting. My job is to visit patients at home and provide them with a personal assessment and the creation of care plans that would be created based on the needs and expectations of the particular person. This approach is directly supported by the Health and Care Act 2022, which requires all health and social care services to place the individual at the centre of care delivery. I have found that when I pause and listen to each patient, rather than just following a checklist, they are more likely to feel in control of their health and start the care process positively.</w:t>
      </w:r>
    </w:p>
    <w:p w14:paraId="4D7F508A" w14:textId="0B28548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An important case involved a patient I will call, an elderly person I assisted at home.</w:t>
      </w:r>
      <w:r w:rsidR="005F21AC" w:rsidRPr="005F21AC">
        <w:rPr>
          <w:rFonts w:ascii="Times New Roman" w:eastAsia="Times New Roman" w:hAnsi="Times New Roman" w:cs="Times New Roman"/>
          <w:kern w:val="0"/>
          <w14:ligatures w14:val="none"/>
        </w:rPr>
        <w:t xml:space="preserve"> </w:t>
      </w:r>
      <w:r w:rsidR="005F21AC" w:rsidRPr="005F21AC">
        <w:rPr>
          <w:rFonts w:ascii="Arial" w:hAnsi="Arial" w:cs="Arial"/>
          <w:sz w:val="22"/>
          <w:szCs w:val="22"/>
        </w:rPr>
        <w:t>The patient looked disengaged and uncooperative during one visit. I stopped the care tasks and inquired about his feelings. He mentioned feeling anxious about his upcoming hospital checkup and that he had barely slept. Listening and offering reassurance improved the appointment significantly. Maslow’s Hierarchy of Needs states that a patient's emotional safety must be prioritized before effectively addressing physical care needs.</w:t>
      </w:r>
      <w:r w:rsidRPr="00E36379">
        <w:rPr>
          <w:rFonts w:ascii="Arial" w:hAnsi="Arial" w:cs="Arial"/>
          <w:sz w:val="22"/>
          <w:szCs w:val="22"/>
        </w:rPr>
        <w:t xml:space="preserve"> This practice highlighted that </w:t>
      </w:r>
      <w:proofErr w:type="spellStart"/>
      <w:r w:rsidRPr="00E36379">
        <w:rPr>
          <w:rFonts w:ascii="Arial" w:hAnsi="Arial" w:cs="Arial"/>
          <w:sz w:val="22"/>
          <w:szCs w:val="22"/>
        </w:rPr>
        <w:t>person-centred</w:t>
      </w:r>
      <w:proofErr w:type="spellEnd"/>
      <w:r w:rsidRPr="00E36379">
        <w:rPr>
          <w:rFonts w:ascii="Arial" w:hAnsi="Arial" w:cs="Arial"/>
          <w:sz w:val="22"/>
          <w:szCs w:val="22"/>
        </w:rPr>
        <w:t xml:space="preserve"> care involves considering the whole person, not just the clinical task. The study by Wong et al</w:t>
      </w:r>
      <w:r w:rsidR="00F45FA7">
        <w:rPr>
          <w:rFonts w:ascii="Arial" w:hAnsi="Arial" w:cs="Arial"/>
          <w:sz w:val="22"/>
          <w:szCs w:val="22"/>
        </w:rPr>
        <w:t>.</w:t>
      </w:r>
      <w:r w:rsidR="00AA18B4">
        <w:rPr>
          <w:rFonts w:ascii="Arial" w:hAnsi="Arial" w:cs="Arial"/>
          <w:sz w:val="22"/>
          <w:szCs w:val="22"/>
        </w:rPr>
        <w:t>,</w:t>
      </w:r>
      <w:r w:rsidRPr="00E36379">
        <w:rPr>
          <w:rFonts w:ascii="Arial" w:hAnsi="Arial" w:cs="Arial"/>
          <w:sz w:val="22"/>
          <w:szCs w:val="22"/>
        </w:rPr>
        <w:t xml:space="preserve"> (2018) demonstrated that an individualized care planning approach that also considers emotional and physical needs was linked to a substantial change in the self-rated health and quality of life in older adults in the community, which is why this approach received empirical evidence.</w:t>
      </w:r>
    </w:p>
    <w:p w14:paraId="7A725A77" w14:textId="1A34AF22"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However, I see that </w:t>
      </w:r>
      <w:proofErr w:type="spellStart"/>
      <w:r w:rsidRPr="00E36379">
        <w:rPr>
          <w:rFonts w:ascii="Arial" w:hAnsi="Arial" w:cs="Arial"/>
          <w:sz w:val="22"/>
          <w:szCs w:val="22"/>
        </w:rPr>
        <w:t>person-centred</w:t>
      </w:r>
      <w:proofErr w:type="spellEnd"/>
      <w:r w:rsidRPr="00E36379">
        <w:rPr>
          <w:rFonts w:ascii="Arial" w:hAnsi="Arial" w:cs="Arial"/>
          <w:sz w:val="22"/>
          <w:szCs w:val="22"/>
        </w:rPr>
        <w:t xml:space="preserve"> care can be quite challenging to provide, especially when the workload is high. I know that time pressure may sometimes make me concentrate on ensuring that tasks are done</w:t>
      </w:r>
      <w:r w:rsidR="00AA18B4">
        <w:rPr>
          <w:rFonts w:ascii="Arial" w:hAnsi="Arial" w:cs="Arial"/>
          <w:sz w:val="22"/>
          <w:szCs w:val="22"/>
        </w:rPr>
        <w:t>,</w:t>
      </w:r>
      <w:r w:rsidRPr="00E36379">
        <w:rPr>
          <w:rFonts w:ascii="Arial" w:hAnsi="Arial" w:cs="Arial"/>
          <w:sz w:val="22"/>
          <w:szCs w:val="22"/>
        </w:rPr>
        <w:t xml:space="preserve"> and communication is not meaningful. In the case of long-term patients, Wilson and Hutchison</w:t>
      </w:r>
      <w:r w:rsidR="00F45FA7">
        <w:rPr>
          <w:rFonts w:ascii="Arial" w:hAnsi="Arial" w:cs="Arial"/>
          <w:sz w:val="22"/>
          <w:szCs w:val="22"/>
        </w:rPr>
        <w:t>,</w:t>
      </w:r>
      <w:r w:rsidRPr="00E36379">
        <w:rPr>
          <w:rFonts w:ascii="Arial" w:hAnsi="Arial" w:cs="Arial"/>
          <w:sz w:val="22"/>
          <w:szCs w:val="22"/>
        </w:rPr>
        <w:t xml:space="preserve"> (2025) identified continuity and a sense that they are a true partner in their care as extremely important, necessitating professionals to spend time even in the hectic environment. To manage this, I will further enhance my communication skills by training on how to use short, yet effective check-ins with all patients, and training on how to assist those who have complex communication needs so that the practice of </w:t>
      </w:r>
      <w:proofErr w:type="spellStart"/>
      <w:r w:rsidRPr="00E36379">
        <w:rPr>
          <w:rFonts w:ascii="Arial" w:hAnsi="Arial" w:cs="Arial"/>
          <w:sz w:val="22"/>
          <w:szCs w:val="22"/>
        </w:rPr>
        <w:t>person-centred</w:t>
      </w:r>
      <w:proofErr w:type="spellEnd"/>
      <w:r w:rsidRPr="00E36379">
        <w:rPr>
          <w:rFonts w:ascii="Arial" w:hAnsi="Arial" w:cs="Arial"/>
          <w:sz w:val="22"/>
          <w:szCs w:val="22"/>
        </w:rPr>
        <w:t xml:space="preserve"> care is at the centre of my work despite time constraints.</w:t>
      </w:r>
    </w:p>
    <w:p w14:paraId="10058F14" w14:textId="77777777" w:rsidR="00E36379" w:rsidRPr="00E36379" w:rsidRDefault="00E36379" w:rsidP="00E36379">
      <w:pPr>
        <w:pStyle w:val="Heading2"/>
        <w:rPr>
          <w:rFonts w:ascii="Arial" w:hAnsi="Arial" w:cs="Arial"/>
          <w:b/>
          <w:bCs/>
          <w:color w:val="auto"/>
        </w:rPr>
      </w:pPr>
      <w:bookmarkStart w:id="4" w:name="_Toc223230425"/>
      <w:r w:rsidRPr="00E36379">
        <w:rPr>
          <w:rFonts w:ascii="Arial" w:hAnsi="Arial" w:cs="Arial"/>
          <w:color w:val="auto"/>
        </w:rPr>
        <w:t>Partnership Working in My Nursing Practice</w:t>
      </w:r>
      <w:bookmarkEnd w:id="4"/>
    </w:p>
    <w:p w14:paraId="404EB1E1" w14:textId="73471FFC"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I practice partnership working on a daily basis as a community nurse. I work with social workers, occupational therapists, GPs, and voluntary sector organizations to coordinate patient care. The Care Act 2014 requires building an alliance between the local authorities and the NHS, and I can see its relevance in the day-to-day practice. The multidisciplinary care team must be able to communicate effectively to ensure that they offer consistent services to the patient, reducing service gaps. According to Thomson and Chatterjee</w:t>
      </w:r>
      <w:r w:rsidR="00F45FA7">
        <w:rPr>
          <w:rFonts w:ascii="Arial" w:hAnsi="Arial" w:cs="Arial"/>
          <w:sz w:val="22"/>
          <w:szCs w:val="22"/>
        </w:rPr>
        <w:t>,</w:t>
      </w:r>
      <w:r w:rsidRPr="00E36379">
        <w:rPr>
          <w:rFonts w:ascii="Arial" w:hAnsi="Arial" w:cs="Arial"/>
          <w:sz w:val="22"/>
          <w:szCs w:val="22"/>
        </w:rPr>
        <w:t xml:space="preserve"> (2024), ineffective communication with professionals and their insufficient understanding is one of the primary barriers to the successful implementation of integrated care in the United Kingdom, which I am going to minimize in my practice.HCPC Standards of Conduct, Performance and Ethics (2024) state that a professional must share information, educate, and show respect to all team members (HCPC, 2024).</w:t>
      </w:r>
      <w:r w:rsidR="00AA18B4">
        <w:rPr>
          <w:rFonts w:ascii="Arial" w:hAnsi="Arial" w:cs="Arial"/>
          <w:sz w:val="22"/>
          <w:szCs w:val="22"/>
        </w:rPr>
        <w:t xml:space="preserve"> </w:t>
      </w:r>
      <w:r w:rsidR="005F21AC" w:rsidRPr="005F21AC">
        <w:rPr>
          <w:rFonts w:ascii="Arial" w:hAnsi="Arial" w:cs="Arial"/>
          <w:sz w:val="22"/>
          <w:szCs w:val="22"/>
        </w:rPr>
        <w:t xml:space="preserve">I fulfill these expectations by documenting clearly after patient interactions, participating in interdisciplinary team meetings, and promptly informing superiors of any unmet patient needs. Davidson et al. (2021) identified that communication between organizations enhanced patient experiences and support during service transitions. </w:t>
      </w:r>
      <w:r w:rsidRPr="00E36379">
        <w:rPr>
          <w:rFonts w:ascii="Arial" w:hAnsi="Arial" w:cs="Arial"/>
          <w:sz w:val="22"/>
          <w:szCs w:val="22"/>
        </w:rPr>
        <w:t>In my experience, effective coordination of discharge planning between hospital teams and community services leads to smoother transitions for patients returning home and lowers the risk of readmission. </w:t>
      </w:r>
    </w:p>
    <w:p w14:paraId="260AE6BF"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An area I would like to work on is that I need to be more confident in asking to contribute to multidisciplinary team conversations. I occasionally experience the reluctance to communicate my observations in the presence of more senior colleagues, although, as the professional worker with the most face-to-face contact with the patients, I tend to hold valuable information at times. I will respond to this by regularly being supervised and by actively soliciting feedback with my line manager to gain the confidence to represent my patients in a stronger role within the team.</w:t>
      </w:r>
    </w:p>
    <w:p w14:paraId="0B42F758" w14:textId="77777777" w:rsidR="00E36379" w:rsidRPr="00E36379" w:rsidRDefault="00E36379" w:rsidP="00E36379">
      <w:pPr>
        <w:pStyle w:val="Heading2"/>
        <w:rPr>
          <w:rFonts w:ascii="Arial" w:hAnsi="Arial" w:cs="Arial"/>
          <w:b/>
          <w:bCs/>
          <w:color w:val="auto"/>
        </w:rPr>
      </w:pPr>
      <w:bookmarkStart w:id="5" w:name="_Toc223230426"/>
      <w:r w:rsidRPr="00E36379">
        <w:rPr>
          <w:rFonts w:ascii="Arial" w:hAnsi="Arial" w:cs="Arial"/>
          <w:color w:val="auto"/>
        </w:rPr>
        <w:t>Ethics in My Nursing Practice</w:t>
      </w:r>
      <w:bookmarkEnd w:id="5"/>
    </w:p>
    <w:p w14:paraId="2317A929" w14:textId="33BFA160"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Nurse practice revolves around ethics. All the decisions I make are based on consideration of what is right to the patient before me. </w:t>
      </w:r>
      <w:r w:rsidR="005F21AC" w:rsidRPr="005F21AC">
        <w:rPr>
          <w:rFonts w:ascii="Arial" w:hAnsi="Arial" w:cs="Arial"/>
          <w:sz w:val="22"/>
          <w:szCs w:val="22"/>
        </w:rPr>
        <w:t>Beauchamp and Childress (2019) determine four ethical principles: autonomy, beneficence, non-maleficence, and justice, which will assist me in handling complex situations with clarity.</w:t>
      </w:r>
      <w:r w:rsidR="005F21AC">
        <w:rPr>
          <w:rFonts w:ascii="Arial" w:hAnsi="Arial" w:cs="Arial"/>
          <w:sz w:val="22"/>
          <w:szCs w:val="22"/>
        </w:rPr>
        <w:t xml:space="preserve"> </w:t>
      </w:r>
      <w:r w:rsidRPr="00E36379">
        <w:rPr>
          <w:rFonts w:ascii="Arial" w:hAnsi="Arial" w:cs="Arial"/>
          <w:sz w:val="22"/>
          <w:szCs w:val="22"/>
        </w:rPr>
        <w:t>My professional conduct is grounded on the HCPC Standards (2024) that underline the importance of honesty, the need to ensure confidentiality, the necessity to treat all patients with dignity, and the need to make their well-being a top priority (HCPC, 2024). I attempt to apply the 6 C’s of Care: care, compassion, competence, communication, courage, and commitment values to every patient encounter because they serve as a representation of what effective nursing practice looks and feels like in practice (NHS England, 2012).</w:t>
      </w:r>
    </w:p>
    <w:p w14:paraId="5DBD44BF" w14:textId="592B7021"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I faced an ethically challenging situation with </w:t>
      </w:r>
      <w:r w:rsidR="00AA18B4">
        <w:rPr>
          <w:rFonts w:ascii="Arial" w:hAnsi="Arial" w:cs="Arial"/>
          <w:sz w:val="22"/>
          <w:szCs w:val="22"/>
        </w:rPr>
        <w:t xml:space="preserve">another </w:t>
      </w:r>
      <w:r w:rsidRPr="00E36379">
        <w:rPr>
          <w:rFonts w:ascii="Arial" w:hAnsi="Arial" w:cs="Arial"/>
          <w:sz w:val="22"/>
          <w:szCs w:val="22"/>
        </w:rPr>
        <w:t>patient. She expressed her refusal to conform to the treatment plan suggested by her GP.</w:t>
      </w:r>
      <w:r w:rsidR="00AA18B4">
        <w:rPr>
          <w:rFonts w:ascii="Arial" w:hAnsi="Arial" w:cs="Arial"/>
          <w:sz w:val="22"/>
          <w:szCs w:val="22"/>
        </w:rPr>
        <w:t xml:space="preserve"> </w:t>
      </w:r>
      <w:r w:rsidRPr="00E36379">
        <w:rPr>
          <w:rFonts w:ascii="Arial" w:hAnsi="Arial" w:cs="Arial"/>
          <w:sz w:val="22"/>
          <w:szCs w:val="22"/>
        </w:rPr>
        <w:t xml:space="preserve">I needed to convince her to change her mind since I was very much concerned about her. Considering the principle of autonomy and the Mental Capacity Act 2005, I observed that </w:t>
      </w:r>
      <w:r w:rsidR="00AA18B4">
        <w:rPr>
          <w:rFonts w:ascii="Arial" w:hAnsi="Arial" w:cs="Arial"/>
          <w:sz w:val="22"/>
          <w:szCs w:val="22"/>
        </w:rPr>
        <w:t xml:space="preserve">the patient </w:t>
      </w:r>
      <w:r w:rsidRPr="00E36379">
        <w:rPr>
          <w:rFonts w:ascii="Arial" w:hAnsi="Arial" w:cs="Arial"/>
          <w:sz w:val="22"/>
          <w:szCs w:val="22"/>
        </w:rPr>
        <w:t>was completely able to make her own decisions as she had full mental capacity. I made sure that she had the information she needed in a way she could understand, and I did not force her choice. This was a hard one, but the right and legal one. Pakkanen et al. (2024) highlighted the ethical problem of patient autonomy versus professional concern for well-being in health and social care, illustrating that such complex cases are fundamental to nursing practice. To continue to evolve as an ethical nurse, I will use Gibbs Reflective Cycle (1988) regularly to ensure that I can reflect upon difficult situations in an organized way. It will assist me in knowing the areas I excelled in, the areas I should work on as well as what I still need to learn. I will also ensure that I remain informed of any changes in laws and professional recommendations. Through practicing continuous reflection, professional growth, and learning, I will become the nurse who will always provide safe, human, and ethical care, putting each patient at the heart of all my actions.</w:t>
      </w:r>
    </w:p>
    <w:p w14:paraId="410330D3"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w:t>
      </w:r>
    </w:p>
    <w:p w14:paraId="2094CA52" w14:textId="77777777" w:rsidR="00E36379" w:rsidRPr="00E36379" w:rsidRDefault="00E36379" w:rsidP="00E36379">
      <w:pPr>
        <w:spacing w:line="360" w:lineRule="auto"/>
        <w:rPr>
          <w:rFonts w:ascii="Arial" w:hAnsi="Arial" w:cs="Arial"/>
          <w:b/>
          <w:bCs/>
          <w:sz w:val="22"/>
          <w:szCs w:val="22"/>
        </w:rPr>
      </w:pPr>
    </w:p>
    <w:p w14:paraId="51988CBB" w14:textId="77777777" w:rsidR="00E36379" w:rsidRPr="00E36379" w:rsidRDefault="00E36379" w:rsidP="00E36379">
      <w:pPr>
        <w:spacing w:line="360" w:lineRule="auto"/>
        <w:rPr>
          <w:rFonts w:ascii="Arial" w:hAnsi="Arial" w:cs="Arial"/>
          <w:b/>
          <w:bCs/>
          <w:sz w:val="22"/>
          <w:szCs w:val="22"/>
        </w:rPr>
      </w:pPr>
    </w:p>
    <w:p w14:paraId="2DE370BE" w14:textId="77777777" w:rsidR="00E36379" w:rsidRPr="00E36379" w:rsidRDefault="00E36379" w:rsidP="00E36379">
      <w:pPr>
        <w:spacing w:line="360" w:lineRule="auto"/>
        <w:rPr>
          <w:rFonts w:ascii="Arial" w:hAnsi="Arial" w:cs="Arial"/>
          <w:b/>
          <w:bCs/>
          <w:sz w:val="22"/>
          <w:szCs w:val="22"/>
        </w:rPr>
      </w:pPr>
    </w:p>
    <w:p w14:paraId="19528FFB" w14:textId="77777777" w:rsidR="00E36379" w:rsidRPr="00E36379" w:rsidRDefault="00E36379" w:rsidP="00E36379">
      <w:pPr>
        <w:spacing w:line="360" w:lineRule="auto"/>
        <w:rPr>
          <w:rFonts w:ascii="Arial" w:hAnsi="Arial" w:cs="Arial"/>
          <w:b/>
          <w:bCs/>
          <w:sz w:val="22"/>
          <w:szCs w:val="22"/>
        </w:rPr>
      </w:pPr>
    </w:p>
    <w:p w14:paraId="7DF9D64D" w14:textId="77777777" w:rsidR="00E36379" w:rsidRPr="00E36379" w:rsidRDefault="00E36379" w:rsidP="00E36379">
      <w:pPr>
        <w:spacing w:line="360" w:lineRule="auto"/>
        <w:rPr>
          <w:rFonts w:ascii="Arial" w:hAnsi="Arial" w:cs="Arial"/>
          <w:b/>
          <w:bCs/>
          <w:sz w:val="22"/>
          <w:szCs w:val="22"/>
        </w:rPr>
      </w:pPr>
    </w:p>
    <w:p w14:paraId="1B731130" w14:textId="77777777" w:rsidR="00E36379" w:rsidRPr="00E36379" w:rsidRDefault="00E36379" w:rsidP="00E36379">
      <w:pPr>
        <w:spacing w:line="360" w:lineRule="auto"/>
        <w:rPr>
          <w:rFonts w:ascii="Arial" w:hAnsi="Arial" w:cs="Arial"/>
          <w:b/>
          <w:bCs/>
          <w:sz w:val="22"/>
          <w:szCs w:val="22"/>
        </w:rPr>
      </w:pPr>
    </w:p>
    <w:p w14:paraId="15384EE8" w14:textId="77777777" w:rsidR="00E36379" w:rsidRPr="00E36379" w:rsidRDefault="00E36379" w:rsidP="00E36379">
      <w:pPr>
        <w:spacing w:line="360" w:lineRule="auto"/>
        <w:rPr>
          <w:rFonts w:ascii="Arial" w:hAnsi="Arial" w:cs="Arial"/>
          <w:b/>
          <w:bCs/>
          <w:sz w:val="22"/>
          <w:szCs w:val="22"/>
        </w:rPr>
      </w:pPr>
    </w:p>
    <w:p w14:paraId="723D2DA7" w14:textId="77777777" w:rsidR="00E36379" w:rsidRDefault="00E36379" w:rsidP="00E36379">
      <w:pPr>
        <w:spacing w:line="360" w:lineRule="auto"/>
        <w:rPr>
          <w:rFonts w:ascii="Arial" w:hAnsi="Arial" w:cs="Arial"/>
          <w:b/>
          <w:bCs/>
          <w:sz w:val="22"/>
          <w:szCs w:val="22"/>
        </w:rPr>
      </w:pPr>
    </w:p>
    <w:p w14:paraId="089768A1" w14:textId="77777777" w:rsidR="00E36379" w:rsidRDefault="00E36379" w:rsidP="00E36379">
      <w:pPr>
        <w:spacing w:line="360" w:lineRule="auto"/>
        <w:rPr>
          <w:rFonts w:ascii="Arial" w:hAnsi="Arial" w:cs="Arial"/>
          <w:b/>
          <w:bCs/>
          <w:sz w:val="22"/>
          <w:szCs w:val="22"/>
        </w:rPr>
      </w:pPr>
    </w:p>
    <w:p w14:paraId="0E36BCC7" w14:textId="77777777" w:rsidR="00E36379" w:rsidRDefault="00E36379" w:rsidP="00E36379">
      <w:pPr>
        <w:spacing w:line="360" w:lineRule="auto"/>
        <w:rPr>
          <w:rFonts w:ascii="Arial" w:hAnsi="Arial" w:cs="Arial"/>
          <w:b/>
          <w:bCs/>
          <w:sz w:val="22"/>
          <w:szCs w:val="22"/>
        </w:rPr>
      </w:pPr>
    </w:p>
    <w:p w14:paraId="3274D589" w14:textId="3395A063" w:rsidR="00E36379" w:rsidRPr="00E36379" w:rsidRDefault="00E36379" w:rsidP="00E36379">
      <w:pPr>
        <w:pStyle w:val="Heading1"/>
        <w:rPr>
          <w:rFonts w:ascii="Arial" w:hAnsi="Arial" w:cs="Arial"/>
        </w:rPr>
      </w:pPr>
      <w:bookmarkStart w:id="6" w:name="_Toc223230427"/>
      <w:r w:rsidRPr="00E36379">
        <w:rPr>
          <w:rFonts w:ascii="Arial" w:hAnsi="Arial" w:cs="Arial"/>
        </w:rPr>
        <w:t>References</w:t>
      </w:r>
      <w:bookmarkEnd w:id="6"/>
    </w:p>
    <w:p w14:paraId="19B9EF4B" w14:textId="64F4C45B"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Beauchamp, T. L. and Childress, J. F. (2019) </w:t>
      </w:r>
      <w:r w:rsidRPr="00E36379">
        <w:rPr>
          <w:rFonts w:ascii="Arial" w:hAnsi="Arial" w:cs="Arial"/>
          <w:i/>
          <w:iCs/>
          <w:sz w:val="22"/>
          <w:szCs w:val="22"/>
        </w:rPr>
        <w:t>Principles of Biomedical Ethics</w:t>
      </w:r>
      <w:r w:rsidRPr="00E36379">
        <w:rPr>
          <w:rFonts w:ascii="Arial" w:hAnsi="Arial" w:cs="Arial"/>
          <w:sz w:val="22"/>
          <w:szCs w:val="22"/>
        </w:rPr>
        <w:t xml:space="preserve">. 8th </w:t>
      </w:r>
      <w:proofErr w:type="spellStart"/>
      <w:r w:rsidRPr="00E36379">
        <w:rPr>
          <w:rFonts w:ascii="Arial" w:hAnsi="Arial" w:cs="Arial"/>
          <w:sz w:val="22"/>
          <w:szCs w:val="22"/>
        </w:rPr>
        <w:t>edn</w:t>
      </w:r>
      <w:proofErr w:type="spellEnd"/>
      <w:r w:rsidRPr="00E36379">
        <w:rPr>
          <w:rFonts w:ascii="Arial" w:hAnsi="Arial" w:cs="Arial"/>
          <w:sz w:val="22"/>
          <w:szCs w:val="22"/>
        </w:rPr>
        <w:t>. New York: Oxford University Press.Available at:</w:t>
      </w:r>
      <w:hyperlink r:id="rId7" w:history="1">
        <w:r w:rsidRPr="00E36379">
          <w:rPr>
            <w:rStyle w:val="Hyperlink"/>
            <w:rFonts w:ascii="Arial" w:hAnsi="Arial" w:cs="Arial"/>
            <w:sz w:val="22"/>
            <w:szCs w:val="22"/>
          </w:rPr>
          <w:t xml:space="preserve"> https://global.oup.com/academic/product/principles-of-biomedical-ethics-9780190640873</w:t>
        </w:r>
      </w:hyperlink>
    </w:p>
    <w:p w14:paraId="0D1DC06E" w14:textId="77777777" w:rsidR="00E36379" w:rsidRPr="00E36379" w:rsidRDefault="00E36379" w:rsidP="00E36379">
      <w:pPr>
        <w:spacing w:line="360" w:lineRule="auto"/>
        <w:rPr>
          <w:rFonts w:ascii="Arial" w:hAnsi="Arial" w:cs="Arial"/>
          <w:sz w:val="22"/>
          <w:szCs w:val="22"/>
        </w:rPr>
      </w:pPr>
      <w:r w:rsidRPr="00E36379">
        <w:rPr>
          <w:rFonts w:ascii="Arial" w:hAnsi="Arial" w:cs="Arial"/>
          <w:i/>
          <w:iCs/>
          <w:sz w:val="22"/>
          <w:szCs w:val="22"/>
        </w:rPr>
        <w:t>Care Act 2014</w:t>
      </w:r>
      <w:r w:rsidRPr="00E36379">
        <w:rPr>
          <w:rFonts w:ascii="Arial" w:hAnsi="Arial" w:cs="Arial"/>
          <w:sz w:val="22"/>
          <w:szCs w:val="22"/>
        </w:rPr>
        <w:t>, c. 23. Available at:</w:t>
      </w:r>
      <w:hyperlink r:id="rId8" w:history="1">
        <w:r w:rsidRPr="00E36379">
          <w:rPr>
            <w:rStyle w:val="Hyperlink"/>
            <w:rFonts w:ascii="Arial" w:hAnsi="Arial" w:cs="Arial"/>
            <w:sz w:val="22"/>
            <w:szCs w:val="22"/>
          </w:rPr>
          <w:t xml:space="preserve"> https://www.legislation.gov.uk/ukpga/2014/23/contents</w:t>
        </w:r>
      </w:hyperlink>
      <w:r w:rsidRPr="00E36379">
        <w:rPr>
          <w:rFonts w:ascii="Arial" w:hAnsi="Arial" w:cs="Arial"/>
          <w:sz w:val="22"/>
          <w:szCs w:val="22"/>
        </w:rPr>
        <w:t> </w:t>
      </w:r>
    </w:p>
    <w:p w14:paraId="496BE792"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Davidson, L., Scott, J. and Forster, N., 2021. Patient experiences of integrated care within the United Kingdom: a systematic review. </w:t>
      </w:r>
      <w:r w:rsidRPr="00E36379">
        <w:rPr>
          <w:rFonts w:ascii="Arial" w:hAnsi="Arial" w:cs="Arial"/>
          <w:i/>
          <w:iCs/>
          <w:sz w:val="22"/>
          <w:szCs w:val="22"/>
        </w:rPr>
        <w:t>International journal of care coordination</w:t>
      </w:r>
      <w:r w:rsidRPr="00E36379">
        <w:rPr>
          <w:rFonts w:ascii="Arial" w:hAnsi="Arial" w:cs="Arial"/>
          <w:sz w:val="22"/>
          <w:szCs w:val="22"/>
        </w:rPr>
        <w:t xml:space="preserve">, </w:t>
      </w:r>
      <w:r w:rsidRPr="00E36379">
        <w:rPr>
          <w:rFonts w:ascii="Arial" w:hAnsi="Arial" w:cs="Arial"/>
          <w:i/>
          <w:iCs/>
          <w:sz w:val="22"/>
          <w:szCs w:val="22"/>
        </w:rPr>
        <w:t>24</w:t>
      </w:r>
      <w:r w:rsidRPr="00E36379">
        <w:rPr>
          <w:rFonts w:ascii="Arial" w:hAnsi="Arial" w:cs="Arial"/>
          <w:sz w:val="22"/>
          <w:szCs w:val="22"/>
        </w:rPr>
        <w:t>(2), pp.39-56. Available at:.</w:t>
      </w:r>
      <w:hyperlink r:id="rId9" w:history="1">
        <w:r w:rsidRPr="00E36379">
          <w:rPr>
            <w:rStyle w:val="Hyperlink"/>
            <w:rFonts w:ascii="Arial" w:hAnsi="Arial" w:cs="Arial"/>
            <w:sz w:val="22"/>
            <w:szCs w:val="22"/>
          </w:rPr>
          <w:t>https://journals.sagepub.com/doi/pdf/10.1177/20534345211004503</w:t>
        </w:r>
      </w:hyperlink>
    </w:p>
    <w:p w14:paraId="4B9F9AF0"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England, N.H.S., 2022. Working in partnership with people and communities: statutory guidance. </w:t>
      </w:r>
      <w:r w:rsidRPr="00E36379">
        <w:rPr>
          <w:rFonts w:ascii="Arial" w:hAnsi="Arial" w:cs="Arial"/>
          <w:i/>
          <w:iCs/>
          <w:sz w:val="22"/>
          <w:szCs w:val="22"/>
        </w:rPr>
        <w:t>Care DoHS</w:t>
      </w:r>
      <w:r w:rsidRPr="00E36379">
        <w:rPr>
          <w:rFonts w:ascii="Arial" w:hAnsi="Arial" w:cs="Arial"/>
          <w:sz w:val="22"/>
          <w:szCs w:val="22"/>
        </w:rPr>
        <w:t>.Available at:</w:t>
      </w:r>
      <w:hyperlink r:id="rId10" w:history="1">
        <w:r w:rsidRPr="00E36379">
          <w:rPr>
            <w:rStyle w:val="Hyperlink"/>
            <w:rFonts w:ascii="Arial" w:hAnsi="Arial" w:cs="Arial"/>
            <w:sz w:val="22"/>
            <w:szCs w:val="22"/>
          </w:rPr>
          <w:t>https://localdemocracyandhealth.com/wp-content/uploads/2024/11/8f21c-nhs-england-working-in-partnership-with-people-and-communities-statutory-guidance.pdf</w:t>
        </w:r>
      </w:hyperlink>
    </w:p>
    <w:p w14:paraId="4507CD4B"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Gibbs, G. (1988) </w:t>
      </w:r>
      <w:r w:rsidRPr="00E36379">
        <w:rPr>
          <w:rFonts w:ascii="Arial" w:hAnsi="Arial" w:cs="Arial"/>
          <w:i/>
          <w:iCs/>
          <w:sz w:val="22"/>
          <w:szCs w:val="22"/>
        </w:rPr>
        <w:t>Learning by Doing: A Guide to Teaching and Learning Methods</w:t>
      </w:r>
      <w:r w:rsidRPr="00E36379">
        <w:rPr>
          <w:rFonts w:ascii="Arial" w:hAnsi="Arial" w:cs="Arial"/>
          <w:sz w:val="22"/>
          <w:szCs w:val="22"/>
        </w:rPr>
        <w:t>. Oxford: Further Education Unit. Available at:</w:t>
      </w:r>
      <w:hyperlink r:id="rId11" w:history="1">
        <w:r w:rsidRPr="00E36379">
          <w:rPr>
            <w:rStyle w:val="Hyperlink"/>
            <w:rFonts w:ascii="Arial" w:hAnsi="Arial" w:cs="Arial"/>
            <w:sz w:val="22"/>
            <w:szCs w:val="22"/>
          </w:rPr>
          <w:t>https://www.scirp.org/reference/referencespapers?referenceid=2842620</w:t>
        </w:r>
      </w:hyperlink>
    </w:p>
    <w:p w14:paraId="575B837F"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Health and Care Professions Council (2024) </w:t>
      </w:r>
      <w:r w:rsidRPr="00E36379">
        <w:rPr>
          <w:rFonts w:ascii="Arial" w:hAnsi="Arial" w:cs="Arial"/>
          <w:i/>
          <w:iCs/>
          <w:sz w:val="22"/>
          <w:szCs w:val="22"/>
        </w:rPr>
        <w:t>Standards of conduct, performance and ethics</w:t>
      </w:r>
      <w:r w:rsidRPr="00E36379">
        <w:rPr>
          <w:rFonts w:ascii="Arial" w:hAnsi="Arial" w:cs="Arial"/>
          <w:sz w:val="22"/>
          <w:szCs w:val="22"/>
        </w:rPr>
        <w:t>. London: Health and Care Professions Council. Available at:</w:t>
      </w:r>
      <w:hyperlink r:id="rId12" w:history="1">
        <w:r w:rsidRPr="00E36379">
          <w:rPr>
            <w:rStyle w:val="Hyperlink"/>
            <w:rFonts w:ascii="Arial" w:hAnsi="Arial" w:cs="Arial"/>
            <w:sz w:val="22"/>
            <w:szCs w:val="22"/>
          </w:rPr>
          <w:t xml:space="preserve"> https://www.hcpc-uk.org/globalassets/resources/standards/standards-of-conduct-performance-and-ethics-2024.pdf</w:t>
        </w:r>
      </w:hyperlink>
      <w:r w:rsidRPr="00E36379">
        <w:rPr>
          <w:rFonts w:ascii="Arial" w:hAnsi="Arial" w:cs="Arial"/>
          <w:sz w:val="22"/>
          <w:szCs w:val="22"/>
        </w:rPr>
        <w:t> </w:t>
      </w:r>
    </w:p>
    <w:p w14:paraId="6CD08363"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Health and Care Professions Council (HCPC) (2024) Standards of Conduct, Performance and Ethics. London: HCPC. Available at:</w:t>
      </w:r>
      <w:hyperlink r:id="rId13" w:history="1">
        <w:r w:rsidRPr="00E36379">
          <w:rPr>
            <w:rStyle w:val="Hyperlink"/>
            <w:rFonts w:ascii="Arial" w:hAnsi="Arial" w:cs="Arial"/>
            <w:sz w:val="22"/>
            <w:szCs w:val="22"/>
          </w:rPr>
          <w:t xml:space="preserve"> https://www.hcpc-uk.org/standards/standards-of-conduct-performance-and-ethics/</w:t>
        </w:r>
      </w:hyperlink>
    </w:p>
    <w:p w14:paraId="164D6E85"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Maslow, A.H., 1943. A theory of human motivation. </w:t>
      </w:r>
      <w:r w:rsidRPr="00E36379">
        <w:rPr>
          <w:rFonts w:ascii="Arial" w:hAnsi="Arial" w:cs="Arial"/>
          <w:i/>
          <w:iCs/>
          <w:sz w:val="22"/>
          <w:szCs w:val="22"/>
        </w:rPr>
        <w:t>Psychological review</w:t>
      </w:r>
      <w:r w:rsidRPr="00E36379">
        <w:rPr>
          <w:rFonts w:ascii="Arial" w:hAnsi="Arial" w:cs="Arial"/>
          <w:sz w:val="22"/>
          <w:szCs w:val="22"/>
        </w:rPr>
        <w:t xml:space="preserve">, </w:t>
      </w:r>
      <w:r w:rsidRPr="00E36379">
        <w:rPr>
          <w:rFonts w:ascii="Arial" w:hAnsi="Arial" w:cs="Arial"/>
          <w:i/>
          <w:iCs/>
          <w:sz w:val="22"/>
          <w:szCs w:val="22"/>
        </w:rPr>
        <w:t>50</w:t>
      </w:r>
      <w:r w:rsidRPr="00E36379">
        <w:rPr>
          <w:rFonts w:ascii="Arial" w:hAnsi="Arial" w:cs="Arial"/>
          <w:sz w:val="22"/>
          <w:szCs w:val="22"/>
        </w:rPr>
        <w:t>(4), p.370.Available at:</w:t>
      </w:r>
      <w:hyperlink r:id="rId14" w:history="1">
        <w:r w:rsidRPr="00E36379">
          <w:rPr>
            <w:rStyle w:val="Hyperlink"/>
            <w:rFonts w:ascii="Arial" w:hAnsi="Arial" w:cs="Arial"/>
            <w:sz w:val="22"/>
            <w:szCs w:val="22"/>
          </w:rPr>
          <w:t>https://www.excelcentre.net/TheoryHumanMotivation.pdf</w:t>
        </w:r>
      </w:hyperlink>
    </w:p>
    <w:p w14:paraId="33959A0B"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Mental Capacity Act (2005) c.9. London: HMSO. Available at:</w:t>
      </w:r>
      <w:hyperlink r:id="rId15" w:history="1">
        <w:r w:rsidRPr="00E36379">
          <w:rPr>
            <w:rStyle w:val="Hyperlink"/>
            <w:rFonts w:ascii="Arial" w:hAnsi="Arial" w:cs="Arial"/>
            <w:sz w:val="22"/>
            <w:szCs w:val="22"/>
          </w:rPr>
          <w:t xml:space="preserve"> https://www.legislation.gov.uk/ukpga/2005/9/contents</w:t>
        </w:r>
      </w:hyperlink>
    </w:p>
    <w:p w14:paraId="0D43548B"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NHS England (2012) Compassion in Practice: Nursing, Midwifery and Care Staff – Our Vision and Strategy. London: NHS England. Available at: </w:t>
      </w:r>
      <w:hyperlink r:id="rId16" w:history="1">
        <w:r w:rsidRPr="00E36379">
          <w:rPr>
            <w:rStyle w:val="Hyperlink"/>
            <w:rFonts w:ascii="Arial" w:hAnsi="Arial" w:cs="Arial"/>
            <w:sz w:val="22"/>
            <w:szCs w:val="22"/>
          </w:rPr>
          <w:t>https://www.england.nhs.uk/wp-content/uploads/2012/12/compassion-in-practice.pdf</w:t>
        </w:r>
      </w:hyperlink>
    </w:p>
    <w:p w14:paraId="6B0F02FA"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Pakkanen, P., Häggman-Laitila, A., Pasanen, M. and Kangasniemi, M., 2024. Health and social care workers’ professional values: A cross-sectional study. </w:t>
      </w:r>
      <w:r w:rsidRPr="00E36379">
        <w:rPr>
          <w:rFonts w:ascii="Arial" w:hAnsi="Arial" w:cs="Arial"/>
          <w:i/>
          <w:iCs/>
          <w:sz w:val="22"/>
          <w:szCs w:val="22"/>
        </w:rPr>
        <w:t>Nursing ethics</w:t>
      </w:r>
      <w:r w:rsidRPr="00E36379">
        <w:rPr>
          <w:rFonts w:ascii="Arial" w:hAnsi="Arial" w:cs="Arial"/>
          <w:sz w:val="22"/>
          <w:szCs w:val="22"/>
        </w:rPr>
        <w:t xml:space="preserve">, </w:t>
      </w:r>
      <w:r w:rsidRPr="00E36379">
        <w:rPr>
          <w:rFonts w:ascii="Arial" w:hAnsi="Arial" w:cs="Arial"/>
          <w:i/>
          <w:iCs/>
          <w:sz w:val="22"/>
          <w:szCs w:val="22"/>
        </w:rPr>
        <w:t>31</w:t>
      </w:r>
      <w:r w:rsidRPr="00E36379">
        <w:rPr>
          <w:rFonts w:ascii="Arial" w:hAnsi="Arial" w:cs="Arial"/>
          <w:sz w:val="22"/>
          <w:szCs w:val="22"/>
        </w:rPr>
        <w:t>(5), pp.681-698.Available at:</w:t>
      </w:r>
      <w:hyperlink r:id="rId17" w:history="1">
        <w:r w:rsidRPr="00E36379">
          <w:rPr>
            <w:rStyle w:val="Hyperlink"/>
            <w:rFonts w:ascii="Arial" w:hAnsi="Arial" w:cs="Arial"/>
            <w:sz w:val="22"/>
            <w:szCs w:val="22"/>
          </w:rPr>
          <w:t>https://journals.sagepub.com/doi/pdf/10.1177/09697330231200569</w:t>
        </w:r>
      </w:hyperlink>
    </w:p>
    <w:p w14:paraId="39F230A6"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Thomson, L.J. and Chatterjee, H.J., 2024. Barriers and enablers of integrated care in the UK: a rapid evidence review of review articles and grey literature 2018–2022. </w:t>
      </w:r>
      <w:r w:rsidRPr="00E36379">
        <w:rPr>
          <w:rFonts w:ascii="Arial" w:hAnsi="Arial" w:cs="Arial"/>
          <w:i/>
          <w:iCs/>
          <w:sz w:val="22"/>
          <w:szCs w:val="22"/>
        </w:rPr>
        <w:t>Frontiers in Public Health</w:t>
      </w:r>
      <w:r w:rsidRPr="00E36379">
        <w:rPr>
          <w:rFonts w:ascii="Arial" w:hAnsi="Arial" w:cs="Arial"/>
          <w:sz w:val="22"/>
          <w:szCs w:val="22"/>
        </w:rPr>
        <w:t xml:space="preserve">, </w:t>
      </w:r>
      <w:r w:rsidRPr="00E36379">
        <w:rPr>
          <w:rFonts w:ascii="Arial" w:hAnsi="Arial" w:cs="Arial"/>
          <w:i/>
          <w:iCs/>
          <w:sz w:val="22"/>
          <w:szCs w:val="22"/>
        </w:rPr>
        <w:t>11</w:t>
      </w:r>
      <w:r w:rsidRPr="00E36379">
        <w:rPr>
          <w:rFonts w:ascii="Arial" w:hAnsi="Arial" w:cs="Arial"/>
          <w:sz w:val="22"/>
          <w:szCs w:val="22"/>
        </w:rPr>
        <w:t>, p.1286479.Available at:</w:t>
      </w:r>
      <w:hyperlink r:id="rId18" w:history="1">
        <w:r w:rsidRPr="00E36379">
          <w:rPr>
            <w:rStyle w:val="Hyperlink"/>
            <w:rFonts w:ascii="Arial" w:hAnsi="Arial" w:cs="Arial"/>
            <w:sz w:val="22"/>
            <w:szCs w:val="22"/>
          </w:rPr>
          <w:t>https://www.frontiersin.org/journals/public-health/articles/10.3389/fpubh.2023.1286479/pdf</w:t>
        </w:r>
      </w:hyperlink>
    </w:p>
    <w:p w14:paraId="1B4125A7"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Wilson, G. and Hutchison, J.S., 2025. In pursuit of a person-centered approach to care delivery: A qualitative descriptive study of the patient experience of a long-term conditions clinic in general practice. </w:t>
      </w:r>
      <w:r w:rsidRPr="00E36379">
        <w:rPr>
          <w:rFonts w:ascii="Arial" w:hAnsi="Arial" w:cs="Arial"/>
          <w:i/>
          <w:iCs/>
          <w:sz w:val="22"/>
          <w:szCs w:val="22"/>
        </w:rPr>
        <w:t>Qualitative Health Research</w:t>
      </w:r>
      <w:r w:rsidRPr="00E36379">
        <w:rPr>
          <w:rFonts w:ascii="Arial" w:hAnsi="Arial" w:cs="Arial"/>
          <w:sz w:val="22"/>
          <w:szCs w:val="22"/>
        </w:rPr>
        <w:t xml:space="preserve">, </w:t>
      </w:r>
      <w:r w:rsidRPr="00E36379">
        <w:rPr>
          <w:rFonts w:ascii="Arial" w:hAnsi="Arial" w:cs="Arial"/>
          <w:i/>
          <w:iCs/>
          <w:sz w:val="22"/>
          <w:szCs w:val="22"/>
        </w:rPr>
        <w:t>35</w:t>
      </w:r>
      <w:r w:rsidRPr="00E36379">
        <w:rPr>
          <w:rFonts w:ascii="Arial" w:hAnsi="Arial" w:cs="Arial"/>
          <w:sz w:val="22"/>
          <w:szCs w:val="22"/>
        </w:rPr>
        <w:t>(6), pp.680-696.Available at:</w:t>
      </w:r>
      <w:hyperlink r:id="rId19" w:history="1">
        <w:r w:rsidRPr="00E36379">
          <w:rPr>
            <w:rStyle w:val="Hyperlink"/>
            <w:rFonts w:ascii="Arial" w:hAnsi="Arial" w:cs="Arial"/>
            <w:sz w:val="22"/>
            <w:szCs w:val="22"/>
          </w:rPr>
          <w:t>https://journals.sagepub.com/doi/abs/10.1177/10497323241272003</w:t>
        </w:r>
      </w:hyperlink>
    </w:p>
    <w:p w14:paraId="2D4E26E0" w14:textId="77777777" w:rsidR="00E36379" w:rsidRPr="00E36379" w:rsidRDefault="00E36379" w:rsidP="00E36379">
      <w:pPr>
        <w:spacing w:line="360" w:lineRule="auto"/>
        <w:rPr>
          <w:rFonts w:ascii="Arial" w:hAnsi="Arial" w:cs="Arial"/>
          <w:sz w:val="22"/>
          <w:szCs w:val="22"/>
        </w:rPr>
      </w:pPr>
      <w:r w:rsidRPr="00E36379">
        <w:rPr>
          <w:rFonts w:ascii="Arial" w:hAnsi="Arial" w:cs="Arial"/>
          <w:sz w:val="22"/>
          <w:szCs w:val="22"/>
        </w:rPr>
        <w:t xml:space="preserve">Wong, K.C., Wong, F.K.Y., Yeung, W.F. and Chang, K., 2018. The effect of complex interventions on supporting self-care among community-dwelling older adults: a systematic review and meta-analysis. </w:t>
      </w:r>
      <w:r w:rsidRPr="00E36379">
        <w:rPr>
          <w:rFonts w:ascii="Arial" w:hAnsi="Arial" w:cs="Arial"/>
          <w:i/>
          <w:iCs/>
          <w:sz w:val="22"/>
          <w:szCs w:val="22"/>
        </w:rPr>
        <w:t>Age and Ageing</w:t>
      </w:r>
      <w:r w:rsidRPr="00E36379">
        <w:rPr>
          <w:rFonts w:ascii="Arial" w:hAnsi="Arial" w:cs="Arial"/>
          <w:sz w:val="22"/>
          <w:szCs w:val="22"/>
        </w:rPr>
        <w:t xml:space="preserve">, </w:t>
      </w:r>
      <w:r w:rsidRPr="00E36379">
        <w:rPr>
          <w:rFonts w:ascii="Arial" w:hAnsi="Arial" w:cs="Arial"/>
          <w:i/>
          <w:iCs/>
          <w:sz w:val="22"/>
          <w:szCs w:val="22"/>
        </w:rPr>
        <w:t>47</w:t>
      </w:r>
      <w:r w:rsidRPr="00E36379">
        <w:rPr>
          <w:rFonts w:ascii="Arial" w:hAnsi="Arial" w:cs="Arial"/>
          <w:sz w:val="22"/>
          <w:szCs w:val="22"/>
        </w:rPr>
        <w:t>(2), pp.185-193.Available at:</w:t>
      </w:r>
      <w:hyperlink r:id="rId20" w:history="1">
        <w:r w:rsidRPr="00E36379">
          <w:rPr>
            <w:rStyle w:val="Hyperlink"/>
            <w:rFonts w:ascii="Arial" w:hAnsi="Arial" w:cs="Arial"/>
            <w:sz w:val="22"/>
            <w:szCs w:val="22"/>
          </w:rPr>
          <w:t>https://academic.oup.com/ageing/article-pdf/47/2/185/24140667/afx151.pdf</w:t>
        </w:r>
      </w:hyperlink>
    </w:p>
    <w:sectPr w:rsidR="00E36379" w:rsidRPr="00E36379">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A549F" w14:textId="77777777" w:rsidR="00CE30E6" w:rsidRDefault="00CE30E6" w:rsidP="00E36379">
      <w:pPr>
        <w:spacing w:after="0" w:line="240" w:lineRule="auto"/>
      </w:pPr>
      <w:r>
        <w:separator/>
      </w:r>
    </w:p>
  </w:endnote>
  <w:endnote w:type="continuationSeparator" w:id="0">
    <w:p w14:paraId="3EB1521E" w14:textId="77777777" w:rsidR="00CE30E6" w:rsidRDefault="00CE30E6" w:rsidP="00E36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2024229"/>
      <w:docPartObj>
        <w:docPartGallery w:val="Page Numbers (Bottom of Page)"/>
        <w:docPartUnique/>
      </w:docPartObj>
    </w:sdtPr>
    <w:sdtEndPr>
      <w:rPr>
        <w:noProof/>
      </w:rPr>
    </w:sdtEndPr>
    <w:sdtContent>
      <w:p w14:paraId="6946F015" w14:textId="68295A93" w:rsidR="00E36379" w:rsidRDefault="00E363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8E5D38" w14:textId="77777777" w:rsidR="00E36379" w:rsidRDefault="00E363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FD2A6" w14:textId="77777777" w:rsidR="00CE30E6" w:rsidRDefault="00CE30E6" w:rsidP="00E36379">
      <w:pPr>
        <w:spacing w:after="0" w:line="240" w:lineRule="auto"/>
      </w:pPr>
      <w:r>
        <w:separator/>
      </w:r>
    </w:p>
  </w:footnote>
  <w:footnote w:type="continuationSeparator" w:id="0">
    <w:p w14:paraId="0B3BD218" w14:textId="77777777" w:rsidR="00CE30E6" w:rsidRDefault="00CE30E6" w:rsidP="00E363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379"/>
    <w:rsid w:val="0001269F"/>
    <w:rsid w:val="002062F1"/>
    <w:rsid w:val="002A6472"/>
    <w:rsid w:val="00367881"/>
    <w:rsid w:val="003A3815"/>
    <w:rsid w:val="00456E0E"/>
    <w:rsid w:val="005C6E61"/>
    <w:rsid w:val="005F21AC"/>
    <w:rsid w:val="006636B9"/>
    <w:rsid w:val="006734BC"/>
    <w:rsid w:val="007C604C"/>
    <w:rsid w:val="009C6FDD"/>
    <w:rsid w:val="00AA18B4"/>
    <w:rsid w:val="00BE617E"/>
    <w:rsid w:val="00CE30E6"/>
    <w:rsid w:val="00E27372"/>
    <w:rsid w:val="00E36379"/>
    <w:rsid w:val="00F135AA"/>
    <w:rsid w:val="00F45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B53E7"/>
  <w15:chartTrackingRefBased/>
  <w15:docId w15:val="{96633260-A6A3-4286-9698-D1083AA2E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3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363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63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63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63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63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3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3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3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3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363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63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63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63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63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3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3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379"/>
    <w:rPr>
      <w:rFonts w:eastAsiaTheme="majorEastAsia" w:cstheme="majorBidi"/>
      <w:color w:val="272727" w:themeColor="text1" w:themeTint="D8"/>
    </w:rPr>
  </w:style>
  <w:style w:type="paragraph" w:styleId="Title">
    <w:name w:val="Title"/>
    <w:basedOn w:val="Normal"/>
    <w:next w:val="Normal"/>
    <w:link w:val="TitleChar"/>
    <w:uiPriority w:val="10"/>
    <w:qFormat/>
    <w:rsid w:val="00E363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3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3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3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379"/>
    <w:pPr>
      <w:spacing w:before="160"/>
      <w:jc w:val="center"/>
    </w:pPr>
    <w:rPr>
      <w:i/>
      <w:iCs/>
      <w:color w:val="404040" w:themeColor="text1" w:themeTint="BF"/>
    </w:rPr>
  </w:style>
  <w:style w:type="character" w:customStyle="1" w:styleId="QuoteChar">
    <w:name w:val="Quote Char"/>
    <w:basedOn w:val="DefaultParagraphFont"/>
    <w:link w:val="Quote"/>
    <w:uiPriority w:val="29"/>
    <w:rsid w:val="00E36379"/>
    <w:rPr>
      <w:i/>
      <w:iCs/>
      <w:color w:val="404040" w:themeColor="text1" w:themeTint="BF"/>
    </w:rPr>
  </w:style>
  <w:style w:type="paragraph" w:styleId="ListParagraph">
    <w:name w:val="List Paragraph"/>
    <w:basedOn w:val="Normal"/>
    <w:uiPriority w:val="34"/>
    <w:qFormat/>
    <w:rsid w:val="00E36379"/>
    <w:pPr>
      <w:ind w:left="720"/>
      <w:contextualSpacing/>
    </w:pPr>
  </w:style>
  <w:style w:type="character" w:styleId="IntenseEmphasis">
    <w:name w:val="Intense Emphasis"/>
    <w:basedOn w:val="DefaultParagraphFont"/>
    <w:uiPriority w:val="21"/>
    <w:qFormat/>
    <w:rsid w:val="00E36379"/>
    <w:rPr>
      <w:i/>
      <w:iCs/>
      <w:color w:val="2F5496" w:themeColor="accent1" w:themeShade="BF"/>
    </w:rPr>
  </w:style>
  <w:style w:type="paragraph" w:styleId="IntenseQuote">
    <w:name w:val="Intense Quote"/>
    <w:basedOn w:val="Normal"/>
    <w:next w:val="Normal"/>
    <w:link w:val="IntenseQuoteChar"/>
    <w:uiPriority w:val="30"/>
    <w:qFormat/>
    <w:rsid w:val="00E363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6379"/>
    <w:rPr>
      <w:i/>
      <w:iCs/>
      <w:color w:val="2F5496" w:themeColor="accent1" w:themeShade="BF"/>
    </w:rPr>
  </w:style>
  <w:style w:type="character" w:styleId="IntenseReference">
    <w:name w:val="Intense Reference"/>
    <w:basedOn w:val="DefaultParagraphFont"/>
    <w:uiPriority w:val="32"/>
    <w:qFormat/>
    <w:rsid w:val="00E36379"/>
    <w:rPr>
      <w:b/>
      <w:bCs/>
      <w:smallCaps/>
      <w:color w:val="2F5496" w:themeColor="accent1" w:themeShade="BF"/>
      <w:spacing w:val="5"/>
    </w:rPr>
  </w:style>
  <w:style w:type="character" w:styleId="Hyperlink">
    <w:name w:val="Hyperlink"/>
    <w:basedOn w:val="DefaultParagraphFont"/>
    <w:uiPriority w:val="99"/>
    <w:unhideWhenUsed/>
    <w:rsid w:val="00E36379"/>
    <w:rPr>
      <w:color w:val="0563C1" w:themeColor="hyperlink"/>
      <w:u w:val="single"/>
    </w:rPr>
  </w:style>
  <w:style w:type="character" w:styleId="UnresolvedMention">
    <w:name w:val="Unresolved Mention"/>
    <w:basedOn w:val="DefaultParagraphFont"/>
    <w:uiPriority w:val="99"/>
    <w:semiHidden/>
    <w:unhideWhenUsed/>
    <w:rsid w:val="00E36379"/>
    <w:rPr>
      <w:color w:val="605E5C"/>
      <w:shd w:val="clear" w:color="auto" w:fill="E1DFDD"/>
    </w:rPr>
  </w:style>
  <w:style w:type="paragraph" w:styleId="TOCHeading">
    <w:name w:val="TOC Heading"/>
    <w:basedOn w:val="Heading1"/>
    <w:next w:val="Normal"/>
    <w:uiPriority w:val="39"/>
    <w:unhideWhenUsed/>
    <w:qFormat/>
    <w:rsid w:val="00E3637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36379"/>
    <w:pPr>
      <w:spacing w:after="100"/>
    </w:pPr>
  </w:style>
  <w:style w:type="paragraph" w:styleId="TOC2">
    <w:name w:val="toc 2"/>
    <w:basedOn w:val="Normal"/>
    <w:next w:val="Normal"/>
    <w:autoRedefine/>
    <w:uiPriority w:val="39"/>
    <w:unhideWhenUsed/>
    <w:rsid w:val="00E36379"/>
    <w:pPr>
      <w:spacing w:after="100"/>
      <w:ind w:left="240"/>
    </w:pPr>
  </w:style>
  <w:style w:type="paragraph" w:styleId="Header">
    <w:name w:val="header"/>
    <w:basedOn w:val="Normal"/>
    <w:link w:val="HeaderChar"/>
    <w:uiPriority w:val="99"/>
    <w:unhideWhenUsed/>
    <w:rsid w:val="00E363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379"/>
  </w:style>
  <w:style w:type="paragraph" w:styleId="Footer">
    <w:name w:val="footer"/>
    <w:basedOn w:val="Normal"/>
    <w:link w:val="FooterChar"/>
    <w:uiPriority w:val="99"/>
    <w:unhideWhenUsed/>
    <w:rsid w:val="00E363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hyperlink" Target="https://www.hcpc-uk.org/standards/standards-of-conduct-performance-and-ethics/" TargetMode="External"/><Relationship Id="rId18" Type="http://schemas.openxmlformats.org/officeDocument/2006/relationships/hyperlink" Target="https://www.frontiersin.org/journals/public-health/articles/10.3389/fpubh.2023.1286479/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global.oup.com/academic/product/principles-of-biomedical-ethics-9780190640873" TargetMode="External"/><Relationship Id="rId12" Type="http://schemas.openxmlformats.org/officeDocument/2006/relationships/hyperlink" Target="https://www.hcpc-uk.org/globalassets/resources/standards/standards-of-conduct-performance-and-ethics-2024.pdf" TargetMode="External"/><Relationship Id="rId17" Type="http://schemas.openxmlformats.org/officeDocument/2006/relationships/hyperlink" Target="https://journals.sagepub.com/doi/pdf/10.1177/09697330231200569" TargetMode="External"/><Relationship Id="rId2" Type="http://schemas.openxmlformats.org/officeDocument/2006/relationships/styles" Target="styles.xml"/><Relationship Id="rId16" Type="http://schemas.openxmlformats.org/officeDocument/2006/relationships/hyperlink" Target="https://www.england.nhs.uk/wp-content/uploads/2012/12/compassion-in-practice.pdf" TargetMode="External"/><Relationship Id="rId20" Type="http://schemas.openxmlformats.org/officeDocument/2006/relationships/hyperlink" Target="https://academic.oup.com/ageing/article-pdf/47/2/185/24140667/afx151.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rp.org/reference/referencespapers?referenceid=2842620" TargetMode="External"/><Relationship Id="rId5" Type="http://schemas.openxmlformats.org/officeDocument/2006/relationships/footnotes" Target="footnotes.xml"/><Relationship Id="rId15" Type="http://schemas.openxmlformats.org/officeDocument/2006/relationships/hyperlink" Target="https://www.legislation.gov.uk/ukpga/2005/9/contents" TargetMode="External"/><Relationship Id="rId23" Type="http://schemas.openxmlformats.org/officeDocument/2006/relationships/theme" Target="theme/theme1.xml"/><Relationship Id="rId10" Type="http://schemas.openxmlformats.org/officeDocument/2006/relationships/hyperlink" Target="https://localdemocracyandhealth.com/wp-content/uploads/2024/11/8f21c-nhs-england-working-in-partnership-with-people-and-communities-statutory-guidance.pdf" TargetMode="External"/><Relationship Id="rId19" Type="http://schemas.openxmlformats.org/officeDocument/2006/relationships/hyperlink" Target="https://journals.sagepub.com/doi/abs/10.1177/10497323241272003" TargetMode="External"/><Relationship Id="rId4" Type="http://schemas.openxmlformats.org/officeDocument/2006/relationships/webSettings" Target="webSettings.xml"/><Relationship Id="rId9" Type="http://schemas.openxmlformats.org/officeDocument/2006/relationships/hyperlink" Target="https://journals.sagepub.com/doi/pdf/10.1177/20534345211004503" TargetMode="External"/><Relationship Id="rId14" Type="http://schemas.openxmlformats.org/officeDocument/2006/relationships/hyperlink" Target="https://www.excelcentre.net/TheoryHumanMotivation.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88C4E-454F-4350-B8E9-8F31D95134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2881</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dina</dc:creator>
  <cp:keywords/>
  <dc:description/>
  <cp:lastModifiedBy>varisha Altash</cp:lastModifiedBy>
  <cp:revision>7</cp:revision>
  <dcterms:created xsi:type="dcterms:W3CDTF">2026-03-01T11:08:00Z</dcterms:created>
  <dcterms:modified xsi:type="dcterms:W3CDTF">2026-03-01T15:31:00Z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c13bfec1-7ff0-4a22-828c-d5048bcf1085</vt:lpwstr>
  </property>
</Properties>
</file>