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334881957"/>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1A5EF07A" w14:textId="180CAD8F" w:rsidR="008C130E" w:rsidRDefault="008C130E">
          <w:pPr>
            <w:pStyle w:val="NoSpacing"/>
            <w:spacing w:before="1540" w:after="240"/>
            <w:jc w:val="center"/>
            <w:rPr>
              <w:color w:val="156082" w:themeColor="accent1"/>
            </w:rPr>
          </w:pPr>
          <w:r>
            <w:rPr>
              <w:noProof/>
              <w:color w:val="156082" w:themeColor="accent1"/>
            </w:rPr>
            <w:drawing>
              <wp:anchor distT="0" distB="0" distL="114300" distR="114300" simplePos="0" relativeHeight="251660288" behindDoc="1" locked="0" layoutInCell="1" allowOverlap="1" wp14:anchorId="589B294D" wp14:editId="67233075">
                <wp:simplePos x="0" y="0"/>
                <wp:positionH relativeFrom="column">
                  <wp:posOffset>-768350</wp:posOffset>
                </wp:positionH>
                <wp:positionV relativeFrom="topMargin">
                  <wp:align>bottom</wp:align>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58297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sdt>
          <w:sdtPr>
            <w:rPr>
              <w:rFonts w:ascii="Arial Black" w:eastAsiaTheme="majorEastAsia" w:hAnsi="Arial Black" w:cstheme="majorBidi"/>
              <w:caps/>
              <w:color w:val="156082" w:themeColor="accent1"/>
              <w:sz w:val="72"/>
              <w:szCs w:val="72"/>
            </w:rPr>
            <w:alias w:val="Title"/>
            <w:tag w:val=""/>
            <w:id w:val="1735040861"/>
            <w:placeholder>
              <w:docPart w:val="D3EB29C4E4E0453B86488C140F8DFC51"/>
            </w:placeholder>
            <w:dataBinding w:prefixMappings="xmlns:ns0='http://purl.org/dc/elements/1.1/' xmlns:ns1='http://schemas.openxmlformats.org/package/2006/metadata/core-properties' " w:xpath="/ns1:coreProperties[1]/ns0:title[1]" w:storeItemID="{6C3C8BC8-F283-45AE-878A-BAB7291924A1}"/>
            <w:text/>
          </w:sdtPr>
          <w:sdtContent>
            <w:p w14:paraId="473C3157" w14:textId="4D71CFCA" w:rsidR="008C130E" w:rsidRPr="008C130E" w:rsidRDefault="008C130E">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80"/>
                  <w:szCs w:val="80"/>
                </w:rPr>
              </w:pPr>
              <w:r w:rsidRPr="008C130E">
                <w:rPr>
                  <w:rFonts w:ascii="Arial Black" w:eastAsiaTheme="majorEastAsia" w:hAnsi="Arial Black" w:cstheme="majorBidi"/>
                  <w:caps/>
                  <w:color w:val="156082" w:themeColor="accent1"/>
                  <w:sz w:val="72"/>
                  <w:szCs w:val="72"/>
                </w:rPr>
                <w:t>Opportunities and Threats to Social Enterprise</w:t>
              </w:r>
            </w:p>
          </w:sdtContent>
        </w:sdt>
        <w:p w14:paraId="6B3DB935" w14:textId="7718A333" w:rsidR="008C130E" w:rsidRDefault="008C130E">
          <w:pPr>
            <w:pStyle w:val="NoSpacing"/>
            <w:jc w:val="center"/>
            <w:rPr>
              <w:color w:val="156082" w:themeColor="accent1"/>
              <w:sz w:val="28"/>
              <w:szCs w:val="28"/>
            </w:rPr>
          </w:pPr>
        </w:p>
        <w:p w14:paraId="39F727F5" w14:textId="340CB38B" w:rsidR="008C130E" w:rsidRDefault="008C130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CB811D4" wp14:editId="6C90EAC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0-31T00:00:00Z">
                                    <w:dateFormat w:val="MMMM d, yyyy"/>
                                    <w:lid w:val="en-US"/>
                                    <w:storeMappedDataAs w:val="dateTime"/>
                                    <w:calendar w:val="gregorian"/>
                                  </w:date>
                                </w:sdtPr>
                                <w:sdtContent>
                                  <w:p w14:paraId="6F004C12" w14:textId="2CB99F3A" w:rsidR="008C130E" w:rsidRPr="008C130E" w:rsidRDefault="008C130E">
                                    <w:pPr>
                                      <w:pStyle w:val="NoSpacing"/>
                                      <w:spacing w:after="40"/>
                                      <w:jc w:val="center"/>
                                      <w:rPr>
                                        <w:rFonts w:ascii="Arial Black" w:hAnsi="Arial Black" w:cs="Arial"/>
                                        <w:caps/>
                                        <w:color w:val="156082" w:themeColor="accent1"/>
                                        <w:sz w:val="28"/>
                                        <w:szCs w:val="28"/>
                                      </w:rPr>
                                    </w:pPr>
                                    <w:r w:rsidRPr="008C130E">
                                      <w:rPr>
                                        <w:rFonts w:ascii="Arial Black" w:hAnsi="Arial Black" w:cs="Arial"/>
                                        <w:caps/>
                                        <w:color w:val="156082" w:themeColor="accent1"/>
                                        <w:sz w:val="28"/>
                                        <w:szCs w:val="28"/>
                                      </w:rPr>
                                      <w:t>October 31, 2025</w:t>
                                    </w:r>
                                  </w:p>
                                </w:sdtContent>
                              </w:sdt>
                              <w:p w14:paraId="79734958" w14:textId="610479FF" w:rsidR="008C130E" w:rsidRPr="008C130E" w:rsidRDefault="008C130E">
                                <w:pPr>
                                  <w:pStyle w:val="NoSpacing"/>
                                  <w:jc w:val="center"/>
                                  <w:rPr>
                                    <w:rFonts w:ascii="Arial Black" w:hAnsi="Arial Black" w:cs="Arial"/>
                                    <w:color w:val="156082" w:themeColor="accent1"/>
                                    <w:sz w:val="28"/>
                                    <w:szCs w:val="28"/>
                                  </w:rPr>
                                </w:pPr>
                                <w:sdt>
                                  <w:sdtPr>
                                    <w:rPr>
                                      <w:rFonts w:ascii="Arial Black" w:hAnsi="Arial Black" w:cs="Arial"/>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8C130E">
                                      <w:rPr>
                                        <w:rFonts w:ascii="Arial Black" w:hAnsi="Arial Black" w:cs="Arial"/>
                                        <w:caps/>
                                        <w:color w:val="156082" w:themeColor="accent1"/>
                                        <w:sz w:val="28"/>
                                        <w:szCs w:val="28"/>
                                      </w:rPr>
                                      <w:t>Module:</w:t>
                                    </w:r>
                                    <w:r w:rsidRPr="008C130E">
                                      <w:rPr>
                                        <w:rFonts w:ascii="Arial Black" w:hAnsi="Arial Black" w:cs="Arial"/>
                                        <w:caps/>
                                        <w:color w:val="156082" w:themeColor="accent1"/>
                                        <w:sz w:val="28"/>
                                        <w:szCs w:val="28"/>
                                      </w:rPr>
                                      <w:t xml:space="preserve"> </w:t>
                                    </w:r>
                                    <w:r w:rsidRPr="008C130E">
                                      <w:rPr>
                                        <w:rFonts w:ascii="Arial Black" w:hAnsi="Arial Black" w:cs="Arial"/>
                                        <w:caps/>
                                        <w:color w:val="156082" w:themeColor="accent1"/>
                                        <w:sz w:val="28"/>
                                        <w:szCs w:val="28"/>
                                      </w:rPr>
                                      <w:t>Social Enterprise: Theory and Practise</w:t>
                                    </w:r>
                                  </w:sdtContent>
                                </w:sdt>
                              </w:p>
                              <w:p w14:paraId="56D1AA15" w14:textId="5450CF0F" w:rsidR="008C130E" w:rsidRPr="008C130E" w:rsidRDefault="008C130E">
                                <w:pPr>
                                  <w:pStyle w:val="NoSpacing"/>
                                  <w:jc w:val="center"/>
                                  <w:rPr>
                                    <w:rFonts w:ascii="Arial Black" w:hAnsi="Arial Black" w:cs="Arial"/>
                                    <w:color w:val="156082" w:themeColor="accent1"/>
                                    <w:sz w:val="28"/>
                                    <w:szCs w:val="28"/>
                                  </w:rPr>
                                </w:pPr>
                                <w:sdt>
                                  <w:sdtPr>
                                    <w:rPr>
                                      <w:rFonts w:ascii="Arial Black" w:hAnsi="Arial Black" w:cs="Arial"/>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8C130E">
                                      <w:rPr>
                                        <w:rFonts w:ascii="Arial Black" w:hAnsi="Arial Black" w:cs="Arial"/>
                                        <w:color w:val="156082" w:themeColor="accent1"/>
                                        <w:sz w:val="28"/>
                                        <w:szCs w:val="28"/>
                                      </w:rPr>
                                      <w:t>Module code:</w:t>
                                    </w:r>
                                    <w:r w:rsidRPr="008C130E">
                                      <w:rPr>
                                        <w:rFonts w:ascii="Arial Black" w:hAnsi="Arial Black" w:cs="Arial"/>
                                        <w:color w:val="156082" w:themeColor="accent1"/>
                                        <w:sz w:val="28"/>
                                        <w:szCs w:val="28"/>
                                      </w:rPr>
                                      <w:t xml:space="preserve"> </w:t>
                                    </w:r>
                                    <w:r w:rsidRPr="008C130E">
                                      <w:rPr>
                                        <w:rFonts w:ascii="Arial Black" w:hAnsi="Arial Black" w:cs="Arial"/>
                                        <w:color w:val="156082" w:themeColor="accent1"/>
                                        <w:sz w:val="28"/>
                                        <w:szCs w:val="28"/>
                                      </w:rPr>
                                      <w:t>BMSE4009D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B811D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s="Arial"/>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0-31T00:00:00Z">
                              <w:dateFormat w:val="MMMM d, yyyy"/>
                              <w:lid w:val="en-US"/>
                              <w:storeMappedDataAs w:val="dateTime"/>
                              <w:calendar w:val="gregorian"/>
                            </w:date>
                          </w:sdtPr>
                          <w:sdtContent>
                            <w:p w14:paraId="6F004C12" w14:textId="2CB99F3A" w:rsidR="008C130E" w:rsidRPr="008C130E" w:rsidRDefault="008C130E">
                              <w:pPr>
                                <w:pStyle w:val="NoSpacing"/>
                                <w:spacing w:after="40"/>
                                <w:jc w:val="center"/>
                                <w:rPr>
                                  <w:rFonts w:ascii="Arial Black" w:hAnsi="Arial Black" w:cs="Arial"/>
                                  <w:caps/>
                                  <w:color w:val="156082" w:themeColor="accent1"/>
                                  <w:sz w:val="28"/>
                                  <w:szCs w:val="28"/>
                                </w:rPr>
                              </w:pPr>
                              <w:r w:rsidRPr="008C130E">
                                <w:rPr>
                                  <w:rFonts w:ascii="Arial Black" w:hAnsi="Arial Black" w:cs="Arial"/>
                                  <w:caps/>
                                  <w:color w:val="156082" w:themeColor="accent1"/>
                                  <w:sz w:val="28"/>
                                  <w:szCs w:val="28"/>
                                </w:rPr>
                                <w:t>October 31, 2025</w:t>
                              </w:r>
                            </w:p>
                          </w:sdtContent>
                        </w:sdt>
                        <w:p w14:paraId="79734958" w14:textId="610479FF" w:rsidR="008C130E" w:rsidRPr="008C130E" w:rsidRDefault="008C130E">
                          <w:pPr>
                            <w:pStyle w:val="NoSpacing"/>
                            <w:jc w:val="center"/>
                            <w:rPr>
                              <w:rFonts w:ascii="Arial Black" w:hAnsi="Arial Black" w:cs="Arial"/>
                              <w:color w:val="156082" w:themeColor="accent1"/>
                              <w:sz w:val="28"/>
                              <w:szCs w:val="28"/>
                            </w:rPr>
                          </w:pPr>
                          <w:sdt>
                            <w:sdtPr>
                              <w:rPr>
                                <w:rFonts w:ascii="Arial Black" w:hAnsi="Arial Black" w:cs="Arial"/>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8C130E">
                                <w:rPr>
                                  <w:rFonts w:ascii="Arial Black" w:hAnsi="Arial Black" w:cs="Arial"/>
                                  <w:caps/>
                                  <w:color w:val="156082" w:themeColor="accent1"/>
                                  <w:sz w:val="28"/>
                                  <w:szCs w:val="28"/>
                                </w:rPr>
                                <w:t>Module:</w:t>
                              </w:r>
                              <w:r w:rsidRPr="008C130E">
                                <w:rPr>
                                  <w:rFonts w:ascii="Arial Black" w:hAnsi="Arial Black" w:cs="Arial"/>
                                  <w:caps/>
                                  <w:color w:val="156082" w:themeColor="accent1"/>
                                  <w:sz w:val="28"/>
                                  <w:szCs w:val="28"/>
                                </w:rPr>
                                <w:t xml:space="preserve"> </w:t>
                              </w:r>
                              <w:r w:rsidRPr="008C130E">
                                <w:rPr>
                                  <w:rFonts w:ascii="Arial Black" w:hAnsi="Arial Black" w:cs="Arial"/>
                                  <w:caps/>
                                  <w:color w:val="156082" w:themeColor="accent1"/>
                                  <w:sz w:val="28"/>
                                  <w:szCs w:val="28"/>
                                </w:rPr>
                                <w:t>Social Enterprise: Theory and Practise</w:t>
                              </w:r>
                            </w:sdtContent>
                          </w:sdt>
                        </w:p>
                        <w:p w14:paraId="56D1AA15" w14:textId="5450CF0F" w:rsidR="008C130E" w:rsidRPr="008C130E" w:rsidRDefault="008C130E">
                          <w:pPr>
                            <w:pStyle w:val="NoSpacing"/>
                            <w:jc w:val="center"/>
                            <w:rPr>
                              <w:rFonts w:ascii="Arial Black" w:hAnsi="Arial Black" w:cs="Arial"/>
                              <w:color w:val="156082" w:themeColor="accent1"/>
                              <w:sz w:val="28"/>
                              <w:szCs w:val="28"/>
                            </w:rPr>
                          </w:pPr>
                          <w:sdt>
                            <w:sdtPr>
                              <w:rPr>
                                <w:rFonts w:ascii="Arial Black" w:hAnsi="Arial Black" w:cs="Arial"/>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8C130E">
                                <w:rPr>
                                  <w:rFonts w:ascii="Arial Black" w:hAnsi="Arial Black" w:cs="Arial"/>
                                  <w:color w:val="156082" w:themeColor="accent1"/>
                                  <w:sz w:val="28"/>
                                  <w:szCs w:val="28"/>
                                </w:rPr>
                                <w:t>Module code:</w:t>
                              </w:r>
                              <w:r w:rsidRPr="008C130E">
                                <w:rPr>
                                  <w:rFonts w:ascii="Arial Black" w:hAnsi="Arial Black" w:cs="Arial"/>
                                  <w:color w:val="156082" w:themeColor="accent1"/>
                                  <w:sz w:val="28"/>
                                  <w:szCs w:val="28"/>
                                </w:rPr>
                                <w:t xml:space="preserve"> </w:t>
                              </w:r>
                              <w:r w:rsidRPr="008C130E">
                                <w:rPr>
                                  <w:rFonts w:ascii="Arial Black" w:hAnsi="Arial Black" w:cs="Arial"/>
                                  <w:color w:val="156082" w:themeColor="accent1"/>
                                  <w:sz w:val="28"/>
                                  <w:szCs w:val="28"/>
                                </w:rPr>
                                <w:t>BMSE4009D</w:t>
                              </w:r>
                            </w:sdtContent>
                          </w:sdt>
                        </w:p>
                      </w:txbxContent>
                    </v:textbox>
                    <w10:wrap anchorx="margin" anchory="page"/>
                  </v:shape>
                </w:pict>
              </mc:Fallback>
            </mc:AlternateContent>
          </w:r>
        </w:p>
        <w:p w14:paraId="32654071" w14:textId="136381A1" w:rsidR="008C130E" w:rsidRDefault="008C130E">
          <w:pPr>
            <w:rPr>
              <w:rFonts w:ascii="Arial" w:hAnsi="Arial" w:cs="Arial"/>
            </w:rPr>
          </w:pPr>
          <w:r>
            <w:rPr>
              <w:rFonts w:ascii="Arial" w:hAnsi="Arial" w:cs="Arial"/>
            </w:rPr>
            <w:br w:type="page"/>
          </w:r>
        </w:p>
      </w:sdtContent>
    </w:sdt>
    <w:p w14:paraId="6FFDCA99" w14:textId="617075D4" w:rsidR="005E7B4C" w:rsidRPr="008C130E" w:rsidRDefault="005E7B4C" w:rsidP="005E7B4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lastRenderedPageBreak/>
        <w:t>Introduction</w:t>
      </w:r>
    </w:p>
    <w:p w14:paraId="101E2643" w14:textId="5575D776" w:rsidR="005E7B4C" w:rsidRPr="005E7B4C" w:rsidRDefault="005E7B4C" w:rsidP="005E7B4C">
      <w:pPr>
        <w:spacing w:line="480" w:lineRule="auto"/>
        <w:rPr>
          <w:rFonts w:ascii="Arial" w:hAnsi="Arial" w:cs="Arial"/>
        </w:rPr>
      </w:pPr>
      <w:r w:rsidRPr="005E7B4C">
        <w:rPr>
          <w:rFonts w:ascii="Arial" w:hAnsi="Arial" w:cs="Arial"/>
        </w:rPr>
        <w:t>Social enterprises exist to address social or environmental challenges while generating sufficient revenue for sustainability. They provide an approach to reconciling purpose and profit as parts of the same organi</w:t>
      </w:r>
      <w:r>
        <w:rPr>
          <w:rFonts w:ascii="Arial" w:hAnsi="Arial" w:cs="Arial"/>
        </w:rPr>
        <w:t>s</w:t>
      </w:r>
      <w:r w:rsidRPr="005E7B4C">
        <w:rPr>
          <w:rFonts w:ascii="Arial" w:hAnsi="Arial" w:cs="Arial"/>
        </w:rPr>
        <w:t xml:space="preserve">ation, which drives value creation but also requires difficult </w:t>
      </w:r>
      <w:r w:rsidRPr="005E7B4C">
        <w:rPr>
          <w:rFonts w:ascii="Arial" w:hAnsi="Arial" w:cs="Arial"/>
        </w:rPr>
        <w:t>trade-offs</w:t>
      </w:r>
      <w:r w:rsidRPr="005E7B4C">
        <w:rPr>
          <w:rFonts w:ascii="Arial" w:hAnsi="Arial" w:cs="Arial"/>
        </w:rPr>
        <w:t>. One means of examining their standing is through a SWOT analysis</w:t>
      </w:r>
      <w:r>
        <w:rPr>
          <w:rFonts w:ascii="Arial" w:hAnsi="Arial" w:cs="Arial"/>
        </w:rPr>
        <w:t xml:space="preserve">, </w:t>
      </w:r>
      <w:r w:rsidRPr="005E7B4C">
        <w:rPr>
          <w:rFonts w:ascii="Arial" w:hAnsi="Arial" w:cs="Arial"/>
        </w:rPr>
        <w:t>a bleeding honest accounting of strengths, weaknesses, opportunities, and threats</w:t>
      </w:r>
      <w:r>
        <w:rPr>
          <w:rFonts w:ascii="Arial" w:hAnsi="Arial" w:cs="Arial"/>
        </w:rPr>
        <w:t xml:space="preserve"> </w:t>
      </w:r>
      <w:r w:rsidRPr="005E7B4C">
        <w:rPr>
          <w:rFonts w:ascii="Arial" w:hAnsi="Arial" w:cs="Arial"/>
        </w:rPr>
        <w:t xml:space="preserve">to assess what is supportive and what prevents success (Weng &amp; Liu, 2018). Social enterprises operate with hybrid business models that seek to incorporate tools from market-oriented firms along with some </w:t>
      </w:r>
      <w:r w:rsidR="00340E39" w:rsidRPr="005E7B4C">
        <w:rPr>
          <w:rFonts w:ascii="Arial" w:hAnsi="Arial" w:cs="Arial"/>
        </w:rPr>
        <w:t>mission</w:t>
      </w:r>
      <w:r w:rsidRPr="005E7B4C">
        <w:rPr>
          <w:rFonts w:ascii="Arial" w:hAnsi="Arial" w:cs="Arial"/>
        </w:rPr>
        <w:t xml:space="preserve">, and often they achieve these aims by developing fair and inclusive value chains that reach normally excluded people (Doherty &amp; </w:t>
      </w:r>
      <w:proofErr w:type="spellStart"/>
      <w:r w:rsidRPr="005E7B4C">
        <w:rPr>
          <w:rFonts w:ascii="Arial" w:hAnsi="Arial" w:cs="Arial"/>
        </w:rPr>
        <w:t>Kittipanya</w:t>
      </w:r>
      <w:proofErr w:type="spellEnd"/>
      <w:r w:rsidRPr="005E7B4C">
        <w:rPr>
          <w:rFonts w:ascii="Arial" w:hAnsi="Arial" w:cs="Arial"/>
        </w:rPr>
        <w:t>-Ngam, 2021). The next sections of this essay use a SWOT lens, informed by empirical and real cases, to highlight what social enterprises potentially do well, where social enterprises potentially stumble, what future opportunities to pursue, and what threats they may face (Snowden, Oberoi, Halsall, 2021).</w:t>
      </w:r>
    </w:p>
    <w:p w14:paraId="6FAE9D45" w14:textId="77777777" w:rsidR="005E7B4C" w:rsidRPr="005E7B4C" w:rsidRDefault="005E7B4C" w:rsidP="005E7B4C">
      <w:pPr>
        <w:spacing w:line="480" w:lineRule="auto"/>
        <w:rPr>
          <w:rFonts w:ascii="Arial" w:hAnsi="Arial" w:cs="Arial"/>
        </w:rPr>
      </w:pPr>
    </w:p>
    <w:p w14:paraId="002BC2DE" w14:textId="77777777" w:rsidR="00340E39" w:rsidRDefault="00340E39" w:rsidP="005E7B4C">
      <w:pPr>
        <w:spacing w:line="480" w:lineRule="auto"/>
        <w:rPr>
          <w:rFonts w:ascii="Arial" w:hAnsi="Arial" w:cs="Arial"/>
        </w:rPr>
      </w:pPr>
    </w:p>
    <w:p w14:paraId="7E494EDA" w14:textId="77777777" w:rsidR="00340E39" w:rsidRDefault="00340E39" w:rsidP="005E7B4C">
      <w:pPr>
        <w:spacing w:line="480" w:lineRule="auto"/>
        <w:rPr>
          <w:rFonts w:ascii="Arial" w:hAnsi="Arial" w:cs="Arial"/>
        </w:rPr>
      </w:pPr>
    </w:p>
    <w:p w14:paraId="3A9293DE" w14:textId="77777777" w:rsidR="00340E39" w:rsidRDefault="00340E39" w:rsidP="005E7B4C">
      <w:pPr>
        <w:spacing w:line="480" w:lineRule="auto"/>
        <w:rPr>
          <w:rFonts w:ascii="Arial" w:hAnsi="Arial" w:cs="Arial"/>
        </w:rPr>
      </w:pPr>
    </w:p>
    <w:p w14:paraId="34107CA9" w14:textId="77777777" w:rsidR="00340E39" w:rsidRDefault="00340E39" w:rsidP="005E7B4C">
      <w:pPr>
        <w:spacing w:line="480" w:lineRule="auto"/>
        <w:rPr>
          <w:rFonts w:ascii="Arial" w:hAnsi="Arial" w:cs="Arial"/>
        </w:rPr>
      </w:pPr>
    </w:p>
    <w:p w14:paraId="3202F146" w14:textId="77777777" w:rsidR="00340E39" w:rsidRDefault="00340E39" w:rsidP="005E7B4C">
      <w:pPr>
        <w:spacing w:line="480" w:lineRule="auto"/>
        <w:rPr>
          <w:rFonts w:ascii="Arial" w:hAnsi="Arial" w:cs="Arial"/>
        </w:rPr>
      </w:pPr>
    </w:p>
    <w:p w14:paraId="74504E06" w14:textId="77777777" w:rsidR="008C130E" w:rsidRDefault="008C130E" w:rsidP="005E7B4C">
      <w:pPr>
        <w:spacing w:line="480" w:lineRule="auto"/>
        <w:rPr>
          <w:rFonts w:ascii="Arial" w:hAnsi="Arial" w:cs="Arial"/>
        </w:rPr>
      </w:pPr>
    </w:p>
    <w:p w14:paraId="275D7DC1" w14:textId="736E94D3" w:rsidR="00340E39" w:rsidRPr="008C130E" w:rsidRDefault="005E7B4C" w:rsidP="005E7B4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lastRenderedPageBreak/>
        <w:t>Strengths</w:t>
      </w:r>
    </w:p>
    <w:p w14:paraId="1EF628B7" w14:textId="77777777" w:rsidR="00340E39" w:rsidRDefault="005E7B4C" w:rsidP="005E7B4C">
      <w:pPr>
        <w:spacing w:line="480" w:lineRule="auto"/>
        <w:rPr>
          <w:rFonts w:ascii="Arial" w:hAnsi="Arial" w:cs="Arial"/>
        </w:rPr>
      </w:pPr>
      <w:r w:rsidRPr="005E7B4C">
        <w:rPr>
          <w:rFonts w:ascii="Arial" w:hAnsi="Arial" w:cs="Arial"/>
        </w:rPr>
        <w:t xml:space="preserve">A first strength of social enterprises is their sense of mission that creates energy and alignment. A strong sense of mission is helpful to a social enterprise as it creates to generate a loyal group of consumers or clients, dedicated staff, and partners who are aligned with mission, and thus one potential resource that will be difficult for the competition to replicate and can become a source of sustained competitive advantage (Barney, 1991). Consumers are increasingly looking to purchase goods that not only perform well but create social good along the way, thus generating a </w:t>
      </w:r>
      <w:r w:rsidR="00340E39" w:rsidRPr="005E7B4C">
        <w:rPr>
          <w:rFonts w:ascii="Arial" w:hAnsi="Arial" w:cs="Arial"/>
        </w:rPr>
        <w:t>favourable</w:t>
      </w:r>
      <w:r w:rsidRPr="005E7B4C">
        <w:rPr>
          <w:rFonts w:ascii="Arial" w:hAnsi="Arial" w:cs="Arial"/>
        </w:rPr>
        <w:t xml:space="preserve"> mission can serve as a brand differentiator that not only generates income, but social value (Becker, Waldner, Nitsch, &amp; Trautwein, 2023).</w:t>
      </w:r>
    </w:p>
    <w:p w14:paraId="2533EEBE" w14:textId="77777777" w:rsidR="00340E39" w:rsidRDefault="005E7B4C" w:rsidP="005E7B4C">
      <w:pPr>
        <w:spacing w:line="480" w:lineRule="auto"/>
        <w:rPr>
          <w:rFonts w:ascii="Arial" w:hAnsi="Arial" w:cs="Arial"/>
        </w:rPr>
      </w:pPr>
      <w:r w:rsidRPr="005E7B4C">
        <w:rPr>
          <w:rFonts w:ascii="Arial" w:hAnsi="Arial" w:cs="Arial"/>
        </w:rPr>
        <w:t xml:space="preserve">A second strength of social enterprises is the hybrid model </w:t>
      </w:r>
      <w:r w:rsidR="00340E39" w:rsidRPr="005E7B4C">
        <w:rPr>
          <w:rFonts w:ascii="Arial" w:hAnsi="Arial" w:cs="Arial"/>
        </w:rPr>
        <w:t>itself. A</w:t>
      </w:r>
      <w:r w:rsidRPr="005E7B4C">
        <w:rPr>
          <w:rFonts w:ascii="Arial" w:hAnsi="Arial" w:cs="Arial"/>
        </w:rPr>
        <w:t xml:space="preserve"> social enterprise can generate income, lessen the reliance on grants, and dedicate resources to enhancing delivery, while still embedding the mission in all activities, by selling valuable products or services. Big firms and social enterprises can partner in inclusive value chains, whereby small producers get </w:t>
      </w:r>
      <w:r w:rsidR="00340E39" w:rsidRPr="005E7B4C">
        <w:rPr>
          <w:rFonts w:ascii="Arial" w:hAnsi="Arial" w:cs="Arial"/>
        </w:rPr>
        <w:t>favourable</w:t>
      </w:r>
      <w:r w:rsidRPr="005E7B4C">
        <w:rPr>
          <w:rFonts w:ascii="Arial" w:hAnsi="Arial" w:cs="Arial"/>
        </w:rPr>
        <w:t xml:space="preserve"> terms of trade, training, and access to market, while consumer buyers also receive reliable, ethical supply (Doherty &amp; </w:t>
      </w:r>
      <w:proofErr w:type="spellStart"/>
      <w:r w:rsidRPr="005E7B4C">
        <w:rPr>
          <w:rFonts w:ascii="Arial" w:hAnsi="Arial" w:cs="Arial"/>
        </w:rPr>
        <w:t>Kittipanya</w:t>
      </w:r>
      <w:proofErr w:type="spellEnd"/>
      <w:r w:rsidRPr="005E7B4C">
        <w:rPr>
          <w:rFonts w:ascii="Arial" w:hAnsi="Arial" w:cs="Arial"/>
        </w:rPr>
        <w:t xml:space="preserve">-Ngam, 2021). Ten Thousand Villages, for example, connects women artisans to international consumers through fair-trade products and simple feedback loops that help to improve designs and income over time (Kim, 2023). Identifying a clear design-to-market connection turns social purpose into useful product choices that benefit producers and buyers alike (Kim, 2023). </w:t>
      </w:r>
    </w:p>
    <w:p w14:paraId="346AB292" w14:textId="77777777" w:rsidR="00340E39" w:rsidRDefault="005E7B4C" w:rsidP="005E7B4C">
      <w:pPr>
        <w:spacing w:line="480" w:lineRule="auto"/>
        <w:rPr>
          <w:rFonts w:ascii="Arial" w:hAnsi="Arial" w:cs="Arial"/>
        </w:rPr>
      </w:pPr>
      <w:r w:rsidRPr="005E7B4C">
        <w:rPr>
          <w:rFonts w:ascii="Arial" w:hAnsi="Arial" w:cs="Arial"/>
        </w:rPr>
        <w:t>A third strength is the ability to generate trust through straightforward disclosure. Social enterprises that are transparent about costs, margins, and outcomes allow people to recogni</w:t>
      </w:r>
      <w:r w:rsidR="00340E39">
        <w:rPr>
          <w:rFonts w:ascii="Arial" w:hAnsi="Arial" w:cs="Arial"/>
        </w:rPr>
        <w:t>s</w:t>
      </w:r>
      <w:r w:rsidRPr="005E7B4C">
        <w:rPr>
          <w:rFonts w:ascii="Arial" w:hAnsi="Arial" w:cs="Arial"/>
        </w:rPr>
        <w:t>e social value and are therefore more incentivi</w:t>
      </w:r>
      <w:r w:rsidR="00340E39">
        <w:rPr>
          <w:rFonts w:ascii="Arial" w:hAnsi="Arial" w:cs="Arial"/>
        </w:rPr>
        <w:t>s</w:t>
      </w:r>
      <w:r w:rsidRPr="005E7B4C">
        <w:rPr>
          <w:rFonts w:ascii="Arial" w:hAnsi="Arial" w:cs="Arial"/>
        </w:rPr>
        <w:t xml:space="preserve">ed to support the </w:t>
      </w:r>
      <w:r w:rsidRPr="005E7B4C">
        <w:rPr>
          <w:rFonts w:ascii="Arial" w:hAnsi="Arial" w:cs="Arial"/>
        </w:rPr>
        <w:lastRenderedPageBreak/>
        <w:t xml:space="preserve">social enterprise through consumption or donations (Becker et al., 2023). During the COVID-19 pandemic many social enterprises held firm and stuck to their communities, essentially continuing to serve those in need, and this </w:t>
      </w:r>
      <w:r w:rsidR="00340E39" w:rsidRPr="005E7B4C">
        <w:rPr>
          <w:rFonts w:ascii="Arial" w:hAnsi="Arial" w:cs="Arial"/>
        </w:rPr>
        <w:t>often-developed</w:t>
      </w:r>
      <w:r w:rsidRPr="005E7B4C">
        <w:rPr>
          <w:rFonts w:ascii="Arial" w:hAnsi="Arial" w:cs="Arial"/>
        </w:rPr>
        <w:t xml:space="preserve"> trust and highlighted the importance of sustained and ethical leadership (Snowden et al., 2021). </w:t>
      </w:r>
    </w:p>
    <w:p w14:paraId="594D20C5" w14:textId="77777777" w:rsidR="00340E39" w:rsidRDefault="005E7B4C" w:rsidP="005E7B4C">
      <w:pPr>
        <w:spacing w:line="480" w:lineRule="auto"/>
        <w:rPr>
          <w:rFonts w:ascii="Arial" w:hAnsi="Arial" w:cs="Arial"/>
        </w:rPr>
      </w:pPr>
      <w:r w:rsidRPr="005E7B4C">
        <w:rPr>
          <w:rFonts w:ascii="Arial" w:hAnsi="Arial" w:cs="Arial"/>
        </w:rPr>
        <w:t xml:space="preserve">A fourth strength is the learning habit. Tracking both money and mission with tools can help guide decision-making, reveal trade-offs, and make progress easier to track over time. All of this helps to enhance both impact and financial sustainability (Bull, 2007). When teams learn through short cycles of testing, measuring and then adapting they can improve products and services while remaining mission-focused (Bull, 2007). </w:t>
      </w:r>
    </w:p>
    <w:p w14:paraId="0B3FF345" w14:textId="77777777" w:rsidR="00340E39" w:rsidRPr="008C130E" w:rsidRDefault="005E7B4C" w:rsidP="005E7B4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t>Weaknesses</w:t>
      </w:r>
    </w:p>
    <w:p w14:paraId="57C3D098" w14:textId="77777777" w:rsidR="00340E39" w:rsidRDefault="005E7B4C" w:rsidP="005E7B4C">
      <w:pPr>
        <w:spacing w:line="480" w:lineRule="auto"/>
        <w:rPr>
          <w:rFonts w:ascii="Arial" w:hAnsi="Arial" w:cs="Arial"/>
        </w:rPr>
      </w:pPr>
      <w:r w:rsidRPr="005E7B4C">
        <w:rPr>
          <w:rFonts w:ascii="Arial" w:hAnsi="Arial" w:cs="Arial"/>
        </w:rPr>
        <w:t>One weakness is funding pressure. Many social enterprises are operating with thin margins and struggle with cash-flow pressure. They often serve individuals who lack the ability to pay or market situations with intense pricing pressures. Even when both grants and impact investment capital are available, creating a mix of capital can be complicated and take time to deploy, which is time leaders cannot spend with customers and on operations (Bull, 2007). And when sales plummet or costs increase, the mission may be threatened with no reserves or flexible finance to catch the failure as it is expected to happen (Bull, 2007).</w:t>
      </w:r>
    </w:p>
    <w:p w14:paraId="26D98793" w14:textId="77777777" w:rsidR="00340E39" w:rsidRDefault="005E7B4C" w:rsidP="005E7B4C">
      <w:pPr>
        <w:spacing w:line="480" w:lineRule="auto"/>
        <w:rPr>
          <w:rFonts w:ascii="Arial" w:hAnsi="Arial" w:cs="Arial"/>
        </w:rPr>
      </w:pPr>
      <w:r w:rsidRPr="005E7B4C">
        <w:rPr>
          <w:rFonts w:ascii="Arial" w:hAnsi="Arial" w:cs="Arial"/>
        </w:rPr>
        <w:t>A second weakness is measuring and demonstrating impact. While outputs are typically tracked, measuring outcomes and longer-term change can be elusive in the standard way that funders and policymakers want the information captured. And without agreed-upon indicators, it can be very difficult to show value for money,</w:t>
      </w:r>
    </w:p>
    <w:p w14:paraId="6FF6A11A" w14:textId="77777777" w:rsidR="00340E39" w:rsidRDefault="005E7B4C" w:rsidP="005E7B4C">
      <w:pPr>
        <w:spacing w:line="480" w:lineRule="auto"/>
        <w:rPr>
          <w:rFonts w:ascii="Arial" w:hAnsi="Arial" w:cs="Arial"/>
        </w:rPr>
      </w:pPr>
      <w:r w:rsidRPr="005E7B4C">
        <w:rPr>
          <w:rFonts w:ascii="Arial" w:hAnsi="Arial" w:cs="Arial"/>
        </w:rPr>
        <w:lastRenderedPageBreak/>
        <w:t>compare across projects or even decide where to scale, and audiences may wonder about the veracity of impact claims and measuring methods (Bull, 2007; Becker et al., 2023). Accurate, evidence-based reports that are communicated in simple language can go a long way; however, many teams do not have a sufficient data and reporting system to accomplish this (Becker et al., 2023).</w:t>
      </w:r>
    </w:p>
    <w:p w14:paraId="0A4B3E9C" w14:textId="77777777" w:rsidR="00340E39" w:rsidRDefault="005E7B4C" w:rsidP="005E7B4C">
      <w:pPr>
        <w:spacing w:line="480" w:lineRule="auto"/>
        <w:rPr>
          <w:rFonts w:ascii="Arial" w:hAnsi="Arial" w:cs="Arial"/>
        </w:rPr>
      </w:pPr>
      <w:r w:rsidRPr="005E7B4C">
        <w:rPr>
          <w:rFonts w:ascii="Arial" w:hAnsi="Arial" w:cs="Arial"/>
        </w:rPr>
        <w:t xml:space="preserve">A third weakness is mission–market tension. Hybrid models can create internal tensions between financial goals and social goals. Decisions about pricing strategies, product mix, and partner selection can pull in different directions, and leaders </w:t>
      </w:r>
      <w:r w:rsidR="00340E39" w:rsidRPr="005E7B4C">
        <w:rPr>
          <w:rFonts w:ascii="Arial" w:hAnsi="Arial" w:cs="Arial"/>
        </w:rPr>
        <w:t>must</w:t>
      </w:r>
      <w:r w:rsidRPr="005E7B4C">
        <w:rPr>
          <w:rFonts w:ascii="Arial" w:hAnsi="Arial" w:cs="Arial"/>
        </w:rPr>
        <w:t xml:space="preserve"> weigh these decisions to manage the internal tension to mitigate mission drift that damages both impact and brand (Doherty &amp; </w:t>
      </w:r>
      <w:proofErr w:type="spellStart"/>
      <w:r w:rsidRPr="005E7B4C">
        <w:rPr>
          <w:rFonts w:ascii="Arial" w:hAnsi="Arial" w:cs="Arial"/>
        </w:rPr>
        <w:t>Kittipanya</w:t>
      </w:r>
      <w:proofErr w:type="spellEnd"/>
      <w:r w:rsidRPr="005E7B4C">
        <w:rPr>
          <w:rFonts w:ascii="Arial" w:hAnsi="Arial" w:cs="Arial"/>
        </w:rPr>
        <w:t>-Ngam, 2021).</w:t>
      </w:r>
      <w:r w:rsidR="00340E39">
        <w:rPr>
          <w:rFonts w:ascii="Arial" w:hAnsi="Arial" w:cs="Arial"/>
        </w:rPr>
        <w:t xml:space="preserve"> </w:t>
      </w:r>
      <w:r w:rsidRPr="005E7B4C">
        <w:rPr>
          <w:rFonts w:ascii="Arial" w:hAnsi="Arial" w:cs="Arial"/>
        </w:rPr>
        <w:t>Having good governance structures, role definitions, and decision-making rules can help, but these are slow to build, and slow to maintain as the organi</w:t>
      </w:r>
      <w:r w:rsidR="00340E39">
        <w:rPr>
          <w:rFonts w:ascii="Arial" w:hAnsi="Arial" w:cs="Arial"/>
        </w:rPr>
        <w:t>s</w:t>
      </w:r>
      <w:r w:rsidRPr="005E7B4C">
        <w:rPr>
          <w:rFonts w:ascii="Arial" w:hAnsi="Arial" w:cs="Arial"/>
        </w:rPr>
        <w:t xml:space="preserve">ation scales (Doherty &amp; </w:t>
      </w:r>
      <w:proofErr w:type="spellStart"/>
      <w:r w:rsidRPr="005E7B4C">
        <w:rPr>
          <w:rFonts w:ascii="Arial" w:hAnsi="Arial" w:cs="Arial"/>
        </w:rPr>
        <w:t>Kittipanya</w:t>
      </w:r>
      <w:proofErr w:type="spellEnd"/>
      <w:r w:rsidRPr="005E7B4C">
        <w:rPr>
          <w:rFonts w:ascii="Arial" w:hAnsi="Arial" w:cs="Arial"/>
        </w:rPr>
        <w:t>-Ngam, 2021).</w:t>
      </w:r>
    </w:p>
    <w:p w14:paraId="0C7F0917" w14:textId="77777777" w:rsidR="00340E39" w:rsidRPr="008C130E" w:rsidRDefault="005E7B4C" w:rsidP="005E7B4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t>Opportunities</w:t>
      </w:r>
    </w:p>
    <w:p w14:paraId="7F771530" w14:textId="77777777" w:rsidR="002663EC" w:rsidRDefault="005E7B4C" w:rsidP="005E7B4C">
      <w:pPr>
        <w:spacing w:line="480" w:lineRule="auto"/>
        <w:rPr>
          <w:rFonts w:ascii="Arial" w:hAnsi="Arial" w:cs="Arial"/>
        </w:rPr>
      </w:pPr>
      <w:r w:rsidRPr="005E7B4C">
        <w:rPr>
          <w:rFonts w:ascii="Arial" w:hAnsi="Arial" w:cs="Arial"/>
        </w:rPr>
        <w:t xml:space="preserve">The first opportunity is the clear and strong shift in demand toward ethical and sustainable goods and services. Customers, investors, and employees are increasingly demanding proof of positive impact, increasing demand for fair-trade goods, inclusive services, and climate-friendly solutions (Becker et al., 2023). Social enterprises that can demonstrate a clearly traceable value </w:t>
      </w:r>
      <w:r w:rsidR="00340E39" w:rsidRPr="005E7B4C">
        <w:rPr>
          <w:rFonts w:ascii="Arial" w:hAnsi="Arial" w:cs="Arial"/>
        </w:rPr>
        <w:t>chain and</w:t>
      </w:r>
      <w:r w:rsidRPr="005E7B4C">
        <w:rPr>
          <w:rFonts w:ascii="Arial" w:hAnsi="Arial" w:cs="Arial"/>
        </w:rPr>
        <w:t xml:space="preserve"> have due diligence mechanisms to support credible impact reports are well-positioned to meet this demand (Becker et al., 2023).</w:t>
      </w:r>
    </w:p>
    <w:p w14:paraId="12BBD85A" w14:textId="78B9802C" w:rsidR="005E7B4C" w:rsidRPr="005E7B4C" w:rsidRDefault="005E7B4C" w:rsidP="005E7B4C">
      <w:pPr>
        <w:spacing w:line="480" w:lineRule="auto"/>
        <w:rPr>
          <w:rFonts w:ascii="Arial" w:hAnsi="Arial" w:cs="Arial"/>
        </w:rPr>
      </w:pPr>
      <w:r w:rsidRPr="005E7B4C">
        <w:rPr>
          <w:rFonts w:ascii="Arial" w:hAnsi="Arial" w:cs="Arial"/>
        </w:rPr>
        <w:t xml:space="preserve">The second opportunity is the growing trend of inclusive partnerships. Large firms, governments, and NGOs increasingly seek to partner with social enterprises from the impact domain to access underserved groups, share risk, and co-create </w:t>
      </w:r>
      <w:r w:rsidRPr="005E7B4C">
        <w:rPr>
          <w:rFonts w:ascii="Arial" w:hAnsi="Arial" w:cs="Arial"/>
        </w:rPr>
        <w:lastRenderedPageBreak/>
        <w:t xml:space="preserve">solutions that neither could deliver alone. In a successful partnership, larger partners include small producers into value chains, improve quality, and build stable routes to market while giving small producers the benefit of a larger and reliable supply chain and local insights (Doherty &amp; </w:t>
      </w:r>
      <w:proofErr w:type="spellStart"/>
      <w:r w:rsidRPr="005E7B4C">
        <w:rPr>
          <w:rFonts w:ascii="Arial" w:hAnsi="Arial" w:cs="Arial"/>
        </w:rPr>
        <w:t>Kittipanya</w:t>
      </w:r>
      <w:proofErr w:type="spellEnd"/>
      <w:r w:rsidRPr="005E7B4C">
        <w:rPr>
          <w:rFonts w:ascii="Arial" w:hAnsi="Arial" w:cs="Arial"/>
        </w:rPr>
        <w:t xml:space="preserve">-Ngam, 2021). </w:t>
      </w:r>
    </w:p>
    <w:p w14:paraId="3C062992" w14:textId="77777777" w:rsidR="002663EC" w:rsidRDefault="002663EC" w:rsidP="002663EC">
      <w:pPr>
        <w:spacing w:line="480" w:lineRule="auto"/>
        <w:rPr>
          <w:rFonts w:ascii="Arial" w:hAnsi="Arial" w:cs="Arial"/>
        </w:rPr>
      </w:pPr>
      <w:r w:rsidRPr="002663EC">
        <w:rPr>
          <w:rFonts w:ascii="Arial" w:hAnsi="Arial" w:cs="Arial"/>
        </w:rPr>
        <w:t>Digital tools present a third opportunity. E-commerce, mobile payments, and social media lower barriers to entry and allow small teams to test products, convey their narrative, and reach a global customer base at low cost. In the Ten Thousand Villages example, fast product development around customer feedback helps artisans update designs and align more with what buyers want, without sacrificing the mission, supporting income and, empowerment in women producers (Kim, 2023). Digital data also make timely and trusted impact reporting easier, especially when coupled with transparency and rigor in the methods (Becker et al., 2023).</w:t>
      </w:r>
    </w:p>
    <w:p w14:paraId="712ADAA1" w14:textId="6EBE86A9" w:rsidR="002663EC" w:rsidRPr="002663EC" w:rsidRDefault="002663EC" w:rsidP="002663EC">
      <w:pPr>
        <w:spacing w:line="480" w:lineRule="auto"/>
        <w:rPr>
          <w:rFonts w:ascii="Arial" w:hAnsi="Arial" w:cs="Arial"/>
        </w:rPr>
      </w:pPr>
      <w:r w:rsidRPr="002663EC">
        <w:rPr>
          <w:rFonts w:ascii="Arial" w:hAnsi="Arial" w:cs="Arial"/>
        </w:rPr>
        <w:t xml:space="preserve">A fourth opportunity is scaling what works. Different models such as replication, franchise, and network models make it possible for effective programs to scale while maintaining quality, </w:t>
      </w:r>
      <w:r w:rsidRPr="002663EC">
        <w:rPr>
          <w:rFonts w:ascii="Arial" w:hAnsi="Arial" w:cs="Arial"/>
        </w:rPr>
        <w:t>if</w:t>
      </w:r>
      <w:r w:rsidRPr="002663EC">
        <w:rPr>
          <w:rFonts w:ascii="Arial" w:hAnsi="Arial" w:cs="Arial"/>
        </w:rPr>
        <w:t xml:space="preserve"> the model's essence is documented and the rest can be adapted to local context without losing the elements of effectiveness (Bradach, 2003). When scaling works, enterprises </w:t>
      </w:r>
      <w:r w:rsidRPr="002663EC">
        <w:rPr>
          <w:rFonts w:ascii="Arial" w:hAnsi="Arial" w:cs="Arial"/>
        </w:rPr>
        <w:t>can</w:t>
      </w:r>
      <w:r w:rsidRPr="002663EC">
        <w:rPr>
          <w:rFonts w:ascii="Arial" w:hAnsi="Arial" w:cs="Arial"/>
        </w:rPr>
        <w:t xml:space="preserve"> lower unit costs, serve more people, and attract the talent and capital needed for lasting change (Bradach, 2003).</w:t>
      </w:r>
    </w:p>
    <w:p w14:paraId="3C2E77A8" w14:textId="77777777" w:rsidR="002663EC" w:rsidRPr="008C130E" w:rsidRDefault="002663EC" w:rsidP="002663E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t>Threats</w:t>
      </w:r>
    </w:p>
    <w:p w14:paraId="163E16B7" w14:textId="77777777" w:rsidR="002663EC" w:rsidRDefault="002663EC" w:rsidP="002663EC">
      <w:pPr>
        <w:spacing w:line="480" w:lineRule="auto"/>
        <w:rPr>
          <w:rFonts w:ascii="Arial" w:hAnsi="Arial" w:cs="Arial"/>
        </w:rPr>
      </w:pPr>
      <w:r w:rsidRPr="002663EC">
        <w:rPr>
          <w:rFonts w:ascii="Arial" w:hAnsi="Arial" w:cs="Arial"/>
        </w:rPr>
        <w:t xml:space="preserve">A first threat is market competition and copycat </w:t>
      </w:r>
      <w:r w:rsidRPr="002663EC">
        <w:rPr>
          <w:rFonts w:ascii="Arial" w:hAnsi="Arial" w:cs="Arial"/>
        </w:rPr>
        <w:t>organi</w:t>
      </w:r>
      <w:r>
        <w:rPr>
          <w:rFonts w:ascii="Arial" w:hAnsi="Arial" w:cs="Arial"/>
        </w:rPr>
        <w:t>s</w:t>
      </w:r>
      <w:r w:rsidRPr="002663EC">
        <w:rPr>
          <w:rFonts w:ascii="Arial" w:hAnsi="Arial" w:cs="Arial"/>
        </w:rPr>
        <w:t>ations. Traditional</w:t>
      </w:r>
      <w:r w:rsidRPr="002663EC">
        <w:rPr>
          <w:rFonts w:ascii="Arial" w:hAnsi="Arial" w:cs="Arial"/>
        </w:rPr>
        <w:t xml:space="preserve"> organi</w:t>
      </w:r>
      <w:r>
        <w:rPr>
          <w:rFonts w:ascii="Arial" w:hAnsi="Arial" w:cs="Arial"/>
        </w:rPr>
        <w:t>s</w:t>
      </w:r>
      <w:r w:rsidRPr="002663EC">
        <w:rPr>
          <w:rFonts w:ascii="Arial" w:hAnsi="Arial" w:cs="Arial"/>
        </w:rPr>
        <w:t xml:space="preserve">ations might use social language or brand products with a social cause, but this doesn't constitute real change or differentiate them from a 'real' social enterprise that is engaging for impact purposefully at its core or those that are just staying afloat with social spin marketing or advertising, but also does not add quotas for buyers' </w:t>
      </w:r>
      <w:r w:rsidRPr="002663EC">
        <w:rPr>
          <w:rFonts w:ascii="Arial" w:hAnsi="Arial" w:cs="Arial"/>
        </w:rPr>
        <w:lastRenderedPageBreak/>
        <w:t>"both social and market returns" (Becker et al., 2023). Similarly, if a rival organi</w:t>
      </w:r>
      <w:r>
        <w:rPr>
          <w:rFonts w:ascii="Arial" w:hAnsi="Arial" w:cs="Arial"/>
        </w:rPr>
        <w:t>s</w:t>
      </w:r>
      <w:r w:rsidRPr="002663EC">
        <w:rPr>
          <w:rFonts w:ascii="Arial" w:hAnsi="Arial" w:cs="Arial"/>
        </w:rPr>
        <w:t>ation, with greater resources, just imitates surface attributes, small social enterprises could also become restricted around price and attention</w:t>
      </w:r>
      <w:r>
        <w:rPr>
          <w:rFonts w:ascii="Arial" w:hAnsi="Arial" w:cs="Arial"/>
        </w:rPr>
        <w:t xml:space="preserve">, </w:t>
      </w:r>
      <w:r w:rsidRPr="002663EC">
        <w:rPr>
          <w:rFonts w:ascii="Arial" w:hAnsi="Arial" w:cs="Arial"/>
        </w:rPr>
        <w:t>limits that impact their growth and future investment (Becker, et al., 2023).</w:t>
      </w:r>
    </w:p>
    <w:p w14:paraId="7C005304" w14:textId="77777777" w:rsidR="002663EC" w:rsidRDefault="002663EC" w:rsidP="002663EC">
      <w:pPr>
        <w:spacing w:line="480" w:lineRule="auto"/>
        <w:rPr>
          <w:rFonts w:ascii="Arial" w:hAnsi="Arial" w:cs="Arial"/>
        </w:rPr>
      </w:pPr>
      <w:r w:rsidRPr="002663EC">
        <w:rPr>
          <w:rFonts w:ascii="Arial" w:hAnsi="Arial" w:cs="Arial"/>
        </w:rPr>
        <w:t xml:space="preserve">A second threat is the </w:t>
      </w:r>
      <w:r w:rsidRPr="002663EC">
        <w:rPr>
          <w:rFonts w:ascii="Arial" w:hAnsi="Arial" w:cs="Arial"/>
        </w:rPr>
        <w:t>vulnerability</w:t>
      </w:r>
      <w:r w:rsidRPr="002663EC">
        <w:rPr>
          <w:rFonts w:ascii="Arial" w:hAnsi="Arial" w:cs="Arial"/>
        </w:rPr>
        <w:t xml:space="preserve"> of trust in times of crisis. Prior studies demonstrated how rapidly things can change and that trust can melt away if an organi</w:t>
      </w:r>
      <w:r>
        <w:rPr>
          <w:rFonts w:ascii="Arial" w:hAnsi="Arial" w:cs="Arial"/>
        </w:rPr>
        <w:t>s</w:t>
      </w:r>
      <w:r w:rsidRPr="002663EC">
        <w:rPr>
          <w:rFonts w:ascii="Arial" w:hAnsi="Arial" w:cs="Arial"/>
        </w:rPr>
        <w:t xml:space="preserve">ation places people under pressure or cannot meet the demands and expectations of service (Snowden et al., 2021). Trust cannot be built, restored, and maintained for any </w:t>
      </w:r>
      <w:r w:rsidRPr="002663EC">
        <w:rPr>
          <w:rFonts w:ascii="Arial" w:hAnsi="Arial" w:cs="Arial"/>
        </w:rPr>
        <w:t>period</w:t>
      </w:r>
      <w:r w:rsidRPr="002663EC">
        <w:rPr>
          <w:rFonts w:ascii="Arial" w:hAnsi="Arial" w:cs="Arial"/>
        </w:rPr>
        <w:t xml:space="preserve"> without significant reporting, community engagement practices, and ethical leadership</w:t>
      </w:r>
      <w:r>
        <w:rPr>
          <w:rFonts w:ascii="Arial" w:hAnsi="Arial" w:cs="Arial"/>
        </w:rPr>
        <w:t xml:space="preserve">, </w:t>
      </w:r>
      <w:proofErr w:type="gramStart"/>
      <w:r w:rsidRPr="002663EC">
        <w:rPr>
          <w:rFonts w:ascii="Arial" w:hAnsi="Arial" w:cs="Arial"/>
        </w:rPr>
        <w:t>all the more</w:t>
      </w:r>
      <w:proofErr w:type="gramEnd"/>
      <w:r w:rsidRPr="002663EC">
        <w:rPr>
          <w:rFonts w:ascii="Arial" w:hAnsi="Arial" w:cs="Arial"/>
        </w:rPr>
        <w:t xml:space="preserve"> difficult to reali</w:t>
      </w:r>
      <w:r>
        <w:rPr>
          <w:rFonts w:ascii="Arial" w:hAnsi="Arial" w:cs="Arial"/>
        </w:rPr>
        <w:t>s</w:t>
      </w:r>
      <w:r w:rsidRPr="002663EC">
        <w:rPr>
          <w:rFonts w:ascii="Arial" w:hAnsi="Arial" w:cs="Arial"/>
        </w:rPr>
        <w:t>e when the organi</w:t>
      </w:r>
      <w:r>
        <w:rPr>
          <w:rFonts w:ascii="Arial" w:hAnsi="Arial" w:cs="Arial"/>
        </w:rPr>
        <w:t>s</w:t>
      </w:r>
      <w:r w:rsidRPr="002663EC">
        <w:rPr>
          <w:rFonts w:ascii="Arial" w:hAnsi="Arial" w:cs="Arial"/>
        </w:rPr>
        <w:t>ation begins rationing resources, while experiencing elevated community demands and commitments (Snowden et al, 2021).</w:t>
      </w:r>
    </w:p>
    <w:p w14:paraId="02BBD021" w14:textId="7B4633E9" w:rsidR="002663EC" w:rsidRPr="002663EC" w:rsidRDefault="002663EC" w:rsidP="002663EC">
      <w:pPr>
        <w:spacing w:line="480" w:lineRule="auto"/>
        <w:rPr>
          <w:rFonts w:ascii="Arial" w:hAnsi="Arial" w:cs="Arial"/>
        </w:rPr>
      </w:pPr>
      <w:r w:rsidRPr="002663EC">
        <w:rPr>
          <w:rFonts w:ascii="Arial" w:hAnsi="Arial" w:cs="Arial"/>
        </w:rPr>
        <w:t xml:space="preserve">A third threat is the uncertainty with policy, funding diligence and funding practice. Policies that establish the legal definitions, tax benefits, and access to public contracts differ locally and can change </w:t>
      </w:r>
      <w:r w:rsidRPr="002663EC">
        <w:rPr>
          <w:rFonts w:ascii="Arial" w:hAnsi="Arial" w:cs="Arial"/>
        </w:rPr>
        <w:t>politically,</w:t>
      </w:r>
      <w:r w:rsidRPr="002663EC">
        <w:rPr>
          <w:rFonts w:ascii="Arial" w:hAnsi="Arial" w:cs="Arial"/>
        </w:rPr>
        <w:t xml:space="preserve"> making long term and unknown planning difficult for current and new leaders. In many developing economies, much weaker infrastructures, limited financing, and limited skills further increase the risk when needs have not been larger and opportunities to make a difference are outgrown (Ramadani et al., 2022).</w:t>
      </w:r>
    </w:p>
    <w:p w14:paraId="7A2C2307" w14:textId="77777777" w:rsidR="002663EC" w:rsidRPr="002663EC" w:rsidRDefault="002663EC" w:rsidP="002663EC">
      <w:pPr>
        <w:spacing w:line="480" w:lineRule="auto"/>
        <w:rPr>
          <w:rFonts w:ascii="Arial" w:hAnsi="Arial" w:cs="Arial"/>
        </w:rPr>
      </w:pPr>
    </w:p>
    <w:p w14:paraId="2522B849" w14:textId="77777777" w:rsidR="002663EC" w:rsidRPr="002663EC" w:rsidRDefault="002663EC" w:rsidP="002663EC">
      <w:pPr>
        <w:spacing w:line="480" w:lineRule="auto"/>
        <w:rPr>
          <w:rFonts w:ascii="Arial" w:hAnsi="Arial" w:cs="Arial"/>
        </w:rPr>
      </w:pPr>
    </w:p>
    <w:p w14:paraId="43EDF9F4" w14:textId="77777777" w:rsidR="002663EC" w:rsidRDefault="002663EC" w:rsidP="002663EC">
      <w:pPr>
        <w:spacing w:line="480" w:lineRule="auto"/>
        <w:rPr>
          <w:rFonts w:ascii="Arial" w:hAnsi="Arial" w:cs="Arial"/>
        </w:rPr>
      </w:pPr>
    </w:p>
    <w:p w14:paraId="212E4FD4" w14:textId="77777777" w:rsidR="002663EC" w:rsidRDefault="002663EC" w:rsidP="002663EC">
      <w:pPr>
        <w:spacing w:line="480" w:lineRule="auto"/>
        <w:rPr>
          <w:rFonts w:ascii="Arial" w:hAnsi="Arial" w:cs="Arial"/>
        </w:rPr>
      </w:pPr>
    </w:p>
    <w:p w14:paraId="40048536" w14:textId="1B9AEACC" w:rsidR="002663EC" w:rsidRPr="008C130E" w:rsidRDefault="002663EC" w:rsidP="002663E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lastRenderedPageBreak/>
        <w:t xml:space="preserve">Conclusion </w:t>
      </w:r>
    </w:p>
    <w:p w14:paraId="447D81B9" w14:textId="3853D972" w:rsidR="005E7B4C" w:rsidRDefault="002663EC" w:rsidP="002663EC">
      <w:pPr>
        <w:spacing w:line="480" w:lineRule="auto"/>
        <w:rPr>
          <w:rFonts w:ascii="Arial" w:hAnsi="Arial" w:cs="Arial"/>
        </w:rPr>
      </w:pPr>
      <w:r w:rsidRPr="002663EC">
        <w:rPr>
          <w:rFonts w:ascii="Arial" w:hAnsi="Arial" w:cs="Arial"/>
        </w:rPr>
        <w:t>Social enterprises will offer a market driven approach to the space of socially challenging issues. They are strong in what the organi</w:t>
      </w:r>
      <w:r w:rsidR="008E5D9F">
        <w:rPr>
          <w:rFonts w:ascii="Arial" w:hAnsi="Arial" w:cs="Arial"/>
        </w:rPr>
        <w:t>s</w:t>
      </w:r>
      <w:r w:rsidRPr="002663EC">
        <w:rPr>
          <w:rFonts w:ascii="Arial" w:hAnsi="Arial" w:cs="Arial"/>
        </w:rPr>
        <w:t>ation is most often involved in, trust, hybrid models, and learning; however, are weak in sources of funding, measures of performance, and tension associated with mission and market. The environment they operate still provides opportunities, such as understanding demand and changing it, co-creating partnerships that provide relevant processes, digital relevance (from a community standpoint) creating stronger skills, and even learning increasingly about scaling</w:t>
      </w:r>
      <w:r w:rsidR="008E5D9F">
        <w:rPr>
          <w:rFonts w:ascii="Arial" w:hAnsi="Arial" w:cs="Arial"/>
        </w:rPr>
        <w:t xml:space="preserve">, </w:t>
      </w:r>
      <w:r w:rsidRPr="002663EC">
        <w:rPr>
          <w:rFonts w:ascii="Arial" w:hAnsi="Arial" w:cs="Arial"/>
        </w:rPr>
        <w:t>but they have at least as many threats, from imitative models, or the defining trust shock, new policies, different funding models, practice, or simply gaps that have different divisions with respect to increases in size of organi</w:t>
      </w:r>
      <w:r w:rsidR="008E5D9F">
        <w:rPr>
          <w:rFonts w:ascii="Arial" w:hAnsi="Arial" w:cs="Arial"/>
        </w:rPr>
        <w:t>s</w:t>
      </w:r>
      <w:r w:rsidRPr="002663EC">
        <w:rPr>
          <w:rFonts w:ascii="Arial" w:hAnsi="Arial" w:cs="Arial"/>
        </w:rPr>
        <w:t>ational level. Going forward, leaders must intentionally manage mission value like any other important strategic resource, through easy to write and communicate credible information; simply, creating the corresponding mechanisms toward performance measures; and value growth that protects the model but is also representative of the communities in context, social enterprises can explore opportunities towards scale in impact and income towards sustainable development (Barney, 1991; Becker et al., 2023; Bull, 2007; Bradach, 2003</w:t>
      </w:r>
      <w:r w:rsidR="008E5D9F">
        <w:rPr>
          <w:rFonts w:ascii="Arial" w:hAnsi="Arial" w:cs="Arial"/>
        </w:rPr>
        <w:t>).</w:t>
      </w:r>
    </w:p>
    <w:p w14:paraId="6BA663DF" w14:textId="77777777" w:rsidR="008E5D9F" w:rsidRDefault="008E5D9F" w:rsidP="002663EC">
      <w:pPr>
        <w:spacing w:line="480" w:lineRule="auto"/>
        <w:rPr>
          <w:rFonts w:ascii="Arial" w:hAnsi="Arial" w:cs="Arial"/>
        </w:rPr>
      </w:pPr>
    </w:p>
    <w:p w14:paraId="18E4E5DA" w14:textId="77777777" w:rsidR="008E5D9F" w:rsidRDefault="008E5D9F" w:rsidP="002663EC">
      <w:pPr>
        <w:spacing w:line="480" w:lineRule="auto"/>
        <w:rPr>
          <w:rFonts w:ascii="Arial" w:hAnsi="Arial" w:cs="Arial"/>
        </w:rPr>
      </w:pPr>
    </w:p>
    <w:p w14:paraId="1A10EEA7" w14:textId="77777777" w:rsidR="008E5D9F" w:rsidRDefault="008E5D9F" w:rsidP="002663EC">
      <w:pPr>
        <w:spacing w:line="480" w:lineRule="auto"/>
        <w:rPr>
          <w:rFonts w:ascii="Arial" w:hAnsi="Arial" w:cs="Arial"/>
        </w:rPr>
      </w:pPr>
    </w:p>
    <w:p w14:paraId="19BFF47D" w14:textId="77777777" w:rsidR="008E5D9F" w:rsidRDefault="008E5D9F" w:rsidP="002663EC">
      <w:pPr>
        <w:spacing w:line="480" w:lineRule="auto"/>
        <w:rPr>
          <w:rFonts w:ascii="Arial" w:hAnsi="Arial" w:cs="Arial"/>
        </w:rPr>
      </w:pPr>
    </w:p>
    <w:p w14:paraId="703E5B19" w14:textId="77777777" w:rsidR="008E5D9F" w:rsidRDefault="008E5D9F" w:rsidP="002663EC">
      <w:pPr>
        <w:spacing w:line="480" w:lineRule="auto"/>
        <w:rPr>
          <w:rFonts w:ascii="Arial" w:hAnsi="Arial" w:cs="Arial"/>
        </w:rPr>
      </w:pPr>
    </w:p>
    <w:p w14:paraId="7BFEF470" w14:textId="0C1F4626" w:rsidR="008E5D9F" w:rsidRPr="008C130E" w:rsidRDefault="008E5D9F" w:rsidP="002663EC">
      <w:pPr>
        <w:spacing w:line="480" w:lineRule="auto"/>
        <w:rPr>
          <w:rFonts w:ascii="Arial Black" w:hAnsi="Arial Black" w:cs="Arial"/>
          <w:color w:val="0F4761" w:themeColor="accent1" w:themeShade="BF"/>
        </w:rPr>
      </w:pPr>
      <w:r w:rsidRPr="008C130E">
        <w:rPr>
          <w:rFonts w:ascii="Arial Black" w:hAnsi="Arial Black" w:cs="Arial"/>
          <w:color w:val="0F4761" w:themeColor="accent1" w:themeShade="BF"/>
        </w:rPr>
        <w:lastRenderedPageBreak/>
        <w:t>Reference list</w:t>
      </w:r>
    </w:p>
    <w:p w14:paraId="6DBE8FAB" w14:textId="77777777" w:rsidR="008E5D9F" w:rsidRDefault="008E5D9F" w:rsidP="008E5D9F">
      <w:pPr>
        <w:spacing w:line="480" w:lineRule="auto"/>
        <w:rPr>
          <w:rFonts w:ascii="Arial" w:hAnsi="Arial" w:cs="Arial"/>
        </w:rPr>
      </w:pPr>
      <w:r w:rsidRPr="008E5D9F">
        <w:rPr>
          <w:rFonts w:ascii="Arial" w:hAnsi="Arial" w:cs="Arial"/>
        </w:rPr>
        <w:t xml:space="preserve">Barney, J. (1991). Firm resources and sustained competitive advantage. </w:t>
      </w:r>
      <w:r w:rsidRPr="008E5D9F">
        <w:rPr>
          <w:rFonts w:ascii="Arial" w:hAnsi="Arial" w:cs="Arial"/>
          <w:i/>
          <w:iCs/>
        </w:rPr>
        <w:t>Journal of Management, 17</w:t>
      </w:r>
      <w:r w:rsidRPr="008E5D9F">
        <w:rPr>
          <w:rFonts w:ascii="Arial" w:hAnsi="Arial" w:cs="Arial"/>
        </w:rPr>
        <w:t>(1), 99–120.</w:t>
      </w:r>
    </w:p>
    <w:p w14:paraId="7B867432" w14:textId="77777777" w:rsidR="008E5D9F" w:rsidRDefault="008E5D9F" w:rsidP="008E5D9F">
      <w:pPr>
        <w:spacing w:line="480" w:lineRule="auto"/>
        <w:rPr>
          <w:rFonts w:ascii="Arial" w:hAnsi="Arial" w:cs="Arial"/>
        </w:rPr>
      </w:pPr>
      <w:r w:rsidRPr="008E5D9F">
        <w:rPr>
          <w:rFonts w:ascii="Arial" w:hAnsi="Arial" w:cs="Arial"/>
        </w:rPr>
        <w:t xml:space="preserve">Becker, A., Waldner, C. J., Nitsch, L. J., &amp; Trautwein, S. (2023). Communicating social value: An experimental study on credible communication and social enterprises. </w:t>
      </w:r>
      <w:r w:rsidRPr="008E5D9F">
        <w:rPr>
          <w:rFonts w:ascii="Arial" w:hAnsi="Arial" w:cs="Arial"/>
          <w:i/>
          <w:iCs/>
        </w:rPr>
        <w:t>Nonprofit Management and Leadership, 33</w:t>
      </w:r>
      <w:r w:rsidRPr="008E5D9F">
        <w:rPr>
          <w:rFonts w:ascii="Arial" w:hAnsi="Arial" w:cs="Arial"/>
        </w:rPr>
        <w:t>(3), 511–533.</w:t>
      </w:r>
    </w:p>
    <w:p w14:paraId="537247B5" w14:textId="77777777" w:rsidR="008E5D9F" w:rsidRDefault="008E5D9F" w:rsidP="008E5D9F">
      <w:pPr>
        <w:spacing w:line="480" w:lineRule="auto"/>
        <w:rPr>
          <w:rFonts w:ascii="Arial" w:hAnsi="Arial" w:cs="Arial"/>
        </w:rPr>
      </w:pPr>
      <w:r w:rsidRPr="008E5D9F">
        <w:rPr>
          <w:rFonts w:ascii="Arial" w:hAnsi="Arial" w:cs="Arial"/>
        </w:rPr>
        <w:t xml:space="preserve">Bradach, J. L. (2003). Going to scale: The challenge of replicating social programs. </w:t>
      </w:r>
      <w:r w:rsidRPr="008E5D9F">
        <w:rPr>
          <w:rFonts w:ascii="Arial" w:hAnsi="Arial" w:cs="Arial"/>
          <w:i/>
          <w:iCs/>
        </w:rPr>
        <w:t>Stanford Social Innovation Review, 1</w:t>
      </w:r>
      <w:r w:rsidRPr="008E5D9F">
        <w:rPr>
          <w:rFonts w:ascii="Arial" w:hAnsi="Arial" w:cs="Arial"/>
        </w:rPr>
        <w:t>(1), 19–25.</w:t>
      </w:r>
    </w:p>
    <w:p w14:paraId="2012F07D" w14:textId="77777777" w:rsidR="008E5D9F" w:rsidRDefault="008E5D9F" w:rsidP="008E5D9F">
      <w:pPr>
        <w:spacing w:line="480" w:lineRule="auto"/>
        <w:rPr>
          <w:rFonts w:ascii="Arial" w:hAnsi="Arial" w:cs="Arial"/>
        </w:rPr>
      </w:pPr>
      <w:r w:rsidRPr="008E5D9F">
        <w:rPr>
          <w:rFonts w:ascii="Arial" w:hAnsi="Arial" w:cs="Arial"/>
        </w:rPr>
        <w:t xml:space="preserve">Bull, M. (2007). Balance: The development of a social enterprise business performance analysis tool. </w:t>
      </w:r>
      <w:r w:rsidRPr="008E5D9F">
        <w:rPr>
          <w:rFonts w:ascii="Arial" w:hAnsi="Arial" w:cs="Arial"/>
          <w:i/>
          <w:iCs/>
        </w:rPr>
        <w:t>Social Enterprise Journal, 3</w:t>
      </w:r>
      <w:r w:rsidRPr="008E5D9F">
        <w:rPr>
          <w:rFonts w:ascii="Arial" w:hAnsi="Arial" w:cs="Arial"/>
        </w:rPr>
        <w:t>(1), 49–66.</w:t>
      </w:r>
    </w:p>
    <w:p w14:paraId="285FD866" w14:textId="77777777" w:rsidR="008E5D9F" w:rsidRDefault="008E5D9F" w:rsidP="008E5D9F">
      <w:pPr>
        <w:spacing w:line="480" w:lineRule="auto"/>
        <w:rPr>
          <w:rFonts w:ascii="Arial" w:hAnsi="Arial" w:cs="Arial"/>
        </w:rPr>
      </w:pPr>
      <w:r w:rsidRPr="008E5D9F">
        <w:rPr>
          <w:rFonts w:ascii="Arial" w:hAnsi="Arial" w:cs="Arial"/>
        </w:rPr>
        <w:t xml:space="preserve">Doherty, B., &amp; </w:t>
      </w:r>
      <w:proofErr w:type="spellStart"/>
      <w:r w:rsidRPr="008E5D9F">
        <w:rPr>
          <w:rFonts w:ascii="Arial" w:hAnsi="Arial" w:cs="Arial"/>
        </w:rPr>
        <w:t>Kittipanya</w:t>
      </w:r>
      <w:proofErr w:type="spellEnd"/>
      <w:r w:rsidRPr="008E5D9F">
        <w:rPr>
          <w:rFonts w:ascii="Arial" w:hAnsi="Arial" w:cs="Arial"/>
        </w:rPr>
        <w:t xml:space="preserve">-Ngam, P. (2021). The role of social enterprise hybrid business models in inclusive value chain development. </w:t>
      </w:r>
      <w:r w:rsidRPr="008E5D9F">
        <w:rPr>
          <w:rFonts w:ascii="Arial" w:hAnsi="Arial" w:cs="Arial"/>
          <w:i/>
          <w:iCs/>
        </w:rPr>
        <w:t>Sustainability, 13(</w:t>
      </w:r>
      <w:r w:rsidRPr="008E5D9F">
        <w:rPr>
          <w:rFonts w:ascii="Arial" w:hAnsi="Arial" w:cs="Arial"/>
        </w:rPr>
        <w:t>2), 499.</w:t>
      </w:r>
    </w:p>
    <w:p w14:paraId="76E18D0A" w14:textId="5B13BC52" w:rsidR="008C130E" w:rsidRDefault="008C130E" w:rsidP="008E5D9F">
      <w:pPr>
        <w:spacing w:line="480" w:lineRule="auto"/>
        <w:rPr>
          <w:rFonts w:ascii="Arial" w:hAnsi="Arial" w:cs="Arial"/>
        </w:rPr>
      </w:pPr>
      <w:proofErr w:type="spellStart"/>
      <w:r w:rsidRPr="008C130E">
        <w:rPr>
          <w:rFonts w:ascii="Arial" w:hAnsi="Arial" w:cs="Arial"/>
        </w:rPr>
        <w:t>Incio</w:t>
      </w:r>
      <w:proofErr w:type="spellEnd"/>
      <w:r w:rsidRPr="008C130E">
        <w:rPr>
          <w:rFonts w:ascii="Arial" w:hAnsi="Arial" w:cs="Arial"/>
        </w:rPr>
        <w:t xml:space="preserve"> </w:t>
      </w:r>
      <w:proofErr w:type="spellStart"/>
      <w:r w:rsidRPr="008C130E">
        <w:rPr>
          <w:rFonts w:ascii="Arial" w:hAnsi="Arial" w:cs="Arial"/>
        </w:rPr>
        <w:t>Chavesta</w:t>
      </w:r>
      <w:proofErr w:type="spellEnd"/>
      <w:r w:rsidRPr="008C130E">
        <w:rPr>
          <w:rFonts w:ascii="Arial" w:hAnsi="Arial" w:cs="Arial"/>
        </w:rPr>
        <w:t xml:space="preserve">, J. E., Ramos Farroñán, E. V., </w:t>
      </w:r>
      <w:proofErr w:type="spellStart"/>
      <w:r w:rsidRPr="008C130E">
        <w:rPr>
          <w:rFonts w:ascii="Arial" w:hAnsi="Arial" w:cs="Arial"/>
        </w:rPr>
        <w:t>Arbulú</w:t>
      </w:r>
      <w:proofErr w:type="spellEnd"/>
      <w:r w:rsidRPr="008C130E">
        <w:rPr>
          <w:rFonts w:ascii="Arial" w:hAnsi="Arial" w:cs="Arial"/>
        </w:rPr>
        <w:t xml:space="preserve"> Ballesteros, M. A., Merino Núñez, M., Mendoza Zuta, J. C., Mendoza Zuta, L. K., Flores Solis, J. G., &amp; Reyes-Pérez, M. D. (2025). Exploring the challenges of social and sustainable entrepreneurship strategy: A review of the literature [Special issue]. </w:t>
      </w:r>
      <w:r w:rsidRPr="008C130E">
        <w:rPr>
          <w:rFonts w:ascii="Arial" w:hAnsi="Arial" w:cs="Arial"/>
          <w:i/>
          <w:iCs/>
        </w:rPr>
        <w:t>Corporate &amp; Business Strategy Review, 6</w:t>
      </w:r>
      <w:r w:rsidRPr="008C130E">
        <w:rPr>
          <w:rFonts w:ascii="Arial" w:hAnsi="Arial" w:cs="Arial"/>
        </w:rPr>
        <w:t xml:space="preserve">(1), 349–360. </w:t>
      </w:r>
      <w:hyperlink r:id="rId8" w:history="1">
        <w:r w:rsidRPr="0068784F">
          <w:rPr>
            <w:rStyle w:val="Hyperlink"/>
            <w:rFonts w:ascii="Arial" w:hAnsi="Arial" w:cs="Arial"/>
          </w:rPr>
          <w:t>https://doi.org/10.22495/cbsrv6i1siart11</w:t>
        </w:r>
      </w:hyperlink>
      <w:r>
        <w:rPr>
          <w:rFonts w:ascii="Arial" w:hAnsi="Arial" w:cs="Arial"/>
        </w:rPr>
        <w:t xml:space="preserve"> </w:t>
      </w:r>
    </w:p>
    <w:p w14:paraId="48DF8C19" w14:textId="77777777" w:rsidR="008E5D9F" w:rsidRDefault="008E5D9F" w:rsidP="008E5D9F">
      <w:pPr>
        <w:spacing w:line="480" w:lineRule="auto"/>
        <w:rPr>
          <w:rFonts w:ascii="Arial" w:hAnsi="Arial" w:cs="Arial"/>
        </w:rPr>
      </w:pPr>
      <w:r w:rsidRPr="008E5D9F">
        <w:rPr>
          <w:rFonts w:ascii="Arial" w:hAnsi="Arial" w:cs="Arial"/>
        </w:rPr>
        <w:t xml:space="preserve">Kim, E. (2023). Sustainable new product development for Ten Thousand Villages, a fair-trade social enterprise: Empowering women and economic development through problem-based service learning. </w:t>
      </w:r>
      <w:r w:rsidRPr="008E5D9F">
        <w:rPr>
          <w:rFonts w:ascii="Arial" w:hAnsi="Arial" w:cs="Arial"/>
          <w:i/>
          <w:iCs/>
        </w:rPr>
        <w:t>Sustainability, 15</w:t>
      </w:r>
      <w:r w:rsidRPr="008E5D9F">
        <w:rPr>
          <w:rFonts w:ascii="Arial" w:hAnsi="Arial" w:cs="Arial"/>
        </w:rPr>
        <w:t>(8), 6452.</w:t>
      </w:r>
    </w:p>
    <w:p w14:paraId="6091DAC2" w14:textId="77777777" w:rsidR="008E5D9F" w:rsidRDefault="008E5D9F" w:rsidP="008E5D9F">
      <w:pPr>
        <w:spacing w:line="480" w:lineRule="auto"/>
        <w:rPr>
          <w:rFonts w:ascii="Arial" w:hAnsi="Arial" w:cs="Arial"/>
        </w:rPr>
      </w:pPr>
      <w:r w:rsidRPr="008E5D9F">
        <w:rPr>
          <w:rFonts w:ascii="Arial" w:hAnsi="Arial" w:cs="Arial"/>
        </w:rPr>
        <w:t xml:space="preserve">Ramadani, V., Agarwal, S., Caputo, A., Agrawal, V., &amp; Dixit, J. K. (2022). Sustainable competencies of social entrepreneurship for sustainable development: Exploratory </w:t>
      </w:r>
      <w:r w:rsidRPr="008E5D9F">
        <w:rPr>
          <w:rFonts w:ascii="Arial" w:hAnsi="Arial" w:cs="Arial"/>
        </w:rPr>
        <w:lastRenderedPageBreak/>
        <w:t xml:space="preserve">analysis from a developing economy. </w:t>
      </w:r>
      <w:r w:rsidRPr="008E5D9F">
        <w:rPr>
          <w:rFonts w:ascii="Arial" w:hAnsi="Arial" w:cs="Arial"/>
          <w:i/>
          <w:iCs/>
        </w:rPr>
        <w:t>Business Strategy and the Environment, 31</w:t>
      </w:r>
      <w:r w:rsidRPr="008E5D9F">
        <w:rPr>
          <w:rFonts w:ascii="Arial" w:hAnsi="Arial" w:cs="Arial"/>
        </w:rPr>
        <w:t>(7), 3437–3453.</w:t>
      </w:r>
    </w:p>
    <w:p w14:paraId="3073D716" w14:textId="77777777" w:rsidR="008C130E" w:rsidRDefault="008E5D9F" w:rsidP="008E5D9F">
      <w:pPr>
        <w:spacing w:line="480" w:lineRule="auto"/>
        <w:rPr>
          <w:rFonts w:ascii="Arial" w:hAnsi="Arial" w:cs="Arial"/>
        </w:rPr>
      </w:pPr>
      <w:r w:rsidRPr="008E5D9F">
        <w:rPr>
          <w:rFonts w:ascii="Arial" w:hAnsi="Arial" w:cs="Arial"/>
        </w:rPr>
        <w:t xml:space="preserve">Snowden, M., Oberoi, R., &amp; Halsall, J. (2021). Reaffirming trust in social enterprise in the COVID-19 era: Ways forward. </w:t>
      </w:r>
      <w:r w:rsidRPr="008E5D9F">
        <w:rPr>
          <w:rFonts w:ascii="Arial" w:hAnsi="Arial" w:cs="Arial"/>
          <w:i/>
          <w:iCs/>
        </w:rPr>
        <w:t>Corporate Governance and Sustainability Review, 5(</w:t>
      </w:r>
      <w:r w:rsidRPr="008E5D9F">
        <w:rPr>
          <w:rFonts w:ascii="Arial" w:hAnsi="Arial" w:cs="Arial"/>
        </w:rPr>
        <w:t>1), 120–130.</w:t>
      </w:r>
    </w:p>
    <w:p w14:paraId="48334982" w14:textId="3B867644" w:rsidR="008E5D9F" w:rsidRDefault="008E5D9F" w:rsidP="008E5D9F">
      <w:pPr>
        <w:spacing w:line="480" w:lineRule="auto"/>
        <w:rPr>
          <w:rFonts w:ascii="Arial" w:hAnsi="Arial" w:cs="Arial"/>
        </w:rPr>
      </w:pPr>
      <w:r w:rsidRPr="008E5D9F">
        <w:rPr>
          <w:rFonts w:ascii="Arial" w:hAnsi="Arial" w:cs="Arial"/>
        </w:rPr>
        <w:t xml:space="preserve">Weng, J., &amp; Liu, T. (2018, June). Enterprise strategy analysis based on SWOT analysis. In </w:t>
      </w:r>
      <w:r w:rsidRPr="008E5D9F">
        <w:rPr>
          <w:rFonts w:ascii="Arial" w:hAnsi="Arial" w:cs="Arial"/>
          <w:i/>
          <w:iCs/>
        </w:rPr>
        <w:t xml:space="preserve">2018 International Conference on Sports, Arts, Education and Management Engineering </w:t>
      </w:r>
      <w:r w:rsidRPr="008E5D9F">
        <w:rPr>
          <w:rFonts w:ascii="Arial" w:hAnsi="Arial" w:cs="Arial"/>
        </w:rPr>
        <w:t>(SAEME 2018) (pp. 274–277). Atlantis Press.</w:t>
      </w:r>
    </w:p>
    <w:p w14:paraId="5AAF05A1" w14:textId="53F371E2" w:rsidR="008E5D9F" w:rsidRPr="005E7B4C" w:rsidRDefault="008E5D9F" w:rsidP="008E5D9F">
      <w:pPr>
        <w:spacing w:line="480" w:lineRule="auto"/>
        <w:rPr>
          <w:rFonts w:ascii="Arial" w:hAnsi="Arial" w:cs="Arial"/>
        </w:rPr>
      </w:pPr>
      <w:hyperlink r:id="rId9" w:history="1">
        <w:r w:rsidRPr="0068784F">
          <w:rPr>
            <w:rStyle w:val="Hyperlink"/>
            <w:rFonts w:ascii="Arial" w:hAnsi="Arial" w:cs="Arial"/>
          </w:rPr>
          <w:t>https://www.investopedia.com/terms/s/social-enterprise.asp</w:t>
        </w:r>
      </w:hyperlink>
      <w:r>
        <w:rPr>
          <w:rFonts w:ascii="Arial" w:hAnsi="Arial" w:cs="Arial"/>
        </w:rPr>
        <w:t xml:space="preserve"> </w:t>
      </w:r>
    </w:p>
    <w:sectPr w:rsidR="008E5D9F" w:rsidRPr="005E7B4C" w:rsidSect="008C130E">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7A0E6" w14:textId="77777777" w:rsidR="0060045D" w:rsidRDefault="0060045D" w:rsidP="008C130E">
      <w:pPr>
        <w:spacing w:after="0" w:line="240" w:lineRule="auto"/>
      </w:pPr>
      <w:r>
        <w:separator/>
      </w:r>
    </w:p>
  </w:endnote>
  <w:endnote w:type="continuationSeparator" w:id="0">
    <w:p w14:paraId="7C668742" w14:textId="77777777" w:rsidR="0060045D" w:rsidRDefault="0060045D" w:rsidP="008C1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2624B" w14:textId="77777777" w:rsidR="0060045D" w:rsidRDefault="0060045D" w:rsidP="008C130E">
      <w:pPr>
        <w:spacing w:after="0" w:line="240" w:lineRule="auto"/>
      </w:pPr>
      <w:r>
        <w:separator/>
      </w:r>
    </w:p>
  </w:footnote>
  <w:footnote w:type="continuationSeparator" w:id="0">
    <w:p w14:paraId="491DD22E" w14:textId="77777777" w:rsidR="0060045D" w:rsidRDefault="0060045D" w:rsidP="008C1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732150099"/>
      <w:docPartObj>
        <w:docPartGallery w:val="Page Numbers (Top of Page)"/>
        <w:docPartUnique/>
      </w:docPartObj>
    </w:sdtPr>
    <w:sdtEndPr>
      <w:rPr>
        <w:b/>
        <w:bCs/>
        <w:noProof/>
        <w:color w:val="auto"/>
        <w:spacing w:val="0"/>
      </w:rPr>
    </w:sdtEndPr>
    <w:sdtContent>
      <w:p w14:paraId="60202BF9" w14:textId="3DECEA81" w:rsidR="008C130E" w:rsidRDefault="008C130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F22821B" w14:textId="77777777" w:rsidR="008C130E" w:rsidRDefault="008C13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4C"/>
    <w:rsid w:val="002663EC"/>
    <w:rsid w:val="00340E39"/>
    <w:rsid w:val="005E7B4C"/>
    <w:rsid w:val="0060045D"/>
    <w:rsid w:val="00864D15"/>
    <w:rsid w:val="008C130E"/>
    <w:rsid w:val="008E5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EB78B"/>
  <w15:chartTrackingRefBased/>
  <w15:docId w15:val="{F56A6E8E-57F8-4D1F-BB85-A655FC78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B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B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B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B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B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B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B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B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B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B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B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B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B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B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B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B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B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B4C"/>
    <w:rPr>
      <w:rFonts w:eastAsiaTheme="majorEastAsia" w:cstheme="majorBidi"/>
      <w:color w:val="272727" w:themeColor="text1" w:themeTint="D8"/>
    </w:rPr>
  </w:style>
  <w:style w:type="paragraph" w:styleId="Title">
    <w:name w:val="Title"/>
    <w:basedOn w:val="Normal"/>
    <w:next w:val="Normal"/>
    <w:link w:val="TitleChar"/>
    <w:uiPriority w:val="10"/>
    <w:qFormat/>
    <w:rsid w:val="005E7B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B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B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B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B4C"/>
    <w:pPr>
      <w:spacing w:before="160"/>
      <w:jc w:val="center"/>
    </w:pPr>
    <w:rPr>
      <w:i/>
      <w:iCs/>
      <w:color w:val="404040" w:themeColor="text1" w:themeTint="BF"/>
    </w:rPr>
  </w:style>
  <w:style w:type="character" w:customStyle="1" w:styleId="QuoteChar">
    <w:name w:val="Quote Char"/>
    <w:basedOn w:val="DefaultParagraphFont"/>
    <w:link w:val="Quote"/>
    <w:uiPriority w:val="29"/>
    <w:rsid w:val="005E7B4C"/>
    <w:rPr>
      <w:i/>
      <w:iCs/>
      <w:color w:val="404040" w:themeColor="text1" w:themeTint="BF"/>
    </w:rPr>
  </w:style>
  <w:style w:type="paragraph" w:styleId="ListParagraph">
    <w:name w:val="List Paragraph"/>
    <w:basedOn w:val="Normal"/>
    <w:uiPriority w:val="34"/>
    <w:qFormat/>
    <w:rsid w:val="005E7B4C"/>
    <w:pPr>
      <w:ind w:left="720"/>
      <w:contextualSpacing/>
    </w:pPr>
  </w:style>
  <w:style w:type="character" w:styleId="IntenseEmphasis">
    <w:name w:val="Intense Emphasis"/>
    <w:basedOn w:val="DefaultParagraphFont"/>
    <w:uiPriority w:val="21"/>
    <w:qFormat/>
    <w:rsid w:val="005E7B4C"/>
    <w:rPr>
      <w:i/>
      <w:iCs/>
      <w:color w:val="0F4761" w:themeColor="accent1" w:themeShade="BF"/>
    </w:rPr>
  </w:style>
  <w:style w:type="paragraph" w:styleId="IntenseQuote">
    <w:name w:val="Intense Quote"/>
    <w:basedOn w:val="Normal"/>
    <w:next w:val="Normal"/>
    <w:link w:val="IntenseQuoteChar"/>
    <w:uiPriority w:val="30"/>
    <w:qFormat/>
    <w:rsid w:val="005E7B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B4C"/>
    <w:rPr>
      <w:i/>
      <w:iCs/>
      <w:color w:val="0F4761" w:themeColor="accent1" w:themeShade="BF"/>
    </w:rPr>
  </w:style>
  <w:style w:type="character" w:styleId="IntenseReference">
    <w:name w:val="Intense Reference"/>
    <w:basedOn w:val="DefaultParagraphFont"/>
    <w:uiPriority w:val="32"/>
    <w:qFormat/>
    <w:rsid w:val="005E7B4C"/>
    <w:rPr>
      <w:b/>
      <w:bCs/>
      <w:smallCaps/>
      <w:color w:val="0F4761" w:themeColor="accent1" w:themeShade="BF"/>
      <w:spacing w:val="5"/>
    </w:rPr>
  </w:style>
  <w:style w:type="character" w:styleId="Hyperlink">
    <w:name w:val="Hyperlink"/>
    <w:basedOn w:val="DefaultParagraphFont"/>
    <w:uiPriority w:val="99"/>
    <w:unhideWhenUsed/>
    <w:rsid w:val="008E5D9F"/>
    <w:rPr>
      <w:color w:val="467886" w:themeColor="hyperlink"/>
      <w:u w:val="single"/>
    </w:rPr>
  </w:style>
  <w:style w:type="character" w:styleId="UnresolvedMention">
    <w:name w:val="Unresolved Mention"/>
    <w:basedOn w:val="DefaultParagraphFont"/>
    <w:uiPriority w:val="99"/>
    <w:semiHidden/>
    <w:unhideWhenUsed/>
    <w:rsid w:val="008E5D9F"/>
    <w:rPr>
      <w:color w:val="605E5C"/>
      <w:shd w:val="clear" w:color="auto" w:fill="E1DFDD"/>
    </w:rPr>
  </w:style>
  <w:style w:type="paragraph" w:styleId="Header">
    <w:name w:val="header"/>
    <w:basedOn w:val="Normal"/>
    <w:link w:val="HeaderChar"/>
    <w:uiPriority w:val="99"/>
    <w:unhideWhenUsed/>
    <w:rsid w:val="008C1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30E"/>
  </w:style>
  <w:style w:type="paragraph" w:styleId="Footer">
    <w:name w:val="footer"/>
    <w:basedOn w:val="Normal"/>
    <w:link w:val="FooterChar"/>
    <w:uiPriority w:val="99"/>
    <w:unhideWhenUsed/>
    <w:rsid w:val="008C1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30E"/>
  </w:style>
  <w:style w:type="paragraph" w:styleId="NoSpacing">
    <w:name w:val="No Spacing"/>
    <w:link w:val="NoSpacingChar"/>
    <w:uiPriority w:val="1"/>
    <w:qFormat/>
    <w:rsid w:val="008C130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C130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495/cbsrv6i1siart1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nvestopedia.com/terms/s/social-enterprise.as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EB29C4E4E0453B86488C140F8DFC51"/>
        <w:category>
          <w:name w:val="General"/>
          <w:gallery w:val="placeholder"/>
        </w:category>
        <w:types>
          <w:type w:val="bbPlcHdr"/>
        </w:types>
        <w:behaviors>
          <w:behavior w:val="content"/>
        </w:behaviors>
        <w:guid w:val="{F6D60B19-AFFB-4A52-B8AD-5D00A89D6A7E}"/>
      </w:docPartPr>
      <w:docPartBody>
        <w:p w:rsidR="00000000" w:rsidRDefault="004C5CE7" w:rsidP="004C5CE7">
          <w:pPr>
            <w:pStyle w:val="D3EB29C4E4E0453B86488C140F8DFC5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CE7"/>
    <w:rsid w:val="00306396"/>
    <w:rsid w:val="004C5CE7"/>
    <w:rsid w:val="0086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EB29C4E4E0453B86488C140F8DFC51">
    <w:name w:val="D3EB29C4E4E0453B86488C140F8DFC51"/>
    <w:rsid w:val="004C5CE7"/>
  </w:style>
  <w:style w:type="paragraph" w:customStyle="1" w:styleId="C65613558FB04434AFA33D79CBF58E38">
    <w:name w:val="C65613558FB04434AFA33D79CBF58E38"/>
    <w:rsid w:val="004C5C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2025-10-31T00:00:00</PublishDate>
  <Abstract/>
  <CompanyAddress>Module code: BMSE4009D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2011</Words>
  <Characters>11469</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2025-10-29T18:33:00Z</dcterms:created>
  <dcterms:modified xsi:type="dcterms:W3CDTF">2025-10-29T19:22:00Z</dcterms:modified>
</cp:coreProperties>
</file>