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032E" w:rsidRDefault="00A2032E" w:rsidP="00A2032E">
      <w:pPr>
        <w:spacing w:before="100" w:beforeAutospacing="1" w:after="100" w:afterAutospacing="1" w:line="360" w:lineRule="auto"/>
        <w:rPr>
          <w:rFonts w:ascii="Times New Roman" w:eastAsia="Times New Roman" w:hAnsi="Times New Roman" w:cs="Times New Roman"/>
          <w:b/>
          <w:bCs/>
          <w:sz w:val="24"/>
          <w:szCs w:val="24"/>
          <w:lang w:eastAsia="en-GB"/>
        </w:rPr>
      </w:pPr>
      <w:r w:rsidRPr="00A2032E">
        <w:rPr>
          <w:rFonts w:ascii="Times New Roman" w:eastAsia="Times New Roman" w:hAnsi="Times New Roman" w:cs="Times New Roman"/>
          <w:b/>
          <w:bCs/>
          <w:sz w:val="24"/>
          <w:szCs w:val="24"/>
          <w:lang w:eastAsia="en-GB"/>
        </w:rPr>
        <w:t>The Role of Therapeutic Play in Enhancing Emotional and Social Development for Children from Diverse Backgrounds and Its Implications for Inclusive Education"</w:t>
      </w:r>
    </w:p>
    <w:p w:rsidR="00D1117F" w:rsidRPr="00D1117F" w:rsidRDefault="00637FD6" w:rsidP="00D1117F">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 </w:t>
      </w:r>
      <w:r w:rsidR="00DC154B">
        <w:rPr>
          <w:rFonts w:ascii="Times New Roman" w:eastAsia="Times New Roman" w:hAnsi="Times New Roman" w:cs="Times New Roman"/>
          <w:b/>
          <w:bCs/>
          <w:sz w:val="24"/>
          <w:szCs w:val="24"/>
          <w:lang w:eastAsia="en-GB"/>
        </w:rPr>
        <w:tab/>
      </w:r>
      <w:r w:rsidR="00D1117F" w:rsidRPr="00A2032E">
        <w:rPr>
          <w:rFonts w:ascii="Times New Roman" w:eastAsia="Times New Roman" w:hAnsi="Times New Roman" w:cs="Times New Roman"/>
          <w:sz w:val="24"/>
          <w:szCs w:val="24"/>
          <w:lang w:eastAsia="en-GB"/>
        </w:rPr>
        <w:t xml:space="preserve">Childhood is a sensitive period in a child’s emotional and social development when they become aware of, recognise, express, or understand their feelings, make friends, and interact with the world (Denham, 2006; </w:t>
      </w:r>
      <w:proofErr w:type="spellStart"/>
      <w:r w:rsidR="00D1117F" w:rsidRPr="00A2032E">
        <w:rPr>
          <w:rFonts w:ascii="Times New Roman" w:eastAsia="Times New Roman" w:hAnsi="Times New Roman" w:cs="Times New Roman"/>
          <w:sz w:val="24"/>
          <w:szCs w:val="24"/>
          <w:lang w:eastAsia="en-GB"/>
        </w:rPr>
        <w:t>Shonkoff</w:t>
      </w:r>
      <w:proofErr w:type="spellEnd"/>
      <w:r w:rsidR="00D1117F" w:rsidRPr="00A2032E">
        <w:rPr>
          <w:rFonts w:ascii="Times New Roman" w:eastAsia="Times New Roman" w:hAnsi="Times New Roman" w:cs="Times New Roman"/>
          <w:sz w:val="24"/>
          <w:szCs w:val="24"/>
          <w:lang w:eastAsia="en-GB"/>
        </w:rPr>
        <w:t xml:space="preserve"> &amp; Phillips, 2000). However, children are not a homogeneous group; they come from diverse cultural, social, and familial backgrounds, which shape their understanding of the world. Some may experience developmental difficulties, disabilities, or adverse childhood experiences (</w:t>
      </w:r>
      <w:proofErr w:type="spellStart"/>
      <w:r w:rsidR="00D1117F" w:rsidRPr="00A2032E">
        <w:rPr>
          <w:rFonts w:ascii="Times New Roman" w:eastAsia="Times New Roman" w:hAnsi="Times New Roman" w:cs="Times New Roman"/>
          <w:sz w:val="24"/>
          <w:szCs w:val="24"/>
          <w:lang w:eastAsia="en-GB"/>
        </w:rPr>
        <w:t>Bronfenbrenner</w:t>
      </w:r>
      <w:proofErr w:type="spellEnd"/>
      <w:r w:rsidR="00D1117F" w:rsidRPr="00A2032E">
        <w:rPr>
          <w:rFonts w:ascii="Times New Roman" w:eastAsia="Times New Roman" w:hAnsi="Times New Roman" w:cs="Times New Roman"/>
          <w:sz w:val="24"/>
          <w:szCs w:val="24"/>
          <w:lang w:eastAsia="en-GB"/>
        </w:rPr>
        <w:t xml:space="preserve">, 1979; </w:t>
      </w:r>
      <w:proofErr w:type="spellStart"/>
      <w:r w:rsidR="00D1117F" w:rsidRPr="00A2032E">
        <w:rPr>
          <w:rFonts w:ascii="Times New Roman" w:eastAsia="Times New Roman" w:hAnsi="Times New Roman" w:cs="Times New Roman"/>
          <w:sz w:val="24"/>
          <w:szCs w:val="24"/>
          <w:lang w:eastAsia="en-GB"/>
        </w:rPr>
        <w:t>Felitti</w:t>
      </w:r>
      <w:proofErr w:type="spellEnd"/>
      <w:r w:rsidR="00D1117F" w:rsidRPr="00A2032E">
        <w:rPr>
          <w:rFonts w:ascii="Times New Roman" w:eastAsia="Times New Roman" w:hAnsi="Times New Roman" w:cs="Times New Roman"/>
          <w:sz w:val="24"/>
          <w:szCs w:val="24"/>
          <w:lang w:eastAsia="en-GB"/>
        </w:rPr>
        <w:t xml:space="preserve"> et al., 1998; </w:t>
      </w:r>
      <w:proofErr w:type="spellStart"/>
      <w:r w:rsidR="00D1117F" w:rsidRPr="00A2032E">
        <w:rPr>
          <w:rFonts w:ascii="Times New Roman" w:eastAsia="Times New Roman" w:hAnsi="Times New Roman" w:cs="Times New Roman"/>
          <w:sz w:val="24"/>
          <w:szCs w:val="24"/>
          <w:lang w:eastAsia="en-GB"/>
        </w:rPr>
        <w:t>Shonkoff</w:t>
      </w:r>
      <w:proofErr w:type="spellEnd"/>
      <w:r w:rsidR="00D1117F" w:rsidRPr="00A2032E">
        <w:rPr>
          <w:rFonts w:ascii="Times New Roman" w:eastAsia="Times New Roman" w:hAnsi="Times New Roman" w:cs="Times New Roman"/>
          <w:sz w:val="24"/>
          <w:szCs w:val="24"/>
          <w:lang w:eastAsia="en-GB"/>
        </w:rPr>
        <w:t xml:space="preserve"> et al., 2012). These variations may be particularly relevant for shaping child emotional expression, relationships to others, and response to traditional forms of therapeutic assistance. Consequently, more and more efforts are being made to develop developmentally appropriate, inclusive interventions. Therapeutic play is considered a particularly sound method for intervention, as it facilitates children’s ability to communicate through their mode of expression (Ginsburg, 2007; Landreth, 2012). Children, unlike adults, are typically unable to verbally express their complex emotions in the way that adults can. Play offers children words to help them understand feelings, to express their feelings, to bond and to think about relationships, to make sense of difficult situations and to process through complex experiences (Ginsburg, 2007). As such, play in a therapeutic approach does not simply occur in a recreational sense in the absence of intentionality of play, but it is therapeutic in the sense that it is intended as a purposeful vehicle for emotional healing and socialising (Axline, 1989; Wood &amp; Attfield, 2005). This is all the more important with regard to children who have undergone trauma or </w:t>
      </w:r>
      <w:proofErr w:type="spellStart"/>
      <w:r w:rsidR="00D1117F" w:rsidRPr="00A2032E">
        <w:rPr>
          <w:rFonts w:ascii="Times New Roman" w:eastAsia="Times New Roman" w:hAnsi="Times New Roman" w:cs="Times New Roman"/>
          <w:sz w:val="24"/>
          <w:szCs w:val="24"/>
          <w:lang w:eastAsia="en-GB"/>
        </w:rPr>
        <w:t>neurodevelopmental</w:t>
      </w:r>
      <w:proofErr w:type="spellEnd"/>
      <w:r w:rsidR="00D1117F" w:rsidRPr="00A2032E">
        <w:rPr>
          <w:rFonts w:ascii="Times New Roman" w:eastAsia="Times New Roman" w:hAnsi="Times New Roman" w:cs="Times New Roman"/>
          <w:sz w:val="24"/>
          <w:szCs w:val="24"/>
          <w:lang w:eastAsia="en-GB"/>
        </w:rPr>
        <w:t xml:space="preserve"> differences or are socially marginalised as they are at a heightened risk of difficulty actively participating in verbally based therapeutic interventions (Bratton et al., 2005; Perry, 2006). Therapeutic play is also of special relevance to inclusive work together in its developmental appropriateness. Inclusion is about treating each child—regardless of where they’re from, ability, or life experience—justly and equitably. This includes acknowledging and honouring differences and modifying interventions to meet specific demands (Slee, 2011). Such play has the potential to foster inclusive practice by providing flexibility and cultural responsiveness, as well as access to both schools, community services, and clinical settings (Lester &amp; Russell, 2010). What remains to be determined is whether therapeutic play has a successful application for all populations and whether this is carried out in ways that genuinely promote inclusion, rather than that in and of themselves reproduce (or challenge) pre-existing social (aside from class </w:t>
      </w:r>
      <w:r w:rsidR="00D1117F" w:rsidRPr="00A2032E">
        <w:rPr>
          <w:rFonts w:ascii="Times New Roman" w:eastAsia="Times New Roman" w:hAnsi="Times New Roman" w:cs="Times New Roman"/>
          <w:sz w:val="24"/>
          <w:szCs w:val="24"/>
          <w:lang w:eastAsia="en-GB"/>
        </w:rPr>
        <w:lastRenderedPageBreak/>
        <w:t>and race) inequalities (Slee, 2011). As a result, therapeutic play should not be assumed to be inherently inclusive but rather critically examined in relation to how it is implemented across diverse contexts (Wood &amp; Attfield, 2005). To that end, the purpose of this essay is to critically explore the use of therapeutic play to help children of various racial, ethnic, and spiritual backgrounds develop emotionally and socially. It will examine the connection between therapeutic play and emotional regulation, self-expression, empathy, and social skills, alongside an assessment of the evidence base supporting therapeutic play. The essay will also explore the relevance of therapeutic play for inclusive practice and its applicability regarding different adaptations to the needs and culture of each child. It will conclude by looking at the shortcomings of what is already known as part of research and practice in addressing inclusion, barriers to inclusion and recommendations for improving the reach and efficacy of therapeutic play for all children.</w:t>
      </w:r>
    </w:p>
    <w:p w:rsidR="00291EA5" w:rsidRDefault="001446C6" w:rsidP="00DC154B">
      <w:pPr>
        <w:pStyle w:val="NormalnyWeb"/>
        <w:spacing w:line="360" w:lineRule="auto"/>
        <w:ind w:firstLine="720"/>
      </w:pPr>
      <w:r>
        <w:t>To understand the contemporary significance of therapeutic play, it is necessary to examine its historical roots and theoretical foundations in child psychotherapy.</w:t>
      </w:r>
      <w:r w:rsidR="00637FD6">
        <w:br/>
      </w:r>
      <w:r w:rsidR="00291EA5">
        <w:t xml:space="preserve">Pioneers such as Anna Freud, Margaret </w:t>
      </w:r>
      <w:proofErr w:type="spellStart"/>
      <w:r w:rsidR="00291EA5">
        <w:t>Lowenfeld</w:t>
      </w:r>
      <w:proofErr w:type="spellEnd"/>
      <w:r w:rsidR="00291EA5">
        <w:t xml:space="preserve">, and Melanie Klein (Freud, 1965; </w:t>
      </w:r>
      <w:proofErr w:type="spellStart"/>
      <w:r w:rsidR="00291EA5">
        <w:t>Lowenfeld</w:t>
      </w:r>
      <w:proofErr w:type="spellEnd"/>
      <w:r w:rsidR="00291EA5">
        <w:t>, 1970; Klein, 1987) played an important role in the development of the therapeutic potential for children in play.</w:t>
      </w:r>
      <w:r w:rsidR="00637FD6">
        <w:t xml:space="preserve"> </w:t>
      </w:r>
      <w:r w:rsidR="00291EA5">
        <w:t>Notably, Klein posited that spontaneous play functions as a child’s equivalent of free association in adult psychoanalysis, serving as a direct channel to their underlying mental states, desires, and emotions (Klein, 1961).</w:t>
      </w:r>
      <w:r w:rsidR="00637FD6">
        <w:t xml:space="preserve"> </w:t>
      </w:r>
      <w:r w:rsidR="00637FD6">
        <w:br/>
      </w:r>
      <w:r w:rsidR="00291EA5">
        <w:t>From such a perspective, play was imagined to be, as they say, not just a developmental undertaking by itself but rather one of the basic ways in which children express inner struggles and emotional states that speech alone cannot.</w:t>
      </w:r>
      <w:r w:rsidR="003F11CE">
        <w:br/>
      </w:r>
      <w:r w:rsidR="00291EA5">
        <w:t>Humanistic psychology and attachment theory have shaped the development of therapeutic play. Two seminal works from the 1950s—Carl Rogers’ development of client-centred therapy (also known as person-centred therapy)—established the foundational importance of the therapeutic relationship (Rogers, 1951, 1957).</w:t>
      </w:r>
      <w:r w:rsidR="003F11CE">
        <w:t xml:space="preserve"> </w:t>
      </w:r>
      <w:r w:rsidR="00291EA5">
        <w:t>Genuineness, unconditional positive regard, acceptance, and trust emerged as critical conditions for psychological development and change.</w:t>
      </w:r>
      <w:r w:rsidR="003F11CE">
        <w:t xml:space="preserve"> </w:t>
      </w:r>
      <w:r w:rsidR="00291EA5">
        <w:t>These guidelines are central to the change that took place in this area when play became transformational in therapy, shifting it from interpretation (of the play) to the quality of the relationship between the therapist and the child (Landreth, 2012).</w:t>
      </w:r>
      <w:r w:rsidR="003F11CE">
        <w:t xml:space="preserve"> </w:t>
      </w:r>
      <w:r w:rsidR="00291EA5">
        <w:t>This means that play provided children with emotional safety, affirmation, and autonomy.</w:t>
      </w:r>
    </w:p>
    <w:p w:rsidR="00291EA5" w:rsidRDefault="00291EA5" w:rsidP="00291EA5">
      <w:pPr>
        <w:pStyle w:val="NormalnyWeb"/>
        <w:spacing w:line="360" w:lineRule="auto"/>
      </w:pPr>
      <w:r>
        <w:lastRenderedPageBreak/>
        <w:t>These ideas place therapeutic play within a growth-focused framework, showing how it serves as an important way to help children, while also respecting how they express themselves and understand their surroundings.</w:t>
      </w:r>
      <w:r w:rsidR="003F11CE">
        <w:t xml:space="preserve"> </w:t>
      </w:r>
      <w:r>
        <w:t>In this manner, by perceiving play as important to expression, therapeutic play provides children with a space to convey and make sense of their unconscious experiences and emotions and patterns of relating within a supportive therapeutic relationship (Axline, 1989).</w:t>
      </w:r>
      <w:r w:rsidR="003F11CE">
        <w:t xml:space="preserve"> </w:t>
      </w:r>
      <w:r>
        <w:t>Consequently, the history behind this approach will inform the current practice, and it is based around the belief that therapeutic play is a valuable intervention-based practice alongside a therapeutic method, that honours the child’s development and emotionally responsive needs from a multitude of perspectives</w:t>
      </w:r>
      <w:r w:rsidR="003F11CE">
        <w:t xml:space="preserve"> </w:t>
      </w:r>
      <w:r>
        <w:t>However, these foundational theoretical models were largely developed within Western clinical contexts and did not explicitly account for cultural, linguistic, or socio-economic diversity.</w:t>
      </w:r>
    </w:p>
    <w:p w:rsidR="00A2032E" w:rsidRPr="00A2032E" w:rsidRDefault="003F11CE" w:rsidP="00A2032E">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hAnsi="Times New Roman" w:cs="Times New Roman"/>
          <w:b/>
          <w:sz w:val="24"/>
          <w:szCs w:val="24"/>
        </w:rPr>
        <w:t xml:space="preserve"> </w:t>
      </w:r>
      <w:r w:rsidR="00A2032E" w:rsidRPr="00A2032E">
        <w:rPr>
          <w:rFonts w:ascii="Times New Roman" w:eastAsia="Times New Roman" w:hAnsi="Times New Roman" w:cs="Times New Roman"/>
          <w:sz w:val="24"/>
          <w:szCs w:val="24"/>
          <w:lang w:eastAsia="en-GB"/>
        </w:rPr>
        <w:t xml:space="preserve">Trained practitioners intentionally facilitate play in therapeutic settings by creating emotionally supportive environments (Axline, 1989; Landreth, 2012). Practitioners with expertise in child emotional development facilitate these experiences, ensuring that engagement remains both meaningful and developmentally appropriate (Landreth, 2012). Backed by studies about emotional growth, insights from care conversations quietly steer each step, keeping things light and moving on their own (Denham, 2006; Ginsburg, 2007). What children act out often reveals deep feelings, even if they do not speak them (Ginsburg, 2007). Not merely fun activities, these moments aim at targeted learning shaped by those who observe (Axline, 1989). </w:t>
      </w:r>
      <w:r w:rsidR="008F3266">
        <w:rPr>
          <w:rFonts w:ascii="Times New Roman" w:eastAsia="Times New Roman" w:hAnsi="Times New Roman" w:cs="Times New Roman"/>
          <w:sz w:val="24"/>
          <w:szCs w:val="24"/>
          <w:lang w:eastAsia="en-GB"/>
        </w:rPr>
        <w:t xml:space="preserve">It is </w:t>
      </w:r>
      <w:r w:rsidR="00A2032E" w:rsidRPr="00A2032E">
        <w:rPr>
          <w:rFonts w:ascii="Times New Roman" w:eastAsia="Times New Roman" w:hAnsi="Times New Roman" w:cs="Times New Roman"/>
          <w:sz w:val="24"/>
          <w:szCs w:val="24"/>
          <w:lang w:eastAsia="en-GB"/>
        </w:rPr>
        <w:t xml:space="preserve">the way play helps, not the plan behind </w:t>
      </w:r>
      <w:r w:rsidRPr="00A2032E">
        <w:rPr>
          <w:rFonts w:ascii="Times New Roman" w:eastAsia="Times New Roman" w:hAnsi="Times New Roman" w:cs="Times New Roman"/>
          <w:sz w:val="24"/>
          <w:szCs w:val="24"/>
          <w:lang w:eastAsia="en-GB"/>
        </w:rPr>
        <w:t>it that</w:t>
      </w:r>
      <w:r w:rsidR="00A2032E" w:rsidRPr="00A2032E">
        <w:rPr>
          <w:rFonts w:ascii="Times New Roman" w:eastAsia="Times New Roman" w:hAnsi="Times New Roman" w:cs="Times New Roman"/>
          <w:sz w:val="24"/>
          <w:szCs w:val="24"/>
          <w:lang w:eastAsia="en-GB"/>
        </w:rPr>
        <w:t xml:space="preserve"> makes a difference. When a child picks something without guidance, the effect shifts – curiosity takes over instead (Wood &amp; Attfield, 2005)</w:t>
      </w:r>
      <w:proofErr w:type="gramStart"/>
      <w:r w:rsidR="00A2032E" w:rsidRPr="00A2032E">
        <w:rPr>
          <w:rFonts w:ascii="Times New Roman" w:eastAsia="Times New Roman" w:hAnsi="Times New Roman" w:cs="Times New Roman"/>
          <w:sz w:val="24"/>
          <w:szCs w:val="24"/>
          <w:lang w:eastAsia="en-GB"/>
        </w:rPr>
        <w:t>..</w:t>
      </w:r>
      <w:proofErr w:type="gramEnd"/>
      <w:r w:rsidR="00A2032E" w:rsidRPr="00A2032E">
        <w:rPr>
          <w:rFonts w:ascii="Times New Roman" w:eastAsia="Times New Roman" w:hAnsi="Times New Roman" w:cs="Times New Roman"/>
          <w:sz w:val="24"/>
          <w:szCs w:val="24"/>
          <w:lang w:eastAsia="en-GB"/>
        </w:rPr>
        <w:t xml:space="preserve"> Still, planned play steps into problems such as fear, resistance, or connection issues head-on (Axline, 1989). One type builds development across many areas, whereas the other focuses on repair work in particular spots (Wood &amp; Attfield, 2005). When the youngster seems joyful and self-assured during engagement, the grown-up decides which items enter the scene, arranges surroundings with intent, and afterwards responds using clues pulled from behaviour revealed through toy interactions (Landreth, 2012). What stands out has meaning – play therapy acts on purpose, shaped with intent, unlike random events slipping by unnoticed (Axline, 1989).</w:t>
      </w:r>
      <w:r>
        <w:rPr>
          <w:rFonts w:ascii="Times New Roman" w:eastAsia="Times New Roman" w:hAnsi="Times New Roman" w:cs="Times New Roman"/>
          <w:sz w:val="24"/>
          <w:szCs w:val="24"/>
          <w:lang w:eastAsia="en-GB"/>
        </w:rPr>
        <w:br/>
      </w:r>
      <w:r w:rsidR="00A2032E" w:rsidRPr="00A2032E">
        <w:rPr>
          <w:rFonts w:ascii="Times New Roman" w:eastAsia="Times New Roman" w:hAnsi="Times New Roman" w:cs="Times New Roman"/>
          <w:sz w:val="24"/>
          <w:szCs w:val="24"/>
          <w:lang w:eastAsia="en-GB"/>
        </w:rPr>
        <w:t xml:space="preserve">Not every approach fits all – play therapy differs from standard methods such as CBT or conversation-driven therapies. For little ones, just sitting and speaking may be too hard when there are language or growth challenges (Ginsburg, 2007). Sometimes how someone thinks </w:t>
      </w:r>
      <w:r w:rsidR="00A2032E" w:rsidRPr="00A2032E">
        <w:rPr>
          <w:rFonts w:ascii="Times New Roman" w:eastAsia="Times New Roman" w:hAnsi="Times New Roman" w:cs="Times New Roman"/>
          <w:sz w:val="24"/>
          <w:szCs w:val="24"/>
          <w:lang w:eastAsia="en-GB"/>
        </w:rPr>
        <w:lastRenderedPageBreak/>
        <w:t>and expresses themselves isn’t linear either; words fall short where play speaks louder. When emotions are difficult to articulate, pretend play provides a gentle gateway (Landreth, 2012). Instead of voice, imagination carries what stumbles on heartstrings. With puppets, crayons, books, or making up scenes together, young ones reveal inner storms without speaking them (Ginsburg, 2007).</w:t>
      </w:r>
    </w:p>
    <w:p w:rsidR="00A2032E" w:rsidRPr="00A2032E" w:rsidRDefault="00A2032E" w:rsidP="00A2032E">
      <w:pPr>
        <w:spacing w:before="100" w:beforeAutospacing="1" w:after="100" w:afterAutospacing="1" w:line="360" w:lineRule="auto"/>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Even so, evidence about therapeutic play's success often feels incomplete. Most research came from small projects, usually set in classrooms or clinics around the Western world (Bratton et al., 2005; Slee, 2011).</w:t>
      </w:r>
    </w:p>
    <w:p w:rsidR="00A2032E" w:rsidRPr="00A2032E" w:rsidRDefault="00A2032E" w:rsidP="00A2032E">
      <w:pPr>
        <w:spacing w:before="100" w:beforeAutospacing="1" w:after="100" w:afterAutospacing="1" w:line="360" w:lineRule="auto"/>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That said</w:t>
      </w:r>
      <w:proofErr w:type="gramStart"/>
      <w:r w:rsidRPr="00A2032E">
        <w:rPr>
          <w:rFonts w:ascii="Times New Roman" w:eastAsia="Times New Roman" w:hAnsi="Times New Roman" w:cs="Times New Roman"/>
          <w:sz w:val="24"/>
          <w:szCs w:val="24"/>
          <w:lang w:eastAsia="en-GB"/>
        </w:rPr>
        <w:t>,</w:t>
      </w:r>
      <w:proofErr w:type="gramEnd"/>
      <w:r w:rsidRPr="00A2032E">
        <w:rPr>
          <w:rFonts w:ascii="Times New Roman" w:eastAsia="Times New Roman" w:hAnsi="Times New Roman" w:cs="Times New Roman"/>
          <w:sz w:val="24"/>
          <w:szCs w:val="24"/>
          <w:lang w:eastAsia="en-GB"/>
        </w:rPr>
        <w:t xml:space="preserve"> counting on therapeutic play to include everyone could fail. Its value depends more on how it's used than on what's written about it (Slee, 2011). The key to success here is allowing each child to develop at their own pace. Close connections form when ordinary things are used every day. Because familiar setups feel safe, trust builds without noise (Perry, 2006). It matters deeply for young people, particularly those living through hardship or shaped by marginal spaces – trust in grown-ups and system</w:t>
      </w:r>
      <w:r w:rsidR="00DC154B">
        <w:rPr>
          <w:rFonts w:ascii="Times New Roman" w:eastAsia="Times New Roman" w:hAnsi="Times New Roman" w:cs="Times New Roman"/>
          <w:sz w:val="24"/>
          <w:szCs w:val="24"/>
          <w:lang w:eastAsia="en-GB"/>
        </w:rPr>
        <w:t>s tends to fade quickly (Perry</w:t>
      </w:r>
      <w:proofErr w:type="gramStart"/>
      <w:r w:rsidR="00DC154B">
        <w:rPr>
          <w:rFonts w:ascii="Times New Roman" w:eastAsia="Times New Roman" w:hAnsi="Times New Roman" w:cs="Times New Roman"/>
          <w:sz w:val="24"/>
          <w:szCs w:val="24"/>
          <w:lang w:eastAsia="en-GB"/>
        </w:rPr>
        <w:t>,</w:t>
      </w:r>
      <w:r w:rsidRPr="00A2032E">
        <w:rPr>
          <w:rFonts w:ascii="Times New Roman" w:eastAsia="Times New Roman" w:hAnsi="Times New Roman" w:cs="Times New Roman"/>
          <w:sz w:val="24"/>
          <w:szCs w:val="24"/>
          <w:lang w:eastAsia="en-GB"/>
        </w:rPr>
        <w:t>2006</w:t>
      </w:r>
      <w:proofErr w:type="gramEnd"/>
      <w:r w:rsidRPr="00A2032E">
        <w:rPr>
          <w:rFonts w:ascii="Times New Roman" w:eastAsia="Times New Roman" w:hAnsi="Times New Roman" w:cs="Times New Roman"/>
          <w:sz w:val="24"/>
          <w:szCs w:val="24"/>
          <w:lang w:eastAsia="en-GB"/>
        </w:rPr>
        <w:t>).</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When users stick to outdated methods – using materials, conversing styles, or providing spaces – issues tend to intensify rather than fade (Slee, 2011). Because of this, several view therapeutic play as an approach that supports kids exactly within their current state, leaving no one unattended (Lester &amp; Russell, 2010). These defining features spark curiosity around whether such methods truly strengthen feelings and connections across diverse populations.</w:t>
      </w:r>
    </w:p>
    <w:p w:rsidR="00A2032E" w:rsidRDefault="00A2032E" w:rsidP="00DC154B">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 xml:space="preserve">To evaluate the effectiveness of therapeutic play, it is first necessary to clarify what is meant by children’s social and emotional development within the context of this essay. Social and emotional development refers to a child's growing capacity to recognise, express, and regulate emotions, as well as to form and maintain relationships with others. Key components include emotional regulation, self-expression, empathy, and interpersonal skills, all of which develop progressively through interaction with carers, peers, and the wider environment (Denham, 2006; </w:t>
      </w:r>
      <w:proofErr w:type="spellStart"/>
      <w:r w:rsidRPr="00A2032E">
        <w:rPr>
          <w:rFonts w:ascii="Times New Roman" w:eastAsia="Times New Roman" w:hAnsi="Times New Roman" w:cs="Times New Roman"/>
          <w:sz w:val="24"/>
          <w:szCs w:val="24"/>
          <w:lang w:eastAsia="en-GB"/>
        </w:rPr>
        <w:t>Shonkoff</w:t>
      </w:r>
      <w:proofErr w:type="spellEnd"/>
      <w:r w:rsidRPr="00A2032E">
        <w:rPr>
          <w:rFonts w:ascii="Times New Roman" w:eastAsia="Times New Roman" w:hAnsi="Times New Roman" w:cs="Times New Roman"/>
          <w:sz w:val="24"/>
          <w:szCs w:val="24"/>
          <w:lang w:eastAsia="en-GB"/>
        </w:rPr>
        <w:t xml:space="preserve"> &amp; Phillips, 2000). Importantly, these processes are not solely cognitive or verbal in nature. Seeing social and emotional growth as an ever-changing mix of connection, emotion, and silent signals builds a key lens through which to look at how therapeutic play works. This is especially relevant for children who experience developmental differences, language barriers, or the impact of adversity, for whom traditional, verbally mediated approaches may be less accessible. Understanding social and </w:t>
      </w:r>
      <w:r w:rsidRPr="00A2032E">
        <w:rPr>
          <w:rFonts w:ascii="Times New Roman" w:eastAsia="Times New Roman" w:hAnsi="Times New Roman" w:cs="Times New Roman"/>
          <w:sz w:val="24"/>
          <w:szCs w:val="24"/>
          <w:lang w:eastAsia="en-GB"/>
        </w:rPr>
        <w:lastRenderedPageBreak/>
        <w:t>emotional development as a dynamic, relational, and often non-verbal process provides a crucial framework for examining how therapeutic play may support emotional and social functioning across diverse child populations.</w:t>
      </w:r>
    </w:p>
    <w:p w:rsidR="00A2032E" w:rsidRPr="00A2032E" w:rsidRDefault="00A2032E" w:rsidP="00DC154B">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To understand why therapeutic play may be effective in supporting children’s emotional and social development, it is necessary to examine the underlying mechanisms through which change occurs. Central to therapeutic play is the use of symbolic expression, which allows children to communicate emotional experiences indirectly through play materials, narratives, and role-play. For children who lack the cognitive or linguistic capacity to express complex emotions verbally, symbolic play provides an accessible medium through which internal states can be externalised and explored (Axline, 1989; Landreth, 2012). This process supports emotional awareness by enabling children to recognise and organise feelings that might otherwise remain overwhelming or unexpressed.</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Another key mechanism is emotional regulation through co-regulation. In therapeutic play, practitioners provide a consistent and attuned presence, helping children modulate emotional arousal within a safe relational context. Over time, this co-regulatory experience can support the development of self-regulation, as children internalise strategies for managing distress, frustration, or anxiety (Perry, 2006). Children who have experienced trauma, adversity, or disrupted attachment relationships may have underdeveloped emotional regulation, making this mechanism particularly relevant for them.</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Therapeutic play also supports social development by creating opportunities for relational learning. Through shared play experiences, children practice turn-taking, perspective-taking, cooperating, and negotiating in a low-pressure environment. These interactions enable children to investigate social roles and relational dynamics while receiving nuanced guidance from the practitioner in the face of challenges (Denham, 2006). Importantly, emotional and social development are closely interconnected: improvements in emotional regulation often facilitate more positive peer interactions, while successful social experiences can reinforce emotional confidence and self-efficacy.</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 xml:space="preserve">Finally, the therapeutic relationship itself functions as a mechanism of change. Consistent with humanistic and attachment-based frameworks, therapeutic play emphasises acceptance, empathy, and emotional safety, all of which create conditions for growth (Rogers, 1957; Landreth, 2012). For children from diverse cultural, linguistic, or socio-economic backgrounds, this relational focus may be particularly important, as it allows practitioners to adapt interventions in ways that respect individual identities and lived experiences. These </w:t>
      </w:r>
      <w:r w:rsidRPr="00A2032E">
        <w:rPr>
          <w:rFonts w:ascii="Times New Roman" w:eastAsia="Times New Roman" w:hAnsi="Times New Roman" w:cs="Times New Roman"/>
          <w:sz w:val="24"/>
          <w:szCs w:val="24"/>
          <w:lang w:eastAsia="en-GB"/>
        </w:rPr>
        <w:lastRenderedPageBreak/>
        <w:t>mechanisms provide a conceptual foundation for evaluating the evidence base surrounding the effectiveness of therapeutic play.</w:t>
      </w:r>
    </w:p>
    <w:p w:rsidR="00A2032E" w:rsidRPr="00A2032E" w:rsidRDefault="00A2032E" w:rsidP="00DC154B">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 xml:space="preserve">Research indicates that when children express emotions through symbolic play—such as using dolls or </w:t>
      </w:r>
      <w:proofErr w:type="gramStart"/>
      <w:r w:rsidRPr="00A2032E">
        <w:rPr>
          <w:rFonts w:ascii="Times New Roman" w:eastAsia="Times New Roman" w:hAnsi="Times New Roman" w:cs="Times New Roman"/>
          <w:sz w:val="24"/>
          <w:szCs w:val="24"/>
          <w:lang w:eastAsia="en-GB"/>
        </w:rPr>
        <w:t>role-play—</w:t>
      </w:r>
      <w:proofErr w:type="gramEnd"/>
      <w:r w:rsidRPr="00A2032E">
        <w:rPr>
          <w:rFonts w:ascii="Times New Roman" w:eastAsia="Times New Roman" w:hAnsi="Times New Roman" w:cs="Times New Roman"/>
          <w:sz w:val="24"/>
          <w:szCs w:val="24"/>
          <w:lang w:eastAsia="en-GB"/>
        </w:rPr>
        <w:t>they demonstrate modest but consistent improvements in emotional regulation and social interactions. Expressing inner life through make-believe seems to help children manage feelings, say what they mean, and build stronger bonds with peers. Young players find safety in fantasy settings, which allows them to explore reactions they might otherwise suppress out of shyness or fear of judgement. Instead of asking kids to name how they feel, therapy using play lets feelings show up when they get involved – this can help them grasp emotions without speaking. Certain research says kids do better at sharing feelings after playing together; yet here too, less pain often appears once play begins. A lot of what we know comes from watching close moments between little ones and their helpers while activities unfold around growing-up milestones.</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Nevertheless, the effectiveness of therapeutic play requires careful consideration. Much of what's written rests on narrow qualitative explorations, individual case reviews, or assessments run by those delivering services – often rooted in Western schools and health systems (Bratton et al., 2005; Slee, 2011). Though these reports reveal real moments from children's lives, their weak designs limit how widely results might apply. Still, findings tied to therapeutic play often rely on observations or expert judgement, which can introduce personal bias into assessments.</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 xml:space="preserve">Looking at everything, it seems therapeutic play works well in specific situations but not everywhere. How much it helps might come down to things like how old the child is, whether the person running the session is experienced and thinking deeply about their choices, or simply whether what they do lines up with where the child is emotionally, culturally, or in their native language. Recognising these limits matters – so promises about success aren’t stretched too </w:t>
      </w:r>
      <w:proofErr w:type="gramStart"/>
      <w:r w:rsidRPr="00A2032E">
        <w:rPr>
          <w:rFonts w:ascii="Times New Roman" w:eastAsia="Times New Roman" w:hAnsi="Times New Roman" w:cs="Times New Roman"/>
          <w:sz w:val="24"/>
          <w:szCs w:val="24"/>
          <w:lang w:eastAsia="en-GB"/>
        </w:rPr>
        <w:t>far,</w:t>
      </w:r>
      <w:proofErr w:type="gramEnd"/>
      <w:r w:rsidRPr="00A2032E">
        <w:rPr>
          <w:rFonts w:ascii="Times New Roman" w:eastAsia="Times New Roman" w:hAnsi="Times New Roman" w:cs="Times New Roman"/>
          <w:sz w:val="24"/>
          <w:szCs w:val="24"/>
          <w:lang w:eastAsia="en-GB"/>
        </w:rPr>
        <w:t xml:space="preserve"> and the method can be used wisely and fair</w:t>
      </w:r>
      <w:r w:rsidR="00DC154B">
        <w:rPr>
          <w:rFonts w:ascii="Times New Roman" w:eastAsia="Times New Roman" w:hAnsi="Times New Roman" w:cs="Times New Roman"/>
          <w:sz w:val="24"/>
          <w:szCs w:val="24"/>
          <w:lang w:eastAsia="en-GB"/>
        </w:rPr>
        <w:t>ly in different kinds of spaces.</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While therapeutic play has demonstrated positive outcomes in supporting emotional and social development, its effectiveness should be considered in relation to other therapeutic approaches commonly used with children. Interventions like cognitive behavioural therapy or counselling often depend on talking and thinking in abstract ways, which can make them harder for younger children or those with learning difficulties, language issues, or different ways of communicating to use. In contrast, therapeutic play aligns more closely with children’s developmental capacities by using play as a primary mode of expression.</w:t>
      </w:r>
    </w:p>
    <w:p w:rsidR="00A2032E" w:rsidRPr="00A2032E" w:rsidRDefault="00A2032E" w:rsidP="00A2032E">
      <w:pPr>
        <w:spacing w:before="100" w:beforeAutospacing="1" w:after="100" w:afterAutospacing="1" w:line="360" w:lineRule="auto"/>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lastRenderedPageBreak/>
        <w:t>However, such an observation does not suggest that therapeutic play is inherently superior. Rather, its effectiveness appears to be conditional, influenced by factors such as practitioner training, the quality of the therapeutic relationship, and the degree to which interventions are adapted to children’s cultural and contextual needs (Slee, 2011). In some cases, verbally mediated approaches may be more appropriate, particularly for older children or those with well-developed verbal skills. A critical evaluation therefore suggests that therapeutic play should be understood as one component within a broader range of interventions, selected on the basis of individual needs rather than applied universally.</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 xml:space="preserve">The existing evidence base highlights both the potential and the limitations of therapeutic play, raising important questions about its role in inclusive practice. </w:t>
      </w:r>
      <w:proofErr w:type="gramStart"/>
      <w:r w:rsidRPr="00A2032E">
        <w:rPr>
          <w:rFonts w:ascii="Times New Roman" w:eastAsia="Times New Roman" w:hAnsi="Times New Roman" w:cs="Times New Roman"/>
          <w:sz w:val="24"/>
          <w:szCs w:val="24"/>
          <w:lang w:eastAsia="en-GB"/>
        </w:rPr>
        <w:t>While research suggests that therapeutic play can support emotional regulation and social engagement, particularly for children who struggle with verbal communication, these outcomes cannot be assumed across all populations (Bratton et al., 2005).</w:t>
      </w:r>
      <w:proofErr w:type="gramEnd"/>
      <w:r w:rsidRPr="00A2032E">
        <w:rPr>
          <w:rFonts w:ascii="Times New Roman" w:eastAsia="Times New Roman" w:hAnsi="Times New Roman" w:cs="Times New Roman"/>
          <w:sz w:val="24"/>
          <w:szCs w:val="24"/>
          <w:lang w:eastAsia="en-GB"/>
        </w:rPr>
        <w:t xml:space="preserve"> The predominance of studies conducted within Western, middle-class contexts limits understanding of how therapeutic play operates for children from marginalised or under-represented backgrounds.</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As a result, inclusive practice cannot rely solely on evidence of effectiveness but must consider how interventions are implemented in diverse settings. This requires practitioners to critically reflect on whether play materials, communication styles, and therapeutic expectations align with children’s cultural and lived experiences (Wood &amp; Attfield, 2005). Linking the evidence base to inclusive practice therefore involves recognising that effectiveness is shaped not only by the intervention itself but also by the conditions under which it is delivered. This approach provides a necessary bridge to examining therapeutic play in relation to children from diverse backgrounds.</w:t>
      </w:r>
    </w:p>
    <w:p w:rsidR="00A2032E" w:rsidRPr="00A2032E" w:rsidRDefault="00A2032E" w:rsidP="00DC154B">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Not all children have equitable access to high-quality therapeutic play interventions. For children with limited verbal abilities—including those with learning difficulties, autism, or those still acquiring English—nonverbal activities such as pretend play are often more effective (Ginsburg, 2007; Landreth, 2012). Emotional experiences are often communicated through subtle, non-verbal forms of expression, not spoken but shown in actions or re-enacted moments instead of verbal explanations. Still, shifting things off the speaker makes communication easier while holding warmth between people intact (Axline, 1989; Wood &amp; Attfield, 2005). If control methods fail, some kids might find comfort in flexible responses – particularly those who’ve faced hardship or felt excluded before (Perry, 2006).</w:t>
      </w:r>
    </w:p>
    <w:p w:rsidR="00A2032E" w:rsidRPr="00A2032E" w:rsidRDefault="00A2032E" w:rsidP="00A2032E">
      <w:pPr>
        <w:spacing w:before="100" w:beforeAutospacing="1" w:after="100" w:afterAutospacing="1" w:line="360" w:lineRule="auto"/>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lastRenderedPageBreak/>
        <w:t>Still, whether therapeutic play works depends on the setting – culture, language, and surroundings shape its effects. Objects, ideas, and reasons adults attach to play usually come from Western views on kids, feelings, and bonds – ideas far off from every little one’s world (Slee, 2011; Lester &amp; Russell, 2010). Without knowing a child’s heritage, practitioners may overlook what that child shows through play (Wood &amp; Attfield, 2005). Still, since studies usually look at similar groups, it's challenging to see how teens from poorer homes respond in therapy play (Bratton et al., 2005).</w:t>
      </w:r>
      <w:r w:rsidR="00DC154B">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Still, creative therapy could help kids from different cultural backgrounds – but it does not work every time. How well it does hinges on how well those helping shape activities, words, and spaces around each child’s background, growth, and real-life challenges do (Slee, 2011). If changes stay limited, the pattern could remain unchanged instead of shifting toward fairness. A closer examination reveals additional underlying complexities – calling play therapy normal isn’t enough. What matters most shows how it helps kids beyond the usual societal lines.</w:t>
      </w:r>
    </w:p>
    <w:p w:rsidR="00A2032E" w:rsidRPr="00A2032E" w:rsidRDefault="00A2032E" w:rsidP="00CF4BA8">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 xml:space="preserve">Even so, knowing what happens in play matters when therapy unfolds. Leave things unchanged, </w:t>
      </w:r>
      <w:proofErr w:type="gramStart"/>
      <w:r w:rsidRPr="00A2032E">
        <w:rPr>
          <w:rFonts w:ascii="Times New Roman" w:eastAsia="Times New Roman" w:hAnsi="Times New Roman" w:cs="Times New Roman"/>
          <w:sz w:val="24"/>
          <w:szCs w:val="24"/>
          <w:lang w:eastAsia="en-GB"/>
        </w:rPr>
        <w:t>then</w:t>
      </w:r>
      <w:proofErr w:type="gramEnd"/>
      <w:r w:rsidRPr="00A2032E">
        <w:rPr>
          <w:rFonts w:ascii="Times New Roman" w:eastAsia="Times New Roman" w:hAnsi="Times New Roman" w:cs="Times New Roman"/>
          <w:sz w:val="24"/>
          <w:szCs w:val="24"/>
          <w:lang w:eastAsia="en-GB"/>
        </w:rPr>
        <w:t xml:space="preserve"> routines might help children already familiar with daily rhythms. But some hardly match at all – how they show emotions, their background, usually slips under the radar. Quiet speaks strongest when work follows a path everyone takes. A person treats details as known by unseen rules. What seems ordinary often carries hidden assumptions. Quiet choices often follow when beliefs are left alone. Space opens up for new speakers when someone decides to watch closely. Close observation every morning feels more natural, particularly after time with those who care for others. When it matters, outside experts step in, making sure treatments stay balanced and fit each person's situation.</w:t>
      </w:r>
      <w:r w:rsidR="00CF4BA8">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Where therapy plays a role, fairness isn’t luck; it’s designed: how we join matters, first responses shape outcomes, and each individual arrives clearly seen. Skip past judgement? Team learning could shrink across groups. Still, when focus steps in, consequences spread through school fairness, local ties, and right into medical workflows.</w:t>
      </w:r>
      <w:r w:rsidR="00CF4BA8">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 xml:space="preserve">The analysis presented in this essay suggests that therapeutic play can contribute to inclusive practice, but only when it is implemented in a reflective, adaptive, and context-sensitive manner (Landreth, 2012; Wood &amp; Attfield, 2005). Inclusive practice requires practitioners to recognise that children's emotional and social development is influenced by diverse developmental trajectories, cultural backgrounds, linguistic resources, and lived experiences (Denham, 2006; </w:t>
      </w:r>
      <w:proofErr w:type="spellStart"/>
      <w:r w:rsidRPr="00A2032E">
        <w:rPr>
          <w:rFonts w:ascii="Times New Roman" w:eastAsia="Times New Roman" w:hAnsi="Times New Roman" w:cs="Times New Roman"/>
          <w:sz w:val="24"/>
          <w:szCs w:val="24"/>
          <w:lang w:eastAsia="en-GB"/>
        </w:rPr>
        <w:t>Shonkoff</w:t>
      </w:r>
      <w:proofErr w:type="spellEnd"/>
      <w:r w:rsidRPr="00A2032E">
        <w:rPr>
          <w:rFonts w:ascii="Times New Roman" w:eastAsia="Times New Roman" w:hAnsi="Times New Roman" w:cs="Times New Roman"/>
          <w:sz w:val="24"/>
          <w:szCs w:val="24"/>
          <w:lang w:eastAsia="en-GB"/>
        </w:rPr>
        <w:t xml:space="preserve"> &amp; Phillips, 2000). Therefore, therapeutic play should not be </w:t>
      </w:r>
      <w:r w:rsidRPr="00A2032E">
        <w:rPr>
          <w:rFonts w:ascii="Times New Roman" w:eastAsia="Times New Roman" w:hAnsi="Times New Roman" w:cs="Times New Roman"/>
          <w:sz w:val="24"/>
          <w:szCs w:val="24"/>
          <w:lang w:eastAsia="en-GB"/>
        </w:rPr>
        <w:lastRenderedPageBreak/>
        <w:t xml:space="preserve">regarded as a universally effective intervention; rather, its impact depends on how well it is adapted to individual children’s needs (Slee, 2011). In practical terms, the philosophy places responsibility on practitioners to modify materials, communication styles, and play environments rather than expecting children to conform to adult-defined systems (Lester &amp; Russell, 2010). These modifications may involve providing multiple modes of emotional expression beyond spoken language, selecting culturally meaningful play resources, and allowing flexibility in how children engage with play activities (Axline, 1989; Landreth, 2012). Such adaptations are particularly important for children with additional learning needs, </w:t>
      </w:r>
      <w:proofErr w:type="spellStart"/>
      <w:r w:rsidRPr="00A2032E">
        <w:rPr>
          <w:rFonts w:ascii="Times New Roman" w:eastAsia="Times New Roman" w:hAnsi="Times New Roman" w:cs="Times New Roman"/>
          <w:sz w:val="24"/>
          <w:szCs w:val="24"/>
          <w:lang w:eastAsia="en-GB"/>
        </w:rPr>
        <w:t>neurodivergent</w:t>
      </w:r>
      <w:proofErr w:type="spellEnd"/>
      <w:r w:rsidRPr="00A2032E">
        <w:rPr>
          <w:rFonts w:ascii="Times New Roman" w:eastAsia="Times New Roman" w:hAnsi="Times New Roman" w:cs="Times New Roman"/>
          <w:sz w:val="24"/>
          <w:szCs w:val="24"/>
          <w:lang w:eastAsia="en-GB"/>
        </w:rPr>
        <w:t xml:space="preserve"> children, and those learning English as an additional language, for whom traditional, verbally mediated approaches may be less accessible (Ginsburg, 2007; Bratton et al., 2005).</w:t>
      </w:r>
      <w:r w:rsidR="00CF4BA8">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However, inclusive practice also requires acknowledgement of the limitations and ethical boundaries of therapeutic play. Without careful reflection, play-based interventions risk privileging children whose communication styles and cultural norms align with dominant expectations, while marginalising others (Slee, 2011). Practitioners must therefore engage in ongoing reflective practice, critically examining how their assumptions and interpretations influence children’s participation (Wood &amp; Attfield, 2005). Collaboration with families and other professionals can further support accurate understanding of children’s experiences and ensure that interventions remain proportionate and ethically appropriate (Perry, 2006).</w:t>
      </w:r>
      <w:r w:rsidR="00CF4BA8">
        <w:rPr>
          <w:rFonts w:ascii="Times New Roman" w:eastAsia="Times New Roman" w:hAnsi="Times New Roman" w:cs="Times New Roman"/>
          <w:sz w:val="24"/>
          <w:szCs w:val="24"/>
          <w:lang w:eastAsia="en-GB"/>
        </w:rPr>
        <w:br/>
      </w:r>
      <w:r w:rsidRPr="00A2032E">
        <w:rPr>
          <w:rFonts w:ascii="Times New Roman" w:eastAsia="Times New Roman" w:hAnsi="Times New Roman" w:cs="Times New Roman"/>
          <w:sz w:val="24"/>
          <w:szCs w:val="24"/>
          <w:lang w:eastAsia="en-GB"/>
        </w:rPr>
        <w:t>Overall, the implications for inclusive practices indicate that therapeutic play is most effective when embedded within an equity-focused framework that prioritises responsiveness over standardisation (Lester &amp; Russell, 2010). When applied reflexively and adaptively, therapeutic play has the potential to support emotional and social development across diverse populations; when applied uncritically, its capacity to promote inclusion is significantly limited (Slee, 2011).</w:t>
      </w:r>
    </w:p>
    <w:p w:rsidR="00A2032E" w:rsidRPr="00A2032E" w:rsidRDefault="00A2032E" w:rsidP="00CF4BA8">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 xml:space="preserve">Therapeutic play, despite its potential benefits, is subject to significant limitations and ethical considerations that require acknowledgement. The existing evidence base largely comprises small-scale studies, practitioner-led evaluations, or research conducted in Western, middle-class contexts. This aspect significantly limits the generalisability of findings to children from diverse cultural, socioeconomic, and linguistic backgrounds (Bratton et al., 2005; Slee, 2011). In addition, outcomes are often assessed through observational or interpretive measures, raising concerns about subjectivity and the potential for practitioner bias (Wood &amp; Attfield, 2005). From an ethical perspective, therapeutic play requires clear </w:t>
      </w:r>
      <w:r w:rsidRPr="00A2032E">
        <w:rPr>
          <w:rFonts w:ascii="Times New Roman" w:eastAsia="Times New Roman" w:hAnsi="Times New Roman" w:cs="Times New Roman"/>
          <w:sz w:val="24"/>
          <w:szCs w:val="24"/>
          <w:lang w:eastAsia="en-GB"/>
        </w:rPr>
        <w:lastRenderedPageBreak/>
        <w:t>professional boundaries, appropriate training, and reflective supervision to ensure that play-based interventions do not blur lines between therapeutic support and unstructured play. There is also a risk that practitioners may misinterpret children’s play, particularly when cultural meanings, communication styles, or lived experiences differ from dominant norms. Therapeutic play may inadvertently perpetuate power imbalances instead of fostering inclusion if consent, emotional safety, and cultural responsiveness are not meticulously considered (Lester &amp; Russell, 2010; Perry, 2006). Recognising these limitations is essential to ensuring that therapeutic play is applied responsibly, ethically, and in ways that genuinely support children's emotional and social development.</w:t>
      </w:r>
    </w:p>
    <w:p w:rsidR="00D1117F" w:rsidRDefault="00A2032E" w:rsidP="00CF4BA8">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A2032E">
        <w:rPr>
          <w:rFonts w:ascii="Times New Roman" w:eastAsia="Times New Roman" w:hAnsi="Times New Roman" w:cs="Times New Roman"/>
          <w:sz w:val="24"/>
          <w:szCs w:val="24"/>
          <w:lang w:eastAsia="en-GB"/>
        </w:rPr>
        <w:t xml:space="preserve">This essay has explored the effectiveness of therapeutic play in supporting the emotional and social development of children from diverse backgrounds, while also considering its implications for inclusive practice. The analysis indicates that therapeutic play can facilitate emotional regulation, self-expression, and social engagement, particularly for children facing barriers to verbal communication or those with additional learning needs, </w:t>
      </w:r>
      <w:proofErr w:type="spellStart"/>
      <w:r w:rsidRPr="00A2032E">
        <w:rPr>
          <w:rFonts w:ascii="Times New Roman" w:eastAsia="Times New Roman" w:hAnsi="Times New Roman" w:cs="Times New Roman"/>
          <w:sz w:val="24"/>
          <w:szCs w:val="24"/>
          <w:lang w:eastAsia="en-GB"/>
        </w:rPr>
        <w:t>neurodivergent</w:t>
      </w:r>
      <w:proofErr w:type="spellEnd"/>
      <w:r w:rsidRPr="00A2032E">
        <w:rPr>
          <w:rFonts w:ascii="Times New Roman" w:eastAsia="Times New Roman" w:hAnsi="Times New Roman" w:cs="Times New Roman"/>
          <w:sz w:val="24"/>
          <w:szCs w:val="24"/>
          <w:lang w:eastAsia="en-GB"/>
        </w:rPr>
        <w:t xml:space="preserve"> traits, or linguistic differences. However, the evidence base indicates that these benefits are not universal and are often derived from small-scale studies conducted within Western contexts, limiting the generalisability of the findings. Therapeutic play should therefore be understood as conditionally effective, with outcomes shaped by contextual factors such as practitioner skill, cultural responsiveness, and the degree to which interventions are adapted to children’s individual needs. The discussion of inclusive practice highlights that therapeutic play is not inherently inclusive; rather, its capacity to promote equity depends on reflective, ethical, and flexible implementation. Overall, therapeutic play appears most effective when embedded within an inclusive framework that prioritises responsiveness over standardisation and recognises diversity as central to children's emotional and social development.</w:t>
      </w:r>
    </w:p>
    <w:p w:rsidR="00D1117F" w:rsidRDefault="00D1117F" w:rsidP="00A2032E">
      <w:pPr>
        <w:spacing w:before="100" w:beforeAutospacing="1" w:after="100" w:afterAutospacing="1" w:line="360" w:lineRule="auto"/>
        <w:rPr>
          <w:rFonts w:ascii="Times New Roman" w:eastAsia="Times New Roman" w:hAnsi="Times New Roman" w:cs="Times New Roman"/>
          <w:sz w:val="24"/>
          <w:szCs w:val="24"/>
          <w:lang w:eastAsia="en-GB"/>
        </w:rPr>
      </w:pPr>
    </w:p>
    <w:p w:rsidR="00D1117F" w:rsidRDefault="00D1117F" w:rsidP="00A2032E">
      <w:pPr>
        <w:spacing w:before="100" w:beforeAutospacing="1" w:after="100" w:afterAutospacing="1" w:line="360" w:lineRule="auto"/>
        <w:rPr>
          <w:rFonts w:ascii="Times New Roman" w:eastAsia="Times New Roman" w:hAnsi="Times New Roman" w:cs="Times New Roman"/>
          <w:sz w:val="24"/>
          <w:szCs w:val="24"/>
          <w:lang w:eastAsia="en-GB"/>
        </w:rPr>
      </w:pPr>
    </w:p>
    <w:p w:rsidR="00D1117F" w:rsidRDefault="00D1117F" w:rsidP="00A2032E">
      <w:pPr>
        <w:spacing w:before="100" w:beforeAutospacing="1" w:after="100" w:afterAutospacing="1" w:line="360" w:lineRule="auto"/>
        <w:rPr>
          <w:rFonts w:ascii="Times New Roman" w:eastAsia="Times New Roman" w:hAnsi="Times New Roman" w:cs="Times New Roman"/>
          <w:sz w:val="24"/>
          <w:szCs w:val="24"/>
          <w:lang w:eastAsia="en-GB"/>
        </w:rPr>
      </w:pPr>
    </w:p>
    <w:p w:rsidR="00D1117F" w:rsidRDefault="00D1117F" w:rsidP="00A2032E">
      <w:pPr>
        <w:spacing w:before="100" w:beforeAutospacing="1" w:after="100" w:afterAutospacing="1" w:line="360" w:lineRule="auto"/>
        <w:rPr>
          <w:rFonts w:ascii="Times New Roman" w:eastAsia="Times New Roman" w:hAnsi="Times New Roman" w:cs="Times New Roman"/>
          <w:sz w:val="24"/>
          <w:szCs w:val="24"/>
          <w:lang w:eastAsia="en-GB"/>
        </w:rPr>
      </w:pPr>
    </w:p>
    <w:p w:rsidR="00D1117F" w:rsidRPr="00CF4BA8" w:rsidRDefault="00A2032E" w:rsidP="00CF4BA8">
      <w:pPr>
        <w:spacing w:before="100" w:beforeAutospacing="1" w:after="100" w:afterAutospacing="1" w:line="360" w:lineRule="auto"/>
        <w:rPr>
          <w:rFonts w:ascii="Times New Roman" w:eastAsia="Times New Roman" w:hAnsi="Times New Roman" w:cs="Times New Roman"/>
          <w:sz w:val="24"/>
          <w:szCs w:val="24"/>
          <w:lang w:eastAsia="en-GB"/>
        </w:rPr>
      </w:pPr>
      <w:r w:rsidRPr="00A2032E">
        <w:rPr>
          <w:rFonts w:ascii="Times New Roman" w:eastAsia="Times New Roman" w:hAnsi="Times New Roman" w:cs="Times New Roman"/>
          <w:b/>
          <w:bCs/>
          <w:sz w:val="24"/>
          <w:szCs w:val="24"/>
          <w:lang w:eastAsia="en-GB"/>
        </w:rPr>
        <w:lastRenderedPageBreak/>
        <w:t> </w:t>
      </w:r>
      <w:r w:rsidR="00D1117F">
        <w:rPr>
          <w:rStyle w:val="Pogrubienie"/>
          <w:b w:val="0"/>
          <w:bCs w:val="0"/>
        </w:rPr>
        <w:t>References (APA 7)</w:t>
      </w:r>
    </w:p>
    <w:p w:rsidR="00D1117F" w:rsidRDefault="00D1117F" w:rsidP="00D1117F">
      <w:pPr>
        <w:pStyle w:val="NormalnyWeb"/>
      </w:pPr>
      <w:r>
        <w:t xml:space="preserve">Axline, V. M. (1989). </w:t>
      </w:r>
      <w:proofErr w:type="gramStart"/>
      <w:r>
        <w:rPr>
          <w:rStyle w:val="Uwydatnienie"/>
        </w:rPr>
        <w:t>Play therapy</w:t>
      </w:r>
      <w:r>
        <w:t>.</w:t>
      </w:r>
      <w:proofErr w:type="gramEnd"/>
      <w:r>
        <w:t xml:space="preserve"> </w:t>
      </w:r>
      <w:proofErr w:type="spellStart"/>
      <w:proofErr w:type="gramStart"/>
      <w:r>
        <w:t>Ballantine</w:t>
      </w:r>
      <w:proofErr w:type="spellEnd"/>
      <w:r>
        <w:t xml:space="preserve"> Books.</w:t>
      </w:r>
      <w:proofErr w:type="gramEnd"/>
    </w:p>
    <w:p w:rsidR="00D1117F" w:rsidRDefault="00D1117F" w:rsidP="00D1117F">
      <w:pPr>
        <w:pStyle w:val="NormalnyWeb"/>
      </w:pPr>
      <w:proofErr w:type="gramStart"/>
      <w:r>
        <w:t>Bratton, S. C., Ray, D., Rhine, T., &amp; Jones, L. (2005).</w:t>
      </w:r>
      <w:proofErr w:type="gramEnd"/>
      <w:r>
        <w:t xml:space="preserve"> The efficacy of play therapy with children: A meta-analytic review of treatment outcomes. </w:t>
      </w:r>
      <w:r>
        <w:rPr>
          <w:rStyle w:val="Uwydatnienie"/>
        </w:rPr>
        <w:t>Professional Psychology: Research and Practice, 36</w:t>
      </w:r>
      <w:r>
        <w:t xml:space="preserve">(4), 376–390. </w:t>
      </w:r>
      <w:hyperlink r:id="rId4" w:tgtFrame="_new" w:history="1">
        <w:r>
          <w:rPr>
            <w:rStyle w:val="Hipercze"/>
          </w:rPr>
          <w:t>https://doi.org/10.1037/0735-7028.36.4.376</w:t>
        </w:r>
      </w:hyperlink>
    </w:p>
    <w:p w:rsidR="00D1117F" w:rsidRDefault="00D1117F" w:rsidP="00D1117F">
      <w:pPr>
        <w:pStyle w:val="NormalnyWeb"/>
      </w:pPr>
      <w:proofErr w:type="spellStart"/>
      <w:r>
        <w:t>Bronfenbrenner</w:t>
      </w:r>
      <w:proofErr w:type="spellEnd"/>
      <w:r>
        <w:t xml:space="preserve">, U. (1979). </w:t>
      </w:r>
      <w:r>
        <w:rPr>
          <w:rStyle w:val="Uwydatnienie"/>
        </w:rPr>
        <w:t>The ecology of human development: Experiments by nature and design</w:t>
      </w:r>
      <w:r>
        <w:t xml:space="preserve">. </w:t>
      </w:r>
      <w:proofErr w:type="gramStart"/>
      <w:r>
        <w:t>Harvard University Press.</w:t>
      </w:r>
      <w:proofErr w:type="gramEnd"/>
    </w:p>
    <w:p w:rsidR="00D1117F" w:rsidRDefault="00D1117F" w:rsidP="00D1117F">
      <w:pPr>
        <w:pStyle w:val="NormalnyWeb"/>
      </w:pPr>
      <w:r>
        <w:t xml:space="preserve">Denham, S. A. (2006). Social–emotional competence as support for school readiness: What is it and how do we assess it? </w:t>
      </w:r>
      <w:r>
        <w:rPr>
          <w:rStyle w:val="Uwydatnienie"/>
        </w:rPr>
        <w:t>Early Education and Development, 17</w:t>
      </w:r>
      <w:r>
        <w:t xml:space="preserve">(1), 57–89. </w:t>
      </w:r>
      <w:hyperlink r:id="rId5" w:tgtFrame="_new" w:history="1">
        <w:r>
          <w:rPr>
            <w:rStyle w:val="Hipercze"/>
          </w:rPr>
          <w:t>https://doi.org/10.1207/s15566935eed1701_4</w:t>
        </w:r>
      </w:hyperlink>
    </w:p>
    <w:p w:rsidR="00D1117F" w:rsidRDefault="00D1117F" w:rsidP="00D1117F">
      <w:pPr>
        <w:pStyle w:val="NormalnyWeb"/>
      </w:pPr>
      <w:proofErr w:type="spellStart"/>
      <w:proofErr w:type="gramStart"/>
      <w:r>
        <w:t>Felitti</w:t>
      </w:r>
      <w:proofErr w:type="spellEnd"/>
      <w:r>
        <w:t xml:space="preserve">, V. J., </w:t>
      </w:r>
      <w:proofErr w:type="spellStart"/>
      <w:r>
        <w:t>Anda</w:t>
      </w:r>
      <w:proofErr w:type="spellEnd"/>
      <w:r>
        <w:t xml:space="preserve">, R. F., </w:t>
      </w:r>
      <w:proofErr w:type="spellStart"/>
      <w:r>
        <w:t>Nordenberg</w:t>
      </w:r>
      <w:proofErr w:type="spellEnd"/>
      <w:r>
        <w:t>, D., Williamson, D. F., Spitz, A. M., Edwards, V., Koss, M. P., &amp; Marks, J. S. (1998).</w:t>
      </w:r>
      <w:proofErr w:type="gramEnd"/>
      <w:r>
        <w:t xml:space="preserve"> Relationship of childhood abuse and household dysfunction </w:t>
      </w:r>
      <w:proofErr w:type="gramStart"/>
      <w:r>
        <w:t>to</w:t>
      </w:r>
      <w:proofErr w:type="gramEnd"/>
      <w:r>
        <w:t xml:space="preserve"> many of the leading causes of death in adults. </w:t>
      </w:r>
      <w:r>
        <w:rPr>
          <w:rStyle w:val="Uwydatnienie"/>
        </w:rPr>
        <w:t>American Journal of Preventive Medicine, 14</w:t>
      </w:r>
      <w:r>
        <w:t>(4), 245–258. https://doi.org/10.1016/S0749-</w:t>
      </w:r>
      <w:proofErr w:type="gramStart"/>
      <w:r>
        <w:t>3797(</w:t>
      </w:r>
      <w:proofErr w:type="gramEnd"/>
      <w:r>
        <w:t>98)00017-8</w:t>
      </w:r>
    </w:p>
    <w:p w:rsidR="00D1117F" w:rsidRDefault="00D1117F" w:rsidP="00D1117F">
      <w:pPr>
        <w:pStyle w:val="NormalnyWeb"/>
      </w:pPr>
      <w:r>
        <w:t xml:space="preserve">Ginsburg, K. R. (2007). </w:t>
      </w:r>
      <w:proofErr w:type="gramStart"/>
      <w:r>
        <w:t>The importance of play in promoting healthy child development and maintaining strong parent–child bonds.</w:t>
      </w:r>
      <w:proofErr w:type="gramEnd"/>
      <w:r>
        <w:t xml:space="preserve"> </w:t>
      </w:r>
      <w:proofErr w:type="spellStart"/>
      <w:r>
        <w:rPr>
          <w:rStyle w:val="Uwydatnienie"/>
        </w:rPr>
        <w:t>Pediatrics</w:t>
      </w:r>
      <w:proofErr w:type="spellEnd"/>
      <w:r>
        <w:rPr>
          <w:rStyle w:val="Uwydatnienie"/>
        </w:rPr>
        <w:t>, 119</w:t>
      </w:r>
      <w:r>
        <w:t xml:space="preserve">(1), 182–191. </w:t>
      </w:r>
      <w:hyperlink r:id="rId6" w:tgtFrame="_new" w:history="1">
        <w:r>
          <w:rPr>
            <w:rStyle w:val="Hipercze"/>
          </w:rPr>
          <w:t>https://doi.org/10.1542/peds.2006-2697</w:t>
        </w:r>
      </w:hyperlink>
    </w:p>
    <w:p w:rsidR="00D1117F" w:rsidRDefault="00D1117F" w:rsidP="00D1117F">
      <w:pPr>
        <w:pStyle w:val="NormalnyWeb"/>
      </w:pPr>
      <w:proofErr w:type="gramStart"/>
      <w:r>
        <w:t>Klein, M. (1961).</w:t>
      </w:r>
      <w:proofErr w:type="gramEnd"/>
      <w:r>
        <w:t xml:space="preserve"> </w:t>
      </w:r>
      <w:proofErr w:type="gramStart"/>
      <w:r>
        <w:rPr>
          <w:rStyle w:val="Uwydatnienie"/>
        </w:rPr>
        <w:t>Narrative of a child analysis</w:t>
      </w:r>
      <w:r>
        <w:t>.</w:t>
      </w:r>
      <w:proofErr w:type="gramEnd"/>
      <w:r>
        <w:t xml:space="preserve"> Hogarth Press.</w:t>
      </w:r>
    </w:p>
    <w:p w:rsidR="00D1117F" w:rsidRDefault="00D1117F" w:rsidP="00D1117F">
      <w:pPr>
        <w:pStyle w:val="NormalnyWeb"/>
      </w:pPr>
      <w:proofErr w:type="gramStart"/>
      <w:r>
        <w:t>Klein, M. (1987).</w:t>
      </w:r>
      <w:proofErr w:type="gramEnd"/>
      <w:r>
        <w:t xml:space="preserve"> </w:t>
      </w:r>
      <w:proofErr w:type="gramStart"/>
      <w:r>
        <w:rPr>
          <w:rStyle w:val="Uwydatnienie"/>
        </w:rPr>
        <w:t>The psycho-analysis of children</w:t>
      </w:r>
      <w:r>
        <w:t>.</w:t>
      </w:r>
      <w:proofErr w:type="gramEnd"/>
      <w:r>
        <w:t xml:space="preserve"> </w:t>
      </w:r>
      <w:proofErr w:type="gramStart"/>
      <w:r>
        <w:t>Vintage.</w:t>
      </w:r>
      <w:proofErr w:type="gramEnd"/>
    </w:p>
    <w:p w:rsidR="00D1117F" w:rsidRDefault="00D1117F" w:rsidP="00D1117F">
      <w:pPr>
        <w:pStyle w:val="NormalnyWeb"/>
      </w:pPr>
      <w:r>
        <w:t xml:space="preserve">Landreth, G. L. (2012). </w:t>
      </w:r>
      <w:r>
        <w:rPr>
          <w:rStyle w:val="Uwydatnienie"/>
        </w:rPr>
        <w:t>Play therapy: The art of the relationship</w:t>
      </w:r>
      <w:r>
        <w:t xml:space="preserve"> (3rd </w:t>
      </w:r>
      <w:proofErr w:type="gramStart"/>
      <w:r>
        <w:t>ed</w:t>
      </w:r>
      <w:proofErr w:type="gramEnd"/>
      <w:r>
        <w:t xml:space="preserve">.). </w:t>
      </w:r>
      <w:proofErr w:type="spellStart"/>
      <w:proofErr w:type="gramStart"/>
      <w:r>
        <w:t>Routledge</w:t>
      </w:r>
      <w:proofErr w:type="spellEnd"/>
      <w:r>
        <w:t>.</w:t>
      </w:r>
      <w:proofErr w:type="gramEnd"/>
    </w:p>
    <w:p w:rsidR="00D1117F" w:rsidRDefault="00D1117F" w:rsidP="00D1117F">
      <w:pPr>
        <w:pStyle w:val="NormalnyWeb"/>
      </w:pPr>
      <w:proofErr w:type="gramStart"/>
      <w:r>
        <w:t>Lester, S., &amp; Russell, W. (2010).</w:t>
      </w:r>
      <w:proofErr w:type="gramEnd"/>
      <w:r>
        <w:t xml:space="preserve"> </w:t>
      </w:r>
      <w:r>
        <w:rPr>
          <w:rStyle w:val="Uwydatnienie"/>
        </w:rPr>
        <w:t>Children’s right to play: An examination of the importance of play in the lives of children worldwide</w:t>
      </w:r>
      <w:r>
        <w:t xml:space="preserve">. </w:t>
      </w:r>
      <w:proofErr w:type="gramStart"/>
      <w:r>
        <w:t>Bernard van Leer Foundation.</w:t>
      </w:r>
      <w:proofErr w:type="gramEnd"/>
    </w:p>
    <w:p w:rsidR="00D1117F" w:rsidRDefault="00D1117F" w:rsidP="00D1117F">
      <w:pPr>
        <w:pStyle w:val="NormalnyWeb"/>
      </w:pPr>
      <w:proofErr w:type="spellStart"/>
      <w:proofErr w:type="gramStart"/>
      <w:r>
        <w:t>Lowenfeld</w:t>
      </w:r>
      <w:proofErr w:type="spellEnd"/>
      <w:r>
        <w:t>, M. (1970).</w:t>
      </w:r>
      <w:proofErr w:type="gramEnd"/>
      <w:r>
        <w:t xml:space="preserve"> </w:t>
      </w:r>
      <w:r>
        <w:rPr>
          <w:rStyle w:val="Uwydatnienie"/>
        </w:rPr>
        <w:t>Play in childhood</w:t>
      </w:r>
      <w:r>
        <w:t xml:space="preserve">. </w:t>
      </w:r>
      <w:proofErr w:type="gramStart"/>
      <w:r>
        <w:t>Cambridge University Press.</w:t>
      </w:r>
      <w:proofErr w:type="gramEnd"/>
    </w:p>
    <w:p w:rsidR="00D1117F" w:rsidRDefault="00D1117F" w:rsidP="00D1117F">
      <w:pPr>
        <w:pStyle w:val="NormalnyWeb"/>
      </w:pPr>
      <w:r>
        <w:t xml:space="preserve">Perry, B. D. (2006). </w:t>
      </w:r>
      <w:proofErr w:type="gramStart"/>
      <w:r>
        <w:t>Applying principles of neurodevelopment to clinical work with maltreated and traumatized children.</w:t>
      </w:r>
      <w:proofErr w:type="gramEnd"/>
      <w:r>
        <w:t xml:space="preserve"> In N. Boyd Webb (Ed.), </w:t>
      </w:r>
      <w:r>
        <w:rPr>
          <w:rStyle w:val="Uwydatnienie"/>
        </w:rPr>
        <w:t>Working with traumatized youth in child welfare</w:t>
      </w:r>
      <w:r>
        <w:t xml:space="preserve"> (pp. 27–52). </w:t>
      </w:r>
      <w:proofErr w:type="gramStart"/>
      <w:r>
        <w:t>Guilford Press.</w:t>
      </w:r>
      <w:proofErr w:type="gramEnd"/>
    </w:p>
    <w:p w:rsidR="00D1117F" w:rsidRDefault="00D1117F" w:rsidP="00D1117F">
      <w:pPr>
        <w:pStyle w:val="NormalnyWeb"/>
      </w:pPr>
      <w:r>
        <w:t xml:space="preserve">Rogers, C. R. (1951). </w:t>
      </w:r>
      <w:proofErr w:type="gramStart"/>
      <w:r>
        <w:rPr>
          <w:rStyle w:val="Uwydatnienie"/>
        </w:rPr>
        <w:t>Client-</w:t>
      </w:r>
      <w:proofErr w:type="spellStart"/>
      <w:r>
        <w:rPr>
          <w:rStyle w:val="Uwydatnienie"/>
        </w:rPr>
        <w:t>centered</w:t>
      </w:r>
      <w:proofErr w:type="spellEnd"/>
      <w:r>
        <w:rPr>
          <w:rStyle w:val="Uwydatnienie"/>
        </w:rPr>
        <w:t xml:space="preserve"> therapy</w:t>
      </w:r>
      <w:r>
        <w:t>.</w:t>
      </w:r>
      <w:proofErr w:type="gramEnd"/>
      <w:r>
        <w:t xml:space="preserve"> </w:t>
      </w:r>
      <w:proofErr w:type="gramStart"/>
      <w:r>
        <w:t>Houghton Mifflin.</w:t>
      </w:r>
      <w:proofErr w:type="gramEnd"/>
    </w:p>
    <w:p w:rsidR="00D1117F" w:rsidRDefault="00D1117F" w:rsidP="00D1117F">
      <w:pPr>
        <w:pStyle w:val="NormalnyWeb"/>
      </w:pPr>
      <w:r>
        <w:t xml:space="preserve">Rogers, C. R. (1957). The necessary and sufficient conditions of therapeutic personality change. </w:t>
      </w:r>
      <w:proofErr w:type="gramStart"/>
      <w:r>
        <w:rPr>
          <w:rStyle w:val="Uwydatnienie"/>
        </w:rPr>
        <w:t>Journal of Consulting Psychology, 21</w:t>
      </w:r>
      <w:r>
        <w:t>(2), 95–103.</w:t>
      </w:r>
      <w:proofErr w:type="gramEnd"/>
      <w:r>
        <w:t xml:space="preserve"> </w:t>
      </w:r>
      <w:hyperlink r:id="rId7" w:tgtFrame="_new" w:history="1">
        <w:r>
          <w:rPr>
            <w:rStyle w:val="Hipercze"/>
          </w:rPr>
          <w:t>https://doi.org/10.1037/h0045357</w:t>
        </w:r>
      </w:hyperlink>
    </w:p>
    <w:p w:rsidR="00D1117F" w:rsidRDefault="00D1117F" w:rsidP="00D1117F">
      <w:pPr>
        <w:pStyle w:val="NormalnyWeb"/>
      </w:pPr>
      <w:proofErr w:type="spellStart"/>
      <w:proofErr w:type="gramStart"/>
      <w:r>
        <w:t>Shonkoff</w:t>
      </w:r>
      <w:proofErr w:type="spellEnd"/>
      <w:r>
        <w:t>, J. P., &amp; Phillips, D. A. (Eds.).</w:t>
      </w:r>
      <w:proofErr w:type="gramEnd"/>
      <w:r>
        <w:t xml:space="preserve"> (2000). </w:t>
      </w:r>
      <w:proofErr w:type="gramStart"/>
      <w:r>
        <w:rPr>
          <w:rStyle w:val="Uwydatnienie"/>
        </w:rPr>
        <w:t>From</w:t>
      </w:r>
      <w:proofErr w:type="gramEnd"/>
      <w:r>
        <w:rPr>
          <w:rStyle w:val="Uwydatnienie"/>
        </w:rPr>
        <w:t xml:space="preserve"> neurons to </w:t>
      </w:r>
      <w:proofErr w:type="spellStart"/>
      <w:r>
        <w:rPr>
          <w:rStyle w:val="Uwydatnienie"/>
        </w:rPr>
        <w:t>neighborhoods</w:t>
      </w:r>
      <w:proofErr w:type="spellEnd"/>
      <w:r>
        <w:rPr>
          <w:rStyle w:val="Uwydatnienie"/>
        </w:rPr>
        <w:t>: The science of early childhood development</w:t>
      </w:r>
      <w:r>
        <w:t xml:space="preserve">. </w:t>
      </w:r>
      <w:proofErr w:type="gramStart"/>
      <w:r>
        <w:t>National Academy Press.</w:t>
      </w:r>
      <w:proofErr w:type="gramEnd"/>
    </w:p>
    <w:p w:rsidR="00D1117F" w:rsidRDefault="00D1117F" w:rsidP="00D1117F">
      <w:pPr>
        <w:pStyle w:val="NormalnyWeb"/>
      </w:pPr>
      <w:proofErr w:type="spellStart"/>
      <w:r>
        <w:lastRenderedPageBreak/>
        <w:t>Shonkoff</w:t>
      </w:r>
      <w:proofErr w:type="spellEnd"/>
      <w:r>
        <w:t xml:space="preserve">, J. P., Garner, A. S., Siegel, B. S., Dobbins, M. I., Earls, M. F., </w:t>
      </w:r>
      <w:proofErr w:type="spellStart"/>
      <w:r>
        <w:t>McGuinn</w:t>
      </w:r>
      <w:proofErr w:type="spellEnd"/>
      <w:r>
        <w:t xml:space="preserve">, L., Pascoe, J., &amp; Wood, D. L. (2012). </w:t>
      </w:r>
      <w:proofErr w:type="gramStart"/>
      <w:r>
        <w:t>The lifelong effects of early childhood adversity and toxic stress.</w:t>
      </w:r>
      <w:proofErr w:type="gramEnd"/>
      <w:r>
        <w:t xml:space="preserve"> </w:t>
      </w:r>
      <w:proofErr w:type="spellStart"/>
      <w:proofErr w:type="gramStart"/>
      <w:r>
        <w:rPr>
          <w:rStyle w:val="Uwydatnienie"/>
        </w:rPr>
        <w:t>Pediatrics</w:t>
      </w:r>
      <w:proofErr w:type="spellEnd"/>
      <w:r>
        <w:rPr>
          <w:rStyle w:val="Uwydatnienie"/>
        </w:rPr>
        <w:t>, 129</w:t>
      </w:r>
      <w:r>
        <w:t>(1), e232–e246.</w:t>
      </w:r>
      <w:proofErr w:type="gramEnd"/>
      <w:r>
        <w:t xml:space="preserve"> </w:t>
      </w:r>
      <w:hyperlink r:id="rId8" w:tgtFrame="_new" w:history="1">
        <w:r>
          <w:rPr>
            <w:rStyle w:val="Hipercze"/>
          </w:rPr>
          <w:t>https://doi.org/10.1542/peds.2011-2663</w:t>
        </w:r>
      </w:hyperlink>
    </w:p>
    <w:p w:rsidR="00D1117F" w:rsidRDefault="00D1117F" w:rsidP="00D1117F">
      <w:pPr>
        <w:pStyle w:val="NormalnyWeb"/>
      </w:pPr>
      <w:r>
        <w:t xml:space="preserve">Slee, R. (2011). </w:t>
      </w:r>
      <w:r>
        <w:rPr>
          <w:rStyle w:val="Uwydatnienie"/>
        </w:rPr>
        <w:t>The irregular school: Exclusion, schooling and inclusive education</w:t>
      </w:r>
      <w:r>
        <w:t xml:space="preserve">. </w:t>
      </w:r>
      <w:proofErr w:type="spellStart"/>
      <w:proofErr w:type="gramStart"/>
      <w:r>
        <w:t>Routledge</w:t>
      </w:r>
      <w:proofErr w:type="spellEnd"/>
      <w:r>
        <w:t>.</w:t>
      </w:r>
      <w:proofErr w:type="gramEnd"/>
    </w:p>
    <w:p w:rsidR="00D1117F" w:rsidRDefault="00D1117F" w:rsidP="00D1117F">
      <w:pPr>
        <w:pStyle w:val="NormalnyWeb"/>
      </w:pPr>
      <w:proofErr w:type="gramStart"/>
      <w:r>
        <w:t>Wood, E., &amp; Attfield, J. (2005).</w:t>
      </w:r>
      <w:proofErr w:type="gramEnd"/>
      <w:r>
        <w:t xml:space="preserve"> </w:t>
      </w:r>
      <w:r>
        <w:rPr>
          <w:rStyle w:val="Uwydatnienie"/>
        </w:rPr>
        <w:t>Play, learning and the early childhood curriculum</w:t>
      </w:r>
      <w:r>
        <w:t xml:space="preserve"> (2nd </w:t>
      </w:r>
      <w:proofErr w:type="gramStart"/>
      <w:r>
        <w:t>ed</w:t>
      </w:r>
      <w:proofErr w:type="gramEnd"/>
      <w:r>
        <w:t xml:space="preserve">.). </w:t>
      </w:r>
      <w:proofErr w:type="gramStart"/>
      <w:r>
        <w:t>SAGE.</w:t>
      </w:r>
      <w:proofErr w:type="gramEnd"/>
    </w:p>
    <w:p w:rsidR="00A2032E" w:rsidRPr="00A2032E" w:rsidRDefault="00A2032E" w:rsidP="00A2032E">
      <w:pPr>
        <w:spacing w:before="100" w:beforeAutospacing="1" w:after="100" w:afterAutospacing="1" w:line="360" w:lineRule="auto"/>
        <w:rPr>
          <w:rFonts w:ascii="Times New Roman" w:eastAsia="Times New Roman" w:hAnsi="Times New Roman" w:cs="Times New Roman"/>
          <w:sz w:val="24"/>
          <w:szCs w:val="24"/>
          <w:lang w:eastAsia="en-GB"/>
        </w:rPr>
      </w:pPr>
    </w:p>
    <w:p w:rsidR="00BE3036" w:rsidRPr="00A2032E" w:rsidRDefault="00BE3036" w:rsidP="00A2032E">
      <w:pPr>
        <w:spacing w:line="360" w:lineRule="auto"/>
        <w:rPr>
          <w:sz w:val="24"/>
          <w:szCs w:val="24"/>
        </w:rPr>
      </w:pPr>
    </w:p>
    <w:sectPr w:rsidR="00BE3036" w:rsidRPr="00A2032E" w:rsidSect="00BE30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rsids>
    <w:rsidRoot w:val="00A2032E"/>
    <w:rsid w:val="00042917"/>
    <w:rsid w:val="001446C6"/>
    <w:rsid w:val="001D3491"/>
    <w:rsid w:val="00291EA5"/>
    <w:rsid w:val="003F11CE"/>
    <w:rsid w:val="00447C48"/>
    <w:rsid w:val="00637FD6"/>
    <w:rsid w:val="008F3266"/>
    <w:rsid w:val="00A2032E"/>
    <w:rsid w:val="00BE3036"/>
    <w:rsid w:val="00CF4BA8"/>
    <w:rsid w:val="00D1117F"/>
    <w:rsid w:val="00D82023"/>
    <w:rsid w:val="00DC154B"/>
    <w:rsid w:val="00FF4D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BE3036"/>
  </w:style>
  <w:style w:type="paragraph" w:styleId="Nagwek3">
    <w:name w:val="heading 3"/>
    <w:basedOn w:val="Normalny"/>
    <w:link w:val="Nagwek3Znak"/>
    <w:uiPriority w:val="9"/>
    <w:qFormat/>
    <w:rsid w:val="00A2032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A2032E"/>
    <w:rPr>
      <w:rFonts w:ascii="Times New Roman" w:eastAsia="Times New Roman" w:hAnsi="Times New Roman" w:cs="Times New Roman"/>
      <w:b/>
      <w:bCs/>
      <w:sz w:val="27"/>
      <w:szCs w:val="27"/>
      <w:lang w:eastAsia="en-GB"/>
    </w:rPr>
  </w:style>
  <w:style w:type="paragraph" w:styleId="NormalnyWeb">
    <w:name w:val="Normal (Web)"/>
    <w:basedOn w:val="Normalny"/>
    <w:uiPriority w:val="99"/>
    <w:semiHidden/>
    <w:unhideWhenUsed/>
    <w:rsid w:val="00A203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ogrubienie">
    <w:name w:val="Strong"/>
    <w:basedOn w:val="Domylnaczcionkaakapitu"/>
    <w:uiPriority w:val="22"/>
    <w:qFormat/>
    <w:rsid w:val="00A2032E"/>
    <w:rPr>
      <w:b/>
      <w:bCs/>
    </w:rPr>
  </w:style>
  <w:style w:type="character" w:styleId="Uwydatnienie">
    <w:name w:val="Emphasis"/>
    <w:basedOn w:val="Domylnaczcionkaakapitu"/>
    <w:uiPriority w:val="20"/>
    <w:qFormat/>
    <w:rsid w:val="00D1117F"/>
    <w:rPr>
      <w:i/>
      <w:iCs/>
    </w:rPr>
  </w:style>
  <w:style w:type="character" w:styleId="Hipercze">
    <w:name w:val="Hyperlink"/>
    <w:basedOn w:val="Domylnaczcionkaakapitu"/>
    <w:uiPriority w:val="99"/>
    <w:semiHidden/>
    <w:unhideWhenUsed/>
    <w:rsid w:val="00D1117F"/>
    <w:rPr>
      <w:color w:val="0000FF"/>
      <w:u w:val="single"/>
    </w:rPr>
  </w:style>
</w:styles>
</file>

<file path=word/webSettings.xml><?xml version="1.0" encoding="utf-8"?>
<w:webSettings xmlns:r="http://schemas.openxmlformats.org/officeDocument/2006/relationships" xmlns:w="http://schemas.openxmlformats.org/wordprocessingml/2006/main">
  <w:divs>
    <w:div w:id="334460417">
      <w:bodyDiv w:val="1"/>
      <w:marLeft w:val="0"/>
      <w:marRight w:val="0"/>
      <w:marTop w:val="0"/>
      <w:marBottom w:val="0"/>
      <w:divBdr>
        <w:top w:val="none" w:sz="0" w:space="0" w:color="auto"/>
        <w:left w:val="none" w:sz="0" w:space="0" w:color="auto"/>
        <w:bottom w:val="none" w:sz="0" w:space="0" w:color="auto"/>
        <w:right w:val="none" w:sz="0" w:space="0" w:color="auto"/>
      </w:divBdr>
    </w:div>
    <w:div w:id="503741685">
      <w:bodyDiv w:val="1"/>
      <w:marLeft w:val="0"/>
      <w:marRight w:val="0"/>
      <w:marTop w:val="0"/>
      <w:marBottom w:val="0"/>
      <w:divBdr>
        <w:top w:val="none" w:sz="0" w:space="0" w:color="auto"/>
        <w:left w:val="none" w:sz="0" w:space="0" w:color="auto"/>
        <w:bottom w:val="none" w:sz="0" w:space="0" w:color="auto"/>
        <w:right w:val="none" w:sz="0" w:space="0" w:color="auto"/>
      </w:divBdr>
    </w:div>
    <w:div w:id="619803642">
      <w:bodyDiv w:val="1"/>
      <w:marLeft w:val="0"/>
      <w:marRight w:val="0"/>
      <w:marTop w:val="0"/>
      <w:marBottom w:val="0"/>
      <w:divBdr>
        <w:top w:val="none" w:sz="0" w:space="0" w:color="auto"/>
        <w:left w:val="none" w:sz="0" w:space="0" w:color="auto"/>
        <w:bottom w:val="none" w:sz="0" w:space="0" w:color="auto"/>
        <w:right w:val="none" w:sz="0" w:space="0" w:color="auto"/>
      </w:divBdr>
      <w:divsChild>
        <w:div w:id="8233961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8833625">
      <w:bodyDiv w:val="1"/>
      <w:marLeft w:val="0"/>
      <w:marRight w:val="0"/>
      <w:marTop w:val="0"/>
      <w:marBottom w:val="0"/>
      <w:divBdr>
        <w:top w:val="none" w:sz="0" w:space="0" w:color="auto"/>
        <w:left w:val="none" w:sz="0" w:space="0" w:color="auto"/>
        <w:bottom w:val="none" w:sz="0" w:space="0" w:color="auto"/>
        <w:right w:val="none" w:sz="0" w:space="0" w:color="auto"/>
      </w:divBdr>
    </w:div>
    <w:div w:id="214630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11-2663" TargetMode="External"/><Relationship Id="rId3" Type="http://schemas.openxmlformats.org/officeDocument/2006/relationships/webSettings" Target="webSettings.xml"/><Relationship Id="rId7" Type="http://schemas.openxmlformats.org/officeDocument/2006/relationships/hyperlink" Target="https://doi.org/10.1037/h004535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42/peds.2006-2697" TargetMode="External"/><Relationship Id="rId5" Type="http://schemas.openxmlformats.org/officeDocument/2006/relationships/hyperlink" Target="https://doi.org/10.1207/s15566935eed1701_4" TargetMode="External"/><Relationship Id="rId10" Type="http://schemas.openxmlformats.org/officeDocument/2006/relationships/theme" Target="theme/theme1.xml"/><Relationship Id="rId4" Type="http://schemas.openxmlformats.org/officeDocument/2006/relationships/hyperlink" Target="https://doi.org/10.1037/0735-7028.36.4.376" TargetMode="External"/><Relationship Id="rId9"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12</Pages>
  <Words>4548</Words>
  <Characters>25925</Characters>
  <Application>Microsoft Office Word</Application>
  <DocSecurity>0</DocSecurity>
  <Lines>216</Lines>
  <Paragraphs>60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30413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3</cp:revision>
  <dcterms:created xsi:type="dcterms:W3CDTF">2026-02-08T15:30:00Z</dcterms:created>
  <dcterms:modified xsi:type="dcterms:W3CDTF">2026-02-08T15:40:00Z</dcterms:modified>
</cp:coreProperties>
</file>