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CF855" w14:textId="6056AF91" w:rsidR="002555C4" w:rsidRPr="005715CA" w:rsidRDefault="002555C4" w:rsidP="002555C4">
      <w:pPr>
        <w:spacing w:line="276" w:lineRule="auto"/>
        <w:jc w:val="center"/>
        <w:rPr>
          <w:rFonts w:ascii="Arial" w:hAnsi="Arial" w:cs="Arial"/>
          <w:sz w:val="28"/>
          <w:szCs w:val="28"/>
          <w:u w:val="single"/>
        </w:rPr>
      </w:pPr>
      <w:r w:rsidRPr="005715CA">
        <w:rPr>
          <w:rStyle w:val="normaltextrun"/>
          <w:rFonts w:ascii="Arial" w:hAnsi="Arial" w:cs="Arial"/>
          <w:color w:val="000000"/>
          <w:sz w:val="28"/>
          <w:szCs w:val="28"/>
          <w:u w:val="single"/>
        </w:rPr>
        <w:t>A written assignment critically evaluating how Assessment for Learning can be utilised in a series of learning opportunities to aid progression across chosen areas of learning and experience.</w:t>
      </w:r>
    </w:p>
    <w:p w14:paraId="41EC2238" w14:textId="505AD76E" w:rsidR="002555C4" w:rsidRDefault="002555C4" w:rsidP="00F154F7">
      <w:pPr>
        <w:spacing w:line="276" w:lineRule="auto"/>
        <w:rPr>
          <w:rFonts w:ascii="Arial" w:hAnsi="Arial" w:cs="Arial"/>
        </w:rPr>
      </w:pPr>
    </w:p>
    <w:p w14:paraId="48078794" w14:textId="77777777" w:rsidR="005715CA" w:rsidRPr="002555C4" w:rsidRDefault="005715CA" w:rsidP="00F154F7">
      <w:pPr>
        <w:spacing w:line="276" w:lineRule="auto"/>
        <w:rPr>
          <w:rFonts w:ascii="Arial" w:hAnsi="Arial" w:cs="Arial"/>
        </w:rPr>
      </w:pPr>
    </w:p>
    <w:p w14:paraId="35ADE086" w14:textId="40F71575" w:rsidR="00921009" w:rsidRDefault="00442953" w:rsidP="0061225D">
      <w:pPr>
        <w:spacing w:after="240" w:line="360" w:lineRule="auto"/>
        <w:rPr>
          <w:rFonts w:ascii="Arial" w:hAnsi="Arial" w:cs="Arial"/>
        </w:rPr>
      </w:pPr>
      <w:r>
        <w:rPr>
          <w:rFonts w:ascii="Arial" w:hAnsi="Arial" w:cs="Arial"/>
        </w:rPr>
        <w:t xml:space="preserve">          </w:t>
      </w:r>
      <w:r w:rsidR="00C41CA0" w:rsidRPr="00402EB8">
        <w:rPr>
          <w:rFonts w:ascii="Arial" w:hAnsi="Arial" w:cs="Arial"/>
        </w:rPr>
        <w:t>During this essay, I will be critically evaluating how Assessment for Learning strategies can be utilised in a series of learning opportunities to aid progression across chosen areas of learning and experiences. Estyn states that school settings that address refining and improving the quality of teaching through effective use of assessment have the framework to build frequent opportunities for the learner's development and progress to monitor the next steps for teaching (Estyn, 2022). This essay will be portrayed through three lesson plans based on the class theme of 'The Victorians', which will encourage learning and progression opportunities across the Areas of Learning and Experiences (</w:t>
      </w:r>
      <w:proofErr w:type="spellStart"/>
      <w:r w:rsidR="00C41CA0" w:rsidRPr="00402EB8">
        <w:rPr>
          <w:rFonts w:ascii="Arial" w:hAnsi="Arial" w:cs="Arial"/>
        </w:rPr>
        <w:t>AoLE's</w:t>
      </w:r>
      <w:proofErr w:type="spellEnd"/>
      <w:r w:rsidR="00C41CA0" w:rsidRPr="00402EB8">
        <w:rPr>
          <w:rFonts w:ascii="Arial" w:hAnsi="Arial" w:cs="Arial"/>
        </w:rPr>
        <w:t xml:space="preserve">) on which the lesson plans are based. The 2022 Curriculum for Wales suggests that Assessment for Learning is vital to teaching and learning. </w:t>
      </w:r>
      <w:proofErr w:type="spellStart"/>
      <w:r w:rsidR="00C41CA0" w:rsidRPr="00402EB8">
        <w:rPr>
          <w:rFonts w:ascii="Arial" w:hAnsi="Arial" w:cs="Arial"/>
        </w:rPr>
        <w:t>AfL</w:t>
      </w:r>
      <w:proofErr w:type="spellEnd"/>
      <w:r w:rsidR="00C41CA0" w:rsidRPr="00402EB8">
        <w:rPr>
          <w:rFonts w:ascii="Arial" w:hAnsi="Arial" w:cs="Arial"/>
        </w:rPr>
        <w:t xml:space="preserve"> is listed amongst the 12 pedagogical principles of qualities that all learners strive towards (</w:t>
      </w:r>
      <w:proofErr w:type="spellStart"/>
      <w:proofErr w:type="gramStart"/>
      <w:r w:rsidR="00C41CA0" w:rsidRPr="00402EB8">
        <w:rPr>
          <w:rFonts w:ascii="Arial" w:hAnsi="Arial" w:cs="Arial"/>
        </w:rPr>
        <w:t>hwb.gov.wales</w:t>
      </w:r>
      <w:proofErr w:type="spellEnd"/>
      <w:proofErr w:type="gramEnd"/>
      <w:r w:rsidR="00C41CA0" w:rsidRPr="00402EB8">
        <w:rPr>
          <w:rFonts w:ascii="Arial" w:hAnsi="Arial" w:cs="Arial"/>
        </w:rPr>
        <w:t>, 2022).</w:t>
      </w:r>
      <w:r w:rsidR="00921009">
        <w:rPr>
          <w:rFonts w:ascii="Arial" w:hAnsi="Arial" w:cs="Arial"/>
        </w:rPr>
        <w:t xml:space="preserve"> </w:t>
      </w:r>
    </w:p>
    <w:p w14:paraId="7088FD14" w14:textId="77777777" w:rsidR="00783666" w:rsidRDefault="00C41CA0" w:rsidP="00783666">
      <w:pPr>
        <w:pStyle w:val="NormalWeb"/>
        <w:spacing w:before="0" w:beforeAutospacing="0" w:after="240" w:afterAutospacing="0" w:line="360" w:lineRule="atLeast"/>
        <w:textAlignment w:val="baseline"/>
        <w:rPr>
          <w:rFonts w:ascii="Arial" w:hAnsi="Arial" w:cs="Arial"/>
          <w:color w:val="FF0000"/>
        </w:rPr>
      </w:pPr>
      <w:r w:rsidRPr="00402EB8">
        <w:rPr>
          <w:rFonts w:ascii="Arial" w:hAnsi="Arial" w:cs="Arial"/>
        </w:rPr>
        <w:t>The three planned lessons shown in the below appendices (Appendix 1,2 and 3) are aimed towards a mixed ability class of twenty-eight year five learners between the ages of nine and ten. Learners are working to achieve each of the 'what matters statements' within progression step 3 of the Curriculum for Wales. However, due to this class being mixed abilities, some learners will achieve more, and some will not be working to this level. 55.7% of the pupils on the role at this school are currently living in the top 30% of the most deprived areas in Wales, as defined by the Welsh Index of Multiple Deprivation, 2019. Furthermore, 22.9% of the whole school population is recorded as living in the top 20% of the most deprived areas in Wales, and 5.3% live in the top 10% of the most deprived areas. The three-year average for Free School meals for children is 25.9% for 2019 – 2021. For the financial year 2021-2022, the pupil development grant was set at £112,700. 22.1% of the children on the role are classified as children who use English as an Additional Language, whereas 12.2% have Additional Learning Needs (STCP</w:t>
      </w:r>
      <w:r w:rsidR="0061225D">
        <w:rPr>
          <w:rFonts w:ascii="Arial" w:hAnsi="Arial" w:cs="Arial"/>
        </w:rPr>
        <w:t>S</w:t>
      </w:r>
      <w:r w:rsidRPr="00402EB8">
        <w:rPr>
          <w:rFonts w:ascii="Arial" w:hAnsi="Arial" w:cs="Arial"/>
        </w:rPr>
        <w:t xml:space="preserve"> School Database, 2022). Learners are encouraged to control their learning; thus, they are not grouped by ability but taught as a whole class. Lower-ability learners and those with additional learning needs have support available to them through the support staff within the classroom, whether from the class teacher or teaching assistant. Lower-ability learners and those with ALN often sit within </w:t>
      </w:r>
      <w:proofErr w:type="gramStart"/>
      <w:r w:rsidRPr="00402EB8">
        <w:rPr>
          <w:rFonts w:ascii="Arial" w:hAnsi="Arial" w:cs="Arial"/>
        </w:rPr>
        <w:t>close proximity</w:t>
      </w:r>
      <w:proofErr w:type="gramEnd"/>
      <w:r w:rsidRPr="00402EB8">
        <w:rPr>
          <w:rFonts w:ascii="Arial" w:hAnsi="Arial" w:cs="Arial"/>
        </w:rPr>
        <w:t xml:space="preserve"> within the seating plan to </w:t>
      </w:r>
      <w:r w:rsidRPr="00402EB8">
        <w:rPr>
          <w:rFonts w:ascii="Arial" w:hAnsi="Arial" w:cs="Arial"/>
        </w:rPr>
        <w:lastRenderedPageBreak/>
        <w:t xml:space="preserve">make it easier for them to receive support collectively. The seating plan for these mixed-ability year five learners also considers the needs of learners of a middle ability whose alternative needs may go unnoticed. To mitigate this, these middle-ability learners are often partnered with more able and talented learners (MAT) to encourage collaborative thinking and put the learners in control of their learning. </w:t>
      </w:r>
      <w:r w:rsidR="00921009">
        <w:rPr>
          <w:rFonts w:ascii="Arial" w:hAnsi="Arial" w:cs="Arial"/>
        </w:rPr>
        <w:t xml:space="preserve">This concept has been supported by Vygotsky’s theory of the </w:t>
      </w:r>
      <w:r w:rsidR="007C5546">
        <w:rPr>
          <w:rFonts w:ascii="Arial" w:hAnsi="Arial" w:cs="Arial"/>
        </w:rPr>
        <w:t xml:space="preserve">Zone of Proximal Development and the </w:t>
      </w:r>
      <w:r w:rsidR="00921009">
        <w:rPr>
          <w:rFonts w:ascii="Arial" w:hAnsi="Arial" w:cs="Arial"/>
        </w:rPr>
        <w:t>‘more knowledgeable other’</w:t>
      </w:r>
      <w:r w:rsidR="007C5546">
        <w:rPr>
          <w:rFonts w:ascii="Arial" w:hAnsi="Arial" w:cs="Arial"/>
        </w:rPr>
        <w:t xml:space="preserve"> as he states that the ZPD is defined as they gap in independent learning and supported learning, thus, the more able and talented learners (Lee, 2005, p.31). </w:t>
      </w:r>
      <w:r w:rsidRPr="00402EB8">
        <w:rPr>
          <w:rFonts w:ascii="Arial" w:hAnsi="Arial" w:cs="Arial"/>
        </w:rPr>
        <w:t xml:space="preserve">The class topic for this term is 'The Victorian Era', whereby the themes and discussion points of this topic will be explored in the main (primarily) through learner-led learning and questioning. The three lessons I have planned for in appendices 1,2, and 3 all relate to this theme of work; however, they do not follow a specifically ordered scheme of work. Regarding the learner's previous learning experiences of this topic, the </w:t>
      </w:r>
      <w:proofErr w:type="spellStart"/>
      <w:r w:rsidRPr="00402EB8">
        <w:rPr>
          <w:rFonts w:ascii="Arial" w:hAnsi="Arial" w:cs="Arial"/>
        </w:rPr>
        <w:t>AfL</w:t>
      </w:r>
      <w:proofErr w:type="spellEnd"/>
      <w:r w:rsidRPr="00402EB8">
        <w:rPr>
          <w:rFonts w:ascii="Arial" w:hAnsi="Arial" w:cs="Arial"/>
        </w:rPr>
        <w:t xml:space="preserve"> strategies for the learners will allow them to re-evaluate their prior knowledge of the topic to be able to draw upon that. Subsequently, these </w:t>
      </w:r>
      <w:proofErr w:type="spellStart"/>
      <w:r w:rsidRPr="00402EB8">
        <w:rPr>
          <w:rFonts w:ascii="Arial" w:hAnsi="Arial" w:cs="Arial"/>
        </w:rPr>
        <w:t>AfL</w:t>
      </w:r>
      <w:proofErr w:type="spellEnd"/>
      <w:r w:rsidRPr="00402EB8">
        <w:rPr>
          <w:rFonts w:ascii="Arial" w:hAnsi="Arial" w:cs="Arial"/>
        </w:rPr>
        <w:t xml:space="preserve"> strategies intend to further extend the learner's knowledge by letting them control their learning. This furthers their enquiry skills and experiences, which learners can transfer to different </w:t>
      </w:r>
      <w:proofErr w:type="spellStart"/>
      <w:r w:rsidRPr="00402EB8">
        <w:rPr>
          <w:rFonts w:ascii="Arial" w:hAnsi="Arial" w:cs="Arial"/>
        </w:rPr>
        <w:t>AoLE's</w:t>
      </w:r>
      <w:proofErr w:type="spellEnd"/>
      <w:r w:rsidRPr="00402EB8">
        <w:rPr>
          <w:rFonts w:ascii="Arial" w:hAnsi="Arial" w:cs="Arial"/>
        </w:rPr>
        <w:t xml:space="preserve"> across the curriculum. The three </w:t>
      </w:r>
      <w:proofErr w:type="spellStart"/>
      <w:r w:rsidRPr="00402EB8">
        <w:rPr>
          <w:rFonts w:ascii="Arial" w:hAnsi="Arial" w:cs="Arial"/>
        </w:rPr>
        <w:t>AoLE's</w:t>
      </w:r>
      <w:proofErr w:type="spellEnd"/>
      <w:r w:rsidRPr="00402EB8">
        <w:rPr>
          <w:rFonts w:ascii="Arial" w:hAnsi="Arial" w:cs="Arial"/>
        </w:rPr>
        <w:t xml:space="preserve"> I have chosen to further evaluate for this essay are Maths and Numeracy, Humanities and Literacy, Language and Communication. Each of these </w:t>
      </w:r>
      <w:proofErr w:type="spellStart"/>
      <w:r w:rsidRPr="00402EB8">
        <w:rPr>
          <w:rFonts w:ascii="Arial" w:hAnsi="Arial" w:cs="Arial"/>
        </w:rPr>
        <w:t>AoLE's</w:t>
      </w:r>
      <w:proofErr w:type="spellEnd"/>
      <w:r w:rsidRPr="00402EB8">
        <w:rPr>
          <w:rFonts w:ascii="Arial" w:hAnsi="Arial" w:cs="Arial"/>
        </w:rPr>
        <w:t xml:space="preserve"> has differing </w:t>
      </w:r>
      <w:r w:rsidR="00892F0D">
        <w:rPr>
          <w:rFonts w:ascii="Arial" w:hAnsi="Arial" w:cs="Arial"/>
        </w:rPr>
        <w:t>‘what matters statements’</w:t>
      </w:r>
      <w:r w:rsidRPr="00402EB8">
        <w:rPr>
          <w:rFonts w:ascii="Arial" w:hAnsi="Arial" w:cs="Arial"/>
        </w:rPr>
        <w:t xml:space="preserve"> which relate to the principles of progression and descriptions of learning. </w:t>
      </w:r>
    </w:p>
    <w:p w14:paraId="5A1C985C" w14:textId="5261DA61" w:rsidR="00442953" w:rsidRPr="00783666" w:rsidRDefault="00783666" w:rsidP="00783666">
      <w:pPr>
        <w:pStyle w:val="NormalWeb"/>
        <w:spacing w:before="0" w:beforeAutospacing="0" w:after="240" w:afterAutospacing="0" w:line="360" w:lineRule="atLeast"/>
        <w:textAlignment w:val="baseline"/>
        <w:rPr>
          <w:rFonts w:ascii="Arial" w:hAnsi="Arial" w:cs="Arial"/>
          <w:color w:val="FF0000"/>
        </w:rPr>
      </w:pPr>
      <w:r>
        <w:rPr>
          <w:rFonts w:ascii="Arial" w:hAnsi="Arial" w:cs="Arial"/>
          <w:color w:val="FF0000"/>
        </w:rPr>
        <w:t xml:space="preserve"> </w:t>
      </w:r>
      <w:r w:rsidR="00442953">
        <w:rPr>
          <w:rFonts w:ascii="Arial" w:hAnsi="Arial" w:cs="Arial"/>
        </w:rPr>
        <w:t xml:space="preserve">          </w:t>
      </w:r>
      <w:r w:rsidR="00C41CA0" w:rsidRPr="00402EB8">
        <w:rPr>
          <w:rFonts w:ascii="Arial" w:hAnsi="Arial" w:cs="Arial"/>
        </w:rPr>
        <w:t xml:space="preserve">Assessment for learning can be defined as a product of the formative learning approach, whereby "practices such as questioning and providing feedback help 'form' or 'shape' student learning" (Cambridge Assessment International Education, 2011). The Welsh Senedd suggests this form of assessment as a core element of proactive teaching and learning, rather than the more traditional form of assessing at the end of a topic or year group (Dauncey, 2021). They also imply that the main focus of assessment is taken away from the "system-wide evaluation of </w:t>
      </w:r>
      <w:proofErr w:type="gramStart"/>
      <w:r w:rsidR="00C41CA0" w:rsidRPr="00402EB8">
        <w:rPr>
          <w:rFonts w:ascii="Arial" w:hAnsi="Arial" w:cs="Arial"/>
        </w:rPr>
        <w:t>school by school</w:t>
      </w:r>
      <w:proofErr w:type="gramEnd"/>
      <w:r w:rsidR="00C41CA0" w:rsidRPr="00402EB8">
        <w:rPr>
          <w:rFonts w:ascii="Arial" w:hAnsi="Arial" w:cs="Arial"/>
        </w:rPr>
        <w:t xml:space="preserve"> performance". However, more valuable use of effective assessment directly benefits the learner, informing the teacher of the true attainment levels in their classroom. It is widely argued by educationalists that there are many aspects of Assessment for Learning that can be broken down. </w:t>
      </w:r>
      <w:proofErr w:type="spellStart"/>
      <w:r w:rsidR="00C41CA0" w:rsidRPr="00402EB8">
        <w:rPr>
          <w:rFonts w:ascii="Arial" w:hAnsi="Arial" w:cs="Arial"/>
        </w:rPr>
        <w:t>Florez</w:t>
      </w:r>
      <w:proofErr w:type="spellEnd"/>
      <w:r w:rsidR="00C41CA0" w:rsidRPr="00402EB8">
        <w:rPr>
          <w:rFonts w:ascii="Arial" w:hAnsi="Arial" w:cs="Arial"/>
        </w:rPr>
        <w:t xml:space="preserve"> and </w:t>
      </w:r>
      <w:proofErr w:type="spellStart"/>
      <w:r w:rsidR="00C41CA0" w:rsidRPr="00402EB8">
        <w:rPr>
          <w:rFonts w:ascii="Arial" w:hAnsi="Arial" w:cs="Arial"/>
        </w:rPr>
        <w:t>Sammonds</w:t>
      </w:r>
      <w:proofErr w:type="spellEnd"/>
      <w:r w:rsidR="00C41CA0" w:rsidRPr="00402EB8">
        <w:rPr>
          <w:rFonts w:ascii="Arial" w:hAnsi="Arial" w:cs="Arial"/>
        </w:rPr>
        <w:t xml:space="preserve"> proclaim that there are four Assessment for Learning elements in which </w:t>
      </w:r>
      <w:proofErr w:type="gramStart"/>
      <w:r w:rsidR="00C41CA0" w:rsidRPr="00402EB8">
        <w:rPr>
          <w:rFonts w:ascii="Arial" w:hAnsi="Arial" w:cs="Arial"/>
        </w:rPr>
        <w:t>teaching</w:t>
      </w:r>
      <w:proofErr w:type="gramEnd"/>
      <w:r w:rsidR="00C41CA0" w:rsidRPr="00402EB8">
        <w:rPr>
          <w:rFonts w:ascii="Arial" w:hAnsi="Arial" w:cs="Arial"/>
        </w:rPr>
        <w:t xml:space="preserve"> and learning thrive: "questioning, feedback, peer-assessment and self-assessment, and the formative use of summative assessment" (</w:t>
      </w:r>
      <w:proofErr w:type="spellStart"/>
      <w:r w:rsidR="00C41CA0" w:rsidRPr="00402EB8">
        <w:rPr>
          <w:rFonts w:ascii="Arial" w:hAnsi="Arial" w:cs="Arial"/>
        </w:rPr>
        <w:t>Florez</w:t>
      </w:r>
      <w:proofErr w:type="spellEnd"/>
      <w:r w:rsidR="00C41CA0" w:rsidRPr="00402EB8">
        <w:rPr>
          <w:rFonts w:ascii="Arial" w:hAnsi="Arial" w:cs="Arial"/>
        </w:rPr>
        <w:t xml:space="preserve"> and </w:t>
      </w:r>
      <w:proofErr w:type="spellStart"/>
      <w:r w:rsidR="00C41CA0" w:rsidRPr="00402EB8">
        <w:rPr>
          <w:rFonts w:ascii="Arial" w:hAnsi="Arial" w:cs="Arial"/>
        </w:rPr>
        <w:t>Sammonds</w:t>
      </w:r>
      <w:proofErr w:type="spellEnd"/>
      <w:r w:rsidR="00C41CA0" w:rsidRPr="00402EB8">
        <w:rPr>
          <w:rFonts w:ascii="Arial" w:hAnsi="Arial" w:cs="Arial"/>
        </w:rPr>
        <w:t xml:space="preserve">, 2013). However, Dylan </w:t>
      </w:r>
      <w:proofErr w:type="spellStart"/>
      <w:r w:rsidR="00C41CA0" w:rsidRPr="00402EB8">
        <w:rPr>
          <w:rFonts w:ascii="Arial" w:hAnsi="Arial" w:cs="Arial"/>
        </w:rPr>
        <w:t>Wiliam</w:t>
      </w:r>
      <w:proofErr w:type="spellEnd"/>
      <w:r w:rsidR="00C41CA0" w:rsidRPr="00402EB8">
        <w:rPr>
          <w:rFonts w:ascii="Arial" w:hAnsi="Arial" w:cs="Arial"/>
        </w:rPr>
        <w:t xml:space="preserve"> also argues that "clarifying and understanding learning intentions and criteria for success" should be added to the aspects of Assessment for Learning as it </w:t>
      </w:r>
      <w:r w:rsidR="00C41CA0" w:rsidRPr="00402EB8">
        <w:rPr>
          <w:rFonts w:ascii="Arial" w:hAnsi="Arial" w:cs="Arial"/>
        </w:rPr>
        <w:lastRenderedPageBreak/>
        <w:t xml:space="preserve">encourages independent learning and allows the learner to monitor their progression. Quality of talk and questioning as a form of Assessment for Learning relates to how learners evaluate and develop their learning and skills through discussion. Teaching and learning can also be developed, and the progress monitored by using practical and valuable feedback, with Hattie and Timperley implying that feedback is "among the most critical influences on student learning" (Hattie and Timperley, 2007, </w:t>
      </w:r>
      <w:proofErr w:type="spellStart"/>
      <w:r w:rsidR="00C41CA0" w:rsidRPr="00402EB8">
        <w:rPr>
          <w:rFonts w:ascii="Arial" w:hAnsi="Arial" w:cs="Arial"/>
        </w:rPr>
        <w:t>pg</w:t>
      </w:r>
      <w:proofErr w:type="spellEnd"/>
      <w:r w:rsidR="00C41CA0" w:rsidRPr="00402EB8">
        <w:rPr>
          <w:rFonts w:ascii="Arial" w:hAnsi="Arial" w:cs="Arial"/>
        </w:rPr>
        <w:t xml:space="preserve"> 102). </w:t>
      </w:r>
      <w:proofErr w:type="spellStart"/>
      <w:r w:rsidR="00C41CA0" w:rsidRPr="00402EB8">
        <w:rPr>
          <w:rFonts w:ascii="Arial" w:hAnsi="Arial" w:cs="Arial"/>
        </w:rPr>
        <w:t>Wiliam</w:t>
      </w:r>
      <w:proofErr w:type="spellEnd"/>
      <w:r w:rsidR="00C41CA0" w:rsidRPr="00402EB8">
        <w:rPr>
          <w:rFonts w:ascii="Arial" w:hAnsi="Arial" w:cs="Arial"/>
        </w:rPr>
        <w:t xml:space="preserve">, 2011 </w:t>
      </w:r>
      <w:r w:rsidR="00892F0D">
        <w:rPr>
          <w:rFonts w:ascii="Arial" w:hAnsi="Arial" w:cs="Arial"/>
        </w:rPr>
        <w:t xml:space="preserve">supports </w:t>
      </w:r>
      <w:proofErr w:type="spellStart"/>
      <w:r w:rsidR="00892F0D">
        <w:rPr>
          <w:rFonts w:ascii="Arial" w:hAnsi="Arial" w:cs="Arial"/>
        </w:rPr>
        <w:t>thuis</w:t>
      </w:r>
      <w:proofErr w:type="spellEnd"/>
      <w:r w:rsidR="00892F0D">
        <w:rPr>
          <w:rFonts w:ascii="Arial" w:hAnsi="Arial" w:cs="Arial"/>
        </w:rPr>
        <w:t xml:space="preserve"> argument and </w:t>
      </w:r>
      <w:r w:rsidR="00C41CA0" w:rsidRPr="00402EB8">
        <w:rPr>
          <w:rFonts w:ascii="Arial" w:hAnsi="Arial" w:cs="Arial"/>
        </w:rPr>
        <w:t>clarifies that "information does not become 'feedback' unless it is provided within a system that can use that information to affect future performance" (</w:t>
      </w:r>
      <w:proofErr w:type="spellStart"/>
      <w:r w:rsidR="00C41CA0" w:rsidRPr="00402EB8">
        <w:rPr>
          <w:rFonts w:ascii="Arial" w:hAnsi="Arial" w:cs="Arial"/>
        </w:rPr>
        <w:t>Wiliam</w:t>
      </w:r>
      <w:proofErr w:type="spellEnd"/>
      <w:r w:rsidR="00C41CA0" w:rsidRPr="00402EB8">
        <w:rPr>
          <w:rFonts w:ascii="Arial" w:hAnsi="Arial" w:cs="Arial"/>
        </w:rPr>
        <w:t xml:space="preserve">, 2011). An attempt to link both elements </w:t>
      </w:r>
      <w:proofErr w:type="gramStart"/>
      <w:r w:rsidR="00C41CA0" w:rsidRPr="00402EB8">
        <w:rPr>
          <w:rFonts w:ascii="Arial" w:hAnsi="Arial" w:cs="Arial"/>
        </w:rPr>
        <w:t>causes</w:t>
      </w:r>
      <w:proofErr w:type="gramEnd"/>
      <w:r w:rsidR="00C41CA0" w:rsidRPr="00402EB8">
        <w:rPr>
          <w:rFonts w:ascii="Arial" w:hAnsi="Arial" w:cs="Arial"/>
        </w:rPr>
        <w:t xml:space="preserve"> a system whereby Assessment for Learning can become successful. However, some theorists have criticised the evidence used to support Assessment for Learning as it has "a limitation in the methodical analysis; the studies do not tend to consider the influence of this factor (feedback) in isolation from others" (Tierney and </w:t>
      </w:r>
      <w:proofErr w:type="spellStart"/>
      <w:r w:rsidR="00C41CA0" w:rsidRPr="00402EB8">
        <w:rPr>
          <w:rFonts w:ascii="Arial" w:hAnsi="Arial" w:cs="Arial"/>
        </w:rPr>
        <w:t>Charland</w:t>
      </w:r>
      <w:proofErr w:type="spellEnd"/>
      <w:r w:rsidR="00C41CA0" w:rsidRPr="00402EB8">
        <w:rPr>
          <w:rFonts w:ascii="Arial" w:hAnsi="Arial" w:cs="Arial"/>
        </w:rPr>
        <w:t xml:space="preserve">, 2007). Peer and self-assessment are tools introduced into proactive teaching and learning which can benefit pupil progression as it allows the learner to visualise where they have come from. This then allows the teacher to inform the learner of where they need to be aiming for and how to reach their targets. An example of a formative </w:t>
      </w:r>
      <w:r w:rsidR="00892F0D">
        <w:rPr>
          <w:rFonts w:ascii="Arial" w:hAnsi="Arial" w:cs="Arial"/>
        </w:rPr>
        <w:t>A</w:t>
      </w:r>
      <w:r w:rsidR="00C41CA0" w:rsidRPr="00402EB8">
        <w:rPr>
          <w:rFonts w:ascii="Arial" w:hAnsi="Arial" w:cs="Arial"/>
        </w:rPr>
        <w:t xml:space="preserve">ssessment for </w:t>
      </w:r>
      <w:r w:rsidR="00892F0D">
        <w:rPr>
          <w:rFonts w:ascii="Arial" w:hAnsi="Arial" w:cs="Arial"/>
        </w:rPr>
        <w:t>L</w:t>
      </w:r>
      <w:r w:rsidR="00C41CA0" w:rsidRPr="00402EB8">
        <w:rPr>
          <w:rFonts w:ascii="Arial" w:hAnsi="Arial" w:cs="Arial"/>
        </w:rPr>
        <w:t xml:space="preserve">earning strategy would be two stars and a wish method. Two stars and a wish </w:t>
      </w:r>
      <w:proofErr w:type="gramStart"/>
      <w:r w:rsidR="00C41CA0" w:rsidRPr="00402EB8">
        <w:rPr>
          <w:rFonts w:ascii="Arial" w:hAnsi="Arial" w:cs="Arial"/>
        </w:rPr>
        <w:t>comprises</w:t>
      </w:r>
      <w:proofErr w:type="gramEnd"/>
      <w:r w:rsidR="00C41CA0" w:rsidRPr="00402EB8">
        <w:rPr>
          <w:rFonts w:ascii="Arial" w:hAnsi="Arial" w:cs="Arial"/>
        </w:rPr>
        <w:t xml:space="preserve"> a peer or self-assessment task whereby learners are asked to develop two positive statements, written or verbal, on what they feel went well or are proud of. The wish is then a statement whereby the learner assesses either their </w:t>
      </w:r>
      <w:r w:rsidR="00227C1F">
        <w:rPr>
          <w:rFonts w:ascii="Arial" w:hAnsi="Arial" w:cs="Arial"/>
        </w:rPr>
        <w:t xml:space="preserve">own </w:t>
      </w:r>
      <w:r w:rsidR="00C41CA0" w:rsidRPr="00402EB8">
        <w:rPr>
          <w:rFonts w:ascii="Arial" w:hAnsi="Arial" w:cs="Arial"/>
        </w:rPr>
        <w:t xml:space="preserve">work or their peers to create a target so that they can develop their progress during further lessons. Black and </w:t>
      </w:r>
      <w:proofErr w:type="spellStart"/>
      <w:r w:rsidR="00C41CA0" w:rsidRPr="00402EB8">
        <w:rPr>
          <w:rFonts w:ascii="Arial" w:hAnsi="Arial" w:cs="Arial"/>
        </w:rPr>
        <w:t>Wiliam</w:t>
      </w:r>
      <w:proofErr w:type="spellEnd"/>
      <w:r w:rsidR="00C41CA0" w:rsidRPr="00402EB8">
        <w:rPr>
          <w:rFonts w:ascii="Arial" w:hAnsi="Arial" w:cs="Arial"/>
        </w:rPr>
        <w:t xml:space="preserve">, 1998 suggest that teachers and their learners develop the use of formative assessment styles by providing information which is then used as feedback to revise the teaching and learning activities in which they are involved (Black and </w:t>
      </w:r>
      <w:proofErr w:type="spellStart"/>
      <w:r w:rsidR="00C41CA0" w:rsidRPr="00402EB8">
        <w:rPr>
          <w:rFonts w:ascii="Arial" w:hAnsi="Arial" w:cs="Arial"/>
        </w:rPr>
        <w:t>Wiliam</w:t>
      </w:r>
      <w:proofErr w:type="spellEnd"/>
      <w:r w:rsidR="00C41CA0" w:rsidRPr="00402EB8">
        <w:rPr>
          <w:rFonts w:ascii="Arial" w:hAnsi="Arial" w:cs="Arial"/>
        </w:rPr>
        <w:t>, 1998). Where formative assessment lends itself more towards the learner leading their learning journey, summative assessment "typically is an attempt to measure student attainment at the end of a period of learning" (</w:t>
      </w:r>
      <w:proofErr w:type="spellStart"/>
      <w:r w:rsidR="00C41CA0" w:rsidRPr="00402EB8">
        <w:rPr>
          <w:rFonts w:ascii="Arial" w:hAnsi="Arial" w:cs="Arial"/>
        </w:rPr>
        <w:t>Florez</w:t>
      </w:r>
      <w:proofErr w:type="spellEnd"/>
      <w:r w:rsidR="00C41CA0" w:rsidRPr="00402EB8">
        <w:rPr>
          <w:rFonts w:ascii="Arial" w:hAnsi="Arial" w:cs="Arial"/>
        </w:rPr>
        <w:t xml:space="preserve"> and </w:t>
      </w:r>
      <w:proofErr w:type="spellStart"/>
      <w:r w:rsidR="00C41CA0" w:rsidRPr="00402EB8">
        <w:rPr>
          <w:rFonts w:ascii="Arial" w:hAnsi="Arial" w:cs="Arial"/>
        </w:rPr>
        <w:t>Sammonds</w:t>
      </w:r>
      <w:proofErr w:type="spellEnd"/>
      <w:r w:rsidR="00C41CA0" w:rsidRPr="00402EB8">
        <w:rPr>
          <w:rFonts w:ascii="Arial" w:hAnsi="Arial" w:cs="Arial"/>
        </w:rPr>
        <w:t xml:space="preserve">, 2013). Formative use of summative assessment would lead towards the more traditional assessment methods such as exams or end-of-topic testing. Arguments have been made to challenge the use of summative assessments within schools as teachers follow a scheme of work </w:t>
      </w:r>
      <w:proofErr w:type="gramStart"/>
      <w:r w:rsidR="00C41CA0" w:rsidRPr="00402EB8">
        <w:rPr>
          <w:rFonts w:ascii="Arial" w:hAnsi="Arial" w:cs="Arial"/>
        </w:rPr>
        <w:t>whereby</w:t>
      </w:r>
      <w:proofErr w:type="gramEnd"/>
      <w:r w:rsidR="00C41CA0" w:rsidRPr="00402EB8">
        <w:rPr>
          <w:rFonts w:ascii="Arial" w:hAnsi="Arial" w:cs="Arial"/>
        </w:rPr>
        <w:t xml:space="preserve"> they teach what the learner is to be tested on. The cause for concern with this Assessment for Learning strategy is that the learner's full potential is not being challenged and limiting their knowledge from prior visits to the topic. Although it has been challenged, summative assessment forms can aid learners who may not be able to ask for help during recorded tasks or whole-class learning. Many learners lack knowledge or </w:t>
      </w:r>
      <w:r w:rsidR="00C41CA0" w:rsidRPr="00402EB8">
        <w:rPr>
          <w:rFonts w:ascii="Arial" w:hAnsi="Arial" w:cs="Arial"/>
        </w:rPr>
        <w:lastRenderedPageBreak/>
        <w:t xml:space="preserve">misunderstand the topic. Summative assessment allows the teacher to gauge the learners who need more support to aid their development and progression. From this, teachers and support staff can set up intervention groups to close the progression gap between the more able and talented learners and those who would benefit from the interventions. Assessment for learning is necessary within our school systems as it allows for the unpredictability of school systems and their learners. The monitoring of learners' progression and development is essential to be able to make adaptions to the schemes of work already in place. However, the Assessment for Learning process teaches and encourages learners' "willingness, desire and capacity to learn" (Harlen et al., 2002). Harlen et al. also support the theory that for assessment to support the learning and progression of the learners, supporting guidance must be provided to detail the continuing instructions, which must encourage the learner to prioritise education growth rather than their well-being. </w:t>
      </w:r>
    </w:p>
    <w:p w14:paraId="0BAF081A" w14:textId="21A01BCB" w:rsidR="00C41CA0" w:rsidRPr="006A6393" w:rsidRDefault="00442953" w:rsidP="003D3120">
      <w:pPr>
        <w:spacing w:before="240" w:after="240" w:line="360" w:lineRule="auto"/>
        <w:rPr>
          <w:rFonts w:ascii="Arial" w:hAnsi="Arial" w:cs="Arial"/>
          <w:color w:val="FF0000"/>
        </w:rPr>
      </w:pPr>
      <w:r>
        <w:rPr>
          <w:rFonts w:ascii="Arial" w:hAnsi="Arial" w:cs="Arial"/>
        </w:rPr>
        <w:t xml:space="preserve">          </w:t>
      </w:r>
      <w:r w:rsidR="00C41CA0" w:rsidRPr="00402EB8">
        <w:rPr>
          <w:rFonts w:ascii="Arial" w:hAnsi="Arial" w:cs="Arial"/>
        </w:rPr>
        <w:t>As shown below in appendices 1,</w:t>
      </w:r>
      <w:r w:rsidR="00227C1F">
        <w:rPr>
          <w:rFonts w:ascii="Arial" w:hAnsi="Arial" w:cs="Arial"/>
        </w:rPr>
        <w:t xml:space="preserve"> </w:t>
      </w:r>
      <w:r w:rsidR="00C41CA0" w:rsidRPr="00402EB8">
        <w:rPr>
          <w:rFonts w:ascii="Arial" w:hAnsi="Arial" w:cs="Arial"/>
        </w:rPr>
        <w:t xml:space="preserve">2, and 3, all lessons revolve around the topic of 'The Victorian Era' aimed at a year 5 class of mixed-ability learners. During these lessons, learners are not grouped by ability and are seated randomly throughout the classroom. A selected number of lower-ability learners are seated together for support from staff. The carousel introduction and subsequent KWL page (What I already </w:t>
      </w:r>
      <w:r w:rsidR="00C41CA0" w:rsidRPr="00402EB8">
        <w:rPr>
          <w:rFonts w:ascii="Arial" w:hAnsi="Arial" w:cs="Arial"/>
          <w:b/>
          <w:bCs/>
        </w:rPr>
        <w:t>know</w:t>
      </w:r>
      <w:r w:rsidR="00C41CA0" w:rsidRPr="00402EB8">
        <w:rPr>
          <w:rFonts w:ascii="Arial" w:hAnsi="Arial" w:cs="Arial"/>
        </w:rPr>
        <w:t xml:space="preserve">, what do I </w:t>
      </w:r>
      <w:r w:rsidR="00C41CA0" w:rsidRPr="00402EB8">
        <w:rPr>
          <w:rFonts w:ascii="Arial" w:hAnsi="Arial" w:cs="Arial"/>
          <w:b/>
          <w:bCs/>
        </w:rPr>
        <w:t>want</w:t>
      </w:r>
      <w:r w:rsidR="00C41CA0" w:rsidRPr="00402EB8">
        <w:rPr>
          <w:rFonts w:ascii="Arial" w:hAnsi="Arial" w:cs="Arial"/>
        </w:rPr>
        <w:t xml:space="preserve"> to learn about and what I have </w:t>
      </w:r>
      <w:r w:rsidR="00C41CA0" w:rsidRPr="00402EB8">
        <w:rPr>
          <w:rFonts w:ascii="Arial" w:hAnsi="Arial" w:cs="Arial"/>
          <w:b/>
          <w:bCs/>
        </w:rPr>
        <w:t>learned</w:t>
      </w:r>
      <w:r w:rsidR="00C41CA0" w:rsidRPr="00402EB8">
        <w:rPr>
          <w:rFonts w:ascii="Arial" w:hAnsi="Arial" w:cs="Arial"/>
        </w:rPr>
        <w:t xml:space="preserve">) lesson plan (see appendix 1) </w:t>
      </w:r>
      <w:r w:rsidR="00227C1F" w:rsidRPr="00402EB8">
        <w:rPr>
          <w:rFonts w:ascii="Arial" w:hAnsi="Arial" w:cs="Arial"/>
        </w:rPr>
        <w:t>was</w:t>
      </w:r>
      <w:r w:rsidR="00C41CA0" w:rsidRPr="00402EB8">
        <w:rPr>
          <w:rFonts w:ascii="Arial" w:hAnsi="Arial" w:cs="Arial"/>
        </w:rPr>
        <w:t xml:space="preserve"> set as an introduction to the topic and the first chance for the learners to introduce themselves </w:t>
      </w:r>
      <w:r w:rsidR="00227C1F">
        <w:rPr>
          <w:rFonts w:ascii="Arial" w:hAnsi="Arial" w:cs="Arial"/>
        </w:rPr>
        <w:t>to</w:t>
      </w:r>
      <w:r w:rsidR="00C41CA0" w:rsidRPr="00402EB8">
        <w:rPr>
          <w:rFonts w:ascii="Arial" w:hAnsi="Arial" w:cs="Arial"/>
        </w:rPr>
        <w:t xml:space="preserve"> 'The Victorian Era'. This included a series of </w:t>
      </w:r>
      <w:r w:rsidR="00227C1F">
        <w:rPr>
          <w:rFonts w:ascii="Arial" w:hAnsi="Arial" w:cs="Arial"/>
        </w:rPr>
        <w:t>three</w:t>
      </w:r>
      <w:r w:rsidR="00C41CA0" w:rsidRPr="00402EB8">
        <w:rPr>
          <w:rFonts w:ascii="Arial" w:hAnsi="Arial" w:cs="Arial"/>
        </w:rPr>
        <w:t xml:space="preserve"> stations whereby the learners moved from one task to the next on a timer and were encouraged to use the resources provided for them to independently research the topic. This task enabled the learner to develop constructive questioning strategies on the topic, encouraging learner-led learning in later lessons. It was clear to the learners that their work would be building on the concept of learner-led learning, which encouraged them to take charge of their progression and knowledge attainment. </w:t>
      </w:r>
      <w:proofErr w:type="spellStart"/>
      <w:r w:rsidR="003D3120">
        <w:rPr>
          <w:rFonts w:ascii="Arial" w:hAnsi="Arial" w:cs="Arial"/>
        </w:rPr>
        <w:t>Liberto</w:t>
      </w:r>
      <w:proofErr w:type="spellEnd"/>
      <w:r w:rsidR="003D3120">
        <w:rPr>
          <w:rFonts w:ascii="Arial" w:hAnsi="Arial" w:cs="Arial"/>
        </w:rPr>
        <w:t xml:space="preserve"> </w:t>
      </w:r>
      <w:r>
        <w:rPr>
          <w:rFonts w:ascii="Arial" w:hAnsi="Arial" w:cs="Arial"/>
        </w:rPr>
        <w:t>suggests that there are clear discrepancies in learning outcomes since a move from an “inflexible, strictly regulated process” which diminishes the potential for these</w:t>
      </w:r>
      <w:r w:rsidR="003D3120">
        <w:rPr>
          <w:rFonts w:ascii="Arial" w:hAnsi="Arial" w:cs="Arial"/>
        </w:rPr>
        <w:t xml:space="preserve"> concepts leading to a lesser quality of learning and the demise of well-being in the lower ability learners. The more recent structure of a flexible strategy allows for “child-led, interest-inspired learning” which allows for the individual needs of the learners to be met (</w:t>
      </w:r>
      <w:proofErr w:type="spellStart"/>
      <w:r w:rsidR="003D3120">
        <w:rPr>
          <w:rFonts w:ascii="Arial" w:hAnsi="Arial" w:cs="Arial"/>
        </w:rPr>
        <w:t>Liberto</w:t>
      </w:r>
      <w:proofErr w:type="spellEnd"/>
      <w:r w:rsidR="003D3120">
        <w:rPr>
          <w:rFonts w:ascii="Arial" w:hAnsi="Arial" w:cs="Arial"/>
        </w:rPr>
        <w:t>, 2016).</w:t>
      </w:r>
      <w:r>
        <w:rPr>
          <w:rFonts w:ascii="Open Sans" w:hAnsi="Open Sans" w:cs="Open Sans"/>
          <w:color w:val="333333"/>
          <w:sz w:val="26"/>
          <w:szCs w:val="26"/>
        </w:rPr>
        <w:t xml:space="preserve"> </w:t>
      </w:r>
      <w:proofErr w:type="gramStart"/>
      <w:r w:rsidR="00C41CA0" w:rsidRPr="00402EB8">
        <w:rPr>
          <w:rFonts w:ascii="Arial" w:hAnsi="Arial" w:cs="Arial"/>
        </w:rPr>
        <w:t>The</w:t>
      </w:r>
      <w:proofErr w:type="gramEnd"/>
      <w:r w:rsidR="00C41CA0" w:rsidRPr="00402EB8">
        <w:rPr>
          <w:rFonts w:ascii="Arial" w:hAnsi="Arial" w:cs="Arial"/>
        </w:rPr>
        <w:t xml:space="preserve"> focused </w:t>
      </w:r>
      <w:proofErr w:type="spellStart"/>
      <w:r w:rsidR="00C41CA0" w:rsidRPr="00402EB8">
        <w:rPr>
          <w:rFonts w:ascii="Arial" w:hAnsi="Arial" w:cs="Arial"/>
        </w:rPr>
        <w:t>AoLE</w:t>
      </w:r>
      <w:proofErr w:type="spellEnd"/>
      <w:r w:rsidR="00C41CA0" w:rsidRPr="00402EB8">
        <w:rPr>
          <w:rFonts w:ascii="Arial" w:hAnsi="Arial" w:cs="Arial"/>
        </w:rPr>
        <w:t xml:space="preserve"> for this task was humanities as this was a research-based task on their new termly topic. As </w:t>
      </w:r>
      <w:r w:rsidR="00C41CA0" w:rsidRPr="00402EB8">
        <w:rPr>
          <w:rFonts w:ascii="Arial" w:hAnsi="Arial" w:cs="Arial"/>
        </w:rPr>
        <w:lastRenderedPageBreak/>
        <w:t xml:space="preserve">the 'what matters statements' imply for the humanities </w:t>
      </w:r>
      <w:proofErr w:type="spellStart"/>
      <w:r w:rsidR="00C41CA0" w:rsidRPr="00402EB8">
        <w:rPr>
          <w:rFonts w:ascii="Arial" w:hAnsi="Arial" w:cs="Arial"/>
        </w:rPr>
        <w:t>AoLE</w:t>
      </w:r>
      <w:proofErr w:type="spellEnd"/>
      <w:r w:rsidR="00C41CA0" w:rsidRPr="00402EB8">
        <w:rPr>
          <w:rFonts w:ascii="Arial" w:hAnsi="Arial" w:cs="Arial"/>
        </w:rPr>
        <w:t xml:space="preserve">, "Enquiry, exploration and investigation inspire curiosity about the world, its past, present and future" (HWB,2020). Additionally, the </w:t>
      </w:r>
      <w:r w:rsidR="00227C1F">
        <w:rPr>
          <w:rFonts w:ascii="Arial" w:hAnsi="Arial" w:cs="Arial"/>
        </w:rPr>
        <w:t>C</w:t>
      </w:r>
      <w:r w:rsidR="00C41CA0" w:rsidRPr="00402EB8">
        <w:rPr>
          <w:rFonts w:ascii="Arial" w:hAnsi="Arial" w:cs="Arial"/>
        </w:rPr>
        <w:t>urriculum for Wales states that part of the four core purposes is to encourage and promote ethically informed citizens, which this lesson plan succeeds in, as Donaldson suggests, "are knowledgeable about their culture, community, society and the world, now and in the past"</w:t>
      </w:r>
      <w:r w:rsidR="00A15F69">
        <w:rPr>
          <w:rFonts w:ascii="Arial" w:hAnsi="Arial" w:cs="Arial"/>
        </w:rPr>
        <w:t xml:space="preserve"> (Welsh Government, 2020). </w:t>
      </w:r>
      <w:r w:rsidR="00C41CA0" w:rsidRPr="00402EB8">
        <w:rPr>
          <w:rFonts w:ascii="Arial" w:hAnsi="Arial" w:cs="Arial"/>
        </w:rPr>
        <w:t xml:space="preserve">This task also includes cross-curricular skills taken from </w:t>
      </w:r>
      <w:proofErr w:type="spellStart"/>
      <w:r w:rsidR="00C41CA0" w:rsidRPr="00402EB8">
        <w:rPr>
          <w:rFonts w:ascii="Arial" w:hAnsi="Arial" w:cs="Arial"/>
        </w:rPr>
        <w:t>AoLE's</w:t>
      </w:r>
      <w:proofErr w:type="spellEnd"/>
      <w:r w:rsidR="00C41CA0" w:rsidRPr="00402EB8">
        <w:rPr>
          <w:rFonts w:ascii="Arial" w:hAnsi="Arial" w:cs="Arial"/>
        </w:rPr>
        <w:t xml:space="preserve"> such as Literacy, Language and Communication. During the beginning carousel, learners were asked to use their research skills to go online and research The Victorian era using a selected group of websites given to them via Microsoft Teams. This links the Digital Competency Framework to their cross-curricular skills, using multiple software types and online resources. Learners were asked to complete a KWL page which uses spelling, punctuation, and grammar skills to be utilised in other </w:t>
      </w:r>
      <w:proofErr w:type="spellStart"/>
      <w:r w:rsidR="00C41CA0" w:rsidRPr="00402EB8">
        <w:rPr>
          <w:rFonts w:ascii="Arial" w:hAnsi="Arial" w:cs="Arial"/>
        </w:rPr>
        <w:t>AoLE</w:t>
      </w:r>
      <w:proofErr w:type="spellEnd"/>
      <w:r w:rsidR="00227C1F">
        <w:rPr>
          <w:rFonts w:ascii="Arial" w:hAnsi="Arial" w:cs="Arial"/>
        </w:rPr>
        <w:t xml:space="preserve"> </w:t>
      </w:r>
      <w:r w:rsidR="00C41CA0" w:rsidRPr="00402EB8">
        <w:rPr>
          <w:rFonts w:ascii="Arial" w:hAnsi="Arial" w:cs="Arial"/>
        </w:rPr>
        <w:t>recorded tasks. For this specific task, learners were split into groups for the carousel activity, and the success criteria were displayed to the whole class. Each point was read out by a member of the class and clarified if the learners had been successful thus far. If the criteria were not yet met, it was discussed as a whole class how the learners could achieve this. The success criteria are visible to the learners throughout the lesson so they can independently monitor their progress and keep themselves on track</w:t>
      </w:r>
      <w:r w:rsidR="00A15F69">
        <w:rPr>
          <w:rFonts w:ascii="Arial" w:hAnsi="Arial" w:cs="Arial"/>
        </w:rPr>
        <w:t xml:space="preserve">. Hattie suggests </w:t>
      </w:r>
      <w:r w:rsidR="006A6393">
        <w:rPr>
          <w:rFonts w:ascii="Arial" w:hAnsi="Arial" w:cs="Arial"/>
        </w:rPr>
        <w:t>for learners to understand the meaning behind the success criteria, they need to be shown what a successful piece of work looks like. Learners then will work backwards to create the steps on how they got to the end point, creating effective success criteria</w:t>
      </w:r>
      <w:r w:rsidR="00A15F69">
        <w:rPr>
          <w:rFonts w:ascii="Arial" w:hAnsi="Arial" w:cs="Arial"/>
        </w:rPr>
        <w:t xml:space="preserve"> (Hattie, 2012)</w:t>
      </w:r>
      <w:r w:rsidR="006A6393">
        <w:rPr>
          <w:rFonts w:ascii="Arial" w:hAnsi="Arial" w:cs="Arial"/>
        </w:rPr>
        <w:t>.</w:t>
      </w:r>
      <w:r w:rsidR="00C41CA0" w:rsidRPr="00402EB8">
        <w:rPr>
          <w:rFonts w:ascii="Arial" w:hAnsi="Arial" w:cs="Arial"/>
        </w:rPr>
        <w:t xml:space="preserve"> This is beneficial to the learner as they can assess what level they are currently working at and what they need to do next to progress in their learning and challenge themselves further. It also develops the ability of the learner to independently assess their progress and self-assess how to improve their learning. </w:t>
      </w:r>
      <w:proofErr w:type="spellStart"/>
      <w:r w:rsidR="00C41CA0" w:rsidRPr="00402EB8">
        <w:rPr>
          <w:rFonts w:ascii="Arial" w:hAnsi="Arial" w:cs="Arial"/>
        </w:rPr>
        <w:t>Andradre</w:t>
      </w:r>
      <w:proofErr w:type="spellEnd"/>
      <w:r w:rsidR="00C41CA0" w:rsidRPr="00402EB8">
        <w:rPr>
          <w:rFonts w:ascii="Arial" w:hAnsi="Arial" w:cs="Arial"/>
        </w:rPr>
        <w:t xml:space="preserve"> and </w:t>
      </w:r>
      <w:proofErr w:type="spellStart"/>
      <w:r w:rsidR="00C41CA0" w:rsidRPr="00402EB8">
        <w:rPr>
          <w:rFonts w:ascii="Arial" w:hAnsi="Arial" w:cs="Arial"/>
        </w:rPr>
        <w:t>Valtcheva</w:t>
      </w:r>
      <w:proofErr w:type="spellEnd"/>
      <w:r w:rsidR="00C41CA0" w:rsidRPr="00402EB8">
        <w:rPr>
          <w:rFonts w:ascii="Arial" w:hAnsi="Arial" w:cs="Arial"/>
        </w:rPr>
        <w:t xml:space="preserve">, 2009, support this thinking as they suggest that peer assessment enables learners to develop their confidence while assessing their learning and peers. Furthermore, it allows the learner to judge their progression rather than relying solely on the comments of teachers and support staff. This independence to assess their progress allows for a higher level of motivation and independence by taking an active role in their learning journey (Andrade and </w:t>
      </w:r>
      <w:proofErr w:type="spellStart"/>
      <w:r w:rsidR="00C41CA0" w:rsidRPr="00402EB8">
        <w:rPr>
          <w:rFonts w:ascii="Arial" w:hAnsi="Arial" w:cs="Arial"/>
        </w:rPr>
        <w:t>Valtcheva</w:t>
      </w:r>
      <w:proofErr w:type="spellEnd"/>
      <w:r w:rsidR="00C41CA0" w:rsidRPr="00402EB8">
        <w:rPr>
          <w:rFonts w:ascii="Arial" w:hAnsi="Arial" w:cs="Arial"/>
        </w:rPr>
        <w:t xml:space="preserve">, 2009). Another </w:t>
      </w:r>
      <w:proofErr w:type="spellStart"/>
      <w:r w:rsidR="00C41CA0" w:rsidRPr="00402EB8">
        <w:rPr>
          <w:rFonts w:ascii="Arial" w:hAnsi="Arial" w:cs="Arial"/>
        </w:rPr>
        <w:t>AfL</w:t>
      </w:r>
      <w:proofErr w:type="spellEnd"/>
      <w:r w:rsidR="00C41CA0" w:rsidRPr="00402EB8">
        <w:rPr>
          <w:rFonts w:ascii="Arial" w:hAnsi="Arial" w:cs="Arial"/>
        </w:rPr>
        <w:t xml:space="preserve"> strategy used during the introduction carousel was the </w:t>
      </w:r>
      <w:r w:rsidR="00227C1F">
        <w:rPr>
          <w:rFonts w:ascii="Arial" w:hAnsi="Arial" w:cs="Arial"/>
        </w:rPr>
        <w:t>quality of talk</w:t>
      </w:r>
      <w:r w:rsidR="00C41CA0" w:rsidRPr="00402EB8">
        <w:rPr>
          <w:rFonts w:ascii="Arial" w:hAnsi="Arial" w:cs="Arial"/>
        </w:rPr>
        <w:t xml:space="preserve">, whereby learners explain and elaborate their ideas and research to </w:t>
      </w:r>
      <w:r w:rsidR="00C41CA0" w:rsidRPr="00402EB8">
        <w:rPr>
          <w:rFonts w:ascii="Arial" w:hAnsi="Arial" w:cs="Arial"/>
        </w:rPr>
        <w:lastRenderedPageBreak/>
        <w:t>their peers in their own words, reinforcing their learning and understanding. During this task, learners were asked to use a random selection of lollypop sticks to verbalise effective questioning words to aid them in researching the appropriate topics. For example, the colour or texture of the food they were trying or what they could see from the images they were provided. Using lollypop sticks eliminates the need for the hands-up strategy, a</w:t>
      </w:r>
      <w:r w:rsidR="006A6393">
        <w:rPr>
          <w:rFonts w:ascii="Arial" w:hAnsi="Arial" w:cs="Arial"/>
        </w:rPr>
        <w:t xml:space="preserve">s Clarke </w:t>
      </w:r>
      <w:r w:rsidR="00C41CA0" w:rsidRPr="00402EB8">
        <w:rPr>
          <w:rFonts w:ascii="Arial" w:hAnsi="Arial" w:cs="Arial"/>
        </w:rPr>
        <w:t>suggests "raises the learner's level of continuous focus"</w:t>
      </w:r>
      <w:r w:rsidR="006A6393">
        <w:rPr>
          <w:rFonts w:ascii="Arial" w:hAnsi="Arial" w:cs="Arial"/>
        </w:rPr>
        <w:t xml:space="preserve"> (Clarke, 2005)</w:t>
      </w:r>
      <w:r w:rsidR="00C41CA0" w:rsidRPr="00402EB8">
        <w:rPr>
          <w:rFonts w:ascii="Arial" w:hAnsi="Arial" w:cs="Arial"/>
        </w:rPr>
        <w:t xml:space="preserve">. This also allows the learners with a lower level of self-confidence to voice their opinions and findings to their peers, developing their communication skills and allowing the teacher to gauge their understanding. The use of </w:t>
      </w:r>
      <w:proofErr w:type="spellStart"/>
      <w:r w:rsidR="00C41CA0" w:rsidRPr="00402EB8">
        <w:rPr>
          <w:rFonts w:ascii="Arial" w:hAnsi="Arial" w:cs="Arial"/>
        </w:rPr>
        <w:t>AfL</w:t>
      </w:r>
      <w:proofErr w:type="spellEnd"/>
      <w:r w:rsidR="00C41CA0" w:rsidRPr="00402EB8">
        <w:rPr>
          <w:rFonts w:ascii="Arial" w:hAnsi="Arial" w:cs="Arial"/>
        </w:rPr>
        <w:t xml:space="preserve"> during the plenary of this lesson was paramount to engage with the learner's attainment via verbal feedback. A game of quick-fire questioning was introduced with a ball being used to throw to a learner, and a question asked of one thing they have learned today or one thing they would like to develop in future lessons. This strategy, like the lollypop sticks, allows for the learners who would not volunteer themselves or their ideas to their peers to voice their findings and offer an alternative perspective. It also allows the teacher to address any misconceptions from the learners and give out any additional support in the later lessons where needed, whether through a higher level of resources to support the learner or through staff intervention. On reflection, I would adopt a similar </w:t>
      </w:r>
      <w:proofErr w:type="spellStart"/>
      <w:r w:rsidR="00C41CA0" w:rsidRPr="00402EB8">
        <w:rPr>
          <w:rFonts w:ascii="Arial" w:hAnsi="Arial" w:cs="Arial"/>
        </w:rPr>
        <w:t>AfL</w:t>
      </w:r>
      <w:proofErr w:type="spellEnd"/>
      <w:r w:rsidR="00C41CA0" w:rsidRPr="00402EB8">
        <w:rPr>
          <w:rFonts w:ascii="Arial" w:hAnsi="Arial" w:cs="Arial"/>
        </w:rPr>
        <w:t xml:space="preserve"> strategy but add written feedback to ensure a thorough understanding of every individual's needs and understanding. I would do this by adapting the plenary to include exit cards, whereby each learner would be given a card to evaluate their learning. In this case, I would ask that the learners write down one fact they have learned and one question they would like to research further. This way, the teaching staff can identify the learner's progression level and their most effective next steps. </w:t>
      </w:r>
    </w:p>
    <w:p w14:paraId="04505D4E" w14:textId="77777777" w:rsidR="00713C69" w:rsidRDefault="00C41CA0" w:rsidP="00C41CA0">
      <w:pPr>
        <w:spacing w:before="240" w:after="240" w:line="360" w:lineRule="auto"/>
        <w:rPr>
          <w:rFonts w:ascii="Open Sans" w:hAnsi="Open Sans" w:cs="Open Sans"/>
          <w:color w:val="333333"/>
          <w:sz w:val="26"/>
          <w:szCs w:val="26"/>
        </w:rPr>
      </w:pPr>
      <w:r w:rsidRPr="00402EB8">
        <w:rPr>
          <w:rFonts w:ascii="Arial" w:hAnsi="Arial" w:cs="Arial"/>
        </w:rPr>
        <w:t xml:space="preserve">Another lesson planned for a mixed ability year 5 class around the topic of the Victorians centred around the </w:t>
      </w:r>
      <w:proofErr w:type="spellStart"/>
      <w:r w:rsidRPr="00402EB8">
        <w:rPr>
          <w:rFonts w:ascii="Arial" w:hAnsi="Arial" w:cs="Arial"/>
        </w:rPr>
        <w:t>AoLE</w:t>
      </w:r>
      <w:proofErr w:type="spellEnd"/>
      <w:r w:rsidRPr="00402EB8">
        <w:rPr>
          <w:rFonts w:ascii="Arial" w:hAnsi="Arial" w:cs="Arial"/>
        </w:rPr>
        <w:t xml:space="preserve"> of </w:t>
      </w:r>
      <w:r w:rsidR="00D928C2">
        <w:rPr>
          <w:rFonts w:ascii="Arial" w:hAnsi="Arial" w:cs="Arial"/>
        </w:rPr>
        <w:t>m</w:t>
      </w:r>
      <w:r w:rsidRPr="00402EB8">
        <w:rPr>
          <w:rFonts w:ascii="Arial" w:hAnsi="Arial" w:cs="Arial"/>
        </w:rPr>
        <w:t xml:space="preserve">aths and </w:t>
      </w:r>
      <w:r w:rsidR="00D928C2">
        <w:rPr>
          <w:rFonts w:ascii="Arial" w:hAnsi="Arial" w:cs="Arial"/>
        </w:rPr>
        <w:t>n</w:t>
      </w:r>
      <w:r w:rsidRPr="00402EB8">
        <w:rPr>
          <w:rFonts w:ascii="Arial" w:hAnsi="Arial" w:cs="Arial"/>
        </w:rPr>
        <w:t xml:space="preserve">umeracy. This refers to the </w:t>
      </w:r>
      <w:r w:rsidR="00D928C2">
        <w:rPr>
          <w:rFonts w:ascii="Arial" w:hAnsi="Arial" w:cs="Arial"/>
        </w:rPr>
        <w:t xml:space="preserve">‘what matters statements’ of </w:t>
      </w:r>
      <w:r w:rsidRPr="00402EB8">
        <w:rPr>
          <w:rFonts w:ascii="Arial" w:hAnsi="Arial" w:cs="Arial"/>
        </w:rPr>
        <w:t>'the number system is used to represent and compare relationships between numbers and quantities</w:t>
      </w:r>
      <w:r w:rsidR="00B05D4D">
        <w:rPr>
          <w:rFonts w:ascii="Arial" w:hAnsi="Arial" w:cs="Arial"/>
        </w:rPr>
        <w:t xml:space="preserve"> (</w:t>
      </w:r>
      <w:proofErr w:type="spellStart"/>
      <w:proofErr w:type="gramStart"/>
      <w:r w:rsidR="00B05D4D">
        <w:rPr>
          <w:rFonts w:ascii="Arial" w:hAnsi="Arial" w:cs="Arial"/>
        </w:rPr>
        <w:t>hwb.gov.wales</w:t>
      </w:r>
      <w:proofErr w:type="spellEnd"/>
      <w:proofErr w:type="gramEnd"/>
      <w:r w:rsidR="00B05D4D">
        <w:rPr>
          <w:rFonts w:ascii="Arial" w:hAnsi="Arial" w:cs="Arial"/>
        </w:rPr>
        <w:t>, 2020).</w:t>
      </w:r>
      <w:r w:rsidR="00D928C2">
        <w:rPr>
          <w:rFonts w:ascii="Arial" w:hAnsi="Arial" w:cs="Arial"/>
        </w:rPr>
        <w:t xml:space="preserve"> </w:t>
      </w:r>
      <w:r w:rsidRPr="00402EB8">
        <w:rPr>
          <w:rFonts w:ascii="Arial" w:hAnsi="Arial" w:cs="Arial"/>
        </w:rPr>
        <w:t xml:space="preserve">This task (see appendix 2) incorporated skills from the humanities </w:t>
      </w:r>
      <w:proofErr w:type="spellStart"/>
      <w:r w:rsidRPr="00402EB8">
        <w:rPr>
          <w:rFonts w:ascii="Arial" w:hAnsi="Arial" w:cs="Arial"/>
        </w:rPr>
        <w:t>AoLE</w:t>
      </w:r>
      <w:proofErr w:type="spellEnd"/>
      <w:r w:rsidRPr="00402EB8">
        <w:rPr>
          <w:rFonts w:ascii="Arial" w:hAnsi="Arial" w:cs="Arial"/>
        </w:rPr>
        <w:t xml:space="preserve"> and the digital competency framework. Learners were asked to use their prior knowledge of digital technology to scan QR codes throughout the school, which they located using their orienteering skills to read the school floor plans. Each QR code contained details of a significant </w:t>
      </w:r>
      <w:r w:rsidRPr="00402EB8">
        <w:rPr>
          <w:rFonts w:ascii="Arial" w:hAnsi="Arial" w:cs="Arial"/>
        </w:rPr>
        <w:lastRenderedPageBreak/>
        <w:t>date and event from the Victorian era, which they worked in pairs or groups to note down and later create a chronological timeline for these events. During this task, learners will be working towards achieving progression step 3, although as stated in all appendices, a year 5 class should be working towards achieving progression step 3 as a collective. However, some learners in this mixed-ability class will be achieving above the norm for their age, and alternatively, others will be achieving below their expected level of achievement.</w:t>
      </w:r>
      <w:r w:rsidR="00B05D4D">
        <w:rPr>
          <w:rFonts w:ascii="Arial" w:hAnsi="Arial" w:cs="Arial"/>
        </w:rPr>
        <w:t xml:space="preserve"> </w:t>
      </w:r>
      <w:r w:rsidRPr="00402EB8">
        <w:rPr>
          <w:rFonts w:ascii="Arial" w:hAnsi="Arial" w:cs="Arial"/>
        </w:rPr>
        <w:t>Consistency within learning is vital for instilling a routine in the learners' skill development</w:t>
      </w:r>
      <w:r w:rsidR="00B05D4D">
        <w:rPr>
          <w:rFonts w:ascii="Arial" w:hAnsi="Arial" w:cs="Arial"/>
        </w:rPr>
        <w:t>, hence, t</w:t>
      </w:r>
      <w:r w:rsidRPr="00402EB8">
        <w:rPr>
          <w:rFonts w:ascii="Arial" w:hAnsi="Arial" w:cs="Arial"/>
        </w:rPr>
        <w:t>he success criteria are displayed throughout the lesson for learners to independently track their progress and access what steps to take next</w:t>
      </w:r>
      <w:r w:rsidR="00B05D4D">
        <w:rPr>
          <w:rFonts w:ascii="Arial" w:hAnsi="Arial" w:cs="Arial"/>
        </w:rPr>
        <w:t>. I</w:t>
      </w:r>
      <w:r w:rsidRPr="00402EB8">
        <w:rPr>
          <w:rFonts w:ascii="Arial" w:hAnsi="Arial" w:cs="Arial"/>
        </w:rPr>
        <w:t>n this case, learners had a class discussion on what a successful task would look like while out on the orienteering task, including behaviour expectations. During the next part of the activity, learners were back in the classroom, using the information already collected to order a timeline chronologically. At this point of the lesson, the class and I discussed a WAGOLL (what a good one looks like)</w:t>
      </w:r>
      <w:r w:rsidR="00B05D4D">
        <w:rPr>
          <w:rFonts w:ascii="Arial" w:hAnsi="Arial" w:cs="Arial"/>
        </w:rPr>
        <w:t xml:space="preserve">. Hattie suggests that displaying an example of the completed task develops the </w:t>
      </w:r>
      <w:proofErr w:type="gramStart"/>
      <w:r w:rsidR="00B05D4D">
        <w:rPr>
          <w:rFonts w:ascii="Arial" w:hAnsi="Arial" w:cs="Arial"/>
        </w:rPr>
        <w:t>learners</w:t>
      </w:r>
      <w:proofErr w:type="gramEnd"/>
      <w:r w:rsidR="00B05D4D">
        <w:rPr>
          <w:rFonts w:ascii="Arial" w:hAnsi="Arial" w:cs="Arial"/>
        </w:rPr>
        <w:t xml:space="preserve"> abilities to produce an effective list of success criteria, which aids in the progression to independent learners (Hattie, 2012). </w:t>
      </w:r>
      <w:r w:rsidRPr="00402EB8">
        <w:rPr>
          <w:rFonts w:ascii="Arial" w:hAnsi="Arial" w:cs="Arial"/>
        </w:rPr>
        <w:t xml:space="preserve">The learners were shown a blank timeline template and asked to use 'Think, Pair, Share' to discuss with a partner what </w:t>
      </w:r>
      <w:r w:rsidR="00D928C2">
        <w:rPr>
          <w:rFonts w:ascii="Arial" w:hAnsi="Arial" w:cs="Arial"/>
        </w:rPr>
        <w:t>the term ‘</w:t>
      </w:r>
      <w:r w:rsidRPr="00402EB8">
        <w:rPr>
          <w:rFonts w:ascii="Arial" w:hAnsi="Arial" w:cs="Arial"/>
        </w:rPr>
        <w:t>chronological</w:t>
      </w:r>
      <w:r w:rsidR="00D928C2">
        <w:rPr>
          <w:rFonts w:ascii="Arial" w:hAnsi="Arial" w:cs="Arial"/>
        </w:rPr>
        <w:t>’</w:t>
      </w:r>
      <w:r w:rsidRPr="00402EB8">
        <w:rPr>
          <w:rFonts w:ascii="Arial" w:hAnsi="Arial" w:cs="Arial"/>
        </w:rPr>
        <w:t xml:space="preserve"> means and how they would sort each date and event into the correct sequence. Their ideas were then shared with the class to allow other </w:t>
      </w:r>
      <w:r w:rsidR="00D928C2">
        <w:rPr>
          <w:rFonts w:ascii="Arial" w:hAnsi="Arial" w:cs="Arial"/>
        </w:rPr>
        <w:t>learners</w:t>
      </w:r>
      <w:r w:rsidRPr="00402EB8">
        <w:rPr>
          <w:rFonts w:ascii="Arial" w:hAnsi="Arial" w:cs="Arial"/>
        </w:rPr>
        <w:t xml:space="preserve"> to build on shared answers</w:t>
      </w:r>
      <w:r w:rsidR="00B55BD8">
        <w:rPr>
          <w:rFonts w:ascii="Arial" w:hAnsi="Arial" w:cs="Arial"/>
        </w:rPr>
        <w:t xml:space="preserve">. Rowe implies that the ‘Think, Pair, Share’ Assessment for Learning strategy likely increases the participation from students during whole class discussions and challenges new ideas (Rowe, 1972). </w:t>
      </w:r>
      <w:r w:rsidRPr="00402EB8">
        <w:rPr>
          <w:rFonts w:ascii="Arial" w:hAnsi="Arial" w:cs="Arial"/>
        </w:rPr>
        <w:t>Whilst the learners are completing their recorded tasks, pit stops will be used throughout the lesson to address any common misconceptions that may arise or to praise learners by displaying examples of excellent work.</w:t>
      </w:r>
      <w:r w:rsidR="00B55BD8">
        <w:rPr>
          <w:rFonts w:ascii="Arial" w:hAnsi="Arial" w:cs="Arial"/>
        </w:rPr>
        <w:t xml:space="preserve"> </w:t>
      </w:r>
      <w:r w:rsidRPr="00402EB8">
        <w:rPr>
          <w:rFonts w:ascii="Arial" w:hAnsi="Arial" w:cs="Arial"/>
        </w:rPr>
        <w:t xml:space="preserve">Misconceptions can be addressed in many ways. When there is a group of learners working close to each other who all have found similar issues, the support teachers can intervene by creating a small intervention group to discuss and solve any issues along the way. However, if an issue surfaced with multiple learners throughout the lesson, this was to be addressed as a whole class pitstop to refresh the learner's thinking and bring </w:t>
      </w:r>
      <w:r w:rsidR="000B11A4">
        <w:rPr>
          <w:rFonts w:ascii="Arial" w:hAnsi="Arial" w:cs="Arial"/>
        </w:rPr>
        <w:t>their attention</w:t>
      </w:r>
      <w:r w:rsidRPr="00402EB8">
        <w:rPr>
          <w:rFonts w:ascii="Arial" w:hAnsi="Arial" w:cs="Arial"/>
        </w:rPr>
        <w:t xml:space="preserve"> back to the current task. Using this pit stop method of </w:t>
      </w:r>
      <w:proofErr w:type="spellStart"/>
      <w:r w:rsidRPr="00402EB8">
        <w:rPr>
          <w:rFonts w:ascii="Arial" w:hAnsi="Arial" w:cs="Arial"/>
        </w:rPr>
        <w:t>AfL</w:t>
      </w:r>
      <w:proofErr w:type="spellEnd"/>
      <w:r w:rsidRPr="00402EB8">
        <w:rPr>
          <w:rFonts w:ascii="Arial" w:hAnsi="Arial" w:cs="Arial"/>
        </w:rPr>
        <w:t xml:space="preserve">, I can monitor the level of pupil attainment and track the learner's progression. Depending on the task, this can be tracked throughout the lesson or a series of lessons. During </w:t>
      </w:r>
      <w:r w:rsidRPr="00402EB8">
        <w:rPr>
          <w:rFonts w:ascii="Arial" w:hAnsi="Arial" w:cs="Arial"/>
        </w:rPr>
        <w:lastRenderedPageBreak/>
        <w:t xml:space="preserve">the plenary for this lesson, I used an </w:t>
      </w:r>
      <w:proofErr w:type="spellStart"/>
      <w:r w:rsidRPr="00402EB8">
        <w:rPr>
          <w:rFonts w:ascii="Arial" w:hAnsi="Arial" w:cs="Arial"/>
        </w:rPr>
        <w:t>AfL</w:t>
      </w:r>
      <w:proofErr w:type="spellEnd"/>
      <w:r w:rsidRPr="00402EB8">
        <w:rPr>
          <w:rFonts w:ascii="Arial" w:hAnsi="Arial" w:cs="Arial"/>
        </w:rPr>
        <w:t xml:space="preserve"> strategy whereby the learners thought of this more as a game rather than recalling knowledge. Peer</w:t>
      </w:r>
      <w:r w:rsidR="000B11A4">
        <w:rPr>
          <w:rFonts w:ascii="Arial" w:hAnsi="Arial" w:cs="Arial"/>
        </w:rPr>
        <w:t xml:space="preserve"> </w:t>
      </w:r>
      <w:r w:rsidRPr="00402EB8">
        <w:rPr>
          <w:rFonts w:ascii="Arial" w:hAnsi="Arial" w:cs="Arial"/>
        </w:rPr>
        <w:t xml:space="preserve">'hot seating' consists of the learners using quality </w:t>
      </w:r>
      <w:r w:rsidR="000B11A4">
        <w:rPr>
          <w:rFonts w:ascii="Arial" w:hAnsi="Arial" w:cs="Arial"/>
        </w:rPr>
        <w:t xml:space="preserve">of </w:t>
      </w:r>
      <w:r w:rsidRPr="00402EB8">
        <w:rPr>
          <w:rFonts w:ascii="Arial" w:hAnsi="Arial" w:cs="Arial"/>
        </w:rPr>
        <w:t xml:space="preserve">questioning and talk to draw on the learned knowledge from the lesson. A learner is selected to be in the 'hot seat' while the other learners in the class prepare relevant questions for the person in the hot seat. In this case, the person in the hot seat will be given a date we discussed earlier in the lesson by a peer, and they will have to pair the date with the corresponding event. On reflection, I </w:t>
      </w:r>
      <w:proofErr w:type="gramStart"/>
      <w:r w:rsidRPr="00402EB8">
        <w:rPr>
          <w:rFonts w:ascii="Arial" w:hAnsi="Arial" w:cs="Arial"/>
        </w:rPr>
        <w:t>would</w:t>
      </w:r>
      <w:proofErr w:type="gramEnd"/>
      <w:r w:rsidRPr="00402EB8">
        <w:rPr>
          <w:rFonts w:ascii="Arial" w:hAnsi="Arial" w:cs="Arial"/>
        </w:rPr>
        <w:t xml:space="preserve"> ask peers to put their hands up if they agree with the date and event pairing or, if they disagree, introduc</w:t>
      </w:r>
      <w:r w:rsidR="000B11A4">
        <w:rPr>
          <w:rFonts w:ascii="Arial" w:hAnsi="Arial" w:cs="Arial"/>
        </w:rPr>
        <w:t>ing</w:t>
      </w:r>
      <w:r w:rsidRPr="00402EB8">
        <w:rPr>
          <w:rFonts w:ascii="Arial" w:hAnsi="Arial" w:cs="Arial"/>
        </w:rPr>
        <w:t xml:space="preserve"> a peer assessment element into the </w:t>
      </w:r>
      <w:proofErr w:type="spellStart"/>
      <w:r w:rsidRPr="00402EB8">
        <w:rPr>
          <w:rFonts w:ascii="Arial" w:hAnsi="Arial" w:cs="Arial"/>
        </w:rPr>
        <w:t>AfL</w:t>
      </w:r>
      <w:proofErr w:type="spellEnd"/>
      <w:r w:rsidRPr="00402EB8">
        <w:rPr>
          <w:rFonts w:ascii="Arial" w:hAnsi="Arial" w:cs="Arial"/>
        </w:rPr>
        <w:t xml:space="preserve"> strategy used for the plenary</w:t>
      </w:r>
      <w:r w:rsidR="00713C69">
        <w:rPr>
          <w:rFonts w:ascii="Arial" w:hAnsi="Arial" w:cs="Arial"/>
        </w:rPr>
        <w:t xml:space="preserve">. Peer assessment develops the </w:t>
      </w:r>
      <w:proofErr w:type="gramStart"/>
      <w:r w:rsidR="00713C69">
        <w:rPr>
          <w:rFonts w:ascii="Arial" w:hAnsi="Arial" w:cs="Arial"/>
        </w:rPr>
        <w:t>learners</w:t>
      </w:r>
      <w:proofErr w:type="gramEnd"/>
      <w:r w:rsidR="00713C69">
        <w:rPr>
          <w:rFonts w:ascii="Arial" w:hAnsi="Arial" w:cs="Arial"/>
        </w:rPr>
        <w:t xml:space="preserve"> abilities to evaluate their own understanding by building on their prior knowledge and making a connections between their own learning and that of their peers. Learners can then determine any misconceptions by voicing their thoughts and explanations and cement their understanding (Roscoe and Chi, 2007)</w:t>
      </w:r>
      <w:r w:rsidR="00713C69">
        <w:rPr>
          <w:rFonts w:ascii="Open Sans" w:hAnsi="Open Sans" w:cs="Open Sans"/>
          <w:color w:val="333333"/>
          <w:sz w:val="26"/>
          <w:szCs w:val="26"/>
        </w:rPr>
        <w:t xml:space="preserve">. </w:t>
      </w:r>
    </w:p>
    <w:p w14:paraId="72476119" w14:textId="77777777" w:rsidR="00713C69" w:rsidRDefault="00C41CA0" w:rsidP="00C41CA0">
      <w:pPr>
        <w:spacing w:before="240" w:after="240" w:line="360" w:lineRule="auto"/>
        <w:rPr>
          <w:rFonts w:ascii="Open Sans" w:hAnsi="Open Sans" w:cs="Open Sans"/>
          <w:color w:val="333333"/>
          <w:sz w:val="26"/>
          <w:szCs w:val="26"/>
        </w:rPr>
      </w:pPr>
      <w:r w:rsidRPr="00402EB8">
        <w:rPr>
          <w:rFonts w:ascii="Arial" w:hAnsi="Arial" w:cs="Arial"/>
        </w:rPr>
        <w:t xml:space="preserve">The final lesson plan (see appendix 3) I will discuss has a Literacy, Language and Communication </w:t>
      </w:r>
      <w:proofErr w:type="spellStart"/>
      <w:r w:rsidRPr="00402EB8">
        <w:rPr>
          <w:rFonts w:ascii="Arial" w:hAnsi="Arial" w:cs="Arial"/>
        </w:rPr>
        <w:t>AoLE</w:t>
      </w:r>
      <w:proofErr w:type="spellEnd"/>
      <w:r w:rsidRPr="00402EB8">
        <w:rPr>
          <w:rFonts w:ascii="Arial" w:hAnsi="Arial" w:cs="Arial"/>
        </w:rPr>
        <w:t xml:space="preserve"> focus with cross-curricular links to humanities, </w:t>
      </w:r>
      <w:proofErr w:type="gramStart"/>
      <w:r w:rsidRPr="00402EB8">
        <w:rPr>
          <w:rFonts w:ascii="Arial" w:hAnsi="Arial" w:cs="Arial"/>
        </w:rPr>
        <w:t>maths</w:t>
      </w:r>
      <w:proofErr w:type="gramEnd"/>
      <w:r w:rsidRPr="00402EB8">
        <w:rPr>
          <w:rFonts w:ascii="Arial" w:hAnsi="Arial" w:cs="Arial"/>
        </w:rPr>
        <w:t xml:space="preserve"> and numeracy. The later </w:t>
      </w:r>
      <w:proofErr w:type="spellStart"/>
      <w:r w:rsidRPr="00402EB8">
        <w:rPr>
          <w:rFonts w:ascii="Arial" w:hAnsi="Arial" w:cs="Arial"/>
        </w:rPr>
        <w:t>AoLE</w:t>
      </w:r>
      <w:proofErr w:type="spellEnd"/>
      <w:r w:rsidRPr="00402EB8">
        <w:rPr>
          <w:rFonts w:ascii="Arial" w:hAnsi="Arial" w:cs="Arial"/>
        </w:rPr>
        <w:t xml:space="preserve"> is included within this lesson as learners were asked to complete a Venn diagram comparing two images as a starter activity. These images both portrayed a hospital scene, one from the Victorian era and one from modern life. As an </w:t>
      </w:r>
      <w:proofErr w:type="spellStart"/>
      <w:r w:rsidRPr="00402EB8">
        <w:rPr>
          <w:rFonts w:ascii="Arial" w:hAnsi="Arial" w:cs="Arial"/>
        </w:rPr>
        <w:t>AfL</w:t>
      </w:r>
      <w:proofErr w:type="spellEnd"/>
      <w:r w:rsidRPr="00402EB8">
        <w:rPr>
          <w:rFonts w:ascii="Arial" w:hAnsi="Arial" w:cs="Arial"/>
        </w:rPr>
        <w:t xml:space="preserve"> strategy, I used quality of talk in the form of 'Think, Pair, Share' to encourage the learners to work with their partners as effectively as possible to share their ideas with their peers later in discussions. I feel 'Think, Pair, Share' works well and benefits the learner as often, when addressing the whole class, you get the same pupils offering discussion topics. This </w:t>
      </w:r>
      <w:proofErr w:type="spellStart"/>
      <w:r w:rsidRPr="00402EB8">
        <w:rPr>
          <w:rFonts w:ascii="Arial" w:hAnsi="Arial" w:cs="Arial"/>
        </w:rPr>
        <w:t>AfL</w:t>
      </w:r>
      <w:proofErr w:type="spellEnd"/>
      <w:r w:rsidRPr="00402EB8">
        <w:rPr>
          <w:rFonts w:ascii="Arial" w:hAnsi="Arial" w:cs="Arial"/>
        </w:rPr>
        <w:t xml:space="preserve"> strategy allows the lesser confident learners to put forward their ideas within their pairings without sharing them with the class publicly, taking away the possible judgement that comes with addressing </w:t>
      </w:r>
      <w:r w:rsidR="000B11A4" w:rsidRPr="00402EB8">
        <w:rPr>
          <w:rFonts w:ascii="Arial" w:hAnsi="Arial" w:cs="Arial"/>
        </w:rPr>
        <w:t>all</w:t>
      </w:r>
      <w:r w:rsidRPr="00402EB8">
        <w:rPr>
          <w:rFonts w:ascii="Arial" w:hAnsi="Arial" w:cs="Arial"/>
        </w:rPr>
        <w:t xml:space="preserve"> their peers</w:t>
      </w:r>
      <w:r w:rsidR="00713C69">
        <w:rPr>
          <w:rFonts w:ascii="Arial" w:hAnsi="Arial" w:cs="Arial"/>
        </w:rPr>
        <w:t xml:space="preserve"> (Rowe, 1972). </w:t>
      </w:r>
      <w:r w:rsidRPr="00402EB8">
        <w:rPr>
          <w:rFonts w:ascii="Arial" w:hAnsi="Arial" w:cs="Arial"/>
        </w:rPr>
        <w:t xml:space="preserve">The learners were then introduced to the main task of the lesson and discussed as a whole class what would make effective success criteria for this task. This was displayed to the learners throughout the lesson for them to follow and track progress independently. This often worked as a problem-solving aid for the learners as they would often consult the success criteria in the event of an issue before consulting the teaching staff in the room, allowing them to develop their skills as independent learners who are in control of their achievements. I also </w:t>
      </w:r>
      <w:r w:rsidRPr="00402EB8">
        <w:rPr>
          <w:rFonts w:ascii="Arial" w:hAnsi="Arial" w:cs="Arial"/>
        </w:rPr>
        <w:lastRenderedPageBreak/>
        <w:t xml:space="preserve">displayed and discussed a WAGOLL (What a Good One Looks Like) with the learners and used </w:t>
      </w:r>
      <w:r w:rsidR="000B11A4">
        <w:rPr>
          <w:rFonts w:ascii="Arial" w:hAnsi="Arial" w:cs="Arial"/>
        </w:rPr>
        <w:t>q</w:t>
      </w:r>
      <w:r w:rsidRPr="00402EB8">
        <w:rPr>
          <w:rFonts w:ascii="Arial" w:hAnsi="Arial" w:cs="Arial"/>
        </w:rPr>
        <w:t xml:space="preserve">uality of </w:t>
      </w:r>
      <w:r w:rsidR="000B11A4">
        <w:rPr>
          <w:rFonts w:ascii="Arial" w:hAnsi="Arial" w:cs="Arial"/>
        </w:rPr>
        <w:t>q</w:t>
      </w:r>
      <w:r w:rsidRPr="00402EB8">
        <w:rPr>
          <w:rFonts w:ascii="Arial" w:hAnsi="Arial" w:cs="Arial"/>
        </w:rPr>
        <w:t xml:space="preserve">uestioning to discuss what factors to consider while completing the recorded task. I then related the WAGOLL to the learning aims and success criteria and asked the learners </w:t>
      </w:r>
      <w:r w:rsidR="000B11A4">
        <w:rPr>
          <w:rFonts w:ascii="Arial" w:hAnsi="Arial" w:cs="Arial"/>
        </w:rPr>
        <w:t xml:space="preserve">if </w:t>
      </w:r>
      <w:r w:rsidRPr="00402EB8">
        <w:rPr>
          <w:rFonts w:ascii="Arial" w:hAnsi="Arial" w:cs="Arial"/>
        </w:rPr>
        <w:t>each success crite</w:t>
      </w:r>
      <w:r w:rsidR="000B11A4">
        <w:rPr>
          <w:rFonts w:ascii="Arial" w:hAnsi="Arial" w:cs="Arial"/>
        </w:rPr>
        <w:t>ria</w:t>
      </w:r>
      <w:r w:rsidRPr="00402EB8">
        <w:rPr>
          <w:rFonts w:ascii="Arial" w:hAnsi="Arial" w:cs="Arial"/>
        </w:rPr>
        <w:t xml:space="preserve"> had been achieved within the example, and if not, what steps they could put in place to be able to become a successful learner during this task. During this recorded task, teachers and support staff were available to all learners to discuss any queries or misconceptions that had arisen throughout the task. For this, pitstops were used to aid individual issues or shared by the whole class. For whole-class misconceptions, whereby multiple learners have asked similar questions or are struggling with the same aspect of the learning, the class's attention is brought back to the teacher using c</w:t>
      </w:r>
      <w:r w:rsidR="000B11A4">
        <w:rPr>
          <w:rFonts w:ascii="Arial" w:hAnsi="Arial" w:cs="Arial"/>
        </w:rPr>
        <w:t>all</w:t>
      </w:r>
      <w:r w:rsidRPr="00402EB8">
        <w:rPr>
          <w:rFonts w:ascii="Arial" w:hAnsi="Arial" w:cs="Arial"/>
        </w:rPr>
        <w:t xml:space="preserve"> and response methods discussed and agreed upon by the learners. The class addresses any misconceptions they find during the task and discusses and clarifies with the teacher what the success criteria </w:t>
      </w:r>
      <w:r w:rsidR="000B11A4">
        <w:rPr>
          <w:rFonts w:ascii="Arial" w:hAnsi="Arial" w:cs="Arial"/>
        </w:rPr>
        <w:t>is</w:t>
      </w:r>
      <w:r w:rsidRPr="00402EB8">
        <w:rPr>
          <w:rFonts w:ascii="Arial" w:hAnsi="Arial" w:cs="Arial"/>
        </w:rPr>
        <w:t xml:space="preserve"> asking the learners to do. Pitstops can also be used to praise the learners positively by displaying examples of excellent work or presentation, giving the learners a target to work towards. An Assessment for Learning strategy I used during the plenary of this task was a true or false quiz in which learners took part. This use of quality</w:t>
      </w:r>
      <w:r w:rsidR="000B11A4">
        <w:rPr>
          <w:rFonts w:ascii="Arial" w:hAnsi="Arial" w:cs="Arial"/>
        </w:rPr>
        <w:t xml:space="preserve"> of</w:t>
      </w:r>
      <w:r w:rsidRPr="00402EB8">
        <w:rPr>
          <w:rFonts w:ascii="Arial" w:hAnsi="Arial" w:cs="Arial"/>
        </w:rPr>
        <w:t xml:space="preserve"> questioning enabled the learners to recall prior knowledge on the topic from previous lessons, allowing them to connect prior and current learning. On reflection, I would use a different Assessment for Learning strategy to assess the learner's attainment as the true or false quiz did not test their knowledge from the </w:t>
      </w:r>
      <w:r w:rsidR="000B11A4">
        <w:rPr>
          <w:rFonts w:ascii="Arial" w:hAnsi="Arial" w:cs="Arial"/>
        </w:rPr>
        <w:t>recorded task</w:t>
      </w:r>
      <w:r w:rsidRPr="00402EB8">
        <w:rPr>
          <w:rFonts w:ascii="Arial" w:hAnsi="Arial" w:cs="Arial"/>
        </w:rPr>
        <w:t xml:space="preserve"> and did not show the teacher what they had attained from this lesson. </w:t>
      </w:r>
      <w:r w:rsidR="000B11A4">
        <w:rPr>
          <w:rFonts w:ascii="Arial" w:hAnsi="Arial" w:cs="Arial"/>
        </w:rPr>
        <w:t>An effective plenary should</w:t>
      </w:r>
      <w:r w:rsidRPr="00402EB8">
        <w:rPr>
          <w:rFonts w:ascii="Arial" w:hAnsi="Arial" w:cs="Arial"/>
        </w:rPr>
        <w:t xml:space="preserve"> have shown the learner's progression and what this lesson had done for the development of the knowledge of the learner. </w:t>
      </w:r>
    </w:p>
    <w:p w14:paraId="0DC1EA9C" w14:textId="1E713803" w:rsidR="00C41CA0" w:rsidRPr="00713C69" w:rsidRDefault="00713C69" w:rsidP="00C41CA0">
      <w:pPr>
        <w:spacing w:before="240" w:after="240" w:line="360" w:lineRule="auto"/>
        <w:rPr>
          <w:rFonts w:ascii="Open Sans" w:hAnsi="Open Sans" w:cs="Open Sans"/>
          <w:color w:val="333333"/>
          <w:sz w:val="26"/>
          <w:szCs w:val="26"/>
        </w:rPr>
      </w:pPr>
      <w:r>
        <w:rPr>
          <w:rFonts w:ascii="Open Sans" w:hAnsi="Open Sans" w:cs="Open Sans"/>
          <w:color w:val="333333"/>
          <w:sz w:val="26"/>
          <w:szCs w:val="26"/>
        </w:rPr>
        <w:t xml:space="preserve">          </w:t>
      </w:r>
      <w:r w:rsidR="00C41CA0" w:rsidRPr="00402EB8">
        <w:rPr>
          <w:rFonts w:ascii="Arial" w:hAnsi="Arial" w:cs="Arial"/>
        </w:rPr>
        <w:t>In conclusion, Assessment for Learning has been shown to be an effective method of recording the learner's progression from where they are</w:t>
      </w:r>
      <w:r w:rsidR="000B11A4">
        <w:rPr>
          <w:rFonts w:ascii="Arial" w:hAnsi="Arial" w:cs="Arial"/>
        </w:rPr>
        <w:t xml:space="preserve"> currently,</w:t>
      </w:r>
      <w:r w:rsidR="00C41CA0" w:rsidRPr="00402EB8">
        <w:rPr>
          <w:rFonts w:ascii="Arial" w:hAnsi="Arial" w:cs="Arial"/>
        </w:rPr>
        <w:t xml:space="preserve"> to where they need to get to and how they intend to get there. Assessment for </w:t>
      </w:r>
      <w:r w:rsidR="000B11A4">
        <w:rPr>
          <w:rFonts w:ascii="Arial" w:hAnsi="Arial" w:cs="Arial"/>
        </w:rPr>
        <w:t>L</w:t>
      </w:r>
      <w:r w:rsidR="00C41CA0" w:rsidRPr="00402EB8">
        <w:rPr>
          <w:rFonts w:ascii="Arial" w:hAnsi="Arial" w:cs="Arial"/>
        </w:rPr>
        <w:t xml:space="preserve">earning allows the learner to control their learning and independently keep track of their progression and targets. Throughout appendices 1, 2, and 3, I have used similar Assessment for Learning strategies for each of the three lessons taught. I have used this crossover </w:t>
      </w:r>
      <w:r w:rsidR="000B11A4">
        <w:rPr>
          <w:rFonts w:ascii="Arial" w:hAnsi="Arial" w:cs="Arial"/>
        </w:rPr>
        <w:t xml:space="preserve">of </w:t>
      </w:r>
      <w:r w:rsidR="000B11A4" w:rsidRPr="00402EB8">
        <w:rPr>
          <w:rFonts w:ascii="Arial" w:hAnsi="Arial" w:cs="Arial"/>
        </w:rPr>
        <w:t>strate</w:t>
      </w:r>
      <w:r w:rsidR="000B11A4">
        <w:rPr>
          <w:rFonts w:ascii="Arial" w:hAnsi="Arial" w:cs="Arial"/>
        </w:rPr>
        <w:t xml:space="preserve">gies </w:t>
      </w:r>
      <w:r w:rsidR="00C41CA0" w:rsidRPr="00402EB8">
        <w:rPr>
          <w:rFonts w:ascii="Arial" w:hAnsi="Arial" w:cs="Arial"/>
        </w:rPr>
        <w:t xml:space="preserve">as my knowledge of the learners and classroom suggested that they have responded well and fully understood the purpose of the </w:t>
      </w:r>
      <w:r w:rsidR="00C41CA0" w:rsidRPr="00402EB8">
        <w:rPr>
          <w:rFonts w:ascii="Arial" w:hAnsi="Arial" w:cs="Arial"/>
        </w:rPr>
        <w:lastRenderedPageBreak/>
        <w:t xml:space="preserve">Assessment for Learning and how it can benefit their progression. These Assessment for Learning strategies and suiting the learner's development style also match up well with the lessons planned for their topic. From practical experiences, I have observed that knowledge of a class and the learners within prove vital when planning lessons, as the strategies used to monitor learner progress can help or hinder the attainment of knowledge. Should the learner not engage with the Assessment for Learning strategy suggested, they will fail to engage with the lesson aims and success criteria </w:t>
      </w:r>
      <w:r w:rsidR="00921009">
        <w:rPr>
          <w:rFonts w:ascii="Arial" w:hAnsi="Arial" w:cs="Arial"/>
        </w:rPr>
        <w:t>which enables them to</w:t>
      </w:r>
      <w:r w:rsidR="00C41CA0" w:rsidRPr="00402EB8">
        <w:rPr>
          <w:rFonts w:ascii="Arial" w:hAnsi="Arial" w:cs="Arial"/>
        </w:rPr>
        <w:t xml:space="preserve"> continue their progression as independent learners.</w:t>
      </w:r>
      <w:r w:rsidR="00921009">
        <w:rPr>
          <w:rFonts w:ascii="Arial" w:hAnsi="Arial" w:cs="Arial"/>
        </w:rPr>
        <w:t xml:space="preserve"> </w:t>
      </w:r>
      <w:r w:rsidR="00C41CA0" w:rsidRPr="00402EB8">
        <w:rPr>
          <w:rFonts w:ascii="Arial" w:hAnsi="Arial" w:cs="Arial"/>
        </w:rPr>
        <w:t xml:space="preserve">Furthermore, knowledge of the class and its learners can be beneficial as the bond and rapport built up with each personality can determine each learner's progress. Learners with a lack of confidence or a tendency not to offer opinions or observations can often feel excluded in lessons whereby the Assessment for Learning strategies do not suit their style of learning. Hence, I have used these methods of Assessment for Learning through appendices 1, 2, and 3 as they have been practiced and approved by this </w:t>
      </w:r>
      <w:r w:rsidR="00921009">
        <w:rPr>
          <w:rFonts w:ascii="Arial" w:hAnsi="Arial" w:cs="Arial"/>
        </w:rPr>
        <w:t>group of learners</w:t>
      </w:r>
      <w:r w:rsidR="00C41CA0" w:rsidRPr="00402EB8">
        <w:rPr>
          <w:rFonts w:ascii="Arial" w:hAnsi="Arial" w:cs="Arial"/>
        </w:rPr>
        <w:t>, showing they work as a tool to develop and monitor learner</w:t>
      </w:r>
      <w:r w:rsidR="00921009">
        <w:rPr>
          <w:rFonts w:ascii="Arial" w:hAnsi="Arial" w:cs="Arial"/>
        </w:rPr>
        <w:t>s</w:t>
      </w:r>
      <w:r w:rsidR="00C41CA0" w:rsidRPr="00402EB8">
        <w:rPr>
          <w:rFonts w:ascii="Arial" w:hAnsi="Arial" w:cs="Arial"/>
        </w:rPr>
        <w:t xml:space="preserve"> progress throughout the topic. </w:t>
      </w:r>
    </w:p>
    <w:p w14:paraId="4A8A8F47" w14:textId="052097D2" w:rsidR="005732F3" w:rsidRDefault="00E77129" w:rsidP="004F15C9">
      <w:pPr>
        <w:spacing w:line="360" w:lineRule="auto"/>
        <w:rPr>
          <w:rFonts w:ascii="Arial" w:hAnsi="Arial" w:cs="Arial"/>
        </w:rPr>
      </w:pPr>
      <w:r>
        <w:rPr>
          <w:rFonts w:ascii="Arial" w:hAnsi="Arial" w:cs="Arial"/>
        </w:rPr>
        <w:t xml:space="preserve"> </w:t>
      </w:r>
    </w:p>
    <w:p w14:paraId="1EA521F7" w14:textId="77777777" w:rsidR="00402AA9" w:rsidRDefault="00402AA9" w:rsidP="00F154F7">
      <w:pPr>
        <w:spacing w:line="276" w:lineRule="auto"/>
        <w:rPr>
          <w:rFonts w:ascii="Arial" w:hAnsi="Arial" w:cs="Arial"/>
        </w:rPr>
      </w:pPr>
    </w:p>
    <w:p w14:paraId="315EF23A" w14:textId="77777777" w:rsidR="00B00598" w:rsidRDefault="00B00598" w:rsidP="00F154F7">
      <w:pPr>
        <w:spacing w:line="276" w:lineRule="auto"/>
        <w:rPr>
          <w:rFonts w:ascii="Arial" w:hAnsi="Arial" w:cs="Arial"/>
          <w:u w:val="single"/>
        </w:rPr>
      </w:pPr>
    </w:p>
    <w:p w14:paraId="0E338624" w14:textId="77777777" w:rsidR="00B00598" w:rsidRDefault="00B00598" w:rsidP="00F154F7">
      <w:pPr>
        <w:spacing w:line="276" w:lineRule="auto"/>
        <w:rPr>
          <w:rFonts w:ascii="Arial" w:hAnsi="Arial" w:cs="Arial"/>
          <w:u w:val="single"/>
        </w:rPr>
      </w:pPr>
    </w:p>
    <w:p w14:paraId="3B9A8E1F" w14:textId="76F9877F" w:rsidR="00D83993" w:rsidRPr="001F385A" w:rsidRDefault="001F385A" w:rsidP="00F154F7">
      <w:pPr>
        <w:spacing w:line="276" w:lineRule="auto"/>
        <w:rPr>
          <w:rFonts w:ascii="Arial" w:hAnsi="Arial" w:cs="Arial"/>
        </w:rPr>
      </w:pPr>
      <w:r w:rsidRPr="001F385A">
        <w:rPr>
          <w:rFonts w:ascii="Arial" w:hAnsi="Arial" w:cs="Arial"/>
        </w:rPr>
        <w:t xml:space="preserve">Word Count: </w:t>
      </w:r>
      <w:r w:rsidR="00783666">
        <w:rPr>
          <w:rFonts w:ascii="Arial" w:hAnsi="Arial" w:cs="Arial"/>
        </w:rPr>
        <w:t>4238</w:t>
      </w:r>
    </w:p>
    <w:p w14:paraId="7C65C7E1" w14:textId="77777777" w:rsidR="007F0D4F" w:rsidRDefault="007F0D4F" w:rsidP="00F154F7">
      <w:pPr>
        <w:spacing w:line="276" w:lineRule="auto"/>
        <w:rPr>
          <w:rFonts w:ascii="Arial" w:hAnsi="Arial" w:cs="Arial"/>
          <w:u w:val="single"/>
        </w:rPr>
      </w:pPr>
    </w:p>
    <w:p w14:paraId="2FD1EFC9" w14:textId="77777777" w:rsidR="007F0D4F" w:rsidRDefault="007F0D4F" w:rsidP="00F154F7">
      <w:pPr>
        <w:spacing w:line="276" w:lineRule="auto"/>
        <w:rPr>
          <w:rFonts w:ascii="Arial" w:hAnsi="Arial" w:cs="Arial"/>
          <w:u w:val="single"/>
        </w:rPr>
      </w:pPr>
    </w:p>
    <w:p w14:paraId="309A59DE" w14:textId="77777777" w:rsidR="007F0D4F" w:rsidRDefault="007F0D4F" w:rsidP="00F154F7">
      <w:pPr>
        <w:spacing w:line="276" w:lineRule="auto"/>
        <w:rPr>
          <w:rFonts w:ascii="Arial" w:hAnsi="Arial" w:cs="Arial"/>
          <w:u w:val="single"/>
        </w:rPr>
      </w:pPr>
    </w:p>
    <w:p w14:paraId="56BDB9A4" w14:textId="5DD0010E" w:rsidR="007F0D4F" w:rsidRDefault="007F0D4F" w:rsidP="00F154F7">
      <w:pPr>
        <w:spacing w:line="276" w:lineRule="auto"/>
        <w:rPr>
          <w:rFonts w:ascii="Arial" w:hAnsi="Arial" w:cs="Arial"/>
          <w:u w:val="single"/>
        </w:rPr>
      </w:pPr>
    </w:p>
    <w:p w14:paraId="0FC561E9" w14:textId="2249E9BC" w:rsidR="00783666" w:rsidRDefault="00783666" w:rsidP="00F154F7">
      <w:pPr>
        <w:spacing w:line="276" w:lineRule="auto"/>
        <w:rPr>
          <w:rFonts w:ascii="Arial" w:hAnsi="Arial" w:cs="Arial"/>
          <w:u w:val="single"/>
        </w:rPr>
      </w:pPr>
    </w:p>
    <w:p w14:paraId="08988CB8" w14:textId="5F5B23E4" w:rsidR="00783666" w:rsidRDefault="00783666" w:rsidP="00F154F7">
      <w:pPr>
        <w:spacing w:line="276" w:lineRule="auto"/>
        <w:rPr>
          <w:rFonts w:ascii="Arial" w:hAnsi="Arial" w:cs="Arial"/>
          <w:u w:val="single"/>
        </w:rPr>
      </w:pPr>
    </w:p>
    <w:p w14:paraId="467CD2BF" w14:textId="3DADB8F6" w:rsidR="00783666" w:rsidRDefault="00783666" w:rsidP="00F154F7">
      <w:pPr>
        <w:spacing w:line="276" w:lineRule="auto"/>
        <w:rPr>
          <w:rFonts w:ascii="Arial" w:hAnsi="Arial" w:cs="Arial"/>
          <w:u w:val="single"/>
        </w:rPr>
      </w:pPr>
    </w:p>
    <w:p w14:paraId="4C9D8B76" w14:textId="52FBFC64" w:rsidR="00783666" w:rsidRDefault="00783666" w:rsidP="00F154F7">
      <w:pPr>
        <w:spacing w:line="276" w:lineRule="auto"/>
        <w:rPr>
          <w:rFonts w:ascii="Arial" w:hAnsi="Arial" w:cs="Arial"/>
          <w:u w:val="single"/>
        </w:rPr>
      </w:pPr>
    </w:p>
    <w:p w14:paraId="280E6FF5" w14:textId="4CE9C57F" w:rsidR="00783666" w:rsidRDefault="00783666" w:rsidP="00F154F7">
      <w:pPr>
        <w:spacing w:line="276" w:lineRule="auto"/>
        <w:rPr>
          <w:rFonts w:ascii="Arial" w:hAnsi="Arial" w:cs="Arial"/>
          <w:u w:val="single"/>
        </w:rPr>
      </w:pPr>
    </w:p>
    <w:p w14:paraId="3F4A7B85" w14:textId="277163C0" w:rsidR="00783666" w:rsidRDefault="00783666" w:rsidP="00F154F7">
      <w:pPr>
        <w:spacing w:line="276" w:lineRule="auto"/>
        <w:rPr>
          <w:rFonts w:ascii="Arial" w:hAnsi="Arial" w:cs="Arial"/>
          <w:u w:val="single"/>
        </w:rPr>
      </w:pPr>
    </w:p>
    <w:p w14:paraId="440C8CB3" w14:textId="307E8199" w:rsidR="00783666" w:rsidRDefault="00783666" w:rsidP="00F154F7">
      <w:pPr>
        <w:spacing w:line="276" w:lineRule="auto"/>
        <w:rPr>
          <w:rFonts w:ascii="Arial" w:hAnsi="Arial" w:cs="Arial"/>
          <w:u w:val="single"/>
        </w:rPr>
      </w:pPr>
    </w:p>
    <w:p w14:paraId="003EAADE" w14:textId="7F2DC9C8" w:rsidR="00783666" w:rsidRDefault="00783666" w:rsidP="00F154F7">
      <w:pPr>
        <w:spacing w:line="276" w:lineRule="auto"/>
        <w:rPr>
          <w:rFonts w:ascii="Arial" w:hAnsi="Arial" w:cs="Arial"/>
          <w:u w:val="single"/>
        </w:rPr>
      </w:pPr>
    </w:p>
    <w:p w14:paraId="1AA2F446" w14:textId="7881D19B" w:rsidR="00783666" w:rsidRDefault="00783666" w:rsidP="00F154F7">
      <w:pPr>
        <w:spacing w:line="276" w:lineRule="auto"/>
        <w:rPr>
          <w:rFonts w:ascii="Arial" w:hAnsi="Arial" w:cs="Arial"/>
          <w:u w:val="single"/>
        </w:rPr>
      </w:pPr>
    </w:p>
    <w:p w14:paraId="27531FA5" w14:textId="3AF1CBFE" w:rsidR="00783666" w:rsidRDefault="00783666" w:rsidP="00F154F7">
      <w:pPr>
        <w:spacing w:line="276" w:lineRule="auto"/>
        <w:rPr>
          <w:rFonts w:ascii="Arial" w:hAnsi="Arial" w:cs="Arial"/>
          <w:u w:val="single"/>
        </w:rPr>
      </w:pPr>
    </w:p>
    <w:p w14:paraId="692B9AF3" w14:textId="77777777" w:rsidR="00783666" w:rsidRDefault="00783666" w:rsidP="00F154F7">
      <w:pPr>
        <w:spacing w:line="276" w:lineRule="auto"/>
        <w:rPr>
          <w:rFonts w:ascii="Arial" w:hAnsi="Arial" w:cs="Arial"/>
          <w:u w:val="single"/>
        </w:rPr>
      </w:pPr>
    </w:p>
    <w:p w14:paraId="3CECAC53" w14:textId="77777777" w:rsidR="007F0D4F" w:rsidRDefault="007F0D4F" w:rsidP="00F154F7">
      <w:pPr>
        <w:spacing w:line="276" w:lineRule="auto"/>
        <w:rPr>
          <w:rFonts w:ascii="Arial" w:hAnsi="Arial" w:cs="Arial"/>
          <w:u w:val="single"/>
        </w:rPr>
      </w:pPr>
    </w:p>
    <w:p w14:paraId="1191C7EE" w14:textId="77777777" w:rsidR="00783666" w:rsidRDefault="00783666" w:rsidP="00F154F7">
      <w:pPr>
        <w:spacing w:line="276" w:lineRule="auto"/>
        <w:rPr>
          <w:rFonts w:ascii="Arial" w:hAnsi="Arial" w:cs="Arial"/>
          <w:u w:val="single"/>
        </w:rPr>
      </w:pPr>
    </w:p>
    <w:p w14:paraId="2C1285C2" w14:textId="3274EE54" w:rsidR="009268BD" w:rsidRDefault="009268BD" w:rsidP="00F154F7">
      <w:pPr>
        <w:spacing w:line="276" w:lineRule="auto"/>
        <w:rPr>
          <w:rFonts w:ascii="Arial" w:hAnsi="Arial" w:cs="Arial"/>
          <w:u w:val="single"/>
        </w:rPr>
      </w:pPr>
      <w:r>
        <w:rPr>
          <w:rFonts w:ascii="Arial" w:hAnsi="Arial" w:cs="Arial"/>
          <w:u w:val="single"/>
        </w:rPr>
        <w:lastRenderedPageBreak/>
        <w:t>Reference List</w:t>
      </w:r>
    </w:p>
    <w:p w14:paraId="4AE7D9B1" w14:textId="77777777" w:rsidR="00783666" w:rsidRDefault="00783666" w:rsidP="00F154F7">
      <w:pPr>
        <w:spacing w:line="276" w:lineRule="auto"/>
        <w:rPr>
          <w:rFonts w:ascii="Arial" w:hAnsi="Arial" w:cs="Arial"/>
          <w:u w:val="single"/>
        </w:rPr>
      </w:pPr>
    </w:p>
    <w:p w14:paraId="7B9DFB1E"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Cambridge Assessment International Education (2011). </w:t>
      </w:r>
      <w:r w:rsidRPr="00783666">
        <w:rPr>
          <w:rFonts w:ascii="Times New Roman" w:eastAsia="Times New Roman" w:hAnsi="Times New Roman" w:cs="Times New Roman"/>
          <w:i/>
          <w:iCs/>
          <w:color w:val="000000"/>
          <w:lang w:eastAsia="en-GB"/>
        </w:rPr>
        <w:t>Getting Started with Assessment for Learning</w:t>
      </w:r>
      <w:r w:rsidRPr="00783666">
        <w:rPr>
          <w:rFonts w:ascii="Times New Roman" w:eastAsia="Times New Roman" w:hAnsi="Times New Roman" w:cs="Times New Roman"/>
          <w:color w:val="000000"/>
          <w:lang w:eastAsia="en-GB"/>
        </w:rPr>
        <w:t>. [online] Cambridge-community.org.uk. Available at: https://cambridge-community.org.uk/professional-development/gswafl/index.html [Accessed Dec. 2022].</w:t>
      </w:r>
    </w:p>
    <w:p w14:paraId="76B79B84"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Clarke, S. (2005). </w:t>
      </w:r>
      <w:r w:rsidRPr="00783666">
        <w:rPr>
          <w:rFonts w:ascii="Times New Roman" w:eastAsia="Times New Roman" w:hAnsi="Times New Roman" w:cs="Times New Roman"/>
          <w:i/>
          <w:iCs/>
          <w:color w:val="000000"/>
          <w:lang w:eastAsia="en-GB"/>
        </w:rPr>
        <w:t xml:space="preserve">Formative assessment in </w:t>
      </w:r>
      <w:proofErr w:type="gramStart"/>
      <w:r w:rsidRPr="00783666">
        <w:rPr>
          <w:rFonts w:ascii="Times New Roman" w:eastAsia="Times New Roman" w:hAnsi="Times New Roman" w:cs="Times New Roman"/>
          <w:i/>
          <w:iCs/>
          <w:color w:val="000000"/>
          <w:lang w:eastAsia="en-GB"/>
        </w:rPr>
        <w:t>action :</w:t>
      </w:r>
      <w:proofErr w:type="gramEnd"/>
      <w:r w:rsidRPr="00783666">
        <w:rPr>
          <w:rFonts w:ascii="Times New Roman" w:eastAsia="Times New Roman" w:hAnsi="Times New Roman" w:cs="Times New Roman"/>
          <w:i/>
          <w:iCs/>
          <w:color w:val="000000"/>
          <w:lang w:eastAsia="en-GB"/>
        </w:rPr>
        <w:t xml:space="preserve"> weaving the elements together</w:t>
      </w:r>
      <w:r w:rsidRPr="00783666">
        <w:rPr>
          <w:rFonts w:ascii="Times New Roman" w:eastAsia="Times New Roman" w:hAnsi="Times New Roman" w:cs="Times New Roman"/>
          <w:color w:val="000000"/>
          <w:lang w:eastAsia="en-GB"/>
        </w:rPr>
        <w:t>. London: Hodder Arnold.</w:t>
      </w:r>
    </w:p>
    <w:p w14:paraId="7CD60D43"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Dauncey, M. (2021). </w:t>
      </w:r>
      <w:r w:rsidRPr="00783666">
        <w:rPr>
          <w:rFonts w:ascii="Times New Roman" w:eastAsia="Times New Roman" w:hAnsi="Times New Roman" w:cs="Times New Roman"/>
          <w:i/>
          <w:iCs/>
          <w:color w:val="000000"/>
          <w:lang w:eastAsia="en-GB"/>
        </w:rPr>
        <w:t>Assessment for Learning or Accountability?</w:t>
      </w:r>
      <w:r w:rsidRPr="00783666">
        <w:rPr>
          <w:rFonts w:ascii="Times New Roman" w:eastAsia="Times New Roman" w:hAnsi="Times New Roman" w:cs="Times New Roman"/>
          <w:color w:val="000000"/>
          <w:lang w:eastAsia="en-GB"/>
        </w:rPr>
        <w:t> [online] </w:t>
      </w:r>
      <w:proofErr w:type="spellStart"/>
      <w:proofErr w:type="gramStart"/>
      <w:r w:rsidRPr="00783666">
        <w:rPr>
          <w:rFonts w:ascii="Times New Roman" w:eastAsia="Times New Roman" w:hAnsi="Times New Roman" w:cs="Times New Roman"/>
          <w:i/>
          <w:iCs/>
          <w:color w:val="000000"/>
          <w:lang w:eastAsia="en-GB"/>
        </w:rPr>
        <w:t>research.senedd</w:t>
      </w:r>
      <w:proofErr w:type="gramEnd"/>
      <w:r w:rsidRPr="00783666">
        <w:rPr>
          <w:rFonts w:ascii="Times New Roman" w:eastAsia="Times New Roman" w:hAnsi="Times New Roman" w:cs="Times New Roman"/>
          <w:i/>
          <w:iCs/>
          <w:color w:val="000000"/>
          <w:lang w:eastAsia="en-GB"/>
        </w:rPr>
        <w:t>.wales</w:t>
      </w:r>
      <w:proofErr w:type="spellEnd"/>
      <w:r w:rsidRPr="00783666">
        <w:rPr>
          <w:rFonts w:ascii="Times New Roman" w:eastAsia="Times New Roman" w:hAnsi="Times New Roman" w:cs="Times New Roman"/>
          <w:color w:val="000000"/>
          <w:lang w:eastAsia="en-GB"/>
        </w:rPr>
        <w:t>. National Assembly for Wales Research Service. Available at: https://research.senedd.wales/research-articles/assessment-for-learning-or-accountability/ [Accessed Dec. 2022].</w:t>
      </w:r>
    </w:p>
    <w:p w14:paraId="3AC7BC5A"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Estyn (2022). </w:t>
      </w:r>
      <w:r w:rsidRPr="00783666">
        <w:rPr>
          <w:rFonts w:ascii="Times New Roman" w:eastAsia="Times New Roman" w:hAnsi="Times New Roman" w:cs="Times New Roman"/>
          <w:i/>
          <w:iCs/>
          <w:color w:val="000000"/>
          <w:lang w:eastAsia="en-GB"/>
        </w:rPr>
        <w:t>Effective approaches to assessment that improve teaching and learning</w:t>
      </w:r>
      <w:r w:rsidRPr="00783666">
        <w:rPr>
          <w:rFonts w:ascii="Times New Roman" w:eastAsia="Times New Roman" w:hAnsi="Times New Roman" w:cs="Times New Roman"/>
          <w:color w:val="000000"/>
          <w:lang w:eastAsia="en-GB"/>
        </w:rPr>
        <w:t>. [online] </w:t>
      </w:r>
      <w:r w:rsidRPr="00783666">
        <w:rPr>
          <w:rFonts w:ascii="Times New Roman" w:eastAsia="Times New Roman" w:hAnsi="Times New Roman" w:cs="Times New Roman"/>
          <w:i/>
          <w:iCs/>
          <w:color w:val="000000"/>
          <w:lang w:eastAsia="en-GB"/>
        </w:rPr>
        <w:t>Estyn</w:t>
      </w:r>
      <w:r w:rsidRPr="00783666">
        <w:rPr>
          <w:rFonts w:ascii="Times New Roman" w:eastAsia="Times New Roman" w:hAnsi="Times New Roman" w:cs="Times New Roman"/>
          <w:color w:val="000000"/>
          <w:lang w:eastAsia="en-GB"/>
        </w:rPr>
        <w:t>, Publishing Section, p.6. Available at: https://www.estyn.gov.wales/system/files/2022-10/Effective%20approaches%20to%20assessment%20that%20improve%20teaching%20and%20learning.pdf [Accessed 2022].</w:t>
      </w:r>
    </w:p>
    <w:p w14:paraId="1B9189A9"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proofErr w:type="spellStart"/>
      <w:r w:rsidRPr="00783666">
        <w:rPr>
          <w:rFonts w:ascii="Times New Roman" w:eastAsia="Times New Roman" w:hAnsi="Times New Roman" w:cs="Times New Roman"/>
          <w:color w:val="000000"/>
          <w:lang w:eastAsia="en-GB"/>
        </w:rPr>
        <w:t>Florez</w:t>
      </w:r>
      <w:proofErr w:type="spellEnd"/>
      <w:r w:rsidRPr="00783666">
        <w:rPr>
          <w:rFonts w:ascii="Times New Roman" w:eastAsia="Times New Roman" w:hAnsi="Times New Roman" w:cs="Times New Roman"/>
          <w:color w:val="000000"/>
          <w:lang w:eastAsia="en-GB"/>
        </w:rPr>
        <w:t>, M.T. and Sammons, P. (2013). </w:t>
      </w:r>
      <w:r w:rsidRPr="00783666">
        <w:rPr>
          <w:rFonts w:ascii="Times New Roman" w:eastAsia="Times New Roman" w:hAnsi="Times New Roman" w:cs="Times New Roman"/>
          <w:i/>
          <w:iCs/>
          <w:color w:val="000000"/>
          <w:lang w:eastAsia="en-GB"/>
        </w:rPr>
        <w:t>Assessment for Learning: Effects and Impact</w:t>
      </w:r>
      <w:r w:rsidRPr="00783666">
        <w:rPr>
          <w:rFonts w:ascii="Times New Roman" w:eastAsia="Times New Roman" w:hAnsi="Times New Roman" w:cs="Times New Roman"/>
          <w:color w:val="000000"/>
          <w:lang w:eastAsia="en-GB"/>
        </w:rPr>
        <w:t>. [online] </w:t>
      </w:r>
      <w:r w:rsidRPr="00783666">
        <w:rPr>
          <w:rFonts w:ascii="Times New Roman" w:eastAsia="Times New Roman" w:hAnsi="Times New Roman" w:cs="Times New Roman"/>
          <w:i/>
          <w:iCs/>
          <w:color w:val="000000"/>
          <w:lang w:eastAsia="en-GB"/>
        </w:rPr>
        <w:t>Education Development Trust</w:t>
      </w:r>
      <w:r w:rsidRPr="00783666">
        <w:rPr>
          <w:rFonts w:ascii="Times New Roman" w:eastAsia="Times New Roman" w:hAnsi="Times New Roman" w:cs="Times New Roman"/>
          <w:color w:val="000000"/>
          <w:lang w:eastAsia="en-GB"/>
        </w:rPr>
        <w:t>, Oxford University Department of Education, p.7. Available at: https://www.educationdevelopmenttrust.com/EducationDevelopmentTrust/files/5a/5a6d6203-ec49-4d33-9c5d-42c188184807.pdf.</w:t>
      </w:r>
    </w:p>
    <w:p w14:paraId="395ADE61"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 xml:space="preserve">Harlen, W., Deakin - Crick, R., </w:t>
      </w:r>
      <w:proofErr w:type="spellStart"/>
      <w:r w:rsidRPr="00783666">
        <w:rPr>
          <w:rFonts w:ascii="Times New Roman" w:eastAsia="Times New Roman" w:hAnsi="Times New Roman" w:cs="Times New Roman"/>
          <w:color w:val="000000"/>
          <w:lang w:eastAsia="en-GB"/>
        </w:rPr>
        <w:t>Broadfoot</w:t>
      </w:r>
      <w:proofErr w:type="spellEnd"/>
      <w:r w:rsidRPr="00783666">
        <w:rPr>
          <w:rFonts w:ascii="Times New Roman" w:eastAsia="Times New Roman" w:hAnsi="Times New Roman" w:cs="Times New Roman"/>
          <w:color w:val="000000"/>
          <w:lang w:eastAsia="en-GB"/>
        </w:rPr>
        <w:t>, P., Daugherty, R., Gardner, J., James, M. and Stobart, G. (2002). </w:t>
      </w:r>
      <w:r w:rsidRPr="00783666">
        <w:rPr>
          <w:rFonts w:ascii="Times New Roman" w:eastAsia="Times New Roman" w:hAnsi="Times New Roman" w:cs="Times New Roman"/>
          <w:i/>
          <w:iCs/>
          <w:color w:val="000000"/>
          <w:lang w:eastAsia="en-GB"/>
        </w:rPr>
        <w:t>A Systematic Review of the Impact of Summative Assessment and Tests on Students’ Motivation for Learning</w:t>
      </w:r>
      <w:r w:rsidRPr="00783666">
        <w:rPr>
          <w:rFonts w:ascii="Times New Roman" w:eastAsia="Times New Roman" w:hAnsi="Times New Roman" w:cs="Times New Roman"/>
          <w:color w:val="000000"/>
          <w:lang w:eastAsia="en-GB"/>
        </w:rPr>
        <w:t>. EPPI - Centre, University of London, p.153.</w:t>
      </w:r>
    </w:p>
    <w:p w14:paraId="6E11FBBD"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Hattie, J. (2012). </w:t>
      </w:r>
      <w:r w:rsidRPr="00783666">
        <w:rPr>
          <w:rFonts w:ascii="Times New Roman" w:eastAsia="Times New Roman" w:hAnsi="Times New Roman" w:cs="Times New Roman"/>
          <w:i/>
          <w:iCs/>
          <w:color w:val="000000"/>
          <w:lang w:eastAsia="en-GB"/>
        </w:rPr>
        <w:t>Learning Intentions and Success Criteria</w:t>
      </w:r>
      <w:r w:rsidRPr="00783666">
        <w:rPr>
          <w:rFonts w:ascii="Times New Roman" w:eastAsia="Times New Roman" w:hAnsi="Times New Roman" w:cs="Times New Roman"/>
          <w:color w:val="000000"/>
          <w:lang w:eastAsia="en-GB"/>
        </w:rPr>
        <w:t>.</w:t>
      </w:r>
    </w:p>
    <w:p w14:paraId="42F36CF5"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Hattie, J. and Timperley, H. (2007). </w:t>
      </w:r>
      <w:r w:rsidRPr="00783666">
        <w:rPr>
          <w:rFonts w:ascii="Times New Roman" w:eastAsia="Times New Roman" w:hAnsi="Times New Roman" w:cs="Times New Roman"/>
          <w:i/>
          <w:iCs/>
          <w:color w:val="000000"/>
          <w:lang w:eastAsia="en-GB"/>
        </w:rPr>
        <w:t>The Power of Feedback</w:t>
      </w:r>
      <w:r w:rsidRPr="00783666">
        <w:rPr>
          <w:rFonts w:ascii="Times New Roman" w:eastAsia="Times New Roman" w:hAnsi="Times New Roman" w:cs="Times New Roman"/>
          <w:color w:val="000000"/>
          <w:lang w:eastAsia="en-GB"/>
        </w:rPr>
        <w:t>.</w:t>
      </w:r>
    </w:p>
    <w:p w14:paraId="0FA7D10B"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HWB (2020). </w:t>
      </w:r>
      <w:r w:rsidRPr="00783666">
        <w:rPr>
          <w:rFonts w:ascii="Times New Roman" w:eastAsia="Times New Roman" w:hAnsi="Times New Roman" w:cs="Times New Roman"/>
          <w:i/>
          <w:iCs/>
          <w:color w:val="000000"/>
          <w:lang w:eastAsia="en-GB"/>
        </w:rPr>
        <w:t>Humanities: Introduction - Hwb</w:t>
      </w:r>
      <w:r w:rsidRPr="00783666">
        <w:rPr>
          <w:rFonts w:ascii="Times New Roman" w:eastAsia="Times New Roman" w:hAnsi="Times New Roman" w:cs="Times New Roman"/>
          <w:color w:val="000000"/>
          <w:lang w:eastAsia="en-GB"/>
        </w:rPr>
        <w:t xml:space="preserve">. [online] </w:t>
      </w:r>
      <w:proofErr w:type="spellStart"/>
      <w:proofErr w:type="gramStart"/>
      <w:r w:rsidRPr="00783666">
        <w:rPr>
          <w:rFonts w:ascii="Times New Roman" w:eastAsia="Times New Roman" w:hAnsi="Times New Roman" w:cs="Times New Roman"/>
          <w:color w:val="000000"/>
          <w:lang w:eastAsia="en-GB"/>
        </w:rPr>
        <w:t>hwb.gov.wales</w:t>
      </w:r>
      <w:proofErr w:type="spellEnd"/>
      <w:proofErr w:type="gramEnd"/>
      <w:r w:rsidRPr="00783666">
        <w:rPr>
          <w:rFonts w:ascii="Times New Roman" w:eastAsia="Times New Roman" w:hAnsi="Times New Roman" w:cs="Times New Roman"/>
          <w:color w:val="000000"/>
          <w:lang w:eastAsia="en-GB"/>
        </w:rPr>
        <w:t>. Available at: https://hwb.gov.wales/curriculum-for-wales/humanities/ [Accessed Dec. 2022].</w:t>
      </w:r>
    </w:p>
    <w:p w14:paraId="340B44E6"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proofErr w:type="spellStart"/>
      <w:proofErr w:type="gramStart"/>
      <w:r w:rsidRPr="00783666">
        <w:rPr>
          <w:rFonts w:ascii="Times New Roman" w:eastAsia="Times New Roman" w:hAnsi="Times New Roman" w:cs="Times New Roman"/>
          <w:color w:val="000000"/>
          <w:lang w:eastAsia="en-GB"/>
        </w:rPr>
        <w:t>hwb.gov.wales</w:t>
      </w:r>
      <w:proofErr w:type="spellEnd"/>
      <w:proofErr w:type="gramEnd"/>
      <w:r w:rsidRPr="00783666">
        <w:rPr>
          <w:rFonts w:ascii="Times New Roman" w:eastAsia="Times New Roman" w:hAnsi="Times New Roman" w:cs="Times New Roman"/>
          <w:color w:val="000000"/>
          <w:lang w:eastAsia="en-GB"/>
        </w:rPr>
        <w:t>. (2020). </w:t>
      </w:r>
      <w:r w:rsidRPr="00783666">
        <w:rPr>
          <w:rFonts w:ascii="Times New Roman" w:eastAsia="Times New Roman" w:hAnsi="Times New Roman" w:cs="Times New Roman"/>
          <w:i/>
          <w:iCs/>
          <w:color w:val="000000"/>
          <w:lang w:eastAsia="en-GB"/>
        </w:rPr>
        <w:t>Mathematics and Numeracy: Introduction - Hwb</w:t>
      </w:r>
      <w:r w:rsidRPr="00783666">
        <w:rPr>
          <w:rFonts w:ascii="Times New Roman" w:eastAsia="Times New Roman" w:hAnsi="Times New Roman" w:cs="Times New Roman"/>
          <w:color w:val="000000"/>
          <w:lang w:eastAsia="en-GB"/>
        </w:rPr>
        <w:t>. [online] Available at: https://hwb.gov.wales/curriculum-for-wales/mathematics-and-numeracy/.</w:t>
      </w:r>
    </w:p>
    <w:p w14:paraId="2F5F0459"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Lee, C.D. (2005). </w:t>
      </w:r>
      <w:r w:rsidRPr="00783666">
        <w:rPr>
          <w:rFonts w:ascii="Times New Roman" w:eastAsia="Times New Roman" w:hAnsi="Times New Roman" w:cs="Times New Roman"/>
          <w:i/>
          <w:iCs/>
          <w:color w:val="000000"/>
          <w:lang w:eastAsia="en-GB"/>
        </w:rPr>
        <w:t xml:space="preserve">An Introduction to </w:t>
      </w:r>
      <w:proofErr w:type="spellStart"/>
      <w:r w:rsidRPr="00783666">
        <w:rPr>
          <w:rFonts w:ascii="Times New Roman" w:eastAsia="Times New Roman" w:hAnsi="Times New Roman" w:cs="Times New Roman"/>
          <w:i/>
          <w:iCs/>
          <w:color w:val="000000"/>
          <w:lang w:eastAsia="en-GB"/>
        </w:rPr>
        <w:t>Vygosky</w:t>
      </w:r>
      <w:proofErr w:type="spellEnd"/>
      <w:r w:rsidRPr="00783666">
        <w:rPr>
          <w:rFonts w:ascii="Times New Roman" w:eastAsia="Times New Roman" w:hAnsi="Times New Roman" w:cs="Times New Roman"/>
          <w:i/>
          <w:iCs/>
          <w:color w:val="000000"/>
          <w:lang w:eastAsia="en-GB"/>
        </w:rPr>
        <w:t>: Signifying in the Zone of Proximal Development</w:t>
      </w:r>
      <w:r w:rsidRPr="00783666">
        <w:rPr>
          <w:rFonts w:ascii="Times New Roman" w:eastAsia="Times New Roman" w:hAnsi="Times New Roman" w:cs="Times New Roman"/>
          <w:color w:val="000000"/>
          <w:lang w:eastAsia="en-GB"/>
        </w:rPr>
        <w:t>. 2nd ed. London: Routledge, p.31.</w:t>
      </w:r>
    </w:p>
    <w:p w14:paraId="6B36872C"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proofErr w:type="spellStart"/>
      <w:r w:rsidRPr="00783666">
        <w:rPr>
          <w:rFonts w:ascii="Times New Roman" w:eastAsia="Times New Roman" w:hAnsi="Times New Roman" w:cs="Times New Roman"/>
          <w:color w:val="000000"/>
          <w:lang w:eastAsia="en-GB"/>
        </w:rPr>
        <w:lastRenderedPageBreak/>
        <w:t>Liberto</w:t>
      </w:r>
      <w:proofErr w:type="spellEnd"/>
      <w:r w:rsidRPr="00783666">
        <w:rPr>
          <w:rFonts w:ascii="Times New Roman" w:eastAsia="Times New Roman" w:hAnsi="Times New Roman" w:cs="Times New Roman"/>
          <w:color w:val="000000"/>
          <w:lang w:eastAsia="en-GB"/>
        </w:rPr>
        <w:t>, G. (2016). Child-led and interest-inspired learning, home education, learning differences and the impact of regulation. </w:t>
      </w:r>
      <w:r w:rsidRPr="00783666">
        <w:rPr>
          <w:rFonts w:ascii="Times New Roman" w:eastAsia="Times New Roman" w:hAnsi="Times New Roman" w:cs="Times New Roman"/>
          <w:i/>
          <w:iCs/>
          <w:color w:val="000000"/>
          <w:lang w:eastAsia="en-GB"/>
        </w:rPr>
        <w:t>Cogent Education</w:t>
      </w:r>
      <w:r w:rsidRPr="00783666">
        <w:rPr>
          <w:rFonts w:ascii="Times New Roman" w:eastAsia="Times New Roman" w:hAnsi="Times New Roman" w:cs="Times New Roman"/>
          <w:color w:val="000000"/>
          <w:lang w:eastAsia="en-GB"/>
        </w:rPr>
        <w:t>, 3(1). doi:10.1080/2331186x.2016.1194734.</w:t>
      </w:r>
    </w:p>
    <w:p w14:paraId="25EC8FB5"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 xml:space="preserve">Roscoe, </w:t>
      </w:r>
      <w:proofErr w:type="gramStart"/>
      <w:r w:rsidRPr="00783666">
        <w:rPr>
          <w:rFonts w:ascii="Times New Roman" w:eastAsia="Times New Roman" w:hAnsi="Times New Roman" w:cs="Times New Roman"/>
          <w:color w:val="000000"/>
          <w:lang w:eastAsia="en-GB"/>
        </w:rPr>
        <w:t>R.D.</w:t>
      </w:r>
      <w:proofErr w:type="gramEnd"/>
      <w:r w:rsidRPr="00783666">
        <w:rPr>
          <w:rFonts w:ascii="Times New Roman" w:eastAsia="Times New Roman" w:hAnsi="Times New Roman" w:cs="Times New Roman"/>
          <w:color w:val="000000"/>
          <w:lang w:eastAsia="en-GB"/>
        </w:rPr>
        <w:t xml:space="preserve"> and Chi, M.T.H. (2007). Understanding Tutor Learning: Knowledge-Building and Knowledge-Telling in Peer Tutors’ Explanations and Questions. </w:t>
      </w:r>
      <w:r w:rsidRPr="00783666">
        <w:rPr>
          <w:rFonts w:ascii="Times New Roman" w:eastAsia="Times New Roman" w:hAnsi="Times New Roman" w:cs="Times New Roman"/>
          <w:i/>
          <w:iCs/>
          <w:color w:val="000000"/>
          <w:lang w:eastAsia="en-GB"/>
        </w:rPr>
        <w:t>Review of Educational Research</w:t>
      </w:r>
      <w:r w:rsidRPr="00783666">
        <w:rPr>
          <w:rFonts w:ascii="Times New Roman" w:eastAsia="Times New Roman" w:hAnsi="Times New Roman" w:cs="Times New Roman"/>
          <w:color w:val="000000"/>
          <w:lang w:eastAsia="en-GB"/>
        </w:rPr>
        <w:t>, 77(4), pp.534–574. doi:10.3102/0034654307309920.</w:t>
      </w:r>
    </w:p>
    <w:p w14:paraId="7F51DBCE"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Rowe, M. (1972). Wait-time and Rewards as Instructional variables: Their Influence on language, logic, and Fate Control. </w:t>
      </w:r>
      <w:r w:rsidRPr="00783666">
        <w:rPr>
          <w:rFonts w:ascii="Times New Roman" w:eastAsia="Times New Roman" w:hAnsi="Times New Roman" w:cs="Times New Roman"/>
          <w:i/>
          <w:iCs/>
          <w:color w:val="000000"/>
          <w:lang w:eastAsia="en-GB"/>
        </w:rPr>
        <w:t>Journal of Teacher Education</w:t>
      </w:r>
      <w:r w:rsidRPr="00783666">
        <w:rPr>
          <w:rFonts w:ascii="Times New Roman" w:eastAsia="Times New Roman" w:hAnsi="Times New Roman" w:cs="Times New Roman"/>
          <w:color w:val="000000"/>
          <w:lang w:eastAsia="en-GB"/>
        </w:rPr>
        <w:t xml:space="preserve">, 37(1), pp.43–50. </w:t>
      </w:r>
      <w:proofErr w:type="spellStart"/>
      <w:proofErr w:type="gramStart"/>
      <w:r w:rsidRPr="00783666">
        <w:rPr>
          <w:rFonts w:ascii="Times New Roman" w:eastAsia="Times New Roman" w:hAnsi="Times New Roman" w:cs="Times New Roman"/>
          <w:color w:val="000000"/>
          <w:lang w:eastAsia="en-GB"/>
        </w:rPr>
        <w:t>doi:https</w:t>
      </w:r>
      <w:proofErr w:type="spellEnd"/>
      <w:r w:rsidRPr="00783666">
        <w:rPr>
          <w:rFonts w:ascii="Times New Roman" w:eastAsia="Times New Roman" w:hAnsi="Times New Roman" w:cs="Times New Roman"/>
          <w:color w:val="000000"/>
          <w:lang w:eastAsia="en-GB"/>
        </w:rPr>
        <w:t>://doi.org/10.1177/002248718603700110</w:t>
      </w:r>
      <w:proofErr w:type="gramEnd"/>
      <w:r w:rsidRPr="00783666">
        <w:rPr>
          <w:rFonts w:ascii="Times New Roman" w:eastAsia="Times New Roman" w:hAnsi="Times New Roman" w:cs="Times New Roman"/>
          <w:color w:val="000000"/>
          <w:lang w:eastAsia="en-GB"/>
        </w:rPr>
        <w:t>.</w:t>
      </w:r>
    </w:p>
    <w:p w14:paraId="026A71DD"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STCPS (2022). </w:t>
      </w:r>
      <w:r w:rsidRPr="00783666">
        <w:rPr>
          <w:rFonts w:ascii="Times New Roman" w:eastAsia="Times New Roman" w:hAnsi="Times New Roman" w:cs="Times New Roman"/>
          <w:i/>
          <w:iCs/>
          <w:color w:val="000000"/>
          <w:lang w:eastAsia="en-GB"/>
        </w:rPr>
        <w:t>School Cohort Data Collection</w:t>
      </w:r>
      <w:r w:rsidRPr="00783666">
        <w:rPr>
          <w:rFonts w:ascii="Times New Roman" w:eastAsia="Times New Roman" w:hAnsi="Times New Roman" w:cs="Times New Roman"/>
          <w:color w:val="000000"/>
          <w:lang w:eastAsia="en-GB"/>
        </w:rPr>
        <w:t>. STCPS.</w:t>
      </w:r>
    </w:p>
    <w:p w14:paraId="489EE0DC"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 xml:space="preserve">Tierney, R. and </w:t>
      </w:r>
      <w:proofErr w:type="spellStart"/>
      <w:r w:rsidRPr="00783666">
        <w:rPr>
          <w:rFonts w:ascii="Times New Roman" w:eastAsia="Times New Roman" w:hAnsi="Times New Roman" w:cs="Times New Roman"/>
          <w:color w:val="000000"/>
          <w:lang w:eastAsia="en-GB"/>
        </w:rPr>
        <w:t>Charland</w:t>
      </w:r>
      <w:proofErr w:type="spellEnd"/>
      <w:r w:rsidRPr="00783666">
        <w:rPr>
          <w:rFonts w:ascii="Times New Roman" w:eastAsia="Times New Roman" w:hAnsi="Times New Roman" w:cs="Times New Roman"/>
          <w:color w:val="000000"/>
          <w:lang w:eastAsia="en-GB"/>
        </w:rPr>
        <w:t>, J. (2007). </w:t>
      </w:r>
      <w:r w:rsidRPr="00783666">
        <w:rPr>
          <w:rFonts w:ascii="Times New Roman" w:eastAsia="Times New Roman" w:hAnsi="Times New Roman" w:cs="Times New Roman"/>
          <w:i/>
          <w:iCs/>
          <w:color w:val="000000"/>
          <w:lang w:eastAsia="en-GB"/>
        </w:rPr>
        <w:t xml:space="preserve">Stocks and Prospects: Research on Formative Assessment </w:t>
      </w:r>
      <w:proofErr w:type="gramStart"/>
      <w:r w:rsidRPr="00783666">
        <w:rPr>
          <w:rFonts w:ascii="Times New Roman" w:eastAsia="Times New Roman" w:hAnsi="Times New Roman" w:cs="Times New Roman"/>
          <w:i/>
          <w:iCs/>
          <w:color w:val="000000"/>
          <w:lang w:eastAsia="en-GB"/>
        </w:rPr>
        <w:t>In</w:t>
      </w:r>
      <w:proofErr w:type="gramEnd"/>
      <w:r w:rsidRPr="00783666">
        <w:rPr>
          <w:rFonts w:ascii="Times New Roman" w:eastAsia="Times New Roman" w:hAnsi="Times New Roman" w:cs="Times New Roman"/>
          <w:i/>
          <w:iCs/>
          <w:color w:val="000000"/>
          <w:lang w:eastAsia="en-GB"/>
        </w:rPr>
        <w:t xml:space="preserve"> Secondary Classrooms</w:t>
      </w:r>
      <w:r w:rsidRPr="00783666">
        <w:rPr>
          <w:rFonts w:ascii="Times New Roman" w:eastAsia="Times New Roman" w:hAnsi="Times New Roman" w:cs="Times New Roman"/>
          <w:color w:val="000000"/>
          <w:lang w:eastAsia="en-GB"/>
        </w:rPr>
        <w:t>. [online] </w:t>
      </w:r>
      <w:r w:rsidRPr="00783666">
        <w:rPr>
          <w:rFonts w:ascii="Times New Roman" w:eastAsia="Times New Roman" w:hAnsi="Times New Roman" w:cs="Times New Roman"/>
          <w:i/>
          <w:iCs/>
          <w:color w:val="000000"/>
          <w:lang w:eastAsia="en-GB"/>
        </w:rPr>
        <w:t>American Educational Research Association</w:t>
      </w:r>
      <w:r w:rsidRPr="00783666">
        <w:rPr>
          <w:rFonts w:ascii="Times New Roman" w:eastAsia="Times New Roman" w:hAnsi="Times New Roman" w:cs="Times New Roman"/>
          <w:color w:val="000000"/>
          <w:lang w:eastAsia="en-GB"/>
        </w:rPr>
        <w:t>. Available at: https://files.eric.ed.gov/fulltext/ED496236.pdf [Accessed Dec. 2022].</w:t>
      </w:r>
    </w:p>
    <w:p w14:paraId="12252CE5"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Welsh Government (2020). </w:t>
      </w:r>
      <w:r w:rsidRPr="00783666">
        <w:rPr>
          <w:rFonts w:ascii="Times New Roman" w:eastAsia="Times New Roman" w:hAnsi="Times New Roman" w:cs="Times New Roman"/>
          <w:i/>
          <w:iCs/>
          <w:color w:val="000000"/>
          <w:lang w:eastAsia="en-GB"/>
        </w:rPr>
        <w:t>Developing a Vision for Curriculum Design - Hwb</w:t>
      </w:r>
      <w:r w:rsidRPr="00783666">
        <w:rPr>
          <w:rFonts w:ascii="Times New Roman" w:eastAsia="Times New Roman" w:hAnsi="Times New Roman" w:cs="Times New Roman"/>
          <w:color w:val="000000"/>
          <w:lang w:eastAsia="en-GB"/>
        </w:rPr>
        <w:t xml:space="preserve">. [online] </w:t>
      </w:r>
      <w:proofErr w:type="spellStart"/>
      <w:proofErr w:type="gramStart"/>
      <w:r w:rsidRPr="00783666">
        <w:rPr>
          <w:rFonts w:ascii="Times New Roman" w:eastAsia="Times New Roman" w:hAnsi="Times New Roman" w:cs="Times New Roman"/>
          <w:color w:val="000000"/>
          <w:lang w:eastAsia="en-GB"/>
        </w:rPr>
        <w:t>hwb.gov.wales</w:t>
      </w:r>
      <w:proofErr w:type="spellEnd"/>
      <w:proofErr w:type="gramEnd"/>
      <w:r w:rsidRPr="00783666">
        <w:rPr>
          <w:rFonts w:ascii="Times New Roman" w:eastAsia="Times New Roman" w:hAnsi="Times New Roman" w:cs="Times New Roman"/>
          <w:color w:val="000000"/>
          <w:lang w:eastAsia="en-GB"/>
        </w:rPr>
        <w:t>. Available at: https://hwb.gov.wales/curriculum-for-wales/designing-your-curriculum/developing-a-vision-for-curriculum-design/#curriculum-design-and-the-four-purposes [Accessed Dec. 2022].</w:t>
      </w:r>
    </w:p>
    <w:p w14:paraId="373816EC"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r w:rsidRPr="00783666">
        <w:rPr>
          <w:rFonts w:ascii="Times New Roman" w:eastAsia="Times New Roman" w:hAnsi="Times New Roman" w:cs="Times New Roman"/>
          <w:color w:val="000000"/>
          <w:lang w:eastAsia="en-GB"/>
        </w:rPr>
        <w:t>Welsh Government (2022). </w:t>
      </w:r>
      <w:r w:rsidRPr="00783666">
        <w:rPr>
          <w:rFonts w:ascii="Times New Roman" w:eastAsia="Times New Roman" w:hAnsi="Times New Roman" w:cs="Times New Roman"/>
          <w:i/>
          <w:iCs/>
          <w:color w:val="000000"/>
          <w:lang w:eastAsia="en-GB"/>
        </w:rPr>
        <w:t>Implementation and practical considerations - Hwb</w:t>
      </w:r>
      <w:r w:rsidRPr="00783666">
        <w:rPr>
          <w:rFonts w:ascii="Times New Roman" w:eastAsia="Times New Roman" w:hAnsi="Times New Roman" w:cs="Times New Roman"/>
          <w:color w:val="000000"/>
          <w:lang w:eastAsia="en-GB"/>
        </w:rPr>
        <w:t xml:space="preserve">. [online] </w:t>
      </w:r>
      <w:proofErr w:type="spellStart"/>
      <w:proofErr w:type="gramStart"/>
      <w:r w:rsidRPr="00783666">
        <w:rPr>
          <w:rFonts w:ascii="Times New Roman" w:eastAsia="Times New Roman" w:hAnsi="Times New Roman" w:cs="Times New Roman"/>
          <w:color w:val="000000"/>
          <w:lang w:eastAsia="en-GB"/>
        </w:rPr>
        <w:t>hwb.gov.wales</w:t>
      </w:r>
      <w:proofErr w:type="spellEnd"/>
      <w:proofErr w:type="gramEnd"/>
      <w:r w:rsidRPr="00783666">
        <w:rPr>
          <w:rFonts w:ascii="Times New Roman" w:eastAsia="Times New Roman" w:hAnsi="Times New Roman" w:cs="Times New Roman"/>
          <w:color w:val="000000"/>
          <w:lang w:eastAsia="en-GB"/>
        </w:rPr>
        <w:t>. Available at: https://hwb.gov.wales/curriculum-for-wales/designing-your-curriculum/implementation-and-practical-considerations [Accessed Dec. 2022].</w:t>
      </w:r>
    </w:p>
    <w:p w14:paraId="7DD42B61"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proofErr w:type="spellStart"/>
      <w:r w:rsidRPr="00783666">
        <w:rPr>
          <w:rFonts w:ascii="Times New Roman" w:eastAsia="Times New Roman" w:hAnsi="Times New Roman" w:cs="Times New Roman"/>
          <w:color w:val="000000"/>
          <w:lang w:eastAsia="en-GB"/>
        </w:rPr>
        <w:t>Wiliam</w:t>
      </w:r>
      <w:proofErr w:type="spellEnd"/>
      <w:r w:rsidRPr="00783666">
        <w:rPr>
          <w:rFonts w:ascii="Times New Roman" w:eastAsia="Times New Roman" w:hAnsi="Times New Roman" w:cs="Times New Roman"/>
          <w:color w:val="000000"/>
          <w:lang w:eastAsia="en-GB"/>
        </w:rPr>
        <w:t>, D. (2006). </w:t>
      </w:r>
      <w:r w:rsidRPr="00783666">
        <w:rPr>
          <w:rFonts w:ascii="Times New Roman" w:eastAsia="Times New Roman" w:hAnsi="Times New Roman" w:cs="Times New Roman"/>
          <w:i/>
          <w:iCs/>
          <w:color w:val="000000"/>
          <w:lang w:eastAsia="en-GB"/>
        </w:rPr>
        <w:t xml:space="preserve">Assessment for Learning: The why, what and </w:t>
      </w:r>
      <w:proofErr w:type="gramStart"/>
      <w:r w:rsidRPr="00783666">
        <w:rPr>
          <w:rFonts w:ascii="Times New Roman" w:eastAsia="Times New Roman" w:hAnsi="Times New Roman" w:cs="Times New Roman"/>
          <w:i/>
          <w:iCs/>
          <w:color w:val="000000"/>
          <w:lang w:eastAsia="en-GB"/>
        </w:rPr>
        <w:t>how?</w:t>
      </w:r>
      <w:r w:rsidRPr="00783666">
        <w:rPr>
          <w:rFonts w:ascii="Times New Roman" w:eastAsia="Times New Roman" w:hAnsi="Times New Roman" w:cs="Times New Roman"/>
          <w:color w:val="000000"/>
          <w:lang w:eastAsia="en-GB"/>
        </w:rPr>
        <w:t>.</w:t>
      </w:r>
      <w:proofErr w:type="gramEnd"/>
    </w:p>
    <w:p w14:paraId="4F912BA9"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proofErr w:type="spellStart"/>
      <w:r w:rsidRPr="00783666">
        <w:rPr>
          <w:rFonts w:ascii="Times New Roman" w:eastAsia="Times New Roman" w:hAnsi="Times New Roman" w:cs="Times New Roman"/>
          <w:color w:val="000000"/>
          <w:lang w:eastAsia="en-GB"/>
        </w:rPr>
        <w:t>Wiliam</w:t>
      </w:r>
      <w:proofErr w:type="spellEnd"/>
      <w:r w:rsidRPr="00783666">
        <w:rPr>
          <w:rFonts w:ascii="Times New Roman" w:eastAsia="Times New Roman" w:hAnsi="Times New Roman" w:cs="Times New Roman"/>
          <w:color w:val="000000"/>
          <w:lang w:eastAsia="en-GB"/>
        </w:rPr>
        <w:t>, D. (2011). What is assessment for learning? </w:t>
      </w:r>
      <w:r w:rsidRPr="00783666">
        <w:rPr>
          <w:rFonts w:ascii="Times New Roman" w:eastAsia="Times New Roman" w:hAnsi="Times New Roman" w:cs="Times New Roman"/>
          <w:i/>
          <w:iCs/>
          <w:color w:val="000000"/>
          <w:lang w:eastAsia="en-GB"/>
        </w:rPr>
        <w:t>Studies in Educational Evaluation</w:t>
      </w:r>
      <w:r w:rsidRPr="00783666">
        <w:rPr>
          <w:rFonts w:ascii="Times New Roman" w:eastAsia="Times New Roman" w:hAnsi="Times New Roman" w:cs="Times New Roman"/>
          <w:color w:val="000000"/>
          <w:lang w:eastAsia="en-GB"/>
        </w:rPr>
        <w:t xml:space="preserve">, [online] 37(1), pp.3–14. </w:t>
      </w:r>
      <w:proofErr w:type="gramStart"/>
      <w:r w:rsidRPr="00783666">
        <w:rPr>
          <w:rFonts w:ascii="Times New Roman" w:eastAsia="Times New Roman" w:hAnsi="Times New Roman" w:cs="Times New Roman"/>
          <w:color w:val="000000"/>
          <w:lang w:eastAsia="en-GB"/>
        </w:rPr>
        <w:t>doi:10.1016/j.stueduc</w:t>
      </w:r>
      <w:proofErr w:type="gramEnd"/>
      <w:r w:rsidRPr="00783666">
        <w:rPr>
          <w:rFonts w:ascii="Times New Roman" w:eastAsia="Times New Roman" w:hAnsi="Times New Roman" w:cs="Times New Roman"/>
          <w:color w:val="000000"/>
          <w:lang w:eastAsia="en-GB"/>
        </w:rPr>
        <w:t>.2011.03.001.</w:t>
      </w:r>
    </w:p>
    <w:p w14:paraId="0F44E351" w14:textId="77777777" w:rsidR="00783666" w:rsidRPr="00783666" w:rsidRDefault="00783666" w:rsidP="00783666">
      <w:pPr>
        <w:shd w:val="clear" w:color="auto" w:fill="FFFFFF"/>
        <w:spacing w:after="240" w:line="360" w:lineRule="atLeast"/>
        <w:rPr>
          <w:rFonts w:ascii="Times New Roman" w:eastAsia="Times New Roman" w:hAnsi="Times New Roman" w:cs="Times New Roman"/>
          <w:color w:val="000000"/>
          <w:lang w:eastAsia="en-GB"/>
        </w:rPr>
      </w:pPr>
      <w:proofErr w:type="spellStart"/>
      <w:r w:rsidRPr="00783666">
        <w:rPr>
          <w:rFonts w:ascii="Times New Roman" w:eastAsia="Times New Roman" w:hAnsi="Times New Roman" w:cs="Times New Roman"/>
          <w:color w:val="000000"/>
          <w:lang w:eastAsia="en-GB"/>
        </w:rPr>
        <w:t>Wiliam</w:t>
      </w:r>
      <w:proofErr w:type="spellEnd"/>
      <w:r w:rsidRPr="00783666">
        <w:rPr>
          <w:rFonts w:ascii="Times New Roman" w:eastAsia="Times New Roman" w:hAnsi="Times New Roman" w:cs="Times New Roman"/>
          <w:color w:val="000000"/>
          <w:lang w:eastAsia="en-GB"/>
        </w:rPr>
        <w:t xml:space="preserve">, D. and Black, P. (1998). Assessment and Classroom learning: Assessment in Education: Principles, </w:t>
      </w:r>
      <w:proofErr w:type="gramStart"/>
      <w:r w:rsidRPr="00783666">
        <w:rPr>
          <w:rFonts w:ascii="Times New Roman" w:eastAsia="Times New Roman" w:hAnsi="Times New Roman" w:cs="Times New Roman"/>
          <w:color w:val="000000"/>
          <w:lang w:eastAsia="en-GB"/>
        </w:rPr>
        <w:t>Policy</w:t>
      </w:r>
      <w:proofErr w:type="gramEnd"/>
      <w:r w:rsidRPr="00783666">
        <w:rPr>
          <w:rFonts w:ascii="Times New Roman" w:eastAsia="Times New Roman" w:hAnsi="Times New Roman" w:cs="Times New Roman"/>
          <w:color w:val="000000"/>
          <w:lang w:eastAsia="en-GB"/>
        </w:rPr>
        <w:t xml:space="preserve"> and Practice. </w:t>
      </w:r>
      <w:r w:rsidRPr="00783666">
        <w:rPr>
          <w:rFonts w:ascii="Times New Roman" w:eastAsia="Times New Roman" w:hAnsi="Times New Roman" w:cs="Times New Roman"/>
          <w:i/>
          <w:iCs/>
          <w:color w:val="000000"/>
          <w:lang w:eastAsia="en-GB"/>
        </w:rPr>
        <w:t xml:space="preserve">Assessment in Education: Principles, </w:t>
      </w:r>
      <w:proofErr w:type="gramStart"/>
      <w:r w:rsidRPr="00783666">
        <w:rPr>
          <w:rFonts w:ascii="Times New Roman" w:eastAsia="Times New Roman" w:hAnsi="Times New Roman" w:cs="Times New Roman"/>
          <w:i/>
          <w:iCs/>
          <w:color w:val="000000"/>
          <w:lang w:eastAsia="en-GB"/>
        </w:rPr>
        <w:t>Policy</w:t>
      </w:r>
      <w:proofErr w:type="gramEnd"/>
      <w:r w:rsidRPr="00783666">
        <w:rPr>
          <w:rFonts w:ascii="Times New Roman" w:eastAsia="Times New Roman" w:hAnsi="Times New Roman" w:cs="Times New Roman"/>
          <w:i/>
          <w:iCs/>
          <w:color w:val="000000"/>
          <w:lang w:eastAsia="en-GB"/>
        </w:rPr>
        <w:t xml:space="preserve"> and Practice</w:t>
      </w:r>
      <w:r w:rsidRPr="00783666">
        <w:rPr>
          <w:rFonts w:ascii="Times New Roman" w:eastAsia="Times New Roman" w:hAnsi="Times New Roman" w:cs="Times New Roman"/>
          <w:color w:val="000000"/>
          <w:lang w:eastAsia="en-GB"/>
        </w:rPr>
        <w:t xml:space="preserve">, [online] 5(1), pp.5:1 7-74. </w:t>
      </w:r>
      <w:proofErr w:type="spellStart"/>
      <w:proofErr w:type="gramStart"/>
      <w:r w:rsidRPr="00783666">
        <w:rPr>
          <w:rFonts w:ascii="Times New Roman" w:eastAsia="Times New Roman" w:hAnsi="Times New Roman" w:cs="Times New Roman"/>
          <w:color w:val="000000"/>
          <w:lang w:eastAsia="en-GB"/>
        </w:rPr>
        <w:t>doi:https</w:t>
      </w:r>
      <w:proofErr w:type="spellEnd"/>
      <w:r w:rsidRPr="00783666">
        <w:rPr>
          <w:rFonts w:ascii="Times New Roman" w:eastAsia="Times New Roman" w:hAnsi="Times New Roman" w:cs="Times New Roman"/>
          <w:color w:val="000000"/>
          <w:lang w:eastAsia="en-GB"/>
        </w:rPr>
        <w:t>://doi.org/10.1080/0969595980050102</w:t>
      </w:r>
      <w:proofErr w:type="gramEnd"/>
      <w:r w:rsidRPr="00783666">
        <w:rPr>
          <w:rFonts w:ascii="Times New Roman" w:eastAsia="Times New Roman" w:hAnsi="Times New Roman" w:cs="Times New Roman"/>
          <w:color w:val="000000"/>
          <w:lang w:eastAsia="en-GB"/>
        </w:rPr>
        <w:t>.</w:t>
      </w:r>
    </w:p>
    <w:p w14:paraId="32CF6CD8" w14:textId="6944F5A6" w:rsidR="009268BD" w:rsidRDefault="00783666" w:rsidP="00783666">
      <w:pPr>
        <w:spacing w:line="276" w:lineRule="auto"/>
        <w:rPr>
          <w:rFonts w:ascii="Times New Roman" w:eastAsia="Times New Roman" w:hAnsi="Times New Roman" w:cs="Times New Roman"/>
          <w:color w:val="000000"/>
          <w:shd w:val="clear" w:color="auto" w:fill="FFFFFF"/>
          <w:lang w:eastAsia="en-GB"/>
        </w:rPr>
      </w:pPr>
      <w:r w:rsidRPr="00783666">
        <w:rPr>
          <w:rFonts w:ascii="Times New Roman" w:eastAsia="Times New Roman" w:hAnsi="Times New Roman" w:cs="Times New Roman"/>
          <w:color w:val="000000"/>
          <w:shd w:val="clear" w:color="auto" w:fill="FFFFFF"/>
          <w:lang w:eastAsia="en-GB"/>
        </w:rPr>
        <w:t>‌</w:t>
      </w:r>
    </w:p>
    <w:p w14:paraId="1590CFD4" w14:textId="3B973896" w:rsidR="00783666" w:rsidRDefault="00783666" w:rsidP="00783666">
      <w:pPr>
        <w:spacing w:line="276" w:lineRule="auto"/>
        <w:rPr>
          <w:rFonts w:ascii="Times New Roman" w:eastAsia="Times New Roman" w:hAnsi="Times New Roman" w:cs="Times New Roman"/>
          <w:color w:val="000000"/>
          <w:shd w:val="clear" w:color="auto" w:fill="FFFFFF"/>
          <w:lang w:eastAsia="en-GB"/>
        </w:rPr>
      </w:pPr>
    </w:p>
    <w:p w14:paraId="3362B1CD" w14:textId="6C4BE11C" w:rsidR="00783666" w:rsidRDefault="00783666" w:rsidP="00783666">
      <w:pPr>
        <w:spacing w:line="276" w:lineRule="auto"/>
        <w:rPr>
          <w:rFonts w:ascii="Times New Roman" w:eastAsia="Times New Roman" w:hAnsi="Times New Roman" w:cs="Times New Roman"/>
          <w:color w:val="000000"/>
          <w:shd w:val="clear" w:color="auto" w:fill="FFFFFF"/>
          <w:lang w:eastAsia="en-GB"/>
        </w:rPr>
      </w:pPr>
    </w:p>
    <w:p w14:paraId="3607CEA2" w14:textId="648EE036" w:rsidR="00783666" w:rsidRDefault="00783666" w:rsidP="00783666">
      <w:pPr>
        <w:spacing w:line="276" w:lineRule="auto"/>
        <w:rPr>
          <w:rFonts w:ascii="Times New Roman" w:eastAsia="Times New Roman" w:hAnsi="Times New Roman" w:cs="Times New Roman"/>
          <w:color w:val="000000"/>
          <w:shd w:val="clear" w:color="auto" w:fill="FFFFFF"/>
          <w:lang w:eastAsia="en-GB"/>
        </w:rPr>
      </w:pPr>
    </w:p>
    <w:p w14:paraId="583C5CC5" w14:textId="77777777" w:rsidR="00783666" w:rsidRDefault="00783666" w:rsidP="00783666">
      <w:pPr>
        <w:spacing w:line="276" w:lineRule="auto"/>
        <w:rPr>
          <w:rFonts w:ascii="Times New Roman" w:eastAsia="Times New Roman" w:hAnsi="Times New Roman" w:cs="Times New Roman"/>
          <w:color w:val="000000"/>
          <w:shd w:val="clear" w:color="auto" w:fill="FFFFFF"/>
          <w:lang w:eastAsia="en-GB"/>
        </w:rPr>
      </w:pPr>
    </w:p>
    <w:p w14:paraId="5C26F7BF" w14:textId="5DFB435C" w:rsidR="00783666" w:rsidRDefault="00783666" w:rsidP="00783666">
      <w:pPr>
        <w:spacing w:line="276" w:lineRule="auto"/>
        <w:rPr>
          <w:rFonts w:ascii="Times New Roman" w:eastAsia="Times New Roman" w:hAnsi="Times New Roman" w:cs="Times New Roman"/>
          <w:color w:val="000000"/>
          <w:shd w:val="clear" w:color="auto" w:fill="FFFFFF"/>
          <w:lang w:eastAsia="en-GB"/>
        </w:rPr>
      </w:pPr>
    </w:p>
    <w:p w14:paraId="0B540C9F" w14:textId="77777777" w:rsidR="00783666" w:rsidRDefault="00783666" w:rsidP="00783666">
      <w:pPr>
        <w:spacing w:line="276" w:lineRule="auto"/>
        <w:rPr>
          <w:rFonts w:ascii="Arial" w:hAnsi="Arial" w:cs="Arial"/>
          <w:u w:val="single"/>
        </w:rPr>
      </w:pPr>
    </w:p>
    <w:p w14:paraId="019339A1" w14:textId="5DA234C6" w:rsidR="0007790A" w:rsidRPr="0007790A" w:rsidRDefault="0007790A" w:rsidP="00F154F7">
      <w:pPr>
        <w:spacing w:line="276" w:lineRule="auto"/>
        <w:rPr>
          <w:rFonts w:ascii="Arial" w:hAnsi="Arial" w:cs="Arial"/>
          <w:u w:val="single"/>
        </w:rPr>
      </w:pPr>
      <w:r w:rsidRPr="0007790A">
        <w:rPr>
          <w:rFonts w:ascii="Arial" w:hAnsi="Arial" w:cs="Arial"/>
          <w:u w:val="single"/>
        </w:rPr>
        <w:lastRenderedPageBreak/>
        <w:t>Appendices</w:t>
      </w:r>
    </w:p>
    <w:p w14:paraId="307CF96C" w14:textId="77777777" w:rsidR="0056223A" w:rsidRDefault="0056223A" w:rsidP="00F154F7">
      <w:pPr>
        <w:spacing w:line="276" w:lineRule="auto"/>
        <w:rPr>
          <w:rFonts w:ascii="Arial" w:hAnsi="Arial" w:cs="Arial"/>
          <w:b/>
          <w:bCs/>
        </w:rPr>
      </w:pPr>
    </w:p>
    <w:p w14:paraId="3EF991AE" w14:textId="1E8A08B6" w:rsidR="0007790A" w:rsidRDefault="0007790A" w:rsidP="00F154F7">
      <w:pPr>
        <w:spacing w:line="276" w:lineRule="auto"/>
        <w:rPr>
          <w:rFonts w:ascii="Arial" w:hAnsi="Arial" w:cs="Arial"/>
          <w:b/>
          <w:bCs/>
        </w:rPr>
      </w:pPr>
      <w:r w:rsidRPr="0007790A">
        <w:rPr>
          <w:rFonts w:ascii="Arial" w:hAnsi="Arial" w:cs="Arial"/>
          <w:b/>
          <w:bCs/>
        </w:rPr>
        <w:t>Appendix 1</w:t>
      </w:r>
    </w:p>
    <w:p w14:paraId="5AC0A043" w14:textId="43B1A317" w:rsidR="0056223A" w:rsidRPr="0056223A" w:rsidRDefault="0056223A" w:rsidP="00F154F7">
      <w:pPr>
        <w:spacing w:line="276" w:lineRule="auto"/>
        <w:rPr>
          <w:rFonts w:ascii="Arial" w:hAnsi="Arial" w:cs="Arial"/>
          <w:i/>
          <w:iCs/>
          <w:sz w:val="22"/>
          <w:szCs w:val="22"/>
        </w:rPr>
      </w:pPr>
      <w:r w:rsidRPr="0056223A">
        <w:rPr>
          <w:rFonts w:ascii="Arial" w:hAnsi="Arial" w:cs="Arial"/>
          <w:i/>
          <w:iCs/>
          <w:sz w:val="22"/>
          <w:szCs w:val="22"/>
        </w:rPr>
        <w:t>Carousel and KWL Page</w:t>
      </w:r>
      <w:r>
        <w:rPr>
          <w:rFonts w:ascii="Arial" w:hAnsi="Arial" w:cs="Arial"/>
          <w:i/>
          <w:iCs/>
          <w:sz w:val="22"/>
          <w:szCs w:val="22"/>
        </w:rPr>
        <w:t xml:space="preserve"> – Humanities </w:t>
      </w:r>
      <w:proofErr w:type="spellStart"/>
      <w:r>
        <w:rPr>
          <w:rFonts w:ascii="Arial" w:hAnsi="Arial" w:cs="Arial"/>
          <w:i/>
          <w:iCs/>
          <w:sz w:val="22"/>
          <w:szCs w:val="22"/>
        </w:rPr>
        <w:t>AoLE</w:t>
      </w:r>
      <w:proofErr w:type="spellEnd"/>
    </w:p>
    <w:p w14:paraId="1CC6F313" w14:textId="292284AE" w:rsidR="0007790A" w:rsidRDefault="00B00598" w:rsidP="00F154F7">
      <w:pPr>
        <w:spacing w:line="276" w:lineRule="auto"/>
        <w:rPr>
          <w:rFonts w:ascii="Arial" w:hAnsi="Arial" w:cs="Arial"/>
          <w:b/>
          <w:bCs/>
        </w:rPr>
      </w:pPr>
      <w:r>
        <w:rPr>
          <w:rFonts w:ascii="Arial" w:hAnsi="Arial" w:cs="Arial"/>
          <w:b/>
          <w:bCs/>
          <w:noProof/>
        </w:rPr>
        <w:drawing>
          <wp:inline distT="0" distB="0" distL="0" distR="0" wp14:anchorId="3A847AAB" wp14:editId="1520DF48">
            <wp:extent cx="5727700" cy="3048635"/>
            <wp:effectExtent l="0" t="0" r="0" b="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3048635"/>
                    </a:xfrm>
                    <a:prstGeom prst="rect">
                      <a:avLst/>
                    </a:prstGeom>
                  </pic:spPr>
                </pic:pic>
              </a:graphicData>
            </a:graphic>
          </wp:inline>
        </w:drawing>
      </w:r>
    </w:p>
    <w:p w14:paraId="2C48D18B" w14:textId="009B7C2B" w:rsidR="00B00598" w:rsidRDefault="00B00598" w:rsidP="00F154F7">
      <w:pPr>
        <w:spacing w:line="276" w:lineRule="auto"/>
        <w:rPr>
          <w:rFonts w:ascii="Arial" w:hAnsi="Arial" w:cs="Arial"/>
          <w:b/>
          <w:bCs/>
        </w:rPr>
      </w:pPr>
    </w:p>
    <w:p w14:paraId="67F739B6" w14:textId="5FDA7BD0" w:rsidR="00B00598" w:rsidRDefault="00B00598" w:rsidP="00F154F7">
      <w:pPr>
        <w:spacing w:line="276" w:lineRule="auto"/>
        <w:rPr>
          <w:rFonts w:ascii="Arial" w:hAnsi="Arial" w:cs="Arial"/>
          <w:b/>
          <w:bCs/>
        </w:rPr>
      </w:pPr>
      <w:r>
        <w:rPr>
          <w:rFonts w:ascii="Arial" w:hAnsi="Arial" w:cs="Arial"/>
          <w:b/>
          <w:bCs/>
          <w:noProof/>
        </w:rPr>
        <w:drawing>
          <wp:inline distT="0" distB="0" distL="0" distR="0" wp14:anchorId="5BCCC269" wp14:editId="2EE659CB">
            <wp:extent cx="5727700" cy="1776730"/>
            <wp:effectExtent l="0" t="0" r="0" b="127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1776730"/>
                    </a:xfrm>
                    <a:prstGeom prst="rect">
                      <a:avLst/>
                    </a:prstGeom>
                  </pic:spPr>
                </pic:pic>
              </a:graphicData>
            </a:graphic>
          </wp:inline>
        </w:drawing>
      </w:r>
    </w:p>
    <w:p w14:paraId="2A30F8DF" w14:textId="77777777" w:rsidR="003E36DE" w:rsidRPr="0007790A" w:rsidRDefault="003E36DE" w:rsidP="00F154F7">
      <w:pPr>
        <w:spacing w:line="276" w:lineRule="auto"/>
        <w:rPr>
          <w:rFonts w:ascii="Arial" w:hAnsi="Arial" w:cs="Arial"/>
          <w:b/>
          <w:bCs/>
        </w:rPr>
      </w:pPr>
    </w:p>
    <w:p w14:paraId="14E2B065" w14:textId="7F2C35F0" w:rsidR="003E36DE" w:rsidRDefault="003E36DE" w:rsidP="00F154F7">
      <w:pPr>
        <w:spacing w:line="276" w:lineRule="auto"/>
        <w:rPr>
          <w:rFonts w:ascii="Arial" w:hAnsi="Arial" w:cs="Arial"/>
          <w:b/>
          <w:bCs/>
        </w:rPr>
      </w:pPr>
    </w:p>
    <w:p w14:paraId="26D7BD31" w14:textId="77777777" w:rsidR="003E36DE" w:rsidRDefault="003E36DE" w:rsidP="00F154F7">
      <w:pPr>
        <w:spacing w:line="276" w:lineRule="auto"/>
        <w:rPr>
          <w:rFonts w:ascii="Arial" w:hAnsi="Arial" w:cs="Arial"/>
          <w:b/>
          <w:bCs/>
        </w:rPr>
      </w:pPr>
    </w:p>
    <w:p w14:paraId="38EFDFC9" w14:textId="77777777" w:rsidR="003E36DE" w:rsidRDefault="003E36DE" w:rsidP="00F154F7">
      <w:pPr>
        <w:spacing w:line="276" w:lineRule="auto"/>
        <w:rPr>
          <w:rFonts w:ascii="Arial" w:hAnsi="Arial" w:cs="Arial"/>
          <w:b/>
          <w:bCs/>
        </w:rPr>
      </w:pPr>
    </w:p>
    <w:p w14:paraId="0805F36D" w14:textId="77777777" w:rsidR="003E36DE" w:rsidRDefault="003E36DE" w:rsidP="00F154F7">
      <w:pPr>
        <w:spacing w:line="276" w:lineRule="auto"/>
        <w:rPr>
          <w:rFonts w:ascii="Arial" w:hAnsi="Arial" w:cs="Arial"/>
          <w:b/>
          <w:bCs/>
        </w:rPr>
      </w:pPr>
    </w:p>
    <w:p w14:paraId="403E8F02" w14:textId="10CA7663" w:rsidR="003E36DE" w:rsidRDefault="003E36DE" w:rsidP="00F154F7">
      <w:pPr>
        <w:spacing w:line="276" w:lineRule="auto"/>
        <w:rPr>
          <w:rFonts w:ascii="Arial" w:hAnsi="Arial" w:cs="Arial"/>
          <w:b/>
          <w:bCs/>
        </w:rPr>
      </w:pPr>
    </w:p>
    <w:p w14:paraId="422C5CF3" w14:textId="3AF6BDD4" w:rsidR="0056223A" w:rsidRDefault="0056223A" w:rsidP="00F154F7">
      <w:pPr>
        <w:spacing w:line="276" w:lineRule="auto"/>
        <w:rPr>
          <w:rFonts w:ascii="Arial" w:hAnsi="Arial" w:cs="Arial"/>
          <w:b/>
          <w:bCs/>
        </w:rPr>
      </w:pPr>
    </w:p>
    <w:p w14:paraId="26DD48E8" w14:textId="1242AC6C" w:rsidR="0056223A" w:rsidRDefault="0056223A" w:rsidP="00F154F7">
      <w:pPr>
        <w:spacing w:line="276" w:lineRule="auto"/>
        <w:rPr>
          <w:rFonts w:ascii="Arial" w:hAnsi="Arial" w:cs="Arial"/>
          <w:b/>
          <w:bCs/>
        </w:rPr>
      </w:pPr>
    </w:p>
    <w:p w14:paraId="22DD714B" w14:textId="24501DB8" w:rsidR="0056223A" w:rsidRDefault="0056223A" w:rsidP="00F154F7">
      <w:pPr>
        <w:spacing w:line="276" w:lineRule="auto"/>
        <w:rPr>
          <w:rFonts w:ascii="Arial" w:hAnsi="Arial" w:cs="Arial"/>
          <w:b/>
          <w:bCs/>
        </w:rPr>
      </w:pPr>
    </w:p>
    <w:p w14:paraId="3090DCA8" w14:textId="406DF771" w:rsidR="0056223A" w:rsidRDefault="0056223A" w:rsidP="00F154F7">
      <w:pPr>
        <w:spacing w:line="276" w:lineRule="auto"/>
        <w:rPr>
          <w:rFonts w:ascii="Arial" w:hAnsi="Arial" w:cs="Arial"/>
          <w:b/>
          <w:bCs/>
        </w:rPr>
      </w:pPr>
    </w:p>
    <w:p w14:paraId="55BA7ECB" w14:textId="77777777" w:rsidR="0056223A" w:rsidRDefault="0056223A" w:rsidP="00F154F7">
      <w:pPr>
        <w:spacing w:line="276" w:lineRule="auto"/>
        <w:rPr>
          <w:rFonts w:ascii="Arial" w:hAnsi="Arial" w:cs="Arial"/>
          <w:b/>
          <w:bCs/>
        </w:rPr>
      </w:pPr>
    </w:p>
    <w:p w14:paraId="340523EF" w14:textId="77777777" w:rsidR="003E36DE" w:rsidRDefault="003E36DE" w:rsidP="00F154F7">
      <w:pPr>
        <w:spacing w:line="276" w:lineRule="auto"/>
        <w:rPr>
          <w:rFonts w:ascii="Arial" w:hAnsi="Arial" w:cs="Arial"/>
          <w:b/>
          <w:bCs/>
        </w:rPr>
      </w:pPr>
    </w:p>
    <w:p w14:paraId="75B8BF60" w14:textId="77777777" w:rsidR="003E36DE" w:rsidRDefault="003E36DE" w:rsidP="00F154F7">
      <w:pPr>
        <w:spacing w:line="276" w:lineRule="auto"/>
        <w:rPr>
          <w:rFonts w:ascii="Arial" w:hAnsi="Arial" w:cs="Arial"/>
          <w:b/>
          <w:bCs/>
        </w:rPr>
      </w:pPr>
    </w:p>
    <w:p w14:paraId="7A2725B8" w14:textId="77777777" w:rsidR="0056223A" w:rsidRDefault="0056223A" w:rsidP="00F154F7">
      <w:pPr>
        <w:spacing w:line="276" w:lineRule="auto"/>
        <w:rPr>
          <w:rFonts w:ascii="Arial" w:hAnsi="Arial" w:cs="Arial"/>
          <w:b/>
          <w:bCs/>
        </w:rPr>
      </w:pPr>
    </w:p>
    <w:p w14:paraId="063055E3" w14:textId="4ADEFDFA" w:rsidR="0007790A" w:rsidRDefault="0007790A" w:rsidP="00F154F7">
      <w:pPr>
        <w:spacing w:line="276" w:lineRule="auto"/>
        <w:rPr>
          <w:rFonts w:ascii="Arial" w:hAnsi="Arial" w:cs="Arial"/>
          <w:b/>
          <w:bCs/>
        </w:rPr>
      </w:pPr>
      <w:r w:rsidRPr="0007790A">
        <w:rPr>
          <w:rFonts w:ascii="Arial" w:hAnsi="Arial" w:cs="Arial"/>
          <w:b/>
          <w:bCs/>
        </w:rPr>
        <w:lastRenderedPageBreak/>
        <w:t>Appendix 2</w:t>
      </w:r>
    </w:p>
    <w:p w14:paraId="67C23CA8" w14:textId="2E8C571A" w:rsidR="0056223A" w:rsidRPr="0056223A" w:rsidRDefault="0056223A" w:rsidP="00F154F7">
      <w:pPr>
        <w:spacing w:line="276" w:lineRule="auto"/>
        <w:rPr>
          <w:rFonts w:ascii="Arial" w:hAnsi="Arial" w:cs="Arial"/>
          <w:i/>
          <w:iCs/>
          <w:sz w:val="22"/>
          <w:szCs w:val="22"/>
        </w:rPr>
      </w:pPr>
      <w:r>
        <w:rPr>
          <w:rFonts w:ascii="Arial" w:hAnsi="Arial" w:cs="Arial"/>
          <w:i/>
          <w:iCs/>
          <w:sz w:val="22"/>
          <w:szCs w:val="22"/>
        </w:rPr>
        <w:t xml:space="preserve">QR Code Timeline – Maths and Numeracy </w:t>
      </w:r>
      <w:proofErr w:type="spellStart"/>
      <w:r>
        <w:rPr>
          <w:rFonts w:ascii="Arial" w:hAnsi="Arial" w:cs="Arial"/>
          <w:i/>
          <w:iCs/>
          <w:sz w:val="22"/>
          <w:szCs w:val="22"/>
        </w:rPr>
        <w:t>AoLE</w:t>
      </w:r>
      <w:proofErr w:type="spellEnd"/>
    </w:p>
    <w:p w14:paraId="7FC403CB" w14:textId="5E1E2D00" w:rsidR="0007790A" w:rsidRPr="0007790A" w:rsidRDefault="0007790A" w:rsidP="00F154F7">
      <w:pPr>
        <w:spacing w:line="276" w:lineRule="auto"/>
        <w:rPr>
          <w:rFonts w:ascii="Arial" w:hAnsi="Arial" w:cs="Arial"/>
          <w:b/>
          <w:bCs/>
        </w:rPr>
      </w:pPr>
    </w:p>
    <w:p w14:paraId="61D5B502" w14:textId="2B1572EE" w:rsidR="003E36DE" w:rsidRDefault="00B00598" w:rsidP="00F154F7">
      <w:pPr>
        <w:spacing w:line="276" w:lineRule="auto"/>
        <w:rPr>
          <w:rFonts w:ascii="Arial" w:hAnsi="Arial" w:cs="Arial"/>
          <w:b/>
          <w:bCs/>
        </w:rPr>
      </w:pPr>
      <w:r>
        <w:rPr>
          <w:rFonts w:ascii="Arial" w:hAnsi="Arial" w:cs="Arial"/>
          <w:b/>
          <w:bCs/>
          <w:noProof/>
        </w:rPr>
        <w:drawing>
          <wp:inline distT="0" distB="0" distL="0" distR="0" wp14:anchorId="56E05BC7" wp14:editId="48CF9BC8">
            <wp:extent cx="5727700" cy="3194050"/>
            <wp:effectExtent l="0" t="0" r="0" b="635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3194050"/>
                    </a:xfrm>
                    <a:prstGeom prst="rect">
                      <a:avLst/>
                    </a:prstGeom>
                  </pic:spPr>
                </pic:pic>
              </a:graphicData>
            </a:graphic>
          </wp:inline>
        </w:drawing>
      </w:r>
    </w:p>
    <w:p w14:paraId="077A7A83" w14:textId="77777777" w:rsidR="003E36DE" w:rsidRDefault="003E36DE" w:rsidP="00F154F7">
      <w:pPr>
        <w:spacing w:line="276" w:lineRule="auto"/>
        <w:rPr>
          <w:rFonts w:ascii="Arial" w:hAnsi="Arial" w:cs="Arial"/>
          <w:b/>
          <w:bCs/>
        </w:rPr>
      </w:pPr>
    </w:p>
    <w:p w14:paraId="13D8E6A7" w14:textId="260263F8" w:rsidR="003E36DE" w:rsidRDefault="00B00598" w:rsidP="00F154F7">
      <w:pPr>
        <w:spacing w:line="276" w:lineRule="auto"/>
        <w:rPr>
          <w:rFonts w:ascii="Arial" w:hAnsi="Arial" w:cs="Arial"/>
          <w:b/>
          <w:bCs/>
        </w:rPr>
      </w:pPr>
      <w:r>
        <w:rPr>
          <w:rFonts w:ascii="Arial" w:hAnsi="Arial" w:cs="Arial"/>
          <w:b/>
          <w:bCs/>
          <w:noProof/>
        </w:rPr>
        <w:drawing>
          <wp:inline distT="0" distB="0" distL="0" distR="0" wp14:anchorId="44C1D851" wp14:editId="15C3A859">
            <wp:extent cx="5727700" cy="1886585"/>
            <wp:effectExtent l="0" t="0" r="0" b="571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1886585"/>
                    </a:xfrm>
                    <a:prstGeom prst="rect">
                      <a:avLst/>
                    </a:prstGeom>
                  </pic:spPr>
                </pic:pic>
              </a:graphicData>
            </a:graphic>
          </wp:inline>
        </w:drawing>
      </w:r>
    </w:p>
    <w:p w14:paraId="636C25E1" w14:textId="77777777" w:rsidR="003E36DE" w:rsidRDefault="003E36DE" w:rsidP="00F154F7">
      <w:pPr>
        <w:spacing w:line="276" w:lineRule="auto"/>
        <w:rPr>
          <w:rFonts w:ascii="Arial" w:hAnsi="Arial" w:cs="Arial"/>
          <w:b/>
          <w:bCs/>
        </w:rPr>
      </w:pPr>
    </w:p>
    <w:p w14:paraId="696A2255" w14:textId="77777777" w:rsidR="003E36DE" w:rsidRDefault="003E36DE" w:rsidP="00F154F7">
      <w:pPr>
        <w:spacing w:line="276" w:lineRule="auto"/>
        <w:rPr>
          <w:rFonts w:ascii="Arial" w:hAnsi="Arial" w:cs="Arial"/>
          <w:b/>
          <w:bCs/>
        </w:rPr>
      </w:pPr>
    </w:p>
    <w:p w14:paraId="4117871F" w14:textId="77777777" w:rsidR="003E36DE" w:rsidRDefault="003E36DE" w:rsidP="00F154F7">
      <w:pPr>
        <w:spacing w:line="276" w:lineRule="auto"/>
        <w:rPr>
          <w:rFonts w:ascii="Arial" w:hAnsi="Arial" w:cs="Arial"/>
          <w:b/>
          <w:bCs/>
        </w:rPr>
      </w:pPr>
    </w:p>
    <w:p w14:paraId="3E0AA65E" w14:textId="77777777" w:rsidR="003E36DE" w:rsidRDefault="003E36DE" w:rsidP="00F154F7">
      <w:pPr>
        <w:spacing w:line="276" w:lineRule="auto"/>
        <w:rPr>
          <w:rFonts w:ascii="Arial" w:hAnsi="Arial" w:cs="Arial"/>
          <w:b/>
          <w:bCs/>
        </w:rPr>
      </w:pPr>
    </w:p>
    <w:p w14:paraId="5CFEAB82" w14:textId="70E6E741" w:rsidR="003E36DE" w:rsidRDefault="003E36DE" w:rsidP="00F154F7">
      <w:pPr>
        <w:spacing w:line="276" w:lineRule="auto"/>
        <w:rPr>
          <w:rFonts w:ascii="Arial" w:hAnsi="Arial" w:cs="Arial"/>
          <w:b/>
          <w:bCs/>
        </w:rPr>
      </w:pPr>
    </w:p>
    <w:p w14:paraId="65429DCD" w14:textId="47AC9E9C" w:rsidR="00B00598" w:rsidRDefault="00B00598" w:rsidP="00F154F7">
      <w:pPr>
        <w:spacing w:line="276" w:lineRule="auto"/>
        <w:rPr>
          <w:rFonts w:ascii="Arial" w:hAnsi="Arial" w:cs="Arial"/>
          <w:b/>
          <w:bCs/>
        </w:rPr>
      </w:pPr>
    </w:p>
    <w:p w14:paraId="444D980B" w14:textId="6FCEC1DF" w:rsidR="00B00598" w:rsidRDefault="00B00598" w:rsidP="00F154F7">
      <w:pPr>
        <w:spacing w:line="276" w:lineRule="auto"/>
        <w:rPr>
          <w:rFonts w:ascii="Arial" w:hAnsi="Arial" w:cs="Arial"/>
          <w:b/>
          <w:bCs/>
        </w:rPr>
      </w:pPr>
    </w:p>
    <w:p w14:paraId="69F08D15" w14:textId="4C614F3F" w:rsidR="00B00598" w:rsidRDefault="00B00598" w:rsidP="00F154F7">
      <w:pPr>
        <w:spacing w:line="276" w:lineRule="auto"/>
        <w:rPr>
          <w:rFonts w:ascii="Arial" w:hAnsi="Arial" w:cs="Arial"/>
          <w:b/>
          <w:bCs/>
        </w:rPr>
      </w:pPr>
    </w:p>
    <w:p w14:paraId="4C29FDF3" w14:textId="020039DC" w:rsidR="00B00598" w:rsidRDefault="00B00598" w:rsidP="00F154F7">
      <w:pPr>
        <w:spacing w:line="276" w:lineRule="auto"/>
        <w:rPr>
          <w:rFonts w:ascii="Arial" w:hAnsi="Arial" w:cs="Arial"/>
          <w:b/>
          <w:bCs/>
        </w:rPr>
      </w:pPr>
    </w:p>
    <w:p w14:paraId="5DB85395" w14:textId="036B70D9" w:rsidR="00B00598" w:rsidRDefault="00B00598" w:rsidP="00F154F7">
      <w:pPr>
        <w:spacing w:line="276" w:lineRule="auto"/>
        <w:rPr>
          <w:rFonts w:ascii="Arial" w:hAnsi="Arial" w:cs="Arial"/>
          <w:b/>
          <w:bCs/>
        </w:rPr>
      </w:pPr>
    </w:p>
    <w:p w14:paraId="4BD4E6A9" w14:textId="41A1B337" w:rsidR="00B00598" w:rsidRDefault="00B00598" w:rsidP="00F154F7">
      <w:pPr>
        <w:spacing w:line="276" w:lineRule="auto"/>
        <w:rPr>
          <w:rFonts w:ascii="Arial" w:hAnsi="Arial" w:cs="Arial"/>
          <w:b/>
          <w:bCs/>
        </w:rPr>
      </w:pPr>
    </w:p>
    <w:p w14:paraId="73652C4E" w14:textId="77777777" w:rsidR="00B00598" w:rsidRDefault="00B00598" w:rsidP="00F154F7">
      <w:pPr>
        <w:spacing w:line="276" w:lineRule="auto"/>
        <w:rPr>
          <w:rFonts w:ascii="Arial" w:hAnsi="Arial" w:cs="Arial"/>
          <w:b/>
          <w:bCs/>
        </w:rPr>
      </w:pPr>
    </w:p>
    <w:p w14:paraId="5C09044E" w14:textId="4D64E348" w:rsidR="003E36DE" w:rsidRDefault="003E36DE" w:rsidP="00F154F7">
      <w:pPr>
        <w:spacing w:line="276" w:lineRule="auto"/>
        <w:rPr>
          <w:rFonts w:ascii="Arial" w:hAnsi="Arial" w:cs="Arial"/>
          <w:b/>
          <w:bCs/>
        </w:rPr>
      </w:pPr>
    </w:p>
    <w:p w14:paraId="32701F1E" w14:textId="77777777" w:rsidR="0056223A" w:rsidRDefault="0056223A" w:rsidP="00F154F7">
      <w:pPr>
        <w:spacing w:line="276" w:lineRule="auto"/>
        <w:rPr>
          <w:rFonts w:ascii="Arial" w:hAnsi="Arial" w:cs="Arial"/>
          <w:b/>
          <w:bCs/>
        </w:rPr>
      </w:pPr>
    </w:p>
    <w:p w14:paraId="2F979A5E" w14:textId="12669333" w:rsidR="0007790A" w:rsidRDefault="0007790A" w:rsidP="00F154F7">
      <w:pPr>
        <w:spacing w:line="276" w:lineRule="auto"/>
        <w:rPr>
          <w:rFonts w:ascii="Arial" w:hAnsi="Arial" w:cs="Arial"/>
          <w:b/>
          <w:bCs/>
        </w:rPr>
      </w:pPr>
      <w:r w:rsidRPr="0007790A">
        <w:rPr>
          <w:rFonts w:ascii="Arial" w:hAnsi="Arial" w:cs="Arial"/>
          <w:b/>
          <w:bCs/>
        </w:rPr>
        <w:lastRenderedPageBreak/>
        <w:t>Appendix 3</w:t>
      </w:r>
    </w:p>
    <w:p w14:paraId="0429C214" w14:textId="062F3D6C" w:rsidR="0056223A" w:rsidRPr="0056223A" w:rsidRDefault="0056223A" w:rsidP="00F154F7">
      <w:pPr>
        <w:spacing w:line="276" w:lineRule="auto"/>
        <w:rPr>
          <w:rFonts w:ascii="Arial" w:hAnsi="Arial" w:cs="Arial"/>
          <w:i/>
          <w:iCs/>
          <w:sz w:val="22"/>
          <w:szCs w:val="22"/>
        </w:rPr>
      </w:pPr>
      <w:r>
        <w:rPr>
          <w:rFonts w:ascii="Arial" w:hAnsi="Arial" w:cs="Arial"/>
          <w:i/>
          <w:iCs/>
          <w:sz w:val="22"/>
          <w:szCs w:val="22"/>
        </w:rPr>
        <w:t xml:space="preserve">Victorian Comparisons – Literacy, Language and Communication </w:t>
      </w:r>
      <w:proofErr w:type="spellStart"/>
      <w:r>
        <w:rPr>
          <w:rFonts w:ascii="Arial" w:hAnsi="Arial" w:cs="Arial"/>
          <w:i/>
          <w:iCs/>
          <w:sz w:val="22"/>
          <w:szCs w:val="22"/>
        </w:rPr>
        <w:t>AoLE</w:t>
      </w:r>
      <w:proofErr w:type="spellEnd"/>
    </w:p>
    <w:p w14:paraId="065993D4" w14:textId="2FEF9FEB" w:rsidR="003E36DE" w:rsidRDefault="00B00598" w:rsidP="00F154F7">
      <w:pPr>
        <w:spacing w:line="276" w:lineRule="auto"/>
        <w:rPr>
          <w:rFonts w:ascii="Arial" w:hAnsi="Arial" w:cs="Arial"/>
        </w:rPr>
      </w:pPr>
      <w:r>
        <w:rPr>
          <w:rFonts w:ascii="Arial" w:hAnsi="Arial" w:cs="Arial"/>
          <w:noProof/>
        </w:rPr>
        <w:drawing>
          <wp:inline distT="0" distB="0" distL="0" distR="0" wp14:anchorId="65016F8A" wp14:editId="75C8B5B4">
            <wp:extent cx="5727700" cy="2952115"/>
            <wp:effectExtent l="0" t="0" r="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2952115"/>
                    </a:xfrm>
                    <a:prstGeom prst="rect">
                      <a:avLst/>
                    </a:prstGeom>
                  </pic:spPr>
                </pic:pic>
              </a:graphicData>
            </a:graphic>
          </wp:inline>
        </w:drawing>
      </w:r>
    </w:p>
    <w:p w14:paraId="16D6D902" w14:textId="0F0F2067" w:rsidR="00B00598" w:rsidRPr="003E36DE" w:rsidRDefault="00B00598" w:rsidP="00F154F7">
      <w:pPr>
        <w:spacing w:line="276" w:lineRule="auto"/>
        <w:rPr>
          <w:rFonts w:ascii="Arial" w:hAnsi="Arial" w:cs="Arial"/>
        </w:rPr>
      </w:pPr>
      <w:r>
        <w:rPr>
          <w:rFonts w:ascii="Arial" w:hAnsi="Arial" w:cs="Arial"/>
          <w:noProof/>
        </w:rPr>
        <w:drawing>
          <wp:inline distT="0" distB="0" distL="0" distR="0" wp14:anchorId="525ACD02" wp14:editId="26C92CF9">
            <wp:extent cx="5727700" cy="2791460"/>
            <wp:effectExtent l="0" t="0" r="0" b="254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2791460"/>
                    </a:xfrm>
                    <a:prstGeom prst="rect">
                      <a:avLst/>
                    </a:prstGeom>
                  </pic:spPr>
                </pic:pic>
              </a:graphicData>
            </a:graphic>
          </wp:inline>
        </w:drawing>
      </w:r>
    </w:p>
    <w:p w14:paraId="25E27D3C" w14:textId="77777777" w:rsidR="00724180" w:rsidRDefault="00724180" w:rsidP="00F154F7">
      <w:pPr>
        <w:spacing w:line="276" w:lineRule="auto"/>
        <w:rPr>
          <w:rFonts w:ascii="Arial" w:hAnsi="Arial" w:cs="Arial"/>
        </w:rPr>
      </w:pPr>
    </w:p>
    <w:p w14:paraId="084F4BE2" w14:textId="6C35409F" w:rsidR="005715CA" w:rsidRDefault="005715CA" w:rsidP="00F154F7">
      <w:pPr>
        <w:spacing w:line="276" w:lineRule="auto"/>
        <w:rPr>
          <w:rFonts w:ascii="Arial" w:hAnsi="Arial" w:cs="Arial"/>
        </w:rPr>
      </w:pPr>
    </w:p>
    <w:p w14:paraId="68EFBE0D" w14:textId="77777777" w:rsidR="005715CA" w:rsidRDefault="005715CA" w:rsidP="00F154F7">
      <w:pPr>
        <w:spacing w:line="276" w:lineRule="auto"/>
        <w:rPr>
          <w:rFonts w:ascii="Arial" w:hAnsi="Arial" w:cs="Arial"/>
        </w:rPr>
      </w:pPr>
    </w:p>
    <w:p w14:paraId="422C7E33" w14:textId="77777777" w:rsidR="002555C4" w:rsidRPr="002555C4" w:rsidRDefault="002555C4" w:rsidP="00F154F7">
      <w:pPr>
        <w:spacing w:line="276" w:lineRule="auto"/>
        <w:rPr>
          <w:rFonts w:ascii="Arial" w:hAnsi="Arial" w:cs="Arial"/>
        </w:rPr>
      </w:pPr>
    </w:p>
    <w:sectPr w:rsidR="002555C4" w:rsidRPr="002555C4" w:rsidSect="00A867DD">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78B68" w14:textId="77777777" w:rsidR="00331B6A" w:rsidRDefault="00331B6A" w:rsidP="00300DDB">
      <w:r>
        <w:separator/>
      </w:r>
    </w:p>
  </w:endnote>
  <w:endnote w:type="continuationSeparator" w:id="0">
    <w:p w14:paraId="061F5EFD" w14:textId="77777777" w:rsidR="00331B6A" w:rsidRDefault="00331B6A" w:rsidP="00300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9721154"/>
      <w:docPartObj>
        <w:docPartGallery w:val="Page Numbers (Bottom of Page)"/>
        <w:docPartUnique/>
      </w:docPartObj>
    </w:sdtPr>
    <w:sdtContent>
      <w:p w14:paraId="299471FA" w14:textId="7EB4802B" w:rsidR="00300DDB" w:rsidRDefault="00300DDB" w:rsidP="006A20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75C1B0" w14:textId="77777777" w:rsidR="00300DDB" w:rsidRDefault="00300DDB" w:rsidP="00300D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94470"/>
      <w:docPartObj>
        <w:docPartGallery w:val="Page Numbers (Bottom of Page)"/>
        <w:docPartUnique/>
      </w:docPartObj>
    </w:sdtPr>
    <w:sdtEndPr>
      <w:rPr>
        <w:rStyle w:val="PageNumber"/>
        <w:sz w:val="22"/>
      </w:rPr>
    </w:sdtEndPr>
    <w:sdtContent>
      <w:p w14:paraId="6689FF5A" w14:textId="2BE37107" w:rsidR="00300DDB" w:rsidRPr="00300DDB" w:rsidRDefault="00300DDB" w:rsidP="006A201A">
        <w:pPr>
          <w:pStyle w:val="Footer"/>
          <w:framePr w:wrap="none" w:vAnchor="text" w:hAnchor="margin" w:xAlign="right" w:y="1"/>
          <w:rPr>
            <w:rStyle w:val="PageNumber"/>
            <w:sz w:val="22"/>
          </w:rPr>
        </w:pPr>
        <w:r w:rsidRPr="00300DDB">
          <w:rPr>
            <w:rStyle w:val="PageNumber"/>
            <w:sz w:val="22"/>
          </w:rPr>
          <w:fldChar w:fldCharType="begin"/>
        </w:r>
        <w:r w:rsidRPr="00300DDB">
          <w:rPr>
            <w:rStyle w:val="PageNumber"/>
            <w:sz w:val="22"/>
          </w:rPr>
          <w:instrText xml:space="preserve"> PAGE </w:instrText>
        </w:r>
        <w:r w:rsidRPr="00300DDB">
          <w:rPr>
            <w:rStyle w:val="PageNumber"/>
            <w:sz w:val="22"/>
          </w:rPr>
          <w:fldChar w:fldCharType="separate"/>
        </w:r>
        <w:r w:rsidRPr="00300DDB">
          <w:rPr>
            <w:rStyle w:val="PageNumber"/>
            <w:noProof/>
            <w:sz w:val="22"/>
          </w:rPr>
          <w:t>1</w:t>
        </w:r>
        <w:r w:rsidRPr="00300DDB">
          <w:rPr>
            <w:rStyle w:val="PageNumber"/>
            <w:sz w:val="22"/>
          </w:rPr>
          <w:fldChar w:fldCharType="end"/>
        </w:r>
      </w:p>
    </w:sdtContent>
  </w:sdt>
  <w:p w14:paraId="65D99084" w14:textId="7278D7DD" w:rsidR="00300DDB" w:rsidRPr="00300DDB" w:rsidRDefault="00300DDB" w:rsidP="00300DDB">
    <w:pPr>
      <w:pStyle w:val="Header"/>
      <w:tabs>
        <w:tab w:val="clear" w:pos="4513"/>
      </w:tabs>
      <w:rPr>
        <w:sz w:val="22"/>
      </w:rPr>
    </w:pPr>
    <w:r w:rsidRPr="00300DDB">
      <w:rPr>
        <w:sz w:val="22"/>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D9EB1" w14:textId="77777777" w:rsidR="00331B6A" w:rsidRDefault="00331B6A" w:rsidP="00300DDB">
      <w:r>
        <w:separator/>
      </w:r>
    </w:p>
  </w:footnote>
  <w:footnote w:type="continuationSeparator" w:id="0">
    <w:p w14:paraId="2A34F105" w14:textId="77777777" w:rsidR="00331B6A" w:rsidRDefault="00331B6A" w:rsidP="00300D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3D12" w14:textId="18589C50" w:rsidR="00300DDB" w:rsidRPr="00300DDB" w:rsidRDefault="00300DDB" w:rsidP="00300DDB">
    <w:pPr>
      <w:pStyle w:val="Header"/>
      <w:tabs>
        <w:tab w:val="clear" w:pos="4513"/>
        <w:tab w:val="clear" w:pos="9026"/>
        <w:tab w:val="right" w:pos="9020"/>
      </w:tabs>
      <w:rPr>
        <w:sz w:val="22"/>
      </w:rPr>
    </w:pPr>
    <w:r w:rsidRPr="00300DDB">
      <w:rPr>
        <w:sz w:val="22"/>
      </w:rPr>
      <w:t>Alice John</w:t>
    </w:r>
    <w:r>
      <w:rPr>
        <w:sz w:val="22"/>
      </w:rPr>
      <w:t xml:space="preserve"> (</w:t>
    </w:r>
    <w:r w:rsidRPr="00300DDB">
      <w:rPr>
        <w:sz w:val="22"/>
      </w:rPr>
      <w:t>2103838</w:t>
    </w:r>
    <w:r>
      <w:rPr>
        <w:sz w:val="22"/>
      </w:rPr>
      <w:t>)</w:t>
    </w:r>
    <w:r w:rsidRPr="00300DDB">
      <w:rPr>
        <w:sz w:val="22"/>
      </w:rPr>
      <w:tab/>
      <w:t>Primary Education BA(Hons) with QTS</w:t>
    </w:r>
  </w:p>
  <w:p w14:paraId="5AEAC09B" w14:textId="77777777" w:rsidR="00300DDB" w:rsidRPr="00300DDB" w:rsidRDefault="00300DDB">
    <w:pPr>
      <w:pStyle w:val="Header"/>
      <w:rPr>
        <w:sz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10F89"/>
    <w:multiLevelType w:val="multilevel"/>
    <w:tmpl w:val="58BE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6D356D"/>
    <w:multiLevelType w:val="hybridMultilevel"/>
    <w:tmpl w:val="22D48EFE"/>
    <w:lvl w:ilvl="0" w:tplc="1B3066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494B4F"/>
    <w:multiLevelType w:val="multilevel"/>
    <w:tmpl w:val="B6AC8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61692E"/>
    <w:multiLevelType w:val="hybridMultilevel"/>
    <w:tmpl w:val="A5F676F4"/>
    <w:lvl w:ilvl="0" w:tplc="BA420B60">
      <w:start w:val="4"/>
      <w:numFmt w:val="bullet"/>
      <w:lvlText w:val="-"/>
      <w:lvlJc w:val="left"/>
      <w:pPr>
        <w:ind w:left="720" w:hanging="360"/>
      </w:pPr>
      <w:rPr>
        <w:rFonts w:ascii="Arial" w:eastAsia="Times New Roman" w:hAnsi="Arial" w:cs="Arial" w:hint="default"/>
      </w:rPr>
    </w:lvl>
    <w:lvl w:ilvl="1" w:tplc="F770463A">
      <w:start w:val="1"/>
      <w:numFmt w:val="bullet"/>
      <w:lvlText w:val="•"/>
      <w:lvlJc w:val="left"/>
      <w:pPr>
        <w:ind w:left="1440" w:hanging="360"/>
      </w:pPr>
      <w:rPr>
        <w:rFonts w:ascii="Arial" w:hAnsi="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F30AA"/>
    <w:multiLevelType w:val="hybridMultilevel"/>
    <w:tmpl w:val="663212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6" w15:restartNumberingAfterBreak="0">
    <w:nsid w:val="745B1F0B"/>
    <w:multiLevelType w:val="multilevel"/>
    <w:tmpl w:val="5C4C4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697868">
    <w:abstractNumId w:val="3"/>
  </w:num>
  <w:num w:numId="2" w16cid:durableId="2063864396">
    <w:abstractNumId w:val="1"/>
  </w:num>
  <w:num w:numId="3" w16cid:durableId="513958363">
    <w:abstractNumId w:val="4"/>
  </w:num>
  <w:num w:numId="4" w16cid:durableId="1026445915">
    <w:abstractNumId w:val="2"/>
  </w:num>
  <w:num w:numId="5" w16cid:durableId="1763406027">
    <w:abstractNumId w:val="5"/>
  </w:num>
  <w:num w:numId="6" w16cid:durableId="714547313">
    <w:abstractNumId w:val="6"/>
  </w:num>
  <w:num w:numId="7" w16cid:durableId="1428188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DDB"/>
    <w:rsid w:val="00015239"/>
    <w:rsid w:val="000379E4"/>
    <w:rsid w:val="00041660"/>
    <w:rsid w:val="00041C0E"/>
    <w:rsid w:val="00041FEA"/>
    <w:rsid w:val="0005088C"/>
    <w:rsid w:val="0007790A"/>
    <w:rsid w:val="00084D82"/>
    <w:rsid w:val="000943FC"/>
    <w:rsid w:val="000A3DC3"/>
    <w:rsid w:val="000B11A4"/>
    <w:rsid w:val="000D3AA6"/>
    <w:rsid w:val="000D77B4"/>
    <w:rsid w:val="000E4486"/>
    <w:rsid w:val="000F2D0C"/>
    <w:rsid w:val="000F7911"/>
    <w:rsid w:val="00102445"/>
    <w:rsid w:val="00110B7B"/>
    <w:rsid w:val="00115888"/>
    <w:rsid w:val="00134F94"/>
    <w:rsid w:val="00145126"/>
    <w:rsid w:val="001635B1"/>
    <w:rsid w:val="001825C5"/>
    <w:rsid w:val="00191E8A"/>
    <w:rsid w:val="00195EB3"/>
    <w:rsid w:val="001A63CE"/>
    <w:rsid w:val="001A7195"/>
    <w:rsid w:val="001B5142"/>
    <w:rsid w:val="001E5706"/>
    <w:rsid w:val="001E6EBE"/>
    <w:rsid w:val="001F385A"/>
    <w:rsid w:val="002210D5"/>
    <w:rsid w:val="00227C1F"/>
    <w:rsid w:val="00236152"/>
    <w:rsid w:val="00241E88"/>
    <w:rsid w:val="0025164F"/>
    <w:rsid w:val="002555C4"/>
    <w:rsid w:val="00267853"/>
    <w:rsid w:val="002779A4"/>
    <w:rsid w:val="00284D97"/>
    <w:rsid w:val="002B0282"/>
    <w:rsid w:val="002B5AD6"/>
    <w:rsid w:val="002D5AF1"/>
    <w:rsid w:val="002E2925"/>
    <w:rsid w:val="002F3F4B"/>
    <w:rsid w:val="002F6774"/>
    <w:rsid w:val="00300DDB"/>
    <w:rsid w:val="00317E53"/>
    <w:rsid w:val="0032540B"/>
    <w:rsid w:val="00331B6A"/>
    <w:rsid w:val="003448EF"/>
    <w:rsid w:val="003554D3"/>
    <w:rsid w:val="003732C1"/>
    <w:rsid w:val="003759A9"/>
    <w:rsid w:val="00382BB3"/>
    <w:rsid w:val="003871F4"/>
    <w:rsid w:val="003A04BF"/>
    <w:rsid w:val="003A209E"/>
    <w:rsid w:val="003A27F7"/>
    <w:rsid w:val="003C3D26"/>
    <w:rsid w:val="003C49F4"/>
    <w:rsid w:val="003D3120"/>
    <w:rsid w:val="003D4E61"/>
    <w:rsid w:val="003E128B"/>
    <w:rsid w:val="003E2E27"/>
    <w:rsid w:val="003E36DE"/>
    <w:rsid w:val="003F1EEF"/>
    <w:rsid w:val="00401D35"/>
    <w:rsid w:val="00402AA9"/>
    <w:rsid w:val="00413DF7"/>
    <w:rsid w:val="00415302"/>
    <w:rsid w:val="004206C7"/>
    <w:rsid w:val="00425357"/>
    <w:rsid w:val="00426B7A"/>
    <w:rsid w:val="00442953"/>
    <w:rsid w:val="00451216"/>
    <w:rsid w:val="0045257C"/>
    <w:rsid w:val="00462F24"/>
    <w:rsid w:val="00473846"/>
    <w:rsid w:val="0047467B"/>
    <w:rsid w:val="00480717"/>
    <w:rsid w:val="0048729A"/>
    <w:rsid w:val="00487D89"/>
    <w:rsid w:val="004A3856"/>
    <w:rsid w:val="004B7DF4"/>
    <w:rsid w:val="004E6708"/>
    <w:rsid w:val="004F15C9"/>
    <w:rsid w:val="004F1DBF"/>
    <w:rsid w:val="00521884"/>
    <w:rsid w:val="00555042"/>
    <w:rsid w:val="00557CE7"/>
    <w:rsid w:val="0056223A"/>
    <w:rsid w:val="005715CA"/>
    <w:rsid w:val="005732F3"/>
    <w:rsid w:val="005A7EF9"/>
    <w:rsid w:val="005B042F"/>
    <w:rsid w:val="005F7043"/>
    <w:rsid w:val="0061225D"/>
    <w:rsid w:val="0063008B"/>
    <w:rsid w:val="00654B05"/>
    <w:rsid w:val="00665AB9"/>
    <w:rsid w:val="00672CB9"/>
    <w:rsid w:val="006748E0"/>
    <w:rsid w:val="00675BEE"/>
    <w:rsid w:val="00683629"/>
    <w:rsid w:val="006943DE"/>
    <w:rsid w:val="006A337B"/>
    <w:rsid w:val="006A4500"/>
    <w:rsid w:val="006A6393"/>
    <w:rsid w:val="006E2DD8"/>
    <w:rsid w:val="006F39AF"/>
    <w:rsid w:val="006F545A"/>
    <w:rsid w:val="00713C69"/>
    <w:rsid w:val="00724180"/>
    <w:rsid w:val="00732F6A"/>
    <w:rsid w:val="00737905"/>
    <w:rsid w:val="00753B60"/>
    <w:rsid w:val="00755BD9"/>
    <w:rsid w:val="007660D1"/>
    <w:rsid w:val="0077689F"/>
    <w:rsid w:val="00781B94"/>
    <w:rsid w:val="00783666"/>
    <w:rsid w:val="00786D5F"/>
    <w:rsid w:val="007C0F87"/>
    <w:rsid w:val="007C5546"/>
    <w:rsid w:val="007D2937"/>
    <w:rsid w:val="007E33BF"/>
    <w:rsid w:val="007E776C"/>
    <w:rsid w:val="007F05CF"/>
    <w:rsid w:val="007F0D4F"/>
    <w:rsid w:val="007F1E11"/>
    <w:rsid w:val="00803477"/>
    <w:rsid w:val="00803780"/>
    <w:rsid w:val="00815F92"/>
    <w:rsid w:val="00816D15"/>
    <w:rsid w:val="0083414F"/>
    <w:rsid w:val="008408D0"/>
    <w:rsid w:val="008425A5"/>
    <w:rsid w:val="0087645C"/>
    <w:rsid w:val="00882453"/>
    <w:rsid w:val="0089013F"/>
    <w:rsid w:val="0089088C"/>
    <w:rsid w:val="00892F0D"/>
    <w:rsid w:val="00895E8E"/>
    <w:rsid w:val="008B3700"/>
    <w:rsid w:val="008B46E7"/>
    <w:rsid w:val="008C5F22"/>
    <w:rsid w:val="008D2CB8"/>
    <w:rsid w:val="008F1ED2"/>
    <w:rsid w:val="009071D3"/>
    <w:rsid w:val="00916FFB"/>
    <w:rsid w:val="00921009"/>
    <w:rsid w:val="00923809"/>
    <w:rsid w:val="00924F7F"/>
    <w:rsid w:val="009268BD"/>
    <w:rsid w:val="00943E3B"/>
    <w:rsid w:val="0094564C"/>
    <w:rsid w:val="0094720C"/>
    <w:rsid w:val="00950098"/>
    <w:rsid w:val="009650CF"/>
    <w:rsid w:val="009836CF"/>
    <w:rsid w:val="00984857"/>
    <w:rsid w:val="00996776"/>
    <w:rsid w:val="009A4291"/>
    <w:rsid w:val="009C183C"/>
    <w:rsid w:val="009D1F1F"/>
    <w:rsid w:val="009D4F8A"/>
    <w:rsid w:val="009D7719"/>
    <w:rsid w:val="009E30D3"/>
    <w:rsid w:val="009E56A1"/>
    <w:rsid w:val="009F7326"/>
    <w:rsid w:val="00A03E18"/>
    <w:rsid w:val="00A1185D"/>
    <w:rsid w:val="00A15965"/>
    <w:rsid w:val="00A15F69"/>
    <w:rsid w:val="00A3257C"/>
    <w:rsid w:val="00A34946"/>
    <w:rsid w:val="00A41CA3"/>
    <w:rsid w:val="00A46C5D"/>
    <w:rsid w:val="00A51A77"/>
    <w:rsid w:val="00A75651"/>
    <w:rsid w:val="00A83C36"/>
    <w:rsid w:val="00A867DD"/>
    <w:rsid w:val="00A93695"/>
    <w:rsid w:val="00AD2B86"/>
    <w:rsid w:val="00AF01EA"/>
    <w:rsid w:val="00AF32C6"/>
    <w:rsid w:val="00B00598"/>
    <w:rsid w:val="00B05D4D"/>
    <w:rsid w:val="00B0637D"/>
    <w:rsid w:val="00B14F36"/>
    <w:rsid w:val="00B3340B"/>
    <w:rsid w:val="00B33B4E"/>
    <w:rsid w:val="00B55BD8"/>
    <w:rsid w:val="00B60CF2"/>
    <w:rsid w:val="00B63638"/>
    <w:rsid w:val="00B637DF"/>
    <w:rsid w:val="00B75636"/>
    <w:rsid w:val="00B81875"/>
    <w:rsid w:val="00B95019"/>
    <w:rsid w:val="00B97BC0"/>
    <w:rsid w:val="00BB551C"/>
    <w:rsid w:val="00BB6673"/>
    <w:rsid w:val="00BB6B89"/>
    <w:rsid w:val="00BE02A3"/>
    <w:rsid w:val="00BE2202"/>
    <w:rsid w:val="00BE2D90"/>
    <w:rsid w:val="00BE5A23"/>
    <w:rsid w:val="00BF0252"/>
    <w:rsid w:val="00BF7258"/>
    <w:rsid w:val="00C1245E"/>
    <w:rsid w:val="00C16AF9"/>
    <w:rsid w:val="00C2247F"/>
    <w:rsid w:val="00C35D14"/>
    <w:rsid w:val="00C41CA0"/>
    <w:rsid w:val="00C546F6"/>
    <w:rsid w:val="00C65A92"/>
    <w:rsid w:val="00C82958"/>
    <w:rsid w:val="00C84188"/>
    <w:rsid w:val="00C86316"/>
    <w:rsid w:val="00CA02FF"/>
    <w:rsid w:val="00CA297D"/>
    <w:rsid w:val="00CA5979"/>
    <w:rsid w:val="00CC184C"/>
    <w:rsid w:val="00CD183A"/>
    <w:rsid w:val="00CD1E6B"/>
    <w:rsid w:val="00CD3095"/>
    <w:rsid w:val="00CE7E94"/>
    <w:rsid w:val="00CF05D3"/>
    <w:rsid w:val="00CF554F"/>
    <w:rsid w:val="00D0020D"/>
    <w:rsid w:val="00D01C5A"/>
    <w:rsid w:val="00D079FC"/>
    <w:rsid w:val="00D16911"/>
    <w:rsid w:val="00D17A7B"/>
    <w:rsid w:val="00D23608"/>
    <w:rsid w:val="00D5665C"/>
    <w:rsid w:val="00D64F09"/>
    <w:rsid w:val="00D749FD"/>
    <w:rsid w:val="00D83993"/>
    <w:rsid w:val="00D901BE"/>
    <w:rsid w:val="00D928C2"/>
    <w:rsid w:val="00DB410C"/>
    <w:rsid w:val="00DB7DA6"/>
    <w:rsid w:val="00DD4CB7"/>
    <w:rsid w:val="00DD6691"/>
    <w:rsid w:val="00DE0C4F"/>
    <w:rsid w:val="00DE145A"/>
    <w:rsid w:val="00DE1F57"/>
    <w:rsid w:val="00DF3613"/>
    <w:rsid w:val="00E07DE5"/>
    <w:rsid w:val="00E15A0C"/>
    <w:rsid w:val="00E27C22"/>
    <w:rsid w:val="00E53FA9"/>
    <w:rsid w:val="00E7002D"/>
    <w:rsid w:val="00E77129"/>
    <w:rsid w:val="00E95225"/>
    <w:rsid w:val="00EA3E59"/>
    <w:rsid w:val="00EC3ECC"/>
    <w:rsid w:val="00EE395E"/>
    <w:rsid w:val="00EE6AAF"/>
    <w:rsid w:val="00F12DF3"/>
    <w:rsid w:val="00F154F7"/>
    <w:rsid w:val="00F1624D"/>
    <w:rsid w:val="00F22765"/>
    <w:rsid w:val="00F261CB"/>
    <w:rsid w:val="00F36884"/>
    <w:rsid w:val="00F372A4"/>
    <w:rsid w:val="00F43376"/>
    <w:rsid w:val="00F46491"/>
    <w:rsid w:val="00F53A45"/>
    <w:rsid w:val="00F56039"/>
    <w:rsid w:val="00F72593"/>
    <w:rsid w:val="00F74038"/>
    <w:rsid w:val="00F74542"/>
    <w:rsid w:val="00FA097F"/>
    <w:rsid w:val="00FA2972"/>
    <w:rsid w:val="00FA5E95"/>
    <w:rsid w:val="00FB3856"/>
    <w:rsid w:val="00FB3882"/>
    <w:rsid w:val="00FD7D1D"/>
    <w:rsid w:val="00FE56C5"/>
    <w:rsid w:val="00FF5EE5"/>
    <w:rsid w:val="00FF79A7"/>
    <w:rsid w:val="00FF7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D1AA6"/>
  <w15:chartTrackingRefBased/>
  <w15:docId w15:val="{C7A7F90E-6B99-0142-A8BC-CAB6D9361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2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8B46E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00DD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300DDB"/>
    <w:rPr>
      <w:rFonts w:ascii="Times New Roman" w:eastAsia="Times New Roman" w:hAnsi="Times New Roman" w:cs="Times New Roman"/>
      <w:b/>
      <w:lang w:eastAsia="en-GB"/>
    </w:rPr>
  </w:style>
  <w:style w:type="paragraph" w:styleId="Footer">
    <w:name w:val="footer"/>
    <w:basedOn w:val="Normal"/>
    <w:link w:val="FooterChar"/>
    <w:uiPriority w:val="99"/>
    <w:unhideWhenUsed/>
    <w:rsid w:val="00300DDB"/>
    <w:pPr>
      <w:tabs>
        <w:tab w:val="center" w:pos="4513"/>
        <w:tab w:val="right" w:pos="9026"/>
      </w:tabs>
    </w:pPr>
  </w:style>
  <w:style w:type="character" w:customStyle="1" w:styleId="FooterChar">
    <w:name w:val="Footer Char"/>
    <w:basedOn w:val="DefaultParagraphFont"/>
    <w:link w:val="Footer"/>
    <w:uiPriority w:val="99"/>
    <w:rsid w:val="00300DDB"/>
  </w:style>
  <w:style w:type="character" w:styleId="PageNumber">
    <w:name w:val="page number"/>
    <w:basedOn w:val="DefaultParagraphFont"/>
    <w:uiPriority w:val="99"/>
    <w:semiHidden/>
    <w:unhideWhenUsed/>
    <w:rsid w:val="00300DDB"/>
  </w:style>
  <w:style w:type="paragraph" w:styleId="Header">
    <w:name w:val="header"/>
    <w:basedOn w:val="Normal"/>
    <w:link w:val="HeaderChar"/>
    <w:uiPriority w:val="99"/>
    <w:unhideWhenUsed/>
    <w:rsid w:val="00300DDB"/>
    <w:pPr>
      <w:tabs>
        <w:tab w:val="center" w:pos="4513"/>
        <w:tab w:val="right" w:pos="9026"/>
      </w:tabs>
    </w:pPr>
  </w:style>
  <w:style w:type="character" w:customStyle="1" w:styleId="HeaderChar">
    <w:name w:val="Header Char"/>
    <w:basedOn w:val="DefaultParagraphFont"/>
    <w:link w:val="Header"/>
    <w:uiPriority w:val="99"/>
    <w:rsid w:val="00300DDB"/>
  </w:style>
  <w:style w:type="character" w:customStyle="1" w:styleId="Heading1Char">
    <w:name w:val="Heading 1 Char"/>
    <w:basedOn w:val="DefaultParagraphFont"/>
    <w:link w:val="Heading1"/>
    <w:uiPriority w:val="9"/>
    <w:rsid w:val="009472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5BEE"/>
  </w:style>
  <w:style w:type="paragraph" w:styleId="ListParagraph">
    <w:name w:val="List Paragraph"/>
    <w:basedOn w:val="Normal"/>
    <w:uiPriority w:val="34"/>
    <w:qFormat/>
    <w:rsid w:val="002555C4"/>
    <w:pPr>
      <w:ind w:left="720"/>
      <w:contextualSpacing/>
    </w:pPr>
  </w:style>
  <w:style w:type="paragraph" w:customStyle="1" w:styleId="paragraph">
    <w:name w:val="paragraph"/>
    <w:basedOn w:val="Normal"/>
    <w:rsid w:val="002555C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555C4"/>
  </w:style>
  <w:style w:type="character" w:customStyle="1" w:styleId="eop">
    <w:name w:val="eop"/>
    <w:basedOn w:val="DefaultParagraphFont"/>
    <w:rsid w:val="002555C4"/>
  </w:style>
  <w:style w:type="paragraph" w:styleId="NormalWeb">
    <w:name w:val="Normal (Web)"/>
    <w:basedOn w:val="Normal"/>
    <w:uiPriority w:val="99"/>
    <w:unhideWhenUsed/>
    <w:rsid w:val="00984857"/>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8B46E7"/>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8B46E7"/>
  </w:style>
  <w:style w:type="character" w:styleId="Hyperlink">
    <w:name w:val="Hyperlink"/>
    <w:basedOn w:val="DefaultParagraphFont"/>
    <w:uiPriority w:val="99"/>
    <w:semiHidden/>
    <w:unhideWhenUsed/>
    <w:rsid w:val="00DE1F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95903">
      <w:bodyDiv w:val="1"/>
      <w:marLeft w:val="0"/>
      <w:marRight w:val="0"/>
      <w:marTop w:val="0"/>
      <w:marBottom w:val="0"/>
      <w:divBdr>
        <w:top w:val="none" w:sz="0" w:space="0" w:color="auto"/>
        <w:left w:val="none" w:sz="0" w:space="0" w:color="auto"/>
        <w:bottom w:val="none" w:sz="0" w:space="0" w:color="auto"/>
        <w:right w:val="none" w:sz="0" w:space="0" w:color="auto"/>
      </w:divBdr>
    </w:div>
    <w:div w:id="190648237">
      <w:bodyDiv w:val="1"/>
      <w:marLeft w:val="0"/>
      <w:marRight w:val="0"/>
      <w:marTop w:val="0"/>
      <w:marBottom w:val="0"/>
      <w:divBdr>
        <w:top w:val="none" w:sz="0" w:space="0" w:color="auto"/>
        <w:left w:val="none" w:sz="0" w:space="0" w:color="auto"/>
        <w:bottom w:val="none" w:sz="0" w:space="0" w:color="auto"/>
        <w:right w:val="none" w:sz="0" w:space="0" w:color="auto"/>
      </w:divBdr>
    </w:div>
    <w:div w:id="284389049">
      <w:bodyDiv w:val="1"/>
      <w:marLeft w:val="0"/>
      <w:marRight w:val="0"/>
      <w:marTop w:val="0"/>
      <w:marBottom w:val="0"/>
      <w:divBdr>
        <w:top w:val="none" w:sz="0" w:space="0" w:color="auto"/>
        <w:left w:val="none" w:sz="0" w:space="0" w:color="auto"/>
        <w:bottom w:val="none" w:sz="0" w:space="0" w:color="auto"/>
        <w:right w:val="none" w:sz="0" w:space="0" w:color="auto"/>
      </w:divBdr>
      <w:divsChild>
        <w:div w:id="1885632094">
          <w:marLeft w:val="0"/>
          <w:marRight w:val="0"/>
          <w:marTop w:val="0"/>
          <w:marBottom w:val="0"/>
          <w:divBdr>
            <w:top w:val="none" w:sz="0" w:space="0" w:color="auto"/>
            <w:left w:val="none" w:sz="0" w:space="0" w:color="auto"/>
            <w:bottom w:val="none" w:sz="0" w:space="0" w:color="auto"/>
            <w:right w:val="none" w:sz="0" w:space="0" w:color="auto"/>
          </w:divBdr>
          <w:divsChild>
            <w:div w:id="1940721508">
              <w:marLeft w:val="0"/>
              <w:marRight w:val="0"/>
              <w:marTop w:val="0"/>
              <w:marBottom w:val="0"/>
              <w:divBdr>
                <w:top w:val="none" w:sz="0" w:space="0" w:color="auto"/>
                <w:left w:val="none" w:sz="0" w:space="0" w:color="auto"/>
                <w:bottom w:val="none" w:sz="0" w:space="0" w:color="auto"/>
                <w:right w:val="none" w:sz="0" w:space="0" w:color="auto"/>
              </w:divBdr>
              <w:divsChild>
                <w:div w:id="25205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641474">
      <w:bodyDiv w:val="1"/>
      <w:marLeft w:val="0"/>
      <w:marRight w:val="0"/>
      <w:marTop w:val="0"/>
      <w:marBottom w:val="0"/>
      <w:divBdr>
        <w:top w:val="none" w:sz="0" w:space="0" w:color="auto"/>
        <w:left w:val="none" w:sz="0" w:space="0" w:color="auto"/>
        <w:bottom w:val="none" w:sz="0" w:space="0" w:color="auto"/>
        <w:right w:val="none" w:sz="0" w:space="0" w:color="auto"/>
      </w:divBdr>
    </w:div>
    <w:div w:id="304628810">
      <w:bodyDiv w:val="1"/>
      <w:marLeft w:val="0"/>
      <w:marRight w:val="0"/>
      <w:marTop w:val="0"/>
      <w:marBottom w:val="0"/>
      <w:divBdr>
        <w:top w:val="none" w:sz="0" w:space="0" w:color="auto"/>
        <w:left w:val="none" w:sz="0" w:space="0" w:color="auto"/>
        <w:bottom w:val="none" w:sz="0" w:space="0" w:color="auto"/>
        <w:right w:val="none" w:sz="0" w:space="0" w:color="auto"/>
      </w:divBdr>
    </w:div>
    <w:div w:id="353042951">
      <w:bodyDiv w:val="1"/>
      <w:marLeft w:val="0"/>
      <w:marRight w:val="0"/>
      <w:marTop w:val="0"/>
      <w:marBottom w:val="0"/>
      <w:divBdr>
        <w:top w:val="none" w:sz="0" w:space="0" w:color="auto"/>
        <w:left w:val="none" w:sz="0" w:space="0" w:color="auto"/>
        <w:bottom w:val="none" w:sz="0" w:space="0" w:color="auto"/>
        <w:right w:val="none" w:sz="0" w:space="0" w:color="auto"/>
      </w:divBdr>
      <w:divsChild>
        <w:div w:id="721249761">
          <w:marLeft w:val="0"/>
          <w:marRight w:val="0"/>
          <w:marTop w:val="0"/>
          <w:marBottom w:val="0"/>
          <w:divBdr>
            <w:top w:val="none" w:sz="0" w:space="0" w:color="auto"/>
            <w:left w:val="none" w:sz="0" w:space="0" w:color="auto"/>
            <w:bottom w:val="none" w:sz="0" w:space="0" w:color="auto"/>
            <w:right w:val="none" w:sz="0" w:space="0" w:color="auto"/>
          </w:divBdr>
          <w:divsChild>
            <w:div w:id="1467042395">
              <w:marLeft w:val="0"/>
              <w:marRight w:val="0"/>
              <w:marTop w:val="0"/>
              <w:marBottom w:val="0"/>
              <w:divBdr>
                <w:top w:val="none" w:sz="0" w:space="0" w:color="auto"/>
                <w:left w:val="none" w:sz="0" w:space="0" w:color="auto"/>
                <w:bottom w:val="none" w:sz="0" w:space="0" w:color="auto"/>
                <w:right w:val="none" w:sz="0" w:space="0" w:color="auto"/>
              </w:divBdr>
              <w:divsChild>
                <w:div w:id="683825591">
                  <w:marLeft w:val="0"/>
                  <w:marRight w:val="0"/>
                  <w:marTop w:val="0"/>
                  <w:marBottom w:val="0"/>
                  <w:divBdr>
                    <w:top w:val="none" w:sz="0" w:space="0" w:color="auto"/>
                    <w:left w:val="none" w:sz="0" w:space="0" w:color="auto"/>
                    <w:bottom w:val="none" w:sz="0" w:space="0" w:color="auto"/>
                    <w:right w:val="none" w:sz="0" w:space="0" w:color="auto"/>
                  </w:divBdr>
                  <w:divsChild>
                    <w:div w:id="128800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334417">
      <w:bodyDiv w:val="1"/>
      <w:marLeft w:val="0"/>
      <w:marRight w:val="0"/>
      <w:marTop w:val="0"/>
      <w:marBottom w:val="0"/>
      <w:divBdr>
        <w:top w:val="none" w:sz="0" w:space="0" w:color="auto"/>
        <w:left w:val="none" w:sz="0" w:space="0" w:color="auto"/>
        <w:bottom w:val="none" w:sz="0" w:space="0" w:color="auto"/>
        <w:right w:val="none" w:sz="0" w:space="0" w:color="auto"/>
      </w:divBdr>
      <w:divsChild>
        <w:div w:id="61221381">
          <w:marLeft w:val="0"/>
          <w:marRight w:val="0"/>
          <w:marTop w:val="0"/>
          <w:marBottom w:val="0"/>
          <w:divBdr>
            <w:top w:val="none" w:sz="0" w:space="0" w:color="auto"/>
            <w:left w:val="none" w:sz="0" w:space="0" w:color="auto"/>
            <w:bottom w:val="none" w:sz="0" w:space="0" w:color="auto"/>
            <w:right w:val="none" w:sz="0" w:space="0" w:color="auto"/>
          </w:divBdr>
          <w:divsChild>
            <w:div w:id="842747229">
              <w:marLeft w:val="0"/>
              <w:marRight w:val="0"/>
              <w:marTop w:val="0"/>
              <w:marBottom w:val="0"/>
              <w:divBdr>
                <w:top w:val="none" w:sz="0" w:space="0" w:color="auto"/>
                <w:left w:val="none" w:sz="0" w:space="0" w:color="auto"/>
                <w:bottom w:val="none" w:sz="0" w:space="0" w:color="auto"/>
                <w:right w:val="none" w:sz="0" w:space="0" w:color="auto"/>
              </w:divBdr>
              <w:divsChild>
                <w:div w:id="131603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82642">
      <w:bodyDiv w:val="1"/>
      <w:marLeft w:val="0"/>
      <w:marRight w:val="0"/>
      <w:marTop w:val="0"/>
      <w:marBottom w:val="0"/>
      <w:divBdr>
        <w:top w:val="none" w:sz="0" w:space="0" w:color="auto"/>
        <w:left w:val="none" w:sz="0" w:space="0" w:color="auto"/>
        <w:bottom w:val="none" w:sz="0" w:space="0" w:color="auto"/>
        <w:right w:val="none" w:sz="0" w:space="0" w:color="auto"/>
      </w:divBdr>
      <w:divsChild>
        <w:div w:id="77334429">
          <w:marLeft w:val="0"/>
          <w:marRight w:val="0"/>
          <w:marTop w:val="0"/>
          <w:marBottom w:val="0"/>
          <w:divBdr>
            <w:top w:val="none" w:sz="0" w:space="0" w:color="auto"/>
            <w:left w:val="none" w:sz="0" w:space="0" w:color="auto"/>
            <w:bottom w:val="none" w:sz="0" w:space="0" w:color="auto"/>
            <w:right w:val="none" w:sz="0" w:space="0" w:color="auto"/>
          </w:divBdr>
          <w:divsChild>
            <w:div w:id="705571016">
              <w:marLeft w:val="0"/>
              <w:marRight w:val="0"/>
              <w:marTop w:val="0"/>
              <w:marBottom w:val="0"/>
              <w:divBdr>
                <w:top w:val="none" w:sz="0" w:space="0" w:color="auto"/>
                <w:left w:val="none" w:sz="0" w:space="0" w:color="auto"/>
                <w:bottom w:val="none" w:sz="0" w:space="0" w:color="auto"/>
                <w:right w:val="none" w:sz="0" w:space="0" w:color="auto"/>
              </w:divBdr>
              <w:divsChild>
                <w:div w:id="1681470472">
                  <w:marLeft w:val="0"/>
                  <w:marRight w:val="0"/>
                  <w:marTop w:val="0"/>
                  <w:marBottom w:val="0"/>
                  <w:divBdr>
                    <w:top w:val="none" w:sz="0" w:space="0" w:color="auto"/>
                    <w:left w:val="none" w:sz="0" w:space="0" w:color="auto"/>
                    <w:bottom w:val="none" w:sz="0" w:space="0" w:color="auto"/>
                    <w:right w:val="none" w:sz="0" w:space="0" w:color="auto"/>
                  </w:divBdr>
                  <w:divsChild>
                    <w:div w:id="86317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760634">
      <w:bodyDiv w:val="1"/>
      <w:marLeft w:val="0"/>
      <w:marRight w:val="0"/>
      <w:marTop w:val="0"/>
      <w:marBottom w:val="0"/>
      <w:divBdr>
        <w:top w:val="none" w:sz="0" w:space="0" w:color="auto"/>
        <w:left w:val="none" w:sz="0" w:space="0" w:color="auto"/>
        <w:bottom w:val="none" w:sz="0" w:space="0" w:color="auto"/>
        <w:right w:val="none" w:sz="0" w:space="0" w:color="auto"/>
      </w:divBdr>
    </w:div>
    <w:div w:id="667632453">
      <w:bodyDiv w:val="1"/>
      <w:marLeft w:val="0"/>
      <w:marRight w:val="0"/>
      <w:marTop w:val="0"/>
      <w:marBottom w:val="0"/>
      <w:divBdr>
        <w:top w:val="none" w:sz="0" w:space="0" w:color="auto"/>
        <w:left w:val="none" w:sz="0" w:space="0" w:color="auto"/>
        <w:bottom w:val="none" w:sz="0" w:space="0" w:color="auto"/>
        <w:right w:val="none" w:sz="0" w:space="0" w:color="auto"/>
      </w:divBdr>
    </w:div>
    <w:div w:id="700785462">
      <w:bodyDiv w:val="1"/>
      <w:marLeft w:val="0"/>
      <w:marRight w:val="0"/>
      <w:marTop w:val="0"/>
      <w:marBottom w:val="0"/>
      <w:divBdr>
        <w:top w:val="none" w:sz="0" w:space="0" w:color="auto"/>
        <w:left w:val="none" w:sz="0" w:space="0" w:color="auto"/>
        <w:bottom w:val="none" w:sz="0" w:space="0" w:color="auto"/>
        <w:right w:val="none" w:sz="0" w:space="0" w:color="auto"/>
      </w:divBdr>
      <w:divsChild>
        <w:div w:id="2057268279">
          <w:marLeft w:val="0"/>
          <w:marRight w:val="0"/>
          <w:marTop w:val="0"/>
          <w:marBottom w:val="0"/>
          <w:divBdr>
            <w:top w:val="none" w:sz="0" w:space="0" w:color="auto"/>
            <w:left w:val="none" w:sz="0" w:space="0" w:color="auto"/>
            <w:bottom w:val="none" w:sz="0" w:space="0" w:color="auto"/>
            <w:right w:val="none" w:sz="0" w:space="0" w:color="auto"/>
          </w:divBdr>
          <w:divsChild>
            <w:div w:id="2073579245">
              <w:marLeft w:val="0"/>
              <w:marRight w:val="0"/>
              <w:marTop w:val="0"/>
              <w:marBottom w:val="0"/>
              <w:divBdr>
                <w:top w:val="none" w:sz="0" w:space="0" w:color="auto"/>
                <w:left w:val="none" w:sz="0" w:space="0" w:color="auto"/>
                <w:bottom w:val="none" w:sz="0" w:space="0" w:color="auto"/>
                <w:right w:val="none" w:sz="0" w:space="0" w:color="auto"/>
              </w:divBdr>
              <w:divsChild>
                <w:div w:id="323628989">
                  <w:marLeft w:val="0"/>
                  <w:marRight w:val="0"/>
                  <w:marTop w:val="0"/>
                  <w:marBottom w:val="0"/>
                  <w:divBdr>
                    <w:top w:val="none" w:sz="0" w:space="0" w:color="auto"/>
                    <w:left w:val="none" w:sz="0" w:space="0" w:color="auto"/>
                    <w:bottom w:val="none" w:sz="0" w:space="0" w:color="auto"/>
                    <w:right w:val="none" w:sz="0" w:space="0" w:color="auto"/>
                  </w:divBdr>
                  <w:divsChild>
                    <w:div w:id="32664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630872">
      <w:bodyDiv w:val="1"/>
      <w:marLeft w:val="0"/>
      <w:marRight w:val="0"/>
      <w:marTop w:val="0"/>
      <w:marBottom w:val="0"/>
      <w:divBdr>
        <w:top w:val="none" w:sz="0" w:space="0" w:color="auto"/>
        <w:left w:val="none" w:sz="0" w:space="0" w:color="auto"/>
        <w:bottom w:val="none" w:sz="0" w:space="0" w:color="auto"/>
        <w:right w:val="none" w:sz="0" w:space="0" w:color="auto"/>
      </w:divBdr>
      <w:divsChild>
        <w:div w:id="799684259">
          <w:marLeft w:val="0"/>
          <w:marRight w:val="0"/>
          <w:marTop w:val="0"/>
          <w:marBottom w:val="0"/>
          <w:divBdr>
            <w:top w:val="none" w:sz="0" w:space="0" w:color="auto"/>
            <w:left w:val="none" w:sz="0" w:space="0" w:color="auto"/>
            <w:bottom w:val="none" w:sz="0" w:space="0" w:color="auto"/>
            <w:right w:val="none" w:sz="0" w:space="0" w:color="auto"/>
          </w:divBdr>
          <w:divsChild>
            <w:div w:id="2122410389">
              <w:marLeft w:val="0"/>
              <w:marRight w:val="0"/>
              <w:marTop w:val="0"/>
              <w:marBottom w:val="0"/>
              <w:divBdr>
                <w:top w:val="none" w:sz="0" w:space="0" w:color="auto"/>
                <w:left w:val="none" w:sz="0" w:space="0" w:color="auto"/>
                <w:bottom w:val="none" w:sz="0" w:space="0" w:color="auto"/>
                <w:right w:val="none" w:sz="0" w:space="0" w:color="auto"/>
              </w:divBdr>
              <w:divsChild>
                <w:div w:id="176491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653416">
      <w:bodyDiv w:val="1"/>
      <w:marLeft w:val="0"/>
      <w:marRight w:val="0"/>
      <w:marTop w:val="0"/>
      <w:marBottom w:val="0"/>
      <w:divBdr>
        <w:top w:val="none" w:sz="0" w:space="0" w:color="auto"/>
        <w:left w:val="none" w:sz="0" w:space="0" w:color="auto"/>
        <w:bottom w:val="none" w:sz="0" w:space="0" w:color="auto"/>
        <w:right w:val="none" w:sz="0" w:space="0" w:color="auto"/>
      </w:divBdr>
    </w:div>
    <w:div w:id="793207974">
      <w:bodyDiv w:val="1"/>
      <w:marLeft w:val="0"/>
      <w:marRight w:val="0"/>
      <w:marTop w:val="0"/>
      <w:marBottom w:val="0"/>
      <w:divBdr>
        <w:top w:val="none" w:sz="0" w:space="0" w:color="auto"/>
        <w:left w:val="none" w:sz="0" w:space="0" w:color="auto"/>
        <w:bottom w:val="none" w:sz="0" w:space="0" w:color="auto"/>
        <w:right w:val="none" w:sz="0" w:space="0" w:color="auto"/>
      </w:divBdr>
    </w:div>
    <w:div w:id="840704249">
      <w:bodyDiv w:val="1"/>
      <w:marLeft w:val="0"/>
      <w:marRight w:val="0"/>
      <w:marTop w:val="0"/>
      <w:marBottom w:val="0"/>
      <w:divBdr>
        <w:top w:val="none" w:sz="0" w:space="0" w:color="auto"/>
        <w:left w:val="none" w:sz="0" w:space="0" w:color="auto"/>
        <w:bottom w:val="none" w:sz="0" w:space="0" w:color="auto"/>
        <w:right w:val="none" w:sz="0" w:space="0" w:color="auto"/>
      </w:divBdr>
    </w:div>
    <w:div w:id="857355985">
      <w:bodyDiv w:val="1"/>
      <w:marLeft w:val="0"/>
      <w:marRight w:val="0"/>
      <w:marTop w:val="0"/>
      <w:marBottom w:val="0"/>
      <w:divBdr>
        <w:top w:val="none" w:sz="0" w:space="0" w:color="auto"/>
        <w:left w:val="none" w:sz="0" w:space="0" w:color="auto"/>
        <w:bottom w:val="none" w:sz="0" w:space="0" w:color="auto"/>
        <w:right w:val="none" w:sz="0" w:space="0" w:color="auto"/>
      </w:divBdr>
    </w:div>
    <w:div w:id="905380988">
      <w:bodyDiv w:val="1"/>
      <w:marLeft w:val="0"/>
      <w:marRight w:val="0"/>
      <w:marTop w:val="0"/>
      <w:marBottom w:val="0"/>
      <w:divBdr>
        <w:top w:val="none" w:sz="0" w:space="0" w:color="auto"/>
        <w:left w:val="none" w:sz="0" w:space="0" w:color="auto"/>
        <w:bottom w:val="none" w:sz="0" w:space="0" w:color="auto"/>
        <w:right w:val="none" w:sz="0" w:space="0" w:color="auto"/>
      </w:divBdr>
    </w:div>
    <w:div w:id="1054739717">
      <w:bodyDiv w:val="1"/>
      <w:marLeft w:val="0"/>
      <w:marRight w:val="0"/>
      <w:marTop w:val="0"/>
      <w:marBottom w:val="0"/>
      <w:divBdr>
        <w:top w:val="none" w:sz="0" w:space="0" w:color="auto"/>
        <w:left w:val="none" w:sz="0" w:space="0" w:color="auto"/>
        <w:bottom w:val="none" w:sz="0" w:space="0" w:color="auto"/>
        <w:right w:val="none" w:sz="0" w:space="0" w:color="auto"/>
      </w:divBdr>
    </w:div>
    <w:div w:id="1079248314">
      <w:bodyDiv w:val="1"/>
      <w:marLeft w:val="0"/>
      <w:marRight w:val="0"/>
      <w:marTop w:val="0"/>
      <w:marBottom w:val="0"/>
      <w:divBdr>
        <w:top w:val="none" w:sz="0" w:space="0" w:color="auto"/>
        <w:left w:val="none" w:sz="0" w:space="0" w:color="auto"/>
        <w:bottom w:val="none" w:sz="0" w:space="0" w:color="auto"/>
        <w:right w:val="none" w:sz="0" w:space="0" w:color="auto"/>
      </w:divBdr>
    </w:div>
    <w:div w:id="1202329853">
      <w:bodyDiv w:val="1"/>
      <w:marLeft w:val="0"/>
      <w:marRight w:val="0"/>
      <w:marTop w:val="0"/>
      <w:marBottom w:val="0"/>
      <w:divBdr>
        <w:top w:val="none" w:sz="0" w:space="0" w:color="auto"/>
        <w:left w:val="none" w:sz="0" w:space="0" w:color="auto"/>
        <w:bottom w:val="none" w:sz="0" w:space="0" w:color="auto"/>
        <w:right w:val="none" w:sz="0" w:space="0" w:color="auto"/>
      </w:divBdr>
    </w:div>
    <w:div w:id="1299802956">
      <w:bodyDiv w:val="1"/>
      <w:marLeft w:val="0"/>
      <w:marRight w:val="0"/>
      <w:marTop w:val="0"/>
      <w:marBottom w:val="0"/>
      <w:divBdr>
        <w:top w:val="none" w:sz="0" w:space="0" w:color="auto"/>
        <w:left w:val="none" w:sz="0" w:space="0" w:color="auto"/>
        <w:bottom w:val="none" w:sz="0" w:space="0" w:color="auto"/>
        <w:right w:val="none" w:sz="0" w:space="0" w:color="auto"/>
      </w:divBdr>
    </w:div>
    <w:div w:id="1337267045">
      <w:bodyDiv w:val="1"/>
      <w:marLeft w:val="0"/>
      <w:marRight w:val="0"/>
      <w:marTop w:val="0"/>
      <w:marBottom w:val="0"/>
      <w:divBdr>
        <w:top w:val="none" w:sz="0" w:space="0" w:color="auto"/>
        <w:left w:val="none" w:sz="0" w:space="0" w:color="auto"/>
        <w:bottom w:val="none" w:sz="0" w:space="0" w:color="auto"/>
        <w:right w:val="none" w:sz="0" w:space="0" w:color="auto"/>
      </w:divBdr>
    </w:div>
    <w:div w:id="1346708345">
      <w:bodyDiv w:val="1"/>
      <w:marLeft w:val="0"/>
      <w:marRight w:val="0"/>
      <w:marTop w:val="0"/>
      <w:marBottom w:val="0"/>
      <w:divBdr>
        <w:top w:val="none" w:sz="0" w:space="0" w:color="auto"/>
        <w:left w:val="none" w:sz="0" w:space="0" w:color="auto"/>
        <w:bottom w:val="none" w:sz="0" w:space="0" w:color="auto"/>
        <w:right w:val="none" w:sz="0" w:space="0" w:color="auto"/>
      </w:divBdr>
      <w:divsChild>
        <w:div w:id="393285752">
          <w:marLeft w:val="0"/>
          <w:marRight w:val="0"/>
          <w:marTop w:val="0"/>
          <w:marBottom w:val="0"/>
          <w:divBdr>
            <w:top w:val="none" w:sz="0" w:space="0" w:color="auto"/>
            <w:left w:val="none" w:sz="0" w:space="0" w:color="auto"/>
            <w:bottom w:val="none" w:sz="0" w:space="0" w:color="auto"/>
            <w:right w:val="none" w:sz="0" w:space="0" w:color="auto"/>
          </w:divBdr>
          <w:divsChild>
            <w:div w:id="1469477103">
              <w:marLeft w:val="0"/>
              <w:marRight w:val="0"/>
              <w:marTop w:val="0"/>
              <w:marBottom w:val="0"/>
              <w:divBdr>
                <w:top w:val="none" w:sz="0" w:space="0" w:color="auto"/>
                <w:left w:val="none" w:sz="0" w:space="0" w:color="auto"/>
                <w:bottom w:val="none" w:sz="0" w:space="0" w:color="auto"/>
                <w:right w:val="none" w:sz="0" w:space="0" w:color="auto"/>
              </w:divBdr>
              <w:divsChild>
                <w:div w:id="179321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549619">
      <w:bodyDiv w:val="1"/>
      <w:marLeft w:val="0"/>
      <w:marRight w:val="0"/>
      <w:marTop w:val="0"/>
      <w:marBottom w:val="0"/>
      <w:divBdr>
        <w:top w:val="none" w:sz="0" w:space="0" w:color="auto"/>
        <w:left w:val="none" w:sz="0" w:space="0" w:color="auto"/>
        <w:bottom w:val="none" w:sz="0" w:space="0" w:color="auto"/>
        <w:right w:val="none" w:sz="0" w:space="0" w:color="auto"/>
      </w:divBdr>
      <w:divsChild>
        <w:div w:id="1544558206">
          <w:marLeft w:val="0"/>
          <w:marRight w:val="0"/>
          <w:marTop w:val="0"/>
          <w:marBottom w:val="0"/>
          <w:divBdr>
            <w:top w:val="none" w:sz="0" w:space="0" w:color="auto"/>
            <w:left w:val="none" w:sz="0" w:space="0" w:color="auto"/>
            <w:bottom w:val="none" w:sz="0" w:space="0" w:color="auto"/>
            <w:right w:val="none" w:sz="0" w:space="0" w:color="auto"/>
          </w:divBdr>
        </w:div>
        <w:div w:id="2010597936">
          <w:marLeft w:val="0"/>
          <w:marRight w:val="0"/>
          <w:marTop w:val="0"/>
          <w:marBottom w:val="0"/>
          <w:divBdr>
            <w:top w:val="none" w:sz="0" w:space="0" w:color="auto"/>
            <w:left w:val="none" w:sz="0" w:space="0" w:color="auto"/>
            <w:bottom w:val="none" w:sz="0" w:space="0" w:color="auto"/>
            <w:right w:val="none" w:sz="0" w:space="0" w:color="auto"/>
          </w:divBdr>
        </w:div>
        <w:div w:id="746077477">
          <w:marLeft w:val="0"/>
          <w:marRight w:val="0"/>
          <w:marTop w:val="0"/>
          <w:marBottom w:val="0"/>
          <w:divBdr>
            <w:top w:val="none" w:sz="0" w:space="0" w:color="auto"/>
            <w:left w:val="none" w:sz="0" w:space="0" w:color="auto"/>
            <w:bottom w:val="none" w:sz="0" w:space="0" w:color="auto"/>
            <w:right w:val="none" w:sz="0" w:space="0" w:color="auto"/>
          </w:divBdr>
        </w:div>
      </w:divsChild>
    </w:div>
    <w:div w:id="1492409104">
      <w:bodyDiv w:val="1"/>
      <w:marLeft w:val="0"/>
      <w:marRight w:val="0"/>
      <w:marTop w:val="0"/>
      <w:marBottom w:val="0"/>
      <w:divBdr>
        <w:top w:val="none" w:sz="0" w:space="0" w:color="auto"/>
        <w:left w:val="none" w:sz="0" w:space="0" w:color="auto"/>
        <w:bottom w:val="none" w:sz="0" w:space="0" w:color="auto"/>
        <w:right w:val="none" w:sz="0" w:space="0" w:color="auto"/>
      </w:divBdr>
      <w:divsChild>
        <w:div w:id="1746339309">
          <w:marLeft w:val="0"/>
          <w:marRight w:val="0"/>
          <w:marTop w:val="0"/>
          <w:marBottom w:val="0"/>
          <w:divBdr>
            <w:top w:val="none" w:sz="0" w:space="0" w:color="auto"/>
            <w:left w:val="none" w:sz="0" w:space="0" w:color="auto"/>
            <w:bottom w:val="none" w:sz="0" w:space="0" w:color="auto"/>
            <w:right w:val="none" w:sz="0" w:space="0" w:color="auto"/>
          </w:divBdr>
          <w:divsChild>
            <w:div w:id="1006440699">
              <w:marLeft w:val="0"/>
              <w:marRight w:val="0"/>
              <w:marTop w:val="0"/>
              <w:marBottom w:val="0"/>
              <w:divBdr>
                <w:top w:val="none" w:sz="0" w:space="0" w:color="auto"/>
                <w:left w:val="none" w:sz="0" w:space="0" w:color="auto"/>
                <w:bottom w:val="none" w:sz="0" w:space="0" w:color="auto"/>
                <w:right w:val="none" w:sz="0" w:space="0" w:color="auto"/>
              </w:divBdr>
              <w:divsChild>
                <w:div w:id="326831837">
                  <w:marLeft w:val="0"/>
                  <w:marRight w:val="0"/>
                  <w:marTop w:val="0"/>
                  <w:marBottom w:val="0"/>
                  <w:divBdr>
                    <w:top w:val="none" w:sz="0" w:space="0" w:color="auto"/>
                    <w:left w:val="none" w:sz="0" w:space="0" w:color="auto"/>
                    <w:bottom w:val="none" w:sz="0" w:space="0" w:color="auto"/>
                    <w:right w:val="none" w:sz="0" w:space="0" w:color="auto"/>
                  </w:divBdr>
                  <w:divsChild>
                    <w:div w:id="193385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34064">
      <w:bodyDiv w:val="1"/>
      <w:marLeft w:val="0"/>
      <w:marRight w:val="0"/>
      <w:marTop w:val="0"/>
      <w:marBottom w:val="0"/>
      <w:divBdr>
        <w:top w:val="none" w:sz="0" w:space="0" w:color="auto"/>
        <w:left w:val="none" w:sz="0" w:space="0" w:color="auto"/>
        <w:bottom w:val="none" w:sz="0" w:space="0" w:color="auto"/>
        <w:right w:val="none" w:sz="0" w:space="0" w:color="auto"/>
      </w:divBdr>
    </w:div>
    <w:div w:id="1615018027">
      <w:bodyDiv w:val="1"/>
      <w:marLeft w:val="0"/>
      <w:marRight w:val="0"/>
      <w:marTop w:val="0"/>
      <w:marBottom w:val="0"/>
      <w:divBdr>
        <w:top w:val="none" w:sz="0" w:space="0" w:color="auto"/>
        <w:left w:val="none" w:sz="0" w:space="0" w:color="auto"/>
        <w:bottom w:val="none" w:sz="0" w:space="0" w:color="auto"/>
        <w:right w:val="none" w:sz="0" w:space="0" w:color="auto"/>
      </w:divBdr>
    </w:div>
    <w:div w:id="1735010401">
      <w:bodyDiv w:val="1"/>
      <w:marLeft w:val="0"/>
      <w:marRight w:val="0"/>
      <w:marTop w:val="0"/>
      <w:marBottom w:val="0"/>
      <w:divBdr>
        <w:top w:val="none" w:sz="0" w:space="0" w:color="auto"/>
        <w:left w:val="none" w:sz="0" w:space="0" w:color="auto"/>
        <w:bottom w:val="none" w:sz="0" w:space="0" w:color="auto"/>
        <w:right w:val="none" w:sz="0" w:space="0" w:color="auto"/>
      </w:divBdr>
    </w:div>
    <w:div w:id="1775635333">
      <w:bodyDiv w:val="1"/>
      <w:marLeft w:val="0"/>
      <w:marRight w:val="0"/>
      <w:marTop w:val="0"/>
      <w:marBottom w:val="0"/>
      <w:divBdr>
        <w:top w:val="none" w:sz="0" w:space="0" w:color="auto"/>
        <w:left w:val="none" w:sz="0" w:space="0" w:color="auto"/>
        <w:bottom w:val="none" w:sz="0" w:space="0" w:color="auto"/>
        <w:right w:val="none" w:sz="0" w:space="0" w:color="auto"/>
      </w:divBdr>
    </w:div>
    <w:div w:id="1904752171">
      <w:bodyDiv w:val="1"/>
      <w:marLeft w:val="0"/>
      <w:marRight w:val="0"/>
      <w:marTop w:val="0"/>
      <w:marBottom w:val="0"/>
      <w:divBdr>
        <w:top w:val="none" w:sz="0" w:space="0" w:color="auto"/>
        <w:left w:val="none" w:sz="0" w:space="0" w:color="auto"/>
        <w:bottom w:val="none" w:sz="0" w:space="0" w:color="auto"/>
        <w:right w:val="none" w:sz="0" w:space="0" w:color="auto"/>
      </w:divBdr>
    </w:div>
    <w:div w:id="1990094389">
      <w:bodyDiv w:val="1"/>
      <w:marLeft w:val="0"/>
      <w:marRight w:val="0"/>
      <w:marTop w:val="0"/>
      <w:marBottom w:val="0"/>
      <w:divBdr>
        <w:top w:val="none" w:sz="0" w:space="0" w:color="auto"/>
        <w:left w:val="none" w:sz="0" w:space="0" w:color="auto"/>
        <w:bottom w:val="none" w:sz="0" w:space="0" w:color="auto"/>
        <w:right w:val="none" w:sz="0" w:space="0" w:color="auto"/>
      </w:divBdr>
    </w:div>
    <w:div w:id="1991985275">
      <w:bodyDiv w:val="1"/>
      <w:marLeft w:val="0"/>
      <w:marRight w:val="0"/>
      <w:marTop w:val="0"/>
      <w:marBottom w:val="0"/>
      <w:divBdr>
        <w:top w:val="none" w:sz="0" w:space="0" w:color="auto"/>
        <w:left w:val="none" w:sz="0" w:space="0" w:color="auto"/>
        <w:bottom w:val="none" w:sz="0" w:space="0" w:color="auto"/>
        <w:right w:val="none" w:sz="0" w:space="0" w:color="auto"/>
      </w:divBdr>
    </w:div>
    <w:div w:id="1998610399">
      <w:bodyDiv w:val="1"/>
      <w:marLeft w:val="0"/>
      <w:marRight w:val="0"/>
      <w:marTop w:val="0"/>
      <w:marBottom w:val="0"/>
      <w:divBdr>
        <w:top w:val="none" w:sz="0" w:space="0" w:color="auto"/>
        <w:left w:val="none" w:sz="0" w:space="0" w:color="auto"/>
        <w:bottom w:val="none" w:sz="0" w:space="0" w:color="auto"/>
        <w:right w:val="none" w:sz="0" w:space="0" w:color="auto"/>
      </w:divBdr>
    </w:div>
    <w:div w:id="2003772832">
      <w:bodyDiv w:val="1"/>
      <w:marLeft w:val="0"/>
      <w:marRight w:val="0"/>
      <w:marTop w:val="0"/>
      <w:marBottom w:val="0"/>
      <w:divBdr>
        <w:top w:val="none" w:sz="0" w:space="0" w:color="auto"/>
        <w:left w:val="none" w:sz="0" w:space="0" w:color="auto"/>
        <w:bottom w:val="none" w:sz="0" w:space="0" w:color="auto"/>
        <w:right w:val="none" w:sz="0" w:space="0" w:color="auto"/>
      </w:divBdr>
      <w:divsChild>
        <w:div w:id="152455359">
          <w:marLeft w:val="0"/>
          <w:marRight w:val="0"/>
          <w:marTop w:val="0"/>
          <w:marBottom w:val="0"/>
          <w:divBdr>
            <w:top w:val="none" w:sz="0" w:space="0" w:color="auto"/>
            <w:left w:val="none" w:sz="0" w:space="0" w:color="auto"/>
            <w:bottom w:val="none" w:sz="0" w:space="0" w:color="auto"/>
            <w:right w:val="none" w:sz="0" w:space="0" w:color="auto"/>
          </w:divBdr>
          <w:divsChild>
            <w:div w:id="1023554650">
              <w:marLeft w:val="0"/>
              <w:marRight w:val="0"/>
              <w:marTop w:val="0"/>
              <w:marBottom w:val="0"/>
              <w:divBdr>
                <w:top w:val="none" w:sz="0" w:space="0" w:color="auto"/>
                <w:left w:val="none" w:sz="0" w:space="0" w:color="auto"/>
                <w:bottom w:val="none" w:sz="0" w:space="0" w:color="auto"/>
                <w:right w:val="none" w:sz="0" w:space="0" w:color="auto"/>
              </w:divBdr>
              <w:divsChild>
                <w:div w:id="13599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31119">
      <w:bodyDiv w:val="1"/>
      <w:marLeft w:val="0"/>
      <w:marRight w:val="0"/>
      <w:marTop w:val="0"/>
      <w:marBottom w:val="0"/>
      <w:divBdr>
        <w:top w:val="none" w:sz="0" w:space="0" w:color="auto"/>
        <w:left w:val="none" w:sz="0" w:space="0" w:color="auto"/>
        <w:bottom w:val="none" w:sz="0" w:space="0" w:color="auto"/>
        <w:right w:val="none" w:sz="0" w:space="0" w:color="auto"/>
      </w:divBdr>
    </w:div>
    <w:div w:id="2088533904">
      <w:bodyDiv w:val="1"/>
      <w:marLeft w:val="0"/>
      <w:marRight w:val="0"/>
      <w:marTop w:val="0"/>
      <w:marBottom w:val="0"/>
      <w:divBdr>
        <w:top w:val="none" w:sz="0" w:space="0" w:color="auto"/>
        <w:left w:val="none" w:sz="0" w:space="0" w:color="auto"/>
        <w:bottom w:val="none" w:sz="0" w:space="0" w:color="auto"/>
        <w:right w:val="none" w:sz="0" w:space="0" w:color="auto"/>
      </w:divBdr>
    </w:div>
    <w:div w:id="2118744396">
      <w:bodyDiv w:val="1"/>
      <w:marLeft w:val="0"/>
      <w:marRight w:val="0"/>
      <w:marTop w:val="0"/>
      <w:marBottom w:val="0"/>
      <w:divBdr>
        <w:top w:val="none" w:sz="0" w:space="0" w:color="auto"/>
        <w:left w:val="none" w:sz="0" w:space="0" w:color="auto"/>
        <w:bottom w:val="none" w:sz="0" w:space="0" w:color="auto"/>
        <w:right w:val="none" w:sz="0" w:space="0" w:color="auto"/>
      </w:divBdr>
    </w:div>
    <w:div w:id="2132094403">
      <w:bodyDiv w:val="1"/>
      <w:marLeft w:val="0"/>
      <w:marRight w:val="0"/>
      <w:marTop w:val="0"/>
      <w:marBottom w:val="0"/>
      <w:divBdr>
        <w:top w:val="none" w:sz="0" w:space="0" w:color="auto"/>
        <w:left w:val="none" w:sz="0" w:space="0" w:color="auto"/>
        <w:bottom w:val="none" w:sz="0" w:space="0" w:color="auto"/>
        <w:right w:val="none" w:sz="0" w:space="0" w:color="auto"/>
      </w:divBdr>
    </w:div>
    <w:div w:id="214292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Ear20</b:Tag>
    <b:SourceType>InternetSite</b:SourceType>
    <b:Guid>{21262485-BEA4-B34E-8B59-6C3C5975E06D}</b:Guid>
    <b:Title>Early Years Wales</b:Title>
    <b:URL>https://www.earlyyears.wales/en/foundation-phase</b:URL>
    <b:Year>2020</b:Year>
    <b:YearAccessed>2021</b:YearAccessed>
    <b:MonthAccessed>October</b:MonthAccessed>
    <b:RefOrder>1</b:RefOrder>
  </b:Source>
  <b:Source>
    <b:Tag>Pro15</b:Tag>
    <b:SourceType>DocumentFromInternetSite</b:SourceType>
    <b:Guid>{78CA92BD-5924-8C46-BEBA-FDD8B9AFF7A3}</b:Guid>
    <b:Title>Welsh Government</b:Title>
    <b:URL>https://gov.wales/sites/default/files/publications/2018-03/successful-futures.pdf</b:URL>
    <b:Year>2015</b:Year>
    <b:YearAccessed>2021</b:YearAccessed>
    <b:MonthAccessed>October</b:MonthAccessed>
    <b:Month>Febuary</b:Month>
    <b:Author>
      <b:Author>
        <b:NameList>
          <b:Person>
            <b:Last>Donaldson</b:Last>
            <b:First>Professor</b:First>
            <b:Middle>Graham</b:Middle>
          </b:Person>
        </b:NameList>
      </b:Author>
    </b:Author>
    <b:RefOrder>2</b:RefOrder>
  </b:Source>
  <b:Source>
    <b:Tag>Jee21</b:Tag>
    <b:SourceType>DocumentFromInternetSite</b:SourceType>
    <b:Guid>{03FB737F-7EAF-AF40-A756-AC9D621494E2}</b:Guid>
    <b:Title>www.ucl.ac.uk</b:Title>
    <b:URL>https://www.ucl.ac.uk/educational-psychology/resources/CS1Songara16-19.pdf</b:URL>
    <b:YearAccessed>2021</b:YearAccessed>
    <b:MonthAccessed>October</b:MonthAccessed>
    <b:Author>
      <b:Author>
        <b:NameList>
          <b:Person>
            <b:Last>Songara</b:Last>
            <b:First>Jeetan</b:First>
          </b:Person>
        </b:NameList>
      </b:Author>
    </b:Author>
    <b:RefOrder>5</b:RefOrder>
  </b:Source>
  <b:Source>
    <b:Tag>Gla15</b:Tag>
    <b:SourceType>Book</b:SourceType>
    <b:Guid>{642B0F68-C621-3A42-9BB3-9AA8225415E9}</b:Guid>
    <b:Title>Teaching and Supporting Children with Special Educational Needs &amp; Disabilities in Primary Schools</b:Title>
    <b:Year>2015</b:Year>
    <b:Publisher>Sage</b:Publisher>
    <b:Volume>2nd Edition</b:Volume>
    <b:Pages>108</b:Pages>
    <b:Author>
      <b:Author>
        <b:NameList>
          <b:Person>
            <b:Last>Glazzard</b:Last>
            <b:First>Jonathan</b:First>
          </b:Person>
          <b:Person>
            <b:Last>Stokoe</b:Last>
            <b:First>Jane</b:First>
          </b:Person>
          <b:Person>
            <b:Last>Hughes</b:Last>
            <b:First>Alison</b:First>
          </b:Person>
          <b:Person>
            <b:Last>Netherwood</b:Last>
            <b:First>Annette</b:First>
          </b:Person>
          <b:Person>
            <b:Last>Neve</b:Last>
            <b:First>Lesley</b:First>
          </b:Person>
        </b:NameList>
      </b:Author>
    </b:Author>
    <b:RefOrder>6</b:RefOrder>
  </b:Source>
  <b:Source>
    <b:Tag>Pem21</b:Tag>
    <b:SourceType>ConferenceProceedings</b:SourceType>
    <b:Guid>{BCFD8662-740C-D046-B3CC-3CC8711D9F47}</b:Guid>
    <b:Title>Bridging</b:Title>
    <b:Year>2021</b:Year>
    <b:Author>
      <b:Author>
        <b:NameList>
          <b:Person>
            <b:Last>School</b:Last>
            <b:First>Pembroke</b:First>
            <b:Middle>Dock</b:Middle>
          </b:Person>
        </b:NameList>
      </b:Author>
    </b:Author>
    <b:RefOrder>9</b:RefOrder>
  </b:Source>
  <b:Source>
    <b:Tag>Tom21</b:Tag>
    <b:SourceType>ConferenceProceedings</b:SourceType>
    <b:Guid>{1FA56E02-53FD-EE4C-A891-9101AC15C990}</b:Guid>
    <b:Author>
      <b:Author>
        <b:NameList>
          <b:Person>
            <b:Last>Cox</b:Last>
            <b:First>Tom</b:First>
          </b:Person>
        </b:NameList>
      </b:Author>
    </b:Author>
    <b:Year>2021</b:Year>
    <b:Title>Cognitive Learning Theory Lecture</b:Title>
    <b:RefOrder>7</b:RefOrder>
  </b:Source>
  <b:Source>
    <b:Tag>Gra15</b:Tag>
    <b:SourceType>Book</b:SourceType>
    <b:Guid>{9C48CF87-6646-D047-A4D1-9A6A9A0F0B32}</b:Guid>
    <b:Title>Learning Theories in Childhood</b:Title>
    <b:Publisher>Sage</b:Publisher>
    <b:Year>2015</b:Year>
    <b:Author>
      <b:Author>
        <b:NameList>
          <b:Person>
            <b:Last>Gray</b:Last>
            <b:First>Colette</b:First>
          </b:Person>
          <b:Person>
            <b:Last>Macblain</b:Last>
            <b:First>Sean</b:First>
          </b:Person>
        </b:NameList>
      </b:Author>
    </b:Author>
    <b:Volume>2nd Edition</b:Volume>
    <b:Pages>67-70</b:Pages>
    <b:RefOrder>4</b:RefOrder>
  </b:Source>
  <b:Source>
    <b:Tag>Wal15</b:Tag>
    <b:SourceType>InternetSite</b:SourceType>
    <b:Guid>{C122EA76-CF15-C541-9F60-74E6A62DA4F0}</b:Guid>
    <b:Title>Wales Academy for Health and Physical Literacy</b:Title>
    <b:Year>2015</b:Year>
    <b:URL>https://physicalliteracy.cymru/what-is-physical-literacy/</b:URL>
    <b:YearAccessed>2021</b:YearAccessed>
    <b:MonthAccessed>October</b:MonthAccessed>
    <b:RefOrder>10</b:RefOrder>
  </b:Source>
  <b:Source>
    <b:Tag>Ban71</b:Tag>
    <b:SourceType>Book</b:SourceType>
    <b:Guid>{E1ADD551-5D26-EB4C-A40E-CF3BF3CF7C1A}</b:Guid>
    <b:Title>Social Learning Theory</b:Title>
    <b:Year>1971</b:Year>
    <b:Author>
      <b:Author>
        <b:NameList>
          <b:Person>
            <b:Last>Bandura</b:Last>
            <b:First>Albert</b:First>
          </b:Person>
        </b:NameList>
      </b:Author>
    </b:Author>
    <b:City>New York</b:City>
    <b:Publisher>General Learning Press</b:Publisher>
    <b:RefOrder>3</b:RefOrder>
  </b:Source>
  <b:Source>
    <b:Tag>UNC89</b:Tag>
    <b:SourceType>DocumentFromInternetSite</b:SourceType>
    <b:Guid>{FD767FCF-F534-4F44-913F-19D8E0DE9C9A}</b:Guid>
    <b:Title>UNICEF UK</b:Title>
    <b:Year>1989</b:Year>
    <b:URL>https://downloads.unicef.org.uk/wp-content/uploads/2019/10/UNCRC_summary-1_1.pdf?_adal_sd=www.unicef.org.uk.1635525895081&amp;_adal_ca=so%3DGoogle%26me%3Dorganic%26ca%3D(not%2520set)%26co%3D(not%2520set)%26ke%3D(not%2520set).1635525895081&amp;_adal_cw=16355258551</b:URL>
    <b:Month>November</b:Month>
    <b:YearAccessed>2021</b:YearAccessed>
    <b:MonthAccessed>October</b:MonthAccessed>
    <b:Author>
      <b:Author>
        <b:NameList>
          <b:Person>
            <b:Last>UNCRC</b:Last>
          </b:Person>
        </b:NameList>
      </b:Author>
    </b:Author>
    <b:RefOrder>8</b:RefOrder>
  </b:Source>
</b:Sources>
</file>

<file path=customXml/itemProps1.xml><?xml version="1.0" encoding="utf-8"?>
<ds:datastoreItem xmlns:ds="http://schemas.openxmlformats.org/officeDocument/2006/customXml" ds:itemID="{0FACA09E-E527-E144-A2B6-8B9D617D3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2270</TotalTime>
  <Pages>15</Pages>
  <Words>4630</Words>
  <Characters>26395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John (2103838)</dc:creator>
  <cp:keywords/>
  <dc:description/>
  <cp:lastModifiedBy>Alice John (2103838)</cp:lastModifiedBy>
  <cp:revision>40</cp:revision>
  <dcterms:created xsi:type="dcterms:W3CDTF">2022-10-17T08:06:00Z</dcterms:created>
  <dcterms:modified xsi:type="dcterms:W3CDTF">2023-01-11T23:38:00Z</dcterms:modified>
</cp:coreProperties>
</file>