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EEB6B" w14:textId="77777777" w:rsidR="00412F7B" w:rsidRDefault="00412F7B" w:rsidP="00412F7B">
      <w:pPr>
        <w:pStyle w:val="NoSpacing"/>
        <w:spacing w:line="360" w:lineRule="auto"/>
        <w:rPr>
          <w:rFonts w:ascii="Times New Roman" w:hAnsi="Times New Roman" w:cs="Times New Roman"/>
          <w:sz w:val="28"/>
          <w:szCs w:val="28"/>
          <w:lang w:val="en-GB"/>
        </w:rPr>
      </w:pPr>
      <w:r w:rsidRPr="003C6AC4">
        <w:rPr>
          <w:rFonts w:ascii="Times New Roman" w:hAnsi="Times New Roman" w:cs="Times New Roman"/>
          <w:noProof/>
          <w:sz w:val="28"/>
          <w:szCs w:val="28"/>
          <w:lang w:val="en-GB"/>
        </w:rPr>
        <w:drawing>
          <wp:anchor distT="0" distB="0" distL="114300" distR="114300" simplePos="0" relativeHeight="251659264" behindDoc="1" locked="0" layoutInCell="1" allowOverlap="1" wp14:anchorId="44198E96" wp14:editId="237FF7BF">
            <wp:simplePos x="0" y="0"/>
            <wp:positionH relativeFrom="margin">
              <wp:posOffset>273050</wp:posOffset>
            </wp:positionH>
            <wp:positionV relativeFrom="paragraph">
              <wp:posOffset>-1676400</wp:posOffset>
            </wp:positionV>
            <wp:extent cx="5257800" cy="5257800"/>
            <wp:effectExtent l="0" t="0" r="0" b="0"/>
            <wp:wrapNone/>
            <wp:docPr id="14482820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82033" name=""/>
                    <pic:cNvPicPr/>
                  </pic:nvPicPr>
                  <pic:blipFill>
                    <a:blip r:embed="rId5">
                      <a:extLst>
                        <a:ext uri="{96DAC541-7B7A-43D3-8B79-37D633B846F1}">
                          <asvg:svgBlip xmlns:asvg="http://schemas.microsoft.com/office/drawing/2016/SVG/main" r:embed="rId6"/>
                        </a:ext>
                      </a:extLst>
                    </a:blip>
                    <a:stretch>
                      <a:fillRect/>
                    </a:stretch>
                  </pic:blipFill>
                  <pic:spPr>
                    <a:xfrm>
                      <a:off x="0" y="0"/>
                      <a:ext cx="5257800" cy="5257800"/>
                    </a:xfrm>
                    <a:prstGeom prst="rect">
                      <a:avLst/>
                    </a:prstGeom>
                  </pic:spPr>
                </pic:pic>
              </a:graphicData>
            </a:graphic>
            <wp14:sizeRelH relativeFrom="page">
              <wp14:pctWidth>0</wp14:pctWidth>
            </wp14:sizeRelH>
            <wp14:sizeRelV relativeFrom="page">
              <wp14:pctHeight>0</wp14:pctHeight>
            </wp14:sizeRelV>
          </wp:anchor>
        </w:drawing>
      </w:r>
    </w:p>
    <w:p w14:paraId="4BBA429C" w14:textId="77777777" w:rsidR="00412F7B" w:rsidRDefault="00412F7B" w:rsidP="00412F7B">
      <w:pPr>
        <w:pStyle w:val="NoSpacing"/>
        <w:spacing w:line="360" w:lineRule="auto"/>
        <w:rPr>
          <w:rFonts w:ascii="Times New Roman" w:hAnsi="Times New Roman" w:cs="Times New Roman"/>
          <w:sz w:val="28"/>
          <w:szCs w:val="28"/>
          <w:lang w:val="en-GB"/>
        </w:rPr>
      </w:pPr>
    </w:p>
    <w:p w14:paraId="439A333D" w14:textId="77777777" w:rsidR="00412F7B" w:rsidRDefault="00412F7B" w:rsidP="00412F7B">
      <w:pPr>
        <w:pStyle w:val="NoSpacing"/>
        <w:spacing w:line="360" w:lineRule="auto"/>
        <w:rPr>
          <w:rFonts w:ascii="Times New Roman" w:hAnsi="Times New Roman" w:cs="Times New Roman"/>
          <w:sz w:val="28"/>
          <w:szCs w:val="28"/>
          <w:lang w:val="en-GB"/>
        </w:rPr>
      </w:pPr>
    </w:p>
    <w:p w14:paraId="0DAC7977" w14:textId="77777777" w:rsidR="00412F7B" w:rsidRDefault="00412F7B" w:rsidP="00412F7B">
      <w:pPr>
        <w:pStyle w:val="NoSpacing"/>
        <w:spacing w:line="360" w:lineRule="auto"/>
        <w:rPr>
          <w:rFonts w:ascii="Times New Roman" w:hAnsi="Times New Roman" w:cs="Times New Roman"/>
          <w:sz w:val="28"/>
          <w:szCs w:val="28"/>
          <w:lang w:val="en-GB"/>
        </w:rPr>
      </w:pPr>
    </w:p>
    <w:p w14:paraId="2CBC7697" w14:textId="77777777" w:rsidR="00412F7B" w:rsidRDefault="00412F7B" w:rsidP="00412F7B">
      <w:pPr>
        <w:pStyle w:val="NoSpacing"/>
        <w:spacing w:line="360" w:lineRule="auto"/>
        <w:rPr>
          <w:rFonts w:ascii="Times New Roman" w:hAnsi="Times New Roman" w:cs="Times New Roman"/>
          <w:sz w:val="28"/>
          <w:szCs w:val="28"/>
          <w:lang w:val="en-GB"/>
        </w:rPr>
      </w:pPr>
    </w:p>
    <w:p w14:paraId="551E46B6" w14:textId="77777777" w:rsidR="00412F7B" w:rsidRDefault="00412F7B" w:rsidP="00412F7B">
      <w:pPr>
        <w:pStyle w:val="NoSpacing"/>
        <w:spacing w:line="360" w:lineRule="auto"/>
        <w:jc w:val="center"/>
        <w:rPr>
          <w:rFonts w:ascii="Times New Roman" w:hAnsi="Times New Roman" w:cs="Times New Roman"/>
          <w:sz w:val="28"/>
          <w:szCs w:val="28"/>
          <w:lang w:val="en-GB"/>
        </w:rPr>
      </w:pPr>
    </w:p>
    <w:p w14:paraId="058B9561" w14:textId="77777777" w:rsidR="00412F7B" w:rsidRDefault="00412F7B" w:rsidP="00412F7B">
      <w:pPr>
        <w:pStyle w:val="NoSpacing"/>
        <w:spacing w:line="360" w:lineRule="auto"/>
        <w:jc w:val="center"/>
        <w:rPr>
          <w:rFonts w:ascii="Times New Roman" w:hAnsi="Times New Roman" w:cs="Times New Roman"/>
          <w:sz w:val="28"/>
          <w:szCs w:val="28"/>
          <w:lang w:val="en-GB"/>
        </w:rPr>
      </w:pPr>
    </w:p>
    <w:p w14:paraId="56EE54DF" w14:textId="77777777" w:rsidR="00412F7B" w:rsidRDefault="00412F7B" w:rsidP="00412F7B">
      <w:pPr>
        <w:pStyle w:val="NoSpacing"/>
        <w:spacing w:line="360" w:lineRule="auto"/>
        <w:jc w:val="center"/>
        <w:rPr>
          <w:rFonts w:ascii="Times New Roman" w:hAnsi="Times New Roman" w:cs="Times New Roman"/>
          <w:sz w:val="28"/>
          <w:szCs w:val="28"/>
          <w:lang w:val="en-GB"/>
        </w:rPr>
      </w:pPr>
    </w:p>
    <w:p w14:paraId="103AD66A" w14:textId="77777777" w:rsidR="00412F7B" w:rsidRDefault="00412F7B" w:rsidP="00412F7B">
      <w:pPr>
        <w:pStyle w:val="NoSpacing"/>
        <w:spacing w:line="360" w:lineRule="auto"/>
        <w:jc w:val="center"/>
        <w:rPr>
          <w:rFonts w:ascii="Times New Roman" w:hAnsi="Times New Roman" w:cs="Times New Roman"/>
          <w:sz w:val="28"/>
          <w:szCs w:val="28"/>
          <w:lang w:val="en-GB"/>
        </w:rPr>
      </w:pPr>
    </w:p>
    <w:p w14:paraId="3C406D76" w14:textId="77777777" w:rsidR="00412F7B" w:rsidRPr="00C84FE9"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Programme: Master of Business Administration</w:t>
      </w:r>
    </w:p>
    <w:p w14:paraId="0EB41040" w14:textId="7C80AEAC" w:rsidR="00412F7B" w:rsidRPr="00C84FE9"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Module:</w:t>
      </w:r>
      <w:r w:rsidR="005C43DC">
        <w:rPr>
          <w:rFonts w:ascii="Times New Roman" w:hAnsi="Times New Roman" w:cs="Times New Roman"/>
          <w:sz w:val="28"/>
          <w:szCs w:val="28"/>
          <w:lang w:val="en-GB"/>
        </w:rPr>
        <w:t xml:space="preserve"> </w:t>
      </w:r>
      <w:hyperlink r:id="rId7" w:history="1">
        <w:r w:rsidR="005C43DC" w:rsidRPr="005C43DC">
          <w:rPr>
            <w:rFonts w:ascii="Times New Roman" w:hAnsi="Times New Roman" w:cs="Times New Roman"/>
            <w:sz w:val="28"/>
            <w:szCs w:val="28"/>
            <w:lang w:val="en-GB"/>
          </w:rPr>
          <w:t xml:space="preserve">Marketing Management </w:t>
        </w:r>
      </w:hyperlink>
    </w:p>
    <w:p w14:paraId="2CE02C8F" w14:textId="4EE8C932" w:rsidR="00412F7B" w:rsidRPr="00C84FE9"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 xml:space="preserve">Module code: </w:t>
      </w:r>
      <w:r w:rsidR="005C43DC" w:rsidRPr="005C43DC">
        <w:rPr>
          <w:rFonts w:ascii="Times New Roman" w:hAnsi="Times New Roman" w:cs="Times New Roman"/>
          <w:sz w:val="28"/>
          <w:szCs w:val="28"/>
          <w:lang w:val="en-GB"/>
        </w:rPr>
        <w:t>(LCMB7024)</w:t>
      </w:r>
    </w:p>
    <w:p w14:paraId="2F1A4477" w14:textId="77777777" w:rsidR="00412F7B" w:rsidRPr="00C84FE9"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Assessment 1: Individual Report</w:t>
      </w:r>
    </w:p>
    <w:p w14:paraId="3BD3305F" w14:textId="77777777" w:rsidR="00412F7B" w:rsidRPr="00C84FE9" w:rsidRDefault="00412F7B" w:rsidP="004D7AD3">
      <w:pPr>
        <w:pStyle w:val="NoSpacing"/>
        <w:spacing w:line="360" w:lineRule="auto"/>
        <w:rPr>
          <w:rFonts w:ascii="Times New Roman" w:hAnsi="Times New Roman" w:cs="Times New Roman"/>
          <w:sz w:val="28"/>
          <w:szCs w:val="28"/>
          <w:lang w:val="en-GB"/>
        </w:rPr>
      </w:pPr>
    </w:p>
    <w:p w14:paraId="2FF37EEF" w14:textId="77777777" w:rsidR="00412F7B" w:rsidRPr="00C84FE9"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Student Name:</w:t>
      </w:r>
      <w:r>
        <w:rPr>
          <w:rFonts w:ascii="Times New Roman" w:hAnsi="Times New Roman" w:cs="Times New Roman"/>
          <w:sz w:val="28"/>
          <w:szCs w:val="28"/>
          <w:lang w:val="en-GB"/>
        </w:rPr>
        <w:t xml:space="preserve"> AHRAM</w:t>
      </w:r>
    </w:p>
    <w:p w14:paraId="2B59692C" w14:textId="77777777" w:rsidR="00412F7B" w:rsidRDefault="00412F7B" w:rsidP="00412F7B">
      <w:pPr>
        <w:pStyle w:val="NoSpacing"/>
        <w:spacing w:line="360" w:lineRule="auto"/>
        <w:jc w:val="center"/>
        <w:rPr>
          <w:rFonts w:ascii="Times New Roman" w:hAnsi="Times New Roman" w:cs="Times New Roman"/>
          <w:sz w:val="28"/>
          <w:szCs w:val="28"/>
          <w:lang w:val="en-GB"/>
        </w:rPr>
      </w:pPr>
      <w:r w:rsidRPr="00C84FE9">
        <w:rPr>
          <w:rFonts w:ascii="Times New Roman" w:hAnsi="Times New Roman" w:cs="Times New Roman"/>
          <w:sz w:val="28"/>
          <w:szCs w:val="28"/>
          <w:lang w:val="en-GB"/>
        </w:rPr>
        <w:t>Student ID:</w:t>
      </w:r>
      <w:r>
        <w:rPr>
          <w:rFonts w:ascii="Times New Roman" w:hAnsi="Times New Roman" w:cs="Times New Roman"/>
          <w:sz w:val="28"/>
          <w:szCs w:val="28"/>
          <w:lang w:val="en-GB"/>
        </w:rPr>
        <w:t xml:space="preserve"> </w:t>
      </w:r>
      <w:r w:rsidRPr="00FC2181">
        <w:rPr>
          <w:rFonts w:ascii="Times New Roman" w:hAnsi="Times New Roman" w:cs="Times New Roman"/>
          <w:sz w:val="28"/>
          <w:szCs w:val="28"/>
          <w:lang w:val="en-GB"/>
        </w:rPr>
        <w:t>2503194</w:t>
      </w:r>
    </w:p>
    <w:p w14:paraId="30B5CFDE" w14:textId="77777777" w:rsidR="00E7083F" w:rsidRDefault="00412F7B" w:rsidP="00412F7B">
      <w:pPr>
        <w:pStyle w:val="NoSpacing"/>
        <w:spacing w:line="360" w:lineRule="auto"/>
        <w:jc w:val="center"/>
        <w:rPr>
          <w:rFonts w:ascii="Times New Roman" w:hAnsi="Times New Roman" w:cs="Times New Roman"/>
          <w:sz w:val="28"/>
          <w:szCs w:val="28"/>
          <w:lang w:val="en-GB"/>
        </w:rPr>
      </w:pPr>
      <w:r w:rsidRPr="00FC2181">
        <w:rPr>
          <w:rFonts w:ascii="Times New Roman" w:hAnsi="Times New Roman" w:cs="Times New Roman"/>
          <w:sz w:val="28"/>
          <w:szCs w:val="28"/>
          <w:lang w:val="en-GB"/>
        </w:rPr>
        <w:t>Lecturer:</w:t>
      </w:r>
      <w:r>
        <w:rPr>
          <w:rFonts w:ascii="Times New Roman" w:hAnsi="Times New Roman" w:cs="Times New Roman"/>
          <w:sz w:val="28"/>
          <w:szCs w:val="28"/>
          <w:lang w:val="en-GB"/>
        </w:rPr>
        <w:t xml:space="preserve"> </w:t>
      </w:r>
      <w:r w:rsidR="00E7083F" w:rsidRPr="00E7083F">
        <w:rPr>
          <w:rFonts w:ascii="Times New Roman" w:hAnsi="Times New Roman" w:cs="Times New Roman"/>
          <w:sz w:val="28"/>
          <w:szCs w:val="28"/>
          <w:lang w:val="en-GB"/>
        </w:rPr>
        <w:t>Dr Jayalakshmi Gopalkrishnan</w:t>
      </w:r>
    </w:p>
    <w:p w14:paraId="34902749" w14:textId="18EFD8A9" w:rsidR="00412F7B" w:rsidRDefault="00412F7B" w:rsidP="00412F7B">
      <w:pPr>
        <w:pStyle w:val="NoSpacing"/>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Word Count: 2</w:t>
      </w:r>
      <w:r w:rsidR="00785098">
        <w:rPr>
          <w:rFonts w:ascii="Times New Roman" w:hAnsi="Times New Roman" w:cs="Times New Roman"/>
          <w:sz w:val="28"/>
          <w:szCs w:val="28"/>
          <w:lang w:val="en-GB"/>
        </w:rPr>
        <w:t>538</w:t>
      </w:r>
    </w:p>
    <w:p w14:paraId="193FEAA6" w14:textId="77777777" w:rsidR="00412F7B" w:rsidRPr="00C84FE9" w:rsidRDefault="00412F7B" w:rsidP="00412F7B">
      <w:pPr>
        <w:pStyle w:val="NoSpacing"/>
        <w:spacing w:line="360" w:lineRule="auto"/>
        <w:jc w:val="center"/>
        <w:rPr>
          <w:rFonts w:ascii="Times New Roman" w:hAnsi="Times New Roman" w:cs="Times New Roman"/>
          <w:b/>
          <w:bCs/>
          <w:szCs w:val="24"/>
          <w:lang w:val="en-GB"/>
        </w:rPr>
      </w:pPr>
      <w:r>
        <w:rPr>
          <w:rFonts w:ascii="Times New Roman" w:hAnsi="Times New Roman" w:cs="Times New Roman"/>
          <w:sz w:val="28"/>
          <w:szCs w:val="28"/>
          <w:lang w:val="en-GB"/>
        </w:rPr>
        <w:t>Term: 1</w:t>
      </w:r>
    </w:p>
    <w:p w14:paraId="6A0EC283" w14:textId="77777777" w:rsidR="00F1266B" w:rsidRDefault="00F1266B" w:rsidP="00AE744A">
      <w:pPr>
        <w:jc w:val="both"/>
        <w:rPr>
          <w:rFonts w:ascii="Times New Roman" w:hAnsi="Times New Roman" w:cs="Times New Roman"/>
          <w:b/>
          <w:bCs/>
        </w:rPr>
      </w:pPr>
      <w:r>
        <w:rPr>
          <w:rFonts w:ascii="Times New Roman" w:hAnsi="Times New Roman" w:cs="Times New Roman"/>
          <w:b/>
          <w:bCs/>
        </w:rPr>
        <w:br w:type="page"/>
      </w:r>
    </w:p>
    <w:sdt>
      <w:sdtPr>
        <w:rPr>
          <w:rFonts w:asciiTheme="minorHAnsi" w:eastAsiaTheme="minorHAnsi" w:hAnsiTheme="minorHAnsi" w:cstheme="minorBidi"/>
          <w:color w:val="auto"/>
          <w:kern w:val="2"/>
          <w:sz w:val="24"/>
          <w:szCs w:val="24"/>
          <w14:ligatures w14:val="standardContextual"/>
        </w:rPr>
        <w:id w:val="1001164746"/>
        <w:docPartObj>
          <w:docPartGallery w:val="Table of Contents"/>
          <w:docPartUnique/>
        </w:docPartObj>
      </w:sdtPr>
      <w:sdtEndPr>
        <w:rPr>
          <w:b/>
          <w:bCs/>
          <w:noProof/>
        </w:rPr>
      </w:sdtEndPr>
      <w:sdtContent>
        <w:p w14:paraId="6A164E73" w14:textId="6393B29B" w:rsidR="00AE744A" w:rsidRPr="00AE744A" w:rsidRDefault="00AE744A" w:rsidP="00AE744A">
          <w:pPr>
            <w:pStyle w:val="TOCHeading"/>
            <w:spacing w:line="360" w:lineRule="auto"/>
            <w:jc w:val="center"/>
            <w:rPr>
              <w:rFonts w:ascii="Arial" w:hAnsi="Arial" w:cs="Arial"/>
              <w:b/>
              <w:bCs/>
              <w:color w:val="000000" w:themeColor="text1"/>
              <w:sz w:val="36"/>
              <w:szCs w:val="36"/>
            </w:rPr>
          </w:pPr>
          <w:r w:rsidRPr="00AE744A">
            <w:rPr>
              <w:rFonts w:ascii="Arial" w:hAnsi="Arial" w:cs="Arial"/>
              <w:b/>
              <w:bCs/>
              <w:color w:val="000000" w:themeColor="text1"/>
              <w:sz w:val="36"/>
              <w:szCs w:val="36"/>
            </w:rPr>
            <w:t>Table of Contents</w:t>
          </w:r>
        </w:p>
        <w:p w14:paraId="1E49EC6F" w14:textId="7669FA31" w:rsidR="00471BE0" w:rsidRPr="00471BE0" w:rsidRDefault="00AE744A" w:rsidP="00471BE0">
          <w:pPr>
            <w:pStyle w:val="TOC1"/>
            <w:tabs>
              <w:tab w:val="right" w:leader="dot" w:pos="9350"/>
            </w:tabs>
            <w:spacing w:line="360" w:lineRule="auto"/>
            <w:rPr>
              <w:rFonts w:ascii="Arial" w:eastAsiaTheme="minorEastAsia" w:hAnsi="Arial" w:cs="Arial"/>
              <w:noProof/>
              <w:szCs w:val="30"/>
              <w:lang w:bidi="bn-IN"/>
            </w:rPr>
          </w:pPr>
          <w:r w:rsidRPr="00471BE0">
            <w:rPr>
              <w:rFonts w:ascii="Arial" w:hAnsi="Arial" w:cs="Arial"/>
            </w:rPr>
            <w:fldChar w:fldCharType="begin"/>
          </w:r>
          <w:r w:rsidRPr="00471BE0">
            <w:rPr>
              <w:rFonts w:ascii="Arial" w:hAnsi="Arial" w:cs="Arial"/>
            </w:rPr>
            <w:instrText xml:space="preserve"> TOC \o "1-3" \h \z \u </w:instrText>
          </w:r>
          <w:r w:rsidRPr="00471BE0">
            <w:rPr>
              <w:rFonts w:ascii="Arial" w:hAnsi="Arial" w:cs="Arial"/>
            </w:rPr>
            <w:fldChar w:fldCharType="separate"/>
          </w:r>
          <w:hyperlink w:anchor="_Toc214570217" w:history="1">
            <w:r w:rsidR="00471BE0" w:rsidRPr="00471BE0">
              <w:rPr>
                <w:rStyle w:val="Hyperlink"/>
                <w:rFonts w:ascii="Arial" w:hAnsi="Arial" w:cs="Arial"/>
                <w:noProof/>
                <w:lang w:val="en-GB"/>
              </w:rPr>
              <w:t>1. Introduction</w:t>
            </w:r>
            <w:r w:rsidR="00471BE0" w:rsidRPr="00471BE0">
              <w:rPr>
                <w:rFonts w:ascii="Arial" w:hAnsi="Arial" w:cs="Arial"/>
                <w:noProof/>
                <w:webHidden/>
              </w:rPr>
              <w:tab/>
            </w:r>
            <w:r w:rsidR="00471BE0" w:rsidRPr="00471BE0">
              <w:rPr>
                <w:rFonts w:ascii="Arial" w:hAnsi="Arial" w:cs="Arial"/>
                <w:noProof/>
                <w:webHidden/>
              </w:rPr>
              <w:fldChar w:fldCharType="begin"/>
            </w:r>
            <w:r w:rsidR="00471BE0" w:rsidRPr="00471BE0">
              <w:rPr>
                <w:rFonts w:ascii="Arial" w:hAnsi="Arial" w:cs="Arial"/>
                <w:noProof/>
                <w:webHidden/>
              </w:rPr>
              <w:instrText xml:space="preserve"> PAGEREF _Toc214570217 \h </w:instrText>
            </w:r>
            <w:r w:rsidR="00471BE0" w:rsidRPr="00471BE0">
              <w:rPr>
                <w:rFonts w:ascii="Arial" w:hAnsi="Arial" w:cs="Arial"/>
                <w:noProof/>
                <w:webHidden/>
              </w:rPr>
            </w:r>
            <w:r w:rsidR="00471BE0" w:rsidRPr="00471BE0">
              <w:rPr>
                <w:rFonts w:ascii="Arial" w:hAnsi="Arial" w:cs="Arial"/>
                <w:noProof/>
                <w:webHidden/>
              </w:rPr>
              <w:fldChar w:fldCharType="separate"/>
            </w:r>
            <w:r w:rsidR="00471BE0" w:rsidRPr="00471BE0">
              <w:rPr>
                <w:rFonts w:ascii="Arial" w:hAnsi="Arial" w:cs="Arial"/>
                <w:noProof/>
                <w:webHidden/>
              </w:rPr>
              <w:t>3</w:t>
            </w:r>
            <w:r w:rsidR="00471BE0" w:rsidRPr="00471BE0">
              <w:rPr>
                <w:rFonts w:ascii="Arial" w:hAnsi="Arial" w:cs="Arial"/>
                <w:noProof/>
                <w:webHidden/>
              </w:rPr>
              <w:fldChar w:fldCharType="end"/>
            </w:r>
          </w:hyperlink>
        </w:p>
        <w:p w14:paraId="15001433" w14:textId="2FFB2022" w:rsidR="00471BE0" w:rsidRPr="00471BE0" w:rsidRDefault="00471BE0" w:rsidP="00471BE0">
          <w:pPr>
            <w:pStyle w:val="TOC1"/>
            <w:tabs>
              <w:tab w:val="right" w:leader="dot" w:pos="9350"/>
            </w:tabs>
            <w:spacing w:line="360" w:lineRule="auto"/>
            <w:rPr>
              <w:rFonts w:ascii="Arial" w:eastAsiaTheme="minorEastAsia" w:hAnsi="Arial" w:cs="Arial"/>
              <w:noProof/>
              <w:szCs w:val="30"/>
              <w:lang w:bidi="bn-IN"/>
            </w:rPr>
          </w:pPr>
          <w:hyperlink w:anchor="_Toc214570218" w:history="1">
            <w:r w:rsidRPr="00471BE0">
              <w:rPr>
                <w:rStyle w:val="Hyperlink"/>
                <w:rFonts w:ascii="Arial" w:hAnsi="Arial" w:cs="Arial"/>
                <w:noProof/>
                <w:lang w:val="en-GB"/>
              </w:rPr>
              <w:t>2. Task 1: Critical Analysis of the Macro Marketing Environment</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_Toc214570218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4</w:t>
            </w:r>
            <w:r w:rsidRPr="00471BE0">
              <w:rPr>
                <w:rFonts w:ascii="Arial" w:hAnsi="Arial" w:cs="Arial"/>
                <w:noProof/>
                <w:webHidden/>
              </w:rPr>
              <w:fldChar w:fldCharType="end"/>
            </w:r>
          </w:hyperlink>
        </w:p>
        <w:p w14:paraId="3F13B302" w14:textId="0BE423E7" w:rsidR="00471BE0" w:rsidRPr="00471BE0" w:rsidRDefault="00471BE0" w:rsidP="00471BE0">
          <w:pPr>
            <w:pStyle w:val="TOC2"/>
            <w:tabs>
              <w:tab w:val="right" w:leader="dot" w:pos="9350"/>
            </w:tabs>
            <w:spacing w:line="360" w:lineRule="auto"/>
            <w:rPr>
              <w:rFonts w:ascii="Arial" w:eastAsiaTheme="minorEastAsia" w:hAnsi="Arial" w:cs="Arial"/>
              <w:noProof/>
              <w:szCs w:val="30"/>
              <w:lang w:bidi="bn-IN"/>
            </w:rPr>
          </w:pPr>
          <w:hyperlink w:anchor="_Toc214570219" w:history="1">
            <w:r w:rsidRPr="00471BE0">
              <w:rPr>
                <w:rStyle w:val="Hyperlink"/>
                <w:rFonts w:ascii="Arial" w:hAnsi="Arial" w:cs="Arial"/>
                <w:noProof/>
                <w:lang w:val="en-GB"/>
              </w:rPr>
              <w:t>2.1 Overview of the Macro Marketing Environment</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_Toc214570219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4</w:t>
            </w:r>
            <w:r w:rsidRPr="00471BE0">
              <w:rPr>
                <w:rFonts w:ascii="Arial" w:hAnsi="Arial" w:cs="Arial"/>
                <w:noProof/>
                <w:webHidden/>
              </w:rPr>
              <w:fldChar w:fldCharType="end"/>
            </w:r>
          </w:hyperlink>
        </w:p>
        <w:p w14:paraId="71C71C54" w14:textId="602994CE" w:rsidR="00471BE0" w:rsidRPr="00471BE0" w:rsidRDefault="00471BE0" w:rsidP="00471BE0">
          <w:pPr>
            <w:pStyle w:val="TOC2"/>
            <w:tabs>
              <w:tab w:val="right" w:leader="dot" w:pos="9350"/>
            </w:tabs>
            <w:spacing w:line="360" w:lineRule="auto"/>
            <w:rPr>
              <w:rFonts w:ascii="Arial" w:eastAsiaTheme="minorEastAsia" w:hAnsi="Arial" w:cs="Arial"/>
              <w:noProof/>
              <w:szCs w:val="30"/>
              <w:lang w:bidi="bn-IN"/>
            </w:rPr>
          </w:pPr>
          <w:hyperlink w:anchor="_Toc214570220" w:history="1">
            <w:r w:rsidRPr="00471BE0">
              <w:rPr>
                <w:rStyle w:val="Hyperlink"/>
                <w:rFonts w:ascii="Arial" w:hAnsi="Arial" w:cs="Arial"/>
                <w:noProof/>
                <w:lang w:val="en-GB"/>
              </w:rPr>
              <w:t>2.2 Two External Marketing Actor Selections</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_Toc214570220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4</w:t>
            </w:r>
            <w:r w:rsidRPr="00471BE0">
              <w:rPr>
                <w:rFonts w:ascii="Arial" w:hAnsi="Arial" w:cs="Arial"/>
                <w:noProof/>
                <w:webHidden/>
              </w:rPr>
              <w:fldChar w:fldCharType="end"/>
            </w:r>
          </w:hyperlink>
        </w:p>
        <w:p w14:paraId="7E96C317" w14:textId="17EE1741" w:rsidR="00471BE0" w:rsidRPr="00471BE0" w:rsidRDefault="00471BE0" w:rsidP="00471BE0">
          <w:pPr>
            <w:pStyle w:val="TOC2"/>
            <w:tabs>
              <w:tab w:val="right" w:leader="dot" w:pos="9350"/>
            </w:tabs>
            <w:spacing w:line="360" w:lineRule="auto"/>
            <w:rPr>
              <w:rFonts w:ascii="Arial" w:eastAsiaTheme="minorEastAsia" w:hAnsi="Arial" w:cs="Arial"/>
              <w:noProof/>
              <w:szCs w:val="30"/>
              <w:lang w:bidi="bn-IN"/>
            </w:rPr>
          </w:pPr>
          <w:hyperlink w:anchor="_Toc214570221" w:history="1">
            <w:r w:rsidRPr="00471BE0">
              <w:rPr>
                <w:rStyle w:val="Hyperlink"/>
                <w:rFonts w:ascii="Arial" w:hAnsi="Arial" w:cs="Arial"/>
                <w:noProof/>
                <w:lang w:val="en-GB"/>
              </w:rPr>
              <w:t>2.3 Critical Analysis of each actor</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_Toc214570221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5</w:t>
            </w:r>
            <w:r w:rsidRPr="00471BE0">
              <w:rPr>
                <w:rFonts w:ascii="Arial" w:hAnsi="Arial" w:cs="Arial"/>
                <w:noProof/>
                <w:webHidden/>
              </w:rPr>
              <w:fldChar w:fldCharType="end"/>
            </w:r>
          </w:hyperlink>
        </w:p>
        <w:p w14:paraId="78C73DDE" w14:textId="00CE8132" w:rsidR="00471BE0" w:rsidRPr="00471BE0" w:rsidRDefault="00471BE0" w:rsidP="00471BE0">
          <w:pPr>
            <w:pStyle w:val="TOC1"/>
            <w:tabs>
              <w:tab w:val="right" w:leader="dot" w:pos="9350"/>
            </w:tabs>
            <w:spacing w:line="360" w:lineRule="auto"/>
            <w:rPr>
              <w:rFonts w:ascii="Arial" w:eastAsiaTheme="minorEastAsia" w:hAnsi="Arial" w:cs="Arial"/>
              <w:noProof/>
              <w:szCs w:val="30"/>
              <w:lang w:bidi="bn-IN"/>
            </w:rPr>
          </w:pPr>
          <w:hyperlink w:anchor="_Toc214570222" w:history="1">
            <w:r w:rsidRPr="00471BE0">
              <w:rPr>
                <w:rStyle w:val="Hyperlink"/>
                <w:rFonts w:ascii="Arial" w:hAnsi="Arial" w:cs="Arial"/>
                <w:noProof/>
                <w:lang w:val="en-GB"/>
              </w:rPr>
              <w:t>3. Task 2: Strategic Responses of Pioneering and Follower Organisations</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_Toc214570222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7</w:t>
            </w:r>
            <w:r w:rsidRPr="00471BE0">
              <w:rPr>
                <w:rFonts w:ascii="Arial" w:hAnsi="Arial" w:cs="Arial"/>
                <w:noProof/>
                <w:webHidden/>
              </w:rPr>
              <w:fldChar w:fldCharType="end"/>
            </w:r>
          </w:hyperlink>
        </w:p>
        <w:p w14:paraId="0E9D58E0" w14:textId="46DF5E3A" w:rsidR="00471BE0" w:rsidRPr="00471BE0" w:rsidRDefault="00471BE0" w:rsidP="00471BE0">
          <w:pPr>
            <w:pStyle w:val="TOC2"/>
            <w:tabs>
              <w:tab w:val="right" w:leader="dot" w:pos="9350"/>
            </w:tabs>
            <w:spacing w:line="360" w:lineRule="auto"/>
            <w:rPr>
              <w:rFonts w:ascii="Arial" w:eastAsiaTheme="minorEastAsia" w:hAnsi="Arial" w:cs="Arial"/>
              <w:noProof/>
              <w:szCs w:val="30"/>
              <w:lang w:bidi="bn-IN"/>
            </w:rPr>
          </w:pPr>
          <w:hyperlink w:anchor="_Toc214570223" w:history="1">
            <w:r w:rsidRPr="00471BE0">
              <w:rPr>
                <w:rStyle w:val="Hyperlink"/>
                <w:rFonts w:ascii="Arial" w:hAnsi="Arial" w:cs="Arial"/>
                <w:noProof/>
                <w:lang w:val="en-GB"/>
              </w:rPr>
              <w:t>3.1 Pioneering Organisations' Strategic Responses (HSBC)</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_Toc214570223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7</w:t>
            </w:r>
            <w:r w:rsidRPr="00471BE0">
              <w:rPr>
                <w:rFonts w:ascii="Arial" w:hAnsi="Arial" w:cs="Arial"/>
                <w:noProof/>
                <w:webHidden/>
              </w:rPr>
              <w:fldChar w:fldCharType="end"/>
            </w:r>
          </w:hyperlink>
        </w:p>
        <w:p w14:paraId="45673A27" w14:textId="52E2AC40" w:rsidR="00471BE0" w:rsidRPr="00471BE0" w:rsidRDefault="00471BE0" w:rsidP="00471BE0">
          <w:pPr>
            <w:pStyle w:val="TOC2"/>
            <w:tabs>
              <w:tab w:val="right" w:leader="dot" w:pos="9350"/>
            </w:tabs>
            <w:spacing w:line="360" w:lineRule="auto"/>
            <w:rPr>
              <w:rFonts w:ascii="Arial" w:eastAsiaTheme="minorEastAsia" w:hAnsi="Arial" w:cs="Arial"/>
              <w:noProof/>
              <w:szCs w:val="30"/>
              <w:lang w:bidi="bn-IN"/>
            </w:rPr>
          </w:pPr>
          <w:hyperlink w:anchor="_Toc214570224" w:history="1">
            <w:r w:rsidRPr="00471BE0">
              <w:rPr>
                <w:rStyle w:val="Hyperlink"/>
                <w:rFonts w:ascii="Arial" w:hAnsi="Arial" w:cs="Arial"/>
                <w:noProof/>
                <w:lang w:val="en-GB"/>
              </w:rPr>
              <w:t>3.2 Strategic Responses of Follower Organisations (Lloyds Bank)</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_Toc214570224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9</w:t>
            </w:r>
            <w:r w:rsidRPr="00471BE0">
              <w:rPr>
                <w:rFonts w:ascii="Arial" w:hAnsi="Arial" w:cs="Arial"/>
                <w:noProof/>
                <w:webHidden/>
              </w:rPr>
              <w:fldChar w:fldCharType="end"/>
            </w:r>
          </w:hyperlink>
        </w:p>
        <w:p w14:paraId="242ECD86" w14:textId="08E3E92C" w:rsidR="00471BE0" w:rsidRPr="00471BE0" w:rsidRDefault="00471BE0" w:rsidP="00471BE0">
          <w:pPr>
            <w:pStyle w:val="TOC1"/>
            <w:tabs>
              <w:tab w:val="right" w:leader="dot" w:pos="9350"/>
            </w:tabs>
            <w:spacing w:line="360" w:lineRule="auto"/>
            <w:rPr>
              <w:rFonts w:ascii="Arial" w:eastAsiaTheme="minorEastAsia" w:hAnsi="Arial" w:cs="Arial"/>
              <w:noProof/>
              <w:szCs w:val="30"/>
              <w:lang w:bidi="bn-IN"/>
            </w:rPr>
          </w:pPr>
          <w:hyperlink w:anchor="_Toc214570225" w:history="1">
            <w:r w:rsidRPr="00471BE0">
              <w:rPr>
                <w:rStyle w:val="Hyperlink"/>
                <w:rFonts w:ascii="Arial" w:hAnsi="Arial" w:cs="Arial"/>
                <w:noProof/>
                <w:lang w:val="en-GB"/>
              </w:rPr>
              <w:t>4. Conclusion</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_Toc214570225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11</w:t>
            </w:r>
            <w:r w:rsidRPr="00471BE0">
              <w:rPr>
                <w:rFonts w:ascii="Arial" w:hAnsi="Arial" w:cs="Arial"/>
                <w:noProof/>
                <w:webHidden/>
              </w:rPr>
              <w:fldChar w:fldCharType="end"/>
            </w:r>
          </w:hyperlink>
        </w:p>
        <w:p w14:paraId="328F61FA" w14:textId="61AA2283" w:rsidR="00471BE0" w:rsidRPr="00471BE0" w:rsidRDefault="00471BE0" w:rsidP="00471BE0">
          <w:pPr>
            <w:pStyle w:val="TOC1"/>
            <w:tabs>
              <w:tab w:val="right" w:leader="dot" w:pos="9350"/>
            </w:tabs>
            <w:spacing w:line="360" w:lineRule="auto"/>
            <w:rPr>
              <w:rFonts w:ascii="Arial" w:eastAsiaTheme="minorEastAsia" w:hAnsi="Arial" w:cs="Arial"/>
              <w:noProof/>
              <w:szCs w:val="30"/>
              <w:lang w:bidi="bn-IN"/>
            </w:rPr>
          </w:pPr>
          <w:hyperlink w:anchor="_Toc214570226" w:history="1">
            <w:r w:rsidRPr="00471BE0">
              <w:rPr>
                <w:rStyle w:val="Hyperlink"/>
                <w:rFonts w:ascii="Arial" w:hAnsi="Arial" w:cs="Arial"/>
                <w:noProof/>
                <w:lang w:val="en-GB"/>
              </w:rPr>
              <w:t>5. References</w:t>
            </w:r>
            <w:r w:rsidRPr="00471BE0">
              <w:rPr>
                <w:rFonts w:ascii="Arial" w:hAnsi="Arial" w:cs="Arial"/>
                <w:noProof/>
                <w:webHidden/>
              </w:rPr>
              <w:tab/>
            </w:r>
            <w:r w:rsidRPr="00471BE0">
              <w:rPr>
                <w:rFonts w:ascii="Arial" w:hAnsi="Arial" w:cs="Arial"/>
                <w:noProof/>
                <w:webHidden/>
              </w:rPr>
              <w:fldChar w:fldCharType="begin"/>
            </w:r>
            <w:r w:rsidRPr="00471BE0">
              <w:rPr>
                <w:rFonts w:ascii="Arial" w:hAnsi="Arial" w:cs="Arial"/>
                <w:noProof/>
                <w:webHidden/>
              </w:rPr>
              <w:instrText xml:space="preserve"> PAGEREF _Toc214570226 \h </w:instrText>
            </w:r>
            <w:r w:rsidRPr="00471BE0">
              <w:rPr>
                <w:rFonts w:ascii="Arial" w:hAnsi="Arial" w:cs="Arial"/>
                <w:noProof/>
                <w:webHidden/>
              </w:rPr>
            </w:r>
            <w:r w:rsidRPr="00471BE0">
              <w:rPr>
                <w:rFonts w:ascii="Arial" w:hAnsi="Arial" w:cs="Arial"/>
                <w:noProof/>
                <w:webHidden/>
              </w:rPr>
              <w:fldChar w:fldCharType="separate"/>
            </w:r>
            <w:r w:rsidRPr="00471BE0">
              <w:rPr>
                <w:rFonts w:ascii="Arial" w:hAnsi="Arial" w:cs="Arial"/>
                <w:noProof/>
                <w:webHidden/>
              </w:rPr>
              <w:t>12</w:t>
            </w:r>
            <w:r w:rsidRPr="00471BE0">
              <w:rPr>
                <w:rFonts w:ascii="Arial" w:hAnsi="Arial" w:cs="Arial"/>
                <w:noProof/>
                <w:webHidden/>
              </w:rPr>
              <w:fldChar w:fldCharType="end"/>
            </w:r>
          </w:hyperlink>
        </w:p>
        <w:p w14:paraId="74CC79ED" w14:textId="41AE748F" w:rsidR="00AE744A" w:rsidRDefault="00AE744A" w:rsidP="00471BE0">
          <w:pPr>
            <w:spacing w:line="360" w:lineRule="auto"/>
          </w:pPr>
          <w:r w:rsidRPr="00471BE0">
            <w:rPr>
              <w:rFonts w:ascii="Arial" w:hAnsi="Arial" w:cs="Arial"/>
              <w:b/>
              <w:bCs/>
              <w:noProof/>
            </w:rPr>
            <w:fldChar w:fldCharType="end"/>
          </w:r>
        </w:p>
      </w:sdtContent>
    </w:sdt>
    <w:p w14:paraId="71CD2BD0" w14:textId="77777777" w:rsidR="00F1266B" w:rsidRDefault="00F1266B" w:rsidP="00AE744A">
      <w:pPr>
        <w:jc w:val="both"/>
        <w:rPr>
          <w:rFonts w:ascii="Times New Roman" w:hAnsi="Times New Roman" w:cs="Times New Roman"/>
          <w:b/>
          <w:bCs/>
        </w:rPr>
      </w:pPr>
      <w:r>
        <w:rPr>
          <w:rFonts w:ascii="Times New Roman" w:hAnsi="Times New Roman" w:cs="Times New Roman"/>
          <w:b/>
          <w:bCs/>
        </w:rPr>
        <w:br w:type="page"/>
      </w:r>
    </w:p>
    <w:p w14:paraId="77138A77" w14:textId="00D0F17F" w:rsidR="006C4776" w:rsidRPr="00AE744A" w:rsidRDefault="00AE744A" w:rsidP="00AE744A">
      <w:pPr>
        <w:pStyle w:val="Heading1"/>
        <w:rPr>
          <w:lang w:val="en-GB"/>
        </w:rPr>
      </w:pPr>
      <w:bookmarkStart w:id="0" w:name="_Toc214570217"/>
      <w:r>
        <w:rPr>
          <w:lang w:val="en-GB"/>
        </w:rPr>
        <w:lastRenderedPageBreak/>
        <w:t xml:space="preserve">1. </w:t>
      </w:r>
      <w:r w:rsidR="006C4776" w:rsidRPr="00AE744A">
        <w:rPr>
          <w:lang w:val="en-GB"/>
        </w:rPr>
        <w:t>Introduction</w:t>
      </w:r>
      <w:bookmarkEnd w:id="0"/>
    </w:p>
    <w:p w14:paraId="67457BE2"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The report will encompass strategic marketing management tools of both the leaders’ and followers’ organisations within the fast-emerging internet and mobile banking sectors. As the digitalisation of the financial services sector continues, banks must balance a variety of intricate external forces and create strategies to stay competitive in the long run. To analyse how each institution in the UK responds to the macro-environmental forces and aligns its strategic marketing activity, the report will focus on two market leaders in the UK, HSBC and its follower, Lloyds Bank (Aaker and Moorman, 2023). Through comparison, the report has brought out the relationship between environmental change, strategic positioning, and competitive behaviour in digital banking. Good strategic decisions are essential to the macro marketing environment. External factors impacting the way the banks design digital services and resource allocation severely include rapid technological innovation, economic volatility, regulatory developments, and customer expectations (Kotler et al., 2022). The frames will comprise PESTEL, a methodical means of analysing these conditions, which will enable an organisation to evaluate the potential of innovations and identify future threats. Technological and economic trends are especially important in the case of banks that enter the digital field, as they influence the formation of products and their orientation on cybersecurity, as well as how customers accept web- and mobile-based solutions. Two tasks will form the basis of the report to critically examine the technological and economic macro-environment factors that affect HSBC and Lloyds and evaluate their strategic strategies using the Ansoff Matrix and the generic strategies models developed by Porter.</w:t>
      </w:r>
    </w:p>
    <w:p w14:paraId="594B75D0" w14:textId="77777777" w:rsidR="00AE744A" w:rsidRDefault="00AE744A">
      <w:pPr>
        <w:rPr>
          <w:rFonts w:ascii="Arial" w:hAnsi="Arial" w:cs="Arial"/>
          <w:b/>
          <w:bCs/>
          <w:lang w:val="en-GB"/>
        </w:rPr>
      </w:pPr>
      <w:r>
        <w:rPr>
          <w:rFonts w:ascii="Arial" w:hAnsi="Arial" w:cs="Arial"/>
          <w:b/>
          <w:bCs/>
          <w:lang w:val="en-GB"/>
        </w:rPr>
        <w:br w:type="page"/>
      </w:r>
    </w:p>
    <w:p w14:paraId="6FAE7CB4" w14:textId="6B762032" w:rsidR="00F1266B" w:rsidRPr="00F1266B" w:rsidRDefault="00AE744A" w:rsidP="00AE744A">
      <w:pPr>
        <w:pStyle w:val="Heading1"/>
        <w:rPr>
          <w:lang w:val="en-GB"/>
        </w:rPr>
      </w:pPr>
      <w:bookmarkStart w:id="1" w:name="_Toc214570218"/>
      <w:r>
        <w:rPr>
          <w:lang w:val="en-GB"/>
        </w:rPr>
        <w:lastRenderedPageBreak/>
        <w:t xml:space="preserve">2. </w:t>
      </w:r>
      <w:r w:rsidR="00F1266B" w:rsidRPr="00F1266B">
        <w:rPr>
          <w:lang w:val="en-GB"/>
        </w:rPr>
        <w:t>T</w:t>
      </w:r>
      <w:r>
        <w:rPr>
          <w:lang w:val="en-GB"/>
        </w:rPr>
        <w:t>ask</w:t>
      </w:r>
      <w:r w:rsidR="00F1266B" w:rsidRPr="00F1266B">
        <w:rPr>
          <w:lang w:val="en-GB"/>
        </w:rPr>
        <w:t xml:space="preserve"> 1: Critical Analysis of the Macro Marketing Environment</w:t>
      </w:r>
      <w:bookmarkEnd w:id="1"/>
    </w:p>
    <w:p w14:paraId="13F3079E" w14:textId="77777777" w:rsidR="00F1266B" w:rsidRPr="00F1266B" w:rsidRDefault="00F1266B" w:rsidP="00AE744A">
      <w:pPr>
        <w:pStyle w:val="Heading2"/>
        <w:rPr>
          <w:lang w:val="en-GB"/>
        </w:rPr>
      </w:pPr>
      <w:bookmarkStart w:id="2" w:name="_Toc214570219"/>
      <w:r w:rsidRPr="00F1266B">
        <w:rPr>
          <w:lang w:val="en-GB"/>
        </w:rPr>
        <w:t>2.1 Overview of the Macro Marketing Environment</w:t>
      </w:r>
      <w:bookmarkEnd w:id="2"/>
    </w:p>
    <w:p w14:paraId="6D78068C"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The macro marketing environment is made up of overall external forces which influence the organisational planning and goal attainment. These are recorded in the PESTEL framework (political, economic, social, technological, environmental, and legal), which impacts the banks such as HSBC and Lloyds through influencing the services demand, financial and risk, as well as digital opportunities (Aaker and Moorman, 2023). Innovation in internet and mobile banking is related to technological trends of fintech, AI, and cybersecurity, and consumer behaviour is influenced by economic factors, including interest rates, inflation, and level of investment, which affect the level of digital investment that a bank can make (Kotler et al., 2022). These two macro forces can help HSBC and Lloyds better balance a marketing approach, make appropriate choices related to the timeliness of increased digital channels, and cope with risks.</w:t>
      </w:r>
    </w:p>
    <w:p w14:paraId="30A01402" w14:textId="77777777" w:rsidR="00F1266B" w:rsidRPr="00F1266B" w:rsidRDefault="00F1266B" w:rsidP="00AE744A">
      <w:pPr>
        <w:pStyle w:val="Heading2"/>
        <w:rPr>
          <w:lang w:val="en-GB"/>
        </w:rPr>
      </w:pPr>
      <w:bookmarkStart w:id="3" w:name="_Toc214570220"/>
      <w:r w:rsidRPr="00F1266B">
        <w:rPr>
          <w:lang w:val="en-GB"/>
        </w:rPr>
        <w:t>2.2 Two External Marketing Actor Selections</w:t>
      </w:r>
      <w:bookmarkEnd w:id="3"/>
    </w:p>
    <w:p w14:paraId="082C60FA" w14:textId="77777777" w:rsidR="00F1266B" w:rsidRPr="00F1266B" w:rsidRDefault="00F1266B" w:rsidP="00AE744A">
      <w:pPr>
        <w:spacing w:line="360" w:lineRule="auto"/>
        <w:jc w:val="both"/>
        <w:rPr>
          <w:rFonts w:ascii="Arial" w:hAnsi="Arial" w:cs="Arial"/>
          <w:lang w:val="en-GB"/>
        </w:rPr>
      </w:pPr>
      <w:r w:rsidRPr="00F1266B">
        <w:rPr>
          <w:rFonts w:ascii="Arial" w:hAnsi="Arial" w:cs="Arial"/>
          <w:b/>
          <w:bCs/>
          <w:lang w:val="en-GB"/>
        </w:rPr>
        <w:t>Technological factors:</w:t>
      </w:r>
      <w:r w:rsidRPr="00F1266B">
        <w:rPr>
          <w:rFonts w:ascii="Arial" w:hAnsi="Arial" w:cs="Arial"/>
          <w:lang w:val="en-GB"/>
        </w:rPr>
        <w:t xml:space="preserve"> Technology is an indispensable driver of internet and mobile banking development and evolution. In the case of banks, digital platforms, cybersecurity, AI, cloud computing, and open banking are opportunities and existential requirements (Kotabe and Helsen, 2022). Technological change poses a threat (e.g., cyberattacks, system outage) as well as an opportunity (e.g., more efficient service delivery, personalisation).</w:t>
      </w:r>
    </w:p>
    <w:p w14:paraId="29911EE7" w14:textId="77777777" w:rsidR="00F1266B" w:rsidRPr="00F1266B" w:rsidRDefault="00F1266B" w:rsidP="00AE744A">
      <w:pPr>
        <w:spacing w:line="360" w:lineRule="auto"/>
        <w:jc w:val="both"/>
        <w:rPr>
          <w:rFonts w:ascii="Arial" w:hAnsi="Arial" w:cs="Arial"/>
          <w:lang w:val="en-GB"/>
        </w:rPr>
      </w:pPr>
      <w:r w:rsidRPr="00F1266B">
        <w:rPr>
          <w:rFonts w:ascii="Arial" w:hAnsi="Arial" w:cs="Arial"/>
          <w:b/>
          <w:bCs/>
          <w:lang w:val="en-GB"/>
        </w:rPr>
        <w:t>Economic factors:</w:t>
      </w:r>
      <w:r w:rsidRPr="00F1266B">
        <w:rPr>
          <w:rFonts w:ascii="Arial" w:hAnsi="Arial" w:cs="Arial"/>
          <w:lang w:val="en-GB"/>
        </w:rPr>
        <w:t xml:space="preserve"> The economic environment influences the ability of banks to invest (e.g., financing digital transformation), consumer behaviour (e.g., how much they save, their readiness to use digital banking, and how sensitive they are to interest rates). In the case of traditional banks such as HSBC and Lloyds, the macroeconomic factors define profitability, cost of capital and credit risk, which subsequently impact the amounts they are able or would like to invest in mobile banking infrastructure.</w:t>
      </w:r>
    </w:p>
    <w:p w14:paraId="6EC31A84" w14:textId="77777777" w:rsidR="00AE744A" w:rsidRDefault="00AE744A">
      <w:pPr>
        <w:rPr>
          <w:rFonts w:ascii="Arial" w:eastAsiaTheme="majorEastAsia" w:hAnsi="Arial" w:cstheme="majorBidi"/>
          <w:b/>
          <w:color w:val="000000" w:themeColor="text1"/>
          <w:szCs w:val="32"/>
          <w:lang w:val="en-GB"/>
        </w:rPr>
      </w:pPr>
      <w:r>
        <w:rPr>
          <w:lang w:val="en-GB"/>
        </w:rPr>
        <w:br w:type="page"/>
      </w:r>
    </w:p>
    <w:p w14:paraId="3F5B53B8" w14:textId="7F800EC2" w:rsidR="00F1266B" w:rsidRPr="00F1266B" w:rsidRDefault="00F1266B" w:rsidP="00AE744A">
      <w:pPr>
        <w:pStyle w:val="Heading2"/>
        <w:rPr>
          <w:lang w:val="en-GB"/>
        </w:rPr>
      </w:pPr>
      <w:bookmarkStart w:id="4" w:name="_Toc214570221"/>
      <w:r w:rsidRPr="00F1266B">
        <w:rPr>
          <w:lang w:val="en-GB"/>
        </w:rPr>
        <w:lastRenderedPageBreak/>
        <w:t>2.3 Critical Analysis of each actor</w:t>
      </w:r>
      <w:bookmarkEnd w:id="4"/>
    </w:p>
    <w:p w14:paraId="2DA77E7B" w14:textId="77777777" w:rsidR="00F1266B" w:rsidRPr="00F1266B" w:rsidRDefault="00F1266B" w:rsidP="00AE744A">
      <w:pPr>
        <w:spacing w:line="360" w:lineRule="auto"/>
        <w:jc w:val="both"/>
        <w:rPr>
          <w:rFonts w:ascii="Arial" w:hAnsi="Arial" w:cs="Arial"/>
          <w:lang w:val="en-GB"/>
        </w:rPr>
      </w:pPr>
      <w:r w:rsidRPr="00F1266B">
        <w:rPr>
          <w:rFonts w:ascii="Arial" w:hAnsi="Arial" w:cs="Arial"/>
          <w:b/>
          <w:bCs/>
          <w:lang w:val="en-GB"/>
        </w:rPr>
        <w:t>Technological Factors</w:t>
      </w:r>
    </w:p>
    <w:p w14:paraId="2D2DFAA0" w14:textId="77777777" w:rsidR="00131707" w:rsidRPr="00131707" w:rsidRDefault="00F1266B" w:rsidP="00131707">
      <w:pPr>
        <w:spacing w:line="360" w:lineRule="auto"/>
        <w:jc w:val="both"/>
        <w:rPr>
          <w:rFonts w:ascii="Arial" w:hAnsi="Arial" w:cs="Arial"/>
          <w:lang w:val="en-GB"/>
        </w:rPr>
      </w:pPr>
      <w:r w:rsidRPr="00F1266B">
        <w:rPr>
          <w:rFonts w:ascii="Arial" w:hAnsi="Arial" w:cs="Arial"/>
          <w:lang w:val="en-GB"/>
        </w:rPr>
        <w:t xml:space="preserve">One of the most dynamic macro forces that is influencing the banking industry is technological change. In the case of HSBC, an industry leader in the sphere of digital adoption, the focus on AI, machine learning, cloud computing, and advanced cybersecurity is a strategic advantage. </w:t>
      </w:r>
      <w:r w:rsidR="00131707" w:rsidRPr="00131707">
        <w:rPr>
          <w:rFonts w:ascii="Arial" w:hAnsi="Arial" w:cs="Arial"/>
          <w:lang w:val="en-GB"/>
        </w:rPr>
        <w:t>Its global activities promote enormous investments in digital infrastructure and implementation of innovations in other markets (Deepak and Jeyakumar, 2019). In an effort to improve the customer experience and efficiency, HSBC uses chatbots and other applications powered by AI and open banking solutions. However, being a digital pioneer exposes it to more cyber threats, such as a phishing attack, a ransomware attack, and a data breach, and being global in its operations increases the scam territory.</w:t>
      </w:r>
    </w:p>
    <w:p w14:paraId="57F49A93" w14:textId="77777777" w:rsidR="00131707" w:rsidRPr="00131707" w:rsidRDefault="00131707" w:rsidP="00131707">
      <w:pPr>
        <w:spacing w:line="360" w:lineRule="auto"/>
        <w:jc w:val="both"/>
        <w:rPr>
          <w:rFonts w:ascii="Arial" w:hAnsi="Arial" w:cs="Arial"/>
          <w:lang w:val="en-GB"/>
        </w:rPr>
      </w:pPr>
      <w:r w:rsidRPr="00131707">
        <w:rPr>
          <w:rFonts w:ascii="Arial" w:hAnsi="Arial" w:cs="Arial"/>
          <w:lang w:val="en-GB"/>
        </w:rPr>
        <w:t>As a subscriber, Lloyds is undergoing a major technological change to the extent of investing in cloud migration, data analytics and AI to enhance digital service and reduce the operating costs. Conventional technologies offer minimised risk and cost of implementation, yet a number of problems, including relying on legacies and scale-based change management, remain (Kotler et al., 2022). The tendency to close down 136 branches in 2025-2026 shows that it will be moving to a digital-first business, which is more prone to downtime and cyber-attacks.</w:t>
      </w:r>
    </w:p>
    <w:p w14:paraId="6DB42CA2" w14:textId="5DDADA0F" w:rsidR="00F1266B" w:rsidRPr="00F1266B" w:rsidRDefault="00131707" w:rsidP="00131707">
      <w:pPr>
        <w:spacing w:line="360" w:lineRule="auto"/>
        <w:jc w:val="both"/>
        <w:rPr>
          <w:rFonts w:ascii="Arial" w:hAnsi="Arial" w:cs="Arial"/>
          <w:lang w:val="en-GB"/>
        </w:rPr>
      </w:pPr>
      <w:r w:rsidRPr="00131707">
        <w:rPr>
          <w:rFonts w:ascii="Arial" w:hAnsi="Arial" w:cs="Arial"/>
          <w:lang w:val="en-GB"/>
        </w:rPr>
        <w:t>HSBC should continue to invest in the safe, solid and future-proof digital system; however, it should focus more on innovation and proper risk management to cushion its international business.</w:t>
      </w:r>
      <w:r w:rsidR="00F1266B" w:rsidRPr="00F1266B">
        <w:rPr>
          <w:rFonts w:ascii="Arial" w:hAnsi="Arial" w:cs="Arial"/>
          <w:lang w:val="en-GB"/>
        </w:rPr>
        <w:t xml:space="preserve"> Its global presence necessitates enhanced cybersecurity and control systems to facilitate its growth without adding more vulnerability. Lloyds, in its turn, will have to focus on digital stabilisation and cybersecurity enhancement and increase the digital capabilities of its workforce (Grewal and Levy, 2021). All these abilities are needed to help in its continued digitalisation, to achieve trustworthy operation, and to sustain customer confidence in massive technological changeovers.</w:t>
      </w:r>
    </w:p>
    <w:p w14:paraId="34213425"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 xml:space="preserve">It will be beneficial to both HSBC and Lloyds to implement innovative digital solutions that will minimise the operational expenses, personalise customer experience, and enable </w:t>
      </w:r>
      <w:r w:rsidRPr="00F1266B">
        <w:rPr>
          <w:rFonts w:ascii="Arial" w:hAnsi="Arial" w:cs="Arial"/>
          <w:lang w:val="en-GB"/>
        </w:rPr>
        <w:lastRenderedPageBreak/>
        <w:t>collaboration with fintech companies. These partnerships can speed up product development and compete better (Gronroos, 2016). Nonetheless, increasing cyber risks, system malfunctions, and high rates of fintech entrants are dangerous. The external pressure demands that banks be increasingly resilient in the digital arena and act responsibly.</w:t>
      </w:r>
    </w:p>
    <w:p w14:paraId="78DA3B7E" w14:textId="77777777" w:rsidR="00F1266B" w:rsidRPr="00F1266B" w:rsidRDefault="00F1266B" w:rsidP="00AE744A">
      <w:pPr>
        <w:spacing w:line="360" w:lineRule="auto"/>
        <w:jc w:val="both"/>
        <w:rPr>
          <w:rFonts w:ascii="Arial" w:hAnsi="Arial" w:cs="Arial"/>
          <w:lang w:val="en-GB"/>
        </w:rPr>
      </w:pPr>
      <w:r w:rsidRPr="00F1266B">
        <w:rPr>
          <w:rFonts w:ascii="Arial" w:hAnsi="Arial" w:cs="Arial"/>
          <w:b/>
          <w:bCs/>
          <w:lang w:val="en-GB"/>
        </w:rPr>
        <w:t>Economic Factors</w:t>
      </w:r>
    </w:p>
    <w:p w14:paraId="6729389F"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The digital investment strategies and customer behaviour are heavily influenced by the economic conditions. In the case of HSBC, global economic changes such as fluctuations of interest levels, rates of inflation and capital costs have a direct effect on profit levels and define the degree of digital investment (Aarikka-Stenroos and Ritala, 2017). An increase in interest rates can enhance the net interest margin and increase investments in technology, whereas an economic crisis makes loan quality weaker and impacts access to more capital. There is also the cost of digital transformation to the bank that is caused by inflation and regulatory requirements.</w:t>
      </w:r>
    </w:p>
    <w:p w14:paraId="336E22AD"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More UK-oriented, Lloyds is very susceptible to domestic economic cycles. The consumers also tend to borrow less and may restrain discretion during economic slumps, thus decreasing the adoption of digital financial products. On the other hand, online and mobile banking are promoted by economic growth (Grewal and Levy, 2021). The strategic bank branch shutdowns at Lloyds are indicative of an attempt to reduce physical infrastructure expenses and reinvest to focus on digital channels, yet economic strain may compel the bank to only focus on the most critical digital investments.</w:t>
      </w:r>
    </w:p>
    <w:p w14:paraId="23350471"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HSBC needs to spread regional economic risks and target high-paying digital initiatives. Lloyds ought to stay economically sound by spending wisely on digital and focusing on critical digital initiatives. Economic expansion provides the chance of more digital uptake, and recessions inhibit investment and risk credit.</w:t>
      </w:r>
    </w:p>
    <w:p w14:paraId="43F8225E"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 xml:space="preserve">Technological and economic forces influence the internet and mobile banking strategies of HSBC and Lloyds. As a digital first mover, HSBC uses AI, cloud computing and cybersecurity to stay ahead, and LLLD strategies are cost-effective innovations and consistent digital footprints. Digitisation, security and risk reduction need to be a priority </w:t>
      </w:r>
      <w:r w:rsidRPr="00F1266B">
        <w:rPr>
          <w:rFonts w:ascii="Arial" w:hAnsi="Arial" w:cs="Arial"/>
          <w:lang w:val="en-GB"/>
        </w:rPr>
        <w:lastRenderedPageBreak/>
        <w:t>for both banks (Grewal and Levy, 2021). The strategic marketing mix should focus on safety, reliability, mobile-first, AI-based tools, instant payments, and fintech collaborations to be competitive in the changing UK digital banking environment.</w:t>
      </w:r>
    </w:p>
    <w:p w14:paraId="214B3649" w14:textId="14677455" w:rsidR="00F1266B" w:rsidRPr="00F1266B" w:rsidRDefault="00AE744A" w:rsidP="00AE744A">
      <w:pPr>
        <w:pStyle w:val="Heading1"/>
        <w:rPr>
          <w:lang w:val="en-GB"/>
        </w:rPr>
      </w:pPr>
      <w:bookmarkStart w:id="5" w:name="_Toc214570222"/>
      <w:r>
        <w:rPr>
          <w:lang w:val="en-GB"/>
        </w:rPr>
        <w:t xml:space="preserve">3. </w:t>
      </w:r>
      <w:r w:rsidR="00F1266B" w:rsidRPr="00F1266B">
        <w:rPr>
          <w:lang w:val="en-GB"/>
        </w:rPr>
        <w:t>Task 2: Strategic Responses of Pioneering and Follower Organisations</w:t>
      </w:r>
      <w:bookmarkEnd w:id="5"/>
    </w:p>
    <w:p w14:paraId="5D6E4298" w14:textId="77777777" w:rsidR="00F1266B" w:rsidRPr="00F1266B" w:rsidRDefault="00F1266B" w:rsidP="00AE744A">
      <w:pPr>
        <w:pStyle w:val="Heading2"/>
        <w:rPr>
          <w:lang w:val="en-GB"/>
        </w:rPr>
      </w:pPr>
      <w:bookmarkStart w:id="6" w:name="_Toc214570223"/>
      <w:r w:rsidRPr="00F1266B">
        <w:rPr>
          <w:lang w:val="en-GB"/>
        </w:rPr>
        <w:t>3.1 Pioneering Organisations' Strategic Responses (HSBC)</w:t>
      </w:r>
      <w:bookmarkEnd w:id="6"/>
    </w:p>
    <w:p w14:paraId="69FDA446"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Innovative organisations tend to focus more on the industry and on the active and innovative approach of focusing on external challenges and opportunities, rather than following the set standards. To remain a global banking leader, HSBC is constantly investing in technological innovation, digital transformation and growth in stock markets around the globe. In reacting to the macro-environmental changes, especially in the technological facets, regulatory changes and changes in the economic environment, HSBC has proactively assumed positions in converting digital banking to global markets (Park, 2020). It is a forward-thinking strategic approach that will aid HSBC in retaining the degree of competition, evolving its engagement with its audience, and establishing a digital banking blueprint. Two popular models that can help to understand the strategic direction of HSBC and how the organisation copes with the complex market environment are the Ansoff Growth Matrix and Porter's Generic Strategies. The Ansoff Growth Matrix aids the digital strategy of HSBC to integrate market penetration, product development and diversification. With regard to market penetration, the bank would encourage the use of online platforms among the existing customers rather than brick-and-mortar. The important projects are biometric login, computer-generated fraud warning, personal messages, and enhanced mobile banking applications (Grewal and Levy, 2021). Not only will this enhance convenience for the customer, but retention and loyalty also will be enhanced as the digital experience will be convenient and secure. This advertising of customer-oriented digital solutions describes the scope of how HSBC can demonstrate its willingness in an ever-competitive world market.</w:t>
      </w:r>
    </w:p>
    <w:p w14:paraId="4293F037"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 xml:space="preserve">Product development is progressive, as HSBC has been incorporating the most recent technologies in its services. They are live cross-border money transfer systems, mobile investment products and chatbot customer service assistants which are operated by AI </w:t>
      </w:r>
      <w:r w:rsidRPr="00F1266B">
        <w:rPr>
          <w:rFonts w:ascii="Arial" w:hAnsi="Arial" w:cs="Arial"/>
          <w:lang w:val="en-GB"/>
        </w:rPr>
        <w:lastRenderedPageBreak/>
        <w:t>and creative advisory systems. The dominant innovations include customer activity-oriented innovations, including investments in cloud computing, cybersecurity, and open banking APIs that enable HSBC to determine the expectations and industry standards of customers. In addition, for the tech-savvy or young consumers, the bank has digital-first products, which are diversified as part of its diversification policy (Bagozzi et al., 2018). The collaboration with payment-focused, digital wealth management-focused, and cybersecurity-focused fintech firms also reflects the proactive character of the HSBC strategy, which will assist the bank in decreasing its dependency on the conventional banking ecosystem and will contribute to an increase in its competitive advantage.</w:t>
      </w:r>
    </w:p>
    <w:p w14:paraId="40733F34"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The HSBC strategic orientation can also be described as under the general strategies described by Porter. Its main product strategy is differentiation, as well as specialisation in high-level digitalisation, services accessible across the globe, and quality without price. This privileged role is supported by massive investments in the AI-based fraud-detection systems, cybersecurity, and customer-experience innovations, seeking to cater to its clients who could appreciate innovation, security, and a connected world. Meanwhile, HSBC is adding a cost leadership dimension of simplifying the operations through the optimisation of branches and the automation of procedures. With the use of such, they would save on operations in the long run, they would be able to continue their innovations, and they would be able to withstand the macroeconomic pressure. The creative behaviour of HSBC is also reflected in some of the industry-first programmes. The bank became among the first banks to experiment with AI in making credit solutions, as well as detecting fraud. It has embarked on front-running blockchain-based trade finance solutions and global standardisation of its mobile banking applications to provide a similar amount of customer service (Aaker and Moorman, 2023). Overall, HSBC's strategic response has to do with the dimension of pioneer high investment, risk-taking, calculability, differentiated digital services, and active creation of customer expectations. These strategies guarantee HSBC a dominant position on the market, but they also precondition the future of digital banking in the entire world.</w:t>
      </w:r>
    </w:p>
    <w:p w14:paraId="2B3AFFB7" w14:textId="77777777" w:rsidR="00AE744A" w:rsidRDefault="00AE744A">
      <w:pPr>
        <w:rPr>
          <w:rFonts w:ascii="Arial" w:hAnsi="Arial" w:cs="Arial"/>
          <w:b/>
          <w:bCs/>
          <w:lang w:val="en-GB"/>
        </w:rPr>
      </w:pPr>
      <w:r>
        <w:rPr>
          <w:rFonts w:ascii="Arial" w:hAnsi="Arial" w:cs="Arial"/>
          <w:b/>
          <w:bCs/>
          <w:lang w:val="en-GB"/>
        </w:rPr>
        <w:br w:type="page"/>
      </w:r>
    </w:p>
    <w:p w14:paraId="204C83D6" w14:textId="5FE6904F" w:rsidR="00F1266B" w:rsidRPr="00F1266B" w:rsidRDefault="00F1266B" w:rsidP="00AE744A">
      <w:pPr>
        <w:pStyle w:val="Heading2"/>
        <w:rPr>
          <w:lang w:val="en-GB"/>
        </w:rPr>
      </w:pPr>
      <w:bookmarkStart w:id="7" w:name="_Toc214570224"/>
      <w:r w:rsidRPr="00F1266B">
        <w:rPr>
          <w:lang w:val="en-GB"/>
        </w:rPr>
        <w:lastRenderedPageBreak/>
        <w:t>3.2 Strategic Responses of Follower Organisations (Lloyds Bank)</w:t>
      </w:r>
      <w:bookmarkEnd w:id="7"/>
    </w:p>
    <w:p w14:paraId="326A6955"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Follower organisations like Lloyds Bank have strategies that allow them to compete in positioning and lessen the risks and expenditure of the innovators. The customers are observing first-mover strategy, market response to technological deployments, and the trade-off between innovation and operational predictability (Aaker and Moorman, 2023). Like HSBC, the strategic choices of Lloyds can be related to the Ansoff Growth Matrix and Porter's Generic Strategies that help to demonstrate the differences between pioneers and followers.</w:t>
      </w:r>
    </w:p>
    <w:p w14:paraId="3757AB62"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As part of its market penetration strategy that emphasises digital transformation, Lloyds will expand mobile banking and close over 100 branches and pool its resources on online provision. Easier to navigate mobile apps, faster payments, expanded fraud detection, and encourage back-to-the-app and retention (Park, 2020). Lloyds, unlike HSBC, adopts features after they have been tested and confirmed to be working by pioneers, and it rules out doubt.</w:t>
      </w:r>
    </w:p>
    <w:p w14:paraId="3956AFB6"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In the development of the products at Lloyds, the target will be to test technologies such as cloud computing, AI-based chatbots, and lending algorithms. At the same time, HSBC is an early adopter of open-banking APIs, but sceptical of stores, tuning in on the cost-effectiveness of their implementation (Deepak and Jeyakumar, 2019). The diversification is restricted, and incremental innovation in the work of the back office and a few fintech relations enhances efficiency and customer experience with low risks.</w:t>
      </w:r>
    </w:p>
    <w:p w14:paraId="4D9F9C2D"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Lloyds possesses a significant cost leadership strategy as provided by Porter. Automation, migration to the cloud, and branch closure create business efficiencies, facilitating the digital transformation (Aarikka-Stenroos and Ritala, 2017). They are differentiated, but on the domestic UK retail and commercial market and localisation of the products through budgeting, secure messaging and mortgage services. The plan wins customer loyalty without bringing in international business intricacies and expenditure.</w:t>
      </w:r>
    </w:p>
    <w:p w14:paraId="7F3759FD"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 xml:space="preserve">Lifelike implementations of the follower plan in Lloyds are biometric account access, AI-assisted fraud detection and cloud migration, which occurred after the first movers demonstrated their effectiveness (Aarikka-Stenroos and Ritala, 2017). Lloyds minimises </w:t>
      </w:r>
      <w:r w:rsidRPr="00F1266B">
        <w:rPr>
          <w:rFonts w:ascii="Arial" w:hAnsi="Arial" w:cs="Arial"/>
          <w:lang w:val="en-GB"/>
        </w:rPr>
        <w:lastRenderedPageBreak/>
        <w:t>risk and increases reliability and efficiency in operations, taking advantage of the proven solutions.</w:t>
      </w:r>
    </w:p>
    <w:p w14:paraId="0984317B" w14:textId="77777777"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To conclude, the strategy of followers is characterised by the cautious consumption of technological innovations, a slow but steady rise in the degree of digitalisation and productivity, and prudent risk-taking (Park, 2020). This will create a balance in stability and competitiveness, and enable digital banking to operate successfully in the long run.</w:t>
      </w:r>
    </w:p>
    <w:p w14:paraId="53125698" w14:textId="77777777" w:rsidR="00AE744A" w:rsidRDefault="00AE744A">
      <w:pPr>
        <w:rPr>
          <w:rFonts w:ascii="Arial" w:hAnsi="Arial" w:cs="Arial"/>
          <w:b/>
          <w:bCs/>
          <w:lang w:val="en-GB"/>
        </w:rPr>
      </w:pPr>
      <w:r>
        <w:rPr>
          <w:rFonts w:ascii="Arial" w:hAnsi="Arial" w:cs="Arial"/>
          <w:b/>
          <w:bCs/>
          <w:lang w:val="en-GB"/>
        </w:rPr>
        <w:br w:type="page"/>
      </w:r>
    </w:p>
    <w:p w14:paraId="2F6AE4D2" w14:textId="04628844" w:rsidR="00F1266B" w:rsidRPr="00F1266B" w:rsidRDefault="00AE744A" w:rsidP="00AE744A">
      <w:pPr>
        <w:pStyle w:val="Heading1"/>
        <w:rPr>
          <w:lang w:val="en-GB"/>
        </w:rPr>
      </w:pPr>
      <w:bookmarkStart w:id="8" w:name="_Toc214570225"/>
      <w:r>
        <w:rPr>
          <w:lang w:val="en-GB"/>
        </w:rPr>
        <w:lastRenderedPageBreak/>
        <w:t xml:space="preserve">4. </w:t>
      </w:r>
      <w:r w:rsidR="00F1266B" w:rsidRPr="00F1266B">
        <w:rPr>
          <w:lang w:val="en-GB"/>
        </w:rPr>
        <w:t>Conclusion</w:t>
      </w:r>
      <w:bookmarkEnd w:id="8"/>
    </w:p>
    <w:p w14:paraId="4DFD8427" w14:textId="6ABBC7D6" w:rsidR="00F1266B" w:rsidRPr="00F1266B" w:rsidRDefault="00F1266B" w:rsidP="00AE744A">
      <w:pPr>
        <w:spacing w:line="360" w:lineRule="auto"/>
        <w:jc w:val="both"/>
        <w:rPr>
          <w:rFonts w:ascii="Arial" w:hAnsi="Arial" w:cs="Arial"/>
          <w:lang w:val="en-GB"/>
        </w:rPr>
      </w:pPr>
      <w:r w:rsidRPr="00F1266B">
        <w:rPr>
          <w:rFonts w:ascii="Arial" w:hAnsi="Arial" w:cs="Arial"/>
          <w:lang w:val="en-GB"/>
        </w:rPr>
        <w:t>The macro marketing environment and strategic actions of pioneer and follower organisations indicate a leading role in the environment scanning and responsive strategic action in the current banking environment. The strongest macro-actors that have been impacting internet and mobile banking development are technological and economic. At HSBC and at Lloyds, the forces are a globally accelerating digital change, increased cyber risk, volatile profitability, and changing consumer demands. Such changes are not easy to make, yet they introduce considerable efficiencies, better customer contact, and competitive advantage.</w:t>
      </w:r>
      <w:r w:rsidRPr="00AE744A">
        <w:rPr>
          <w:rFonts w:ascii="Arial" w:hAnsi="Arial" w:cs="Arial"/>
          <w:lang w:val="en-GB"/>
        </w:rPr>
        <w:t xml:space="preserve"> </w:t>
      </w:r>
      <w:r w:rsidRPr="00F1266B">
        <w:rPr>
          <w:rFonts w:ascii="Arial" w:hAnsi="Arial" w:cs="Arial"/>
          <w:lang w:val="en-GB"/>
        </w:rPr>
        <w:t>Being a first-mover, HSBC has responded to environmental trends by investing in innovation and adopting new technologies early in their lifecycle and differentiation through its global digital capabilities. The strategies used, as demonstrated in the Ansoff Matrix and Porter's Generic Strategies, reveal that it is eager to shape the market expectations and take the risk of being the first mover. Lloyds Bank, conversely, possesses a stability-oriented, cost-efficient, and slowly improving flow rate. Lloyds mitigate risk by joining the pioneer and hence applies digital innovations in a more cautious manner and rolls out on a large scale once they are able to establish their value. The results obtained in collaboration prove the strategic value of the existing environmental analysis to assist marketing and digital transformation decision-making. In an active technological and economic environment, decipherability of external factors and scalability of the approach between the first mover and the next are skill sets that are required to stay competitive and meet evolving customer demands.</w:t>
      </w:r>
    </w:p>
    <w:p w14:paraId="505CA51E" w14:textId="77777777" w:rsidR="00056FC2" w:rsidRPr="00AE744A" w:rsidRDefault="00056FC2" w:rsidP="00AE744A">
      <w:pPr>
        <w:spacing w:line="360" w:lineRule="auto"/>
        <w:jc w:val="both"/>
        <w:rPr>
          <w:rFonts w:ascii="Arial" w:hAnsi="Arial" w:cs="Arial"/>
          <w:lang w:val="en-GB"/>
        </w:rPr>
      </w:pPr>
    </w:p>
    <w:p w14:paraId="1DBB61D5" w14:textId="77777777" w:rsidR="00056FC2" w:rsidRPr="00AE744A" w:rsidRDefault="00056FC2" w:rsidP="00AE744A">
      <w:pPr>
        <w:spacing w:line="360" w:lineRule="auto"/>
        <w:jc w:val="both"/>
        <w:rPr>
          <w:rFonts w:ascii="Arial" w:hAnsi="Arial" w:cs="Arial"/>
          <w:lang w:val="en-GB"/>
        </w:rPr>
      </w:pPr>
    </w:p>
    <w:p w14:paraId="2447BA74" w14:textId="77777777" w:rsidR="00056FC2" w:rsidRPr="00AE744A" w:rsidRDefault="00056FC2" w:rsidP="00AE744A">
      <w:pPr>
        <w:spacing w:line="360" w:lineRule="auto"/>
        <w:jc w:val="both"/>
        <w:rPr>
          <w:rFonts w:ascii="Arial" w:hAnsi="Arial" w:cs="Arial"/>
          <w:lang w:val="en-GB"/>
        </w:rPr>
      </w:pPr>
    </w:p>
    <w:p w14:paraId="2DFDD1CB" w14:textId="77777777" w:rsidR="00AE744A" w:rsidRDefault="00AE744A">
      <w:pPr>
        <w:rPr>
          <w:rFonts w:ascii="Arial" w:hAnsi="Arial" w:cs="Arial"/>
          <w:b/>
          <w:bCs/>
          <w:lang w:val="en-GB"/>
        </w:rPr>
      </w:pPr>
      <w:r>
        <w:rPr>
          <w:rFonts w:ascii="Arial" w:hAnsi="Arial" w:cs="Arial"/>
          <w:b/>
          <w:bCs/>
          <w:lang w:val="en-GB"/>
        </w:rPr>
        <w:br w:type="page"/>
      </w:r>
    </w:p>
    <w:p w14:paraId="2390E189" w14:textId="49694D30" w:rsidR="00056FC2" w:rsidRPr="00AE744A" w:rsidRDefault="00AE744A" w:rsidP="0059124E">
      <w:pPr>
        <w:pStyle w:val="Heading1"/>
        <w:rPr>
          <w:lang w:val="en-GB"/>
        </w:rPr>
      </w:pPr>
      <w:bookmarkStart w:id="9" w:name="_Toc214570226"/>
      <w:r>
        <w:rPr>
          <w:lang w:val="en-GB"/>
        </w:rPr>
        <w:lastRenderedPageBreak/>
        <w:t xml:space="preserve">5. </w:t>
      </w:r>
      <w:r w:rsidR="00056FC2" w:rsidRPr="00AE744A">
        <w:rPr>
          <w:lang w:val="en-GB"/>
        </w:rPr>
        <w:t>Reference</w:t>
      </w:r>
      <w:r w:rsidR="0059124E">
        <w:rPr>
          <w:lang w:val="en-GB"/>
        </w:rPr>
        <w:t>s</w:t>
      </w:r>
      <w:bookmarkEnd w:id="9"/>
    </w:p>
    <w:p w14:paraId="5E30E5E8"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Aaker, D.A. and Moorman, C., 2023. </w:t>
      </w:r>
      <w:r w:rsidRPr="00AE744A">
        <w:rPr>
          <w:rFonts w:ascii="Arial" w:hAnsi="Arial" w:cs="Arial"/>
          <w:i/>
          <w:iCs/>
          <w:lang w:val="en-GB"/>
        </w:rPr>
        <w:t>Strategic market management</w:t>
      </w:r>
      <w:r w:rsidRPr="00AE744A">
        <w:rPr>
          <w:rFonts w:ascii="Arial" w:hAnsi="Arial" w:cs="Arial"/>
          <w:lang w:val="en-GB"/>
        </w:rPr>
        <w:t>. John Wiley &amp; Sons.</w:t>
      </w:r>
    </w:p>
    <w:p w14:paraId="14F0CBE7"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Aarikka-Stenroos, L. and Ritala, P., 2017. Network management in the era of ecosystems: Systematic review and management framework. </w:t>
      </w:r>
      <w:r w:rsidRPr="00AE744A">
        <w:rPr>
          <w:rFonts w:ascii="Arial" w:hAnsi="Arial" w:cs="Arial"/>
          <w:i/>
          <w:iCs/>
          <w:lang w:val="en-GB"/>
        </w:rPr>
        <w:t>Industrial marketing management</w:t>
      </w:r>
      <w:r w:rsidRPr="00AE744A">
        <w:rPr>
          <w:rFonts w:ascii="Arial" w:hAnsi="Arial" w:cs="Arial"/>
          <w:lang w:val="en-GB"/>
        </w:rPr>
        <w:t>, </w:t>
      </w:r>
      <w:r w:rsidRPr="00AE744A">
        <w:rPr>
          <w:rFonts w:ascii="Arial" w:hAnsi="Arial" w:cs="Arial"/>
          <w:i/>
          <w:iCs/>
          <w:lang w:val="en-GB"/>
        </w:rPr>
        <w:t>67</w:t>
      </w:r>
      <w:r w:rsidRPr="00AE744A">
        <w:rPr>
          <w:rFonts w:ascii="Arial" w:hAnsi="Arial" w:cs="Arial"/>
          <w:lang w:val="en-GB"/>
        </w:rPr>
        <w:t>, pp.23-36.</w:t>
      </w:r>
    </w:p>
    <w:p w14:paraId="74CB0F7E"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Bagozzi, R.P., Rosa, J.A., Celly, K.S. and Coronel, F., 2018. </w:t>
      </w:r>
      <w:r w:rsidRPr="00AE744A">
        <w:rPr>
          <w:rFonts w:ascii="Arial" w:hAnsi="Arial" w:cs="Arial"/>
          <w:i/>
          <w:iCs/>
          <w:lang w:val="en-GB"/>
        </w:rPr>
        <w:t>Marketing-Management</w:t>
      </w:r>
      <w:r w:rsidRPr="00AE744A">
        <w:rPr>
          <w:rFonts w:ascii="Arial" w:hAnsi="Arial" w:cs="Arial"/>
          <w:lang w:val="en-GB"/>
        </w:rPr>
        <w:t>. Walter de Gruyter GmbH &amp; Co KG.</w:t>
      </w:r>
    </w:p>
    <w:p w14:paraId="2D1E45EB"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Bruhn, M., 2016. </w:t>
      </w:r>
      <w:r w:rsidRPr="00AE744A">
        <w:rPr>
          <w:rFonts w:ascii="Arial" w:hAnsi="Arial" w:cs="Arial"/>
          <w:i/>
          <w:iCs/>
          <w:lang w:val="en-GB"/>
        </w:rPr>
        <w:t>Relationship marketing: das management von kundenbeziehungen</w:t>
      </w:r>
      <w:r w:rsidRPr="00AE744A">
        <w:rPr>
          <w:rFonts w:ascii="Arial" w:hAnsi="Arial" w:cs="Arial"/>
          <w:lang w:val="en-GB"/>
        </w:rPr>
        <w:t>. Vahlen.</w:t>
      </w:r>
    </w:p>
    <w:p w14:paraId="7D6D06A2"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Deepak, R.K.A. and Jeyakumar, S., 2019. </w:t>
      </w:r>
      <w:r w:rsidRPr="00AE744A">
        <w:rPr>
          <w:rFonts w:ascii="Arial" w:hAnsi="Arial" w:cs="Arial"/>
          <w:i/>
          <w:iCs/>
          <w:lang w:val="en-GB"/>
        </w:rPr>
        <w:t>Marketing management</w:t>
      </w:r>
      <w:r w:rsidRPr="00AE744A">
        <w:rPr>
          <w:rFonts w:ascii="Arial" w:hAnsi="Arial" w:cs="Arial"/>
          <w:lang w:val="en-GB"/>
        </w:rPr>
        <w:t>. Educreation Publishing.</w:t>
      </w:r>
    </w:p>
    <w:p w14:paraId="5AA472E1"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Grewal, D. and Levy, M., 2021. </w:t>
      </w:r>
      <w:r w:rsidRPr="00AE744A">
        <w:rPr>
          <w:rFonts w:ascii="Arial" w:hAnsi="Arial" w:cs="Arial"/>
          <w:i/>
          <w:iCs/>
          <w:lang w:val="en-GB"/>
        </w:rPr>
        <w:t>M: marketing</w:t>
      </w:r>
      <w:r w:rsidRPr="00AE744A">
        <w:rPr>
          <w:rFonts w:ascii="Arial" w:hAnsi="Arial" w:cs="Arial"/>
          <w:lang w:val="en-GB"/>
        </w:rPr>
        <w:t> (p. 480). McGraw-Hill Education.</w:t>
      </w:r>
    </w:p>
    <w:p w14:paraId="71D80FA8"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Gronroos, C., 2016. </w:t>
      </w:r>
      <w:r w:rsidRPr="00AE744A">
        <w:rPr>
          <w:rFonts w:ascii="Arial" w:hAnsi="Arial" w:cs="Arial"/>
          <w:i/>
          <w:iCs/>
          <w:lang w:val="en-GB"/>
        </w:rPr>
        <w:t>Service management and marketing: Managing the service profit logic</w:t>
      </w:r>
      <w:r w:rsidRPr="00AE744A">
        <w:rPr>
          <w:rFonts w:ascii="Arial" w:hAnsi="Arial" w:cs="Arial"/>
          <w:lang w:val="en-GB"/>
        </w:rPr>
        <w:t>. John Wiley &amp; Sons.</w:t>
      </w:r>
    </w:p>
    <w:p w14:paraId="08DD8BC8"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Kotabe, M.M. and Helsen, K., 2022. </w:t>
      </w:r>
      <w:r w:rsidRPr="00AE744A">
        <w:rPr>
          <w:rFonts w:ascii="Arial" w:hAnsi="Arial" w:cs="Arial"/>
          <w:i/>
          <w:iCs/>
          <w:lang w:val="en-GB"/>
        </w:rPr>
        <w:t>Global marketing management</w:t>
      </w:r>
      <w:r w:rsidRPr="00AE744A">
        <w:rPr>
          <w:rFonts w:ascii="Arial" w:hAnsi="Arial" w:cs="Arial"/>
          <w:lang w:val="en-GB"/>
        </w:rPr>
        <w:t>. John Wiley &amp; Sons.</w:t>
      </w:r>
    </w:p>
    <w:p w14:paraId="364832ED"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Kotler, P. and Keller, K.L., 2016. Marketing managemen.</w:t>
      </w:r>
    </w:p>
    <w:p w14:paraId="0AD67B94"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Kotler, P., Keller, K.L. and Chernev, A., 2022. </w:t>
      </w:r>
      <w:r w:rsidRPr="00AE744A">
        <w:rPr>
          <w:rFonts w:ascii="Arial" w:hAnsi="Arial" w:cs="Arial"/>
          <w:i/>
          <w:iCs/>
          <w:lang w:val="en-GB"/>
        </w:rPr>
        <w:t>Marketing Management 16e</w:t>
      </w:r>
      <w:r w:rsidRPr="00AE744A">
        <w:rPr>
          <w:rFonts w:ascii="Arial" w:hAnsi="Arial" w:cs="Arial"/>
          <w:lang w:val="en-GB"/>
        </w:rPr>
        <w:t> (p. 143). Pearson India.</w:t>
      </w:r>
    </w:p>
    <w:p w14:paraId="614F8932" w14:textId="77777777" w:rsidR="00AE744A" w:rsidRPr="00AE744A" w:rsidRDefault="00AE744A" w:rsidP="00AE744A">
      <w:pPr>
        <w:spacing w:line="360" w:lineRule="auto"/>
        <w:jc w:val="both"/>
        <w:rPr>
          <w:rFonts w:ascii="Arial" w:hAnsi="Arial" w:cs="Arial"/>
          <w:lang w:val="en-GB"/>
        </w:rPr>
      </w:pPr>
      <w:r w:rsidRPr="00AE744A">
        <w:rPr>
          <w:rFonts w:ascii="Arial" w:hAnsi="Arial" w:cs="Arial"/>
          <w:lang w:val="en-GB"/>
        </w:rPr>
        <w:t>Kotler, P., Keller, K.L., Ang, S.H., Tan, C.T. and Leong, S.M., 2022. Marketing management: an Asian perspective.</w:t>
      </w:r>
    </w:p>
    <w:p w14:paraId="434F385A" w14:textId="4CA3F964" w:rsidR="00E17F0E" w:rsidRDefault="00AE744A" w:rsidP="00AE744A">
      <w:pPr>
        <w:spacing w:line="360" w:lineRule="auto"/>
        <w:jc w:val="both"/>
        <w:rPr>
          <w:rFonts w:ascii="Arial" w:hAnsi="Arial" w:cs="Arial"/>
          <w:lang w:val="en-GB"/>
        </w:rPr>
      </w:pPr>
      <w:r w:rsidRPr="00AE744A">
        <w:rPr>
          <w:rFonts w:ascii="Arial" w:hAnsi="Arial" w:cs="Arial"/>
          <w:lang w:val="en-GB"/>
        </w:rPr>
        <w:t>Park, S., 2020. </w:t>
      </w:r>
      <w:r w:rsidRPr="00AE744A">
        <w:rPr>
          <w:rFonts w:ascii="Arial" w:hAnsi="Arial" w:cs="Arial"/>
          <w:i/>
          <w:iCs/>
          <w:lang w:val="en-GB"/>
        </w:rPr>
        <w:t>Marketing management</w:t>
      </w:r>
      <w:r w:rsidRPr="00AE744A">
        <w:rPr>
          <w:rFonts w:ascii="Arial" w:hAnsi="Arial" w:cs="Arial"/>
          <w:lang w:val="en-GB"/>
        </w:rPr>
        <w:t> (Vol. 3). Seohee Academy.</w:t>
      </w:r>
    </w:p>
    <w:p w14:paraId="23D8BBA9" w14:textId="17CC8243" w:rsidR="00AE744A" w:rsidRPr="00AE744A" w:rsidRDefault="00AE744A" w:rsidP="00131707">
      <w:pPr>
        <w:rPr>
          <w:rFonts w:ascii="Arial" w:hAnsi="Arial" w:cs="Arial"/>
          <w:lang w:val="en-GB"/>
        </w:rPr>
      </w:pPr>
    </w:p>
    <w:sectPr w:rsidR="00AE744A" w:rsidRPr="00AE74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776"/>
    <w:rsid w:val="00004F47"/>
    <w:rsid w:val="000214AA"/>
    <w:rsid w:val="00034883"/>
    <w:rsid w:val="00056FC2"/>
    <w:rsid w:val="00097657"/>
    <w:rsid w:val="000C2DAE"/>
    <w:rsid w:val="00105B32"/>
    <w:rsid w:val="00131707"/>
    <w:rsid w:val="0018232C"/>
    <w:rsid w:val="001C3293"/>
    <w:rsid w:val="0026586B"/>
    <w:rsid w:val="00323537"/>
    <w:rsid w:val="003A6B38"/>
    <w:rsid w:val="003B298F"/>
    <w:rsid w:val="00412F7B"/>
    <w:rsid w:val="00417221"/>
    <w:rsid w:val="00437B25"/>
    <w:rsid w:val="00471BE0"/>
    <w:rsid w:val="004D7AD3"/>
    <w:rsid w:val="00531F6F"/>
    <w:rsid w:val="005575C8"/>
    <w:rsid w:val="0057709C"/>
    <w:rsid w:val="0059124E"/>
    <w:rsid w:val="005B09C6"/>
    <w:rsid w:val="005C43DC"/>
    <w:rsid w:val="00607973"/>
    <w:rsid w:val="00681977"/>
    <w:rsid w:val="006C4776"/>
    <w:rsid w:val="00717C1D"/>
    <w:rsid w:val="00785098"/>
    <w:rsid w:val="007A697D"/>
    <w:rsid w:val="00874390"/>
    <w:rsid w:val="00913EA2"/>
    <w:rsid w:val="0092454B"/>
    <w:rsid w:val="0093203F"/>
    <w:rsid w:val="0098083E"/>
    <w:rsid w:val="009D0D07"/>
    <w:rsid w:val="009F3EA6"/>
    <w:rsid w:val="00A33A91"/>
    <w:rsid w:val="00A602AE"/>
    <w:rsid w:val="00A929A3"/>
    <w:rsid w:val="00AB2C74"/>
    <w:rsid w:val="00AE744A"/>
    <w:rsid w:val="00B53686"/>
    <w:rsid w:val="00B95F76"/>
    <w:rsid w:val="00C071CC"/>
    <w:rsid w:val="00CF1A25"/>
    <w:rsid w:val="00DA3668"/>
    <w:rsid w:val="00E00686"/>
    <w:rsid w:val="00E17F0E"/>
    <w:rsid w:val="00E7083F"/>
    <w:rsid w:val="00ED0144"/>
    <w:rsid w:val="00F1266B"/>
    <w:rsid w:val="00F215AA"/>
    <w:rsid w:val="00F272C9"/>
    <w:rsid w:val="00F44D6F"/>
    <w:rsid w:val="00F97989"/>
    <w:rsid w:val="00FE6C9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1B79"/>
  <w15:chartTrackingRefBased/>
  <w15:docId w15:val="{B4A8C368-8EBD-453C-B5C8-4BAD9157E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66B"/>
    <w:pPr>
      <w:keepNext/>
      <w:keepLines/>
      <w:spacing w:before="360" w:after="80" w:line="360" w:lineRule="auto"/>
      <w:jc w:val="both"/>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unhideWhenUsed/>
    <w:qFormat/>
    <w:rsid w:val="00F1266B"/>
    <w:pPr>
      <w:keepNext/>
      <w:keepLines/>
      <w:spacing w:before="160" w:after="80" w:line="360" w:lineRule="auto"/>
      <w:jc w:val="both"/>
      <w:outlineLvl w:val="1"/>
    </w:pPr>
    <w:rPr>
      <w:rFonts w:ascii="Arial" w:eastAsiaTheme="majorEastAsia" w:hAnsi="Arial" w:cstheme="majorBidi"/>
      <w:b/>
      <w:color w:val="000000" w:themeColor="text1"/>
      <w:szCs w:val="32"/>
    </w:rPr>
  </w:style>
  <w:style w:type="paragraph" w:styleId="Heading3">
    <w:name w:val="heading 3"/>
    <w:basedOn w:val="Normal"/>
    <w:next w:val="Normal"/>
    <w:link w:val="Heading3Char"/>
    <w:uiPriority w:val="9"/>
    <w:semiHidden/>
    <w:unhideWhenUsed/>
    <w:qFormat/>
    <w:rsid w:val="006C4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66B"/>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F1266B"/>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6C4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776"/>
    <w:rPr>
      <w:rFonts w:eastAsiaTheme="majorEastAsia" w:cstheme="majorBidi"/>
      <w:color w:val="272727" w:themeColor="text1" w:themeTint="D8"/>
    </w:rPr>
  </w:style>
  <w:style w:type="paragraph" w:styleId="Title">
    <w:name w:val="Title"/>
    <w:basedOn w:val="Normal"/>
    <w:next w:val="Normal"/>
    <w:link w:val="TitleChar"/>
    <w:uiPriority w:val="10"/>
    <w:qFormat/>
    <w:rsid w:val="006C4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776"/>
    <w:pPr>
      <w:spacing w:before="160"/>
      <w:jc w:val="center"/>
    </w:pPr>
    <w:rPr>
      <w:i/>
      <w:iCs/>
      <w:color w:val="404040" w:themeColor="text1" w:themeTint="BF"/>
    </w:rPr>
  </w:style>
  <w:style w:type="character" w:customStyle="1" w:styleId="QuoteChar">
    <w:name w:val="Quote Char"/>
    <w:basedOn w:val="DefaultParagraphFont"/>
    <w:link w:val="Quote"/>
    <w:uiPriority w:val="29"/>
    <w:rsid w:val="006C4776"/>
    <w:rPr>
      <w:i/>
      <w:iCs/>
      <w:color w:val="404040" w:themeColor="text1" w:themeTint="BF"/>
    </w:rPr>
  </w:style>
  <w:style w:type="paragraph" w:styleId="ListParagraph">
    <w:name w:val="List Paragraph"/>
    <w:basedOn w:val="Normal"/>
    <w:uiPriority w:val="34"/>
    <w:qFormat/>
    <w:rsid w:val="006C4776"/>
    <w:pPr>
      <w:ind w:left="720"/>
      <w:contextualSpacing/>
    </w:pPr>
  </w:style>
  <w:style w:type="character" w:styleId="IntenseEmphasis">
    <w:name w:val="Intense Emphasis"/>
    <w:basedOn w:val="DefaultParagraphFont"/>
    <w:uiPriority w:val="21"/>
    <w:qFormat/>
    <w:rsid w:val="006C4776"/>
    <w:rPr>
      <w:i/>
      <w:iCs/>
      <w:color w:val="0F4761" w:themeColor="accent1" w:themeShade="BF"/>
    </w:rPr>
  </w:style>
  <w:style w:type="paragraph" w:styleId="IntenseQuote">
    <w:name w:val="Intense Quote"/>
    <w:basedOn w:val="Normal"/>
    <w:next w:val="Normal"/>
    <w:link w:val="IntenseQuoteChar"/>
    <w:uiPriority w:val="30"/>
    <w:qFormat/>
    <w:rsid w:val="006C4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776"/>
    <w:rPr>
      <w:i/>
      <w:iCs/>
      <w:color w:val="0F4761" w:themeColor="accent1" w:themeShade="BF"/>
    </w:rPr>
  </w:style>
  <w:style w:type="character" w:styleId="IntenseReference">
    <w:name w:val="Intense Reference"/>
    <w:basedOn w:val="DefaultParagraphFont"/>
    <w:uiPriority w:val="32"/>
    <w:qFormat/>
    <w:rsid w:val="006C4776"/>
    <w:rPr>
      <w:b/>
      <w:bCs/>
      <w:smallCaps/>
      <w:color w:val="0F4761" w:themeColor="accent1" w:themeShade="BF"/>
      <w:spacing w:val="5"/>
    </w:rPr>
  </w:style>
  <w:style w:type="paragraph" w:styleId="TOCHeading">
    <w:name w:val="TOC Heading"/>
    <w:basedOn w:val="Heading1"/>
    <w:next w:val="Normal"/>
    <w:uiPriority w:val="39"/>
    <w:unhideWhenUsed/>
    <w:qFormat/>
    <w:rsid w:val="00AE744A"/>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AE744A"/>
    <w:pPr>
      <w:spacing w:after="100"/>
    </w:pPr>
  </w:style>
  <w:style w:type="paragraph" w:styleId="TOC2">
    <w:name w:val="toc 2"/>
    <w:basedOn w:val="Normal"/>
    <w:next w:val="Normal"/>
    <w:autoRedefine/>
    <w:uiPriority w:val="39"/>
    <w:unhideWhenUsed/>
    <w:rsid w:val="00AE744A"/>
    <w:pPr>
      <w:spacing w:after="100"/>
      <w:ind w:left="240"/>
    </w:pPr>
  </w:style>
  <w:style w:type="character" w:styleId="Hyperlink">
    <w:name w:val="Hyperlink"/>
    <w:basedOn w:val="DefaultParagraphFont"/>
    <w:uiPriority w:val="99"/>
    <w:unhideWhenUsed/>
    <w:rsid w:val="00AE744A"/>
    <w:rPr>
      <w:color w:val="467886" w:themeColor="hyperlink"/>
      <w:u w:val="single"/>
    </w:rPr>
  </w:style>
  <w:style w:type="paragraph" w:styleId="NoSpacing">
    <w:name w:val="No Spacing"/>
    <w:uiPriority w:val="1"/>
    <w:qFormat/>
    <w:rsid w:val="00412F7B"/>
    <w:pPr>
      <w:spacing w:after="0" w:line="240" w:lineRule="auto"/>
    </w:pPr>
    <w:rPr>
      <w:szCs w:val="30"/>
      <w:lang w:bidi="bn-IN"/>
    </w:rPr>
  </w:style>
  <w:style w:type="character" w:styleId="UnresolvedMention">
    <w:name w:val="Unresolved Mention"/>
    <w:basedOn w:val="DefaultParagraphFont"/>
    <w:uiPriority w:val="99"/>
    <w:semiHidden/>
    <w:unhideWhenUsed/>
    <w:rsid w:val="005C4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odle.uwtsd.ac.uk/mod/resource/view.php?id=64838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4D92E-DD57-4169-9592-829343EEC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3034</Words>
  <Characters>17299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Ahram Parvej Shanto</cp:lastModifiedBy>
  <cp:revision>17</cp:revision>
  <dcterms:created xsi:type="dcterms:W3CDTF">2025-11-20T15:36:00Z</dcterms:created>
  <dcterms:modified xsi:type="dcterms:W3CDTF">2025-11-21T00:29:00Z</dcterms:modified>
</cp:coreProperties>
</file>