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Heading"/>
        <w:rPr/>
      </w:pPr>
      <w:r>
        <w:rPr>
          <w:rtl w:val="0"/>
          <w:lang w:val="en-US"/>
        </w:rPr>
        <w:t>Graeme Guthrie</w:t>
      </w:r>
    </w:p>
    <w:p>
      <w:pPr>
        <w:pStyle w:val="Body 2"/>
        <w:rPr>
          <w:color w:val="000000"/>
        </w:rPr>
      </w:pPr>
      <w:r>
        <w:rPr>
          <w:color w:val="000000"/>
          <w:rtl w:val="0"/>
          <w:lang w:val="en-US"/>
        </w:rPr>
        <w:t>Student 1805312</w:t>
      </w:r>
    </w:p>
    <w:p>
      <w:pPr>
        <w:pStyle w:val="Heading"/>
        <w:rPr/>
      </w:pPr>
      <w:r>
        <w:rPr/>
        <w:fldChar w:fldCharType="begin" w:fldLock="0"/>
      </w:r>
      <w:r>
        <w:rPr/>
        <w:instrText xml:space="preserve"> DATE \@ "d MMMM y" </w:instrText>
      </w:r>
      <w:r>
        <w:rPr/>
        <w:fldChar w:fldCharType="separate" w:fldLock="0"/>
      </w:r>
      <w:r>
        <w:rPr>
          <w:rtl w:val="0"/>
          <w:lang w:val="en-US"/>
        </w:rPr>
        <w:t>2 February 2019</w:t>
      </w:r>
      <w:r>
        <w:rPr/>
        <w:fldChar w:fldCharType="end" w:fldLock="1"/>
      </w:r>
    </w:p>
    <w:p>
      <w:pPr>
        <w:pStyle w:val="Heading"/>
        <w:bidi w:val="0"/>
      </w:pPr>
    </w:p>
    <w:p>
      <w:pPr>
        <w:pStyle w:val="Subtitle"/>
        <w:rPr>
          <w:sz w:val="38"/>
          <w:szCs w:val="38"/>
        </w:rPr>
      </w:pPr>
      <w:r>
        <w:rPr>
          <w:sz w:val="38"/>
          <w:szCs w:val="38"/>
          <w:rtl w:val="0"/>
          <w:lang w:val="en-US"/>
        </w:rPr>
        <w:t>With reference to texts from either the Old Testament or the New Testament (or both), and to other resources available to you, discuss the dangers of reading the Bible in a very literal way and the advantages of studying the Bible from an informed and scholarly position</w:t>
      </w:r>
      <w:r>
        <w:rPr>
          <w:sz w:val="38"/>
          <w:szCs w:val="38"/>
          <w:rtl w:val="0"/>
          <w:lang w:val="en-US"/>
        </w:rPr>
        <w:t>.</w:t>
      </w:r>
    </w:p>
    <w:p>
      <w:pPr>
        <w:pStyle w:val="Body 2"/>
        <w:rPr>
          <w:i w:val="1"/>
          <w:iCs w:val="1"/>
        </w:rPr>
      </w:pPr>
    </w:p>
    <w:p>
      <w:pPr>
        <w:pStyle w:val="Body 2"/>
        <w:rPr>
          <w:i w:val="1"/>
          <w:iCs w:val="1"/>
        </w:rPr>
      </w:pPr>
      <w:r>
        <w:rPr>
          <w:i w:val="1"/>
          <w:iCs w:val="1"/>
          <w:rtl w:val="0"/>
          <w:lang w:val="en-US"/>
        </w:rPr>
        <w:t>Introduction.</w:t>
      </w:r>
    </w:p>
    <w:p>
      <w:pPr>
        <w:pStyle w:val="Body 2"/>
        <w:bidi w:val="0"/>
      </w:pPr>
    </w:p>
    <w:p>
      <w:pPr>
        <w:pStyle w:val="Body 2"/>
        <w:bidi w:val="0"/>
      </w:pPr>
      <w:r>
        <w:rPr>
          <w:rtl w:val="0"/>
        </w:rPr>
        <w:t xml:space="preserve">In considering how a </w:t>
      </w:r>
      <w:r>
        <w:rPr>
          <w:rtl w:val="0"/>
        </w:rPr>
        <w:t>“</w:t>
      </w:r>
      <w:r>
        <w:rPr>
          <w:rtl w:val="0"/>
        </w:rPr>
        <w:t>literal</w:t>
      </w:r>
      <w:r>
        <w:rPr>
          <w:rtl w:val="0"/>
        </w:rPr>
        <w:t xml:space="preserve">” </w:t>
      </w:r>
      <w:r>
        <w:rPr>
          <w:rtl w:val="0"/>
        </w:rPr>
        <w:t>reading of a Biblical text can be dangerous I have chosen to focus on the book of Revelation, not least because it contains some of the most shockingly violent scenes in the Biblical canon.</w:t>
      </w:r>
      <w:r>
        <w:rPr>
          <w:rFonts w:ascii="Baskerville" w:cs="Baskerville" w:hAnsi="Baskerville" w:eastAsia="Baskerville"/>
          <w:b w:val="0"/>
          <w:bCs w:val="0"/>
          <w:i w:val="0"/>
          <w:iCs w:val="0"/>
          <w:vertAlign w:val="superscript"/>
        </w:rPr>
        <w:footnoteReference w:id="1"/>
      </w:r>
      <w:r>
        <w:rPr>
          <w:rtl w:val="0"/>
        </w:rPr>
        <w:t xml:space="preserve"> I shall structure this essay as follows: first, an example of how certain readings of the Apocalypse could be </w:t>
      </w:r>
      <w:r>
        <w:rPr>
          <w:rtl w:val="0"/>
        </w:rPr>
        <w:t>“</w:t>
      </w:r>
      <w:r>
        <w:rPr>
          <w:rtl w:val="0"/>
        </w:rPr>
        <w:t>dangerous</w:t>
      </w:r>
      <w:r>
        <w:rPr>
          <w:rtl w:val="0"/>
        </w:rPr>
        <w:t>”</w:t>
      </w:r>
      <w:r>
        <w:rPr>
          <w:rtl w:val="0"/>
        </w:rPr>
        <w:t>; secondly, a consideration of the nature of apocalyptic as a literary genre; thirdly a brief exegesis of Rev 13: 1-11 as an example of a more informed interpretation of the text, and finally offer some concluding thoughts.</w:t>
      </w:r>
    </w:p>
    <w:p>
      <w:pPr>
        <w:pStyle w:val="Body 2"/>
        <w:bidi w:val="0"/>
      </w:pPr>
    </w:p>
    <w:p>
      <w:pPr>
        <w:pStyle w:val="Body 2"/>
        <w:rPr>
          <w:i w:val="1"/>
          <w:iCs w:val="1"/>
        </w:rPr>
      </w:pPr>
      <w:r>
        <w:rPr>
          <w:i w:val="1"/>
          <w:iCs w:val="1"/>
          <w:rtl w:val="0"/>
          <w:lang w:val="en-US"/>
        </w:rPr>
        <w:t xml:space="preserve">A </w:t>
      </w:r>
      <w:r>
        <w:rPr>
          <w:i w:val="1"/>
          <w:iCs w:val="1"/>
          <w:rtl w:val="0"/>
          <w:lang w:val="en-US"/>
        </w:rPr>
        <w:t>“</w:t>
      </w:r>
      <w:r>
        <w:rPr>
          <w:i w:val="1"/>
          <w:iCs w:val="1"/>
          <w:rtl w:val="0"/>
          <w:lang w:val="en-US"/>
        </w:rPr>
        <w:t>Dangerous</w:t>
      </w:r>
      <w:r>
        <w:rPr>
          <w:i w:val="1"/>
          <w:iCs w:val="1"/>
          <w:rtl w:val="0"/>
          <w:lang w:val="en-US"/>
        </w:rPr>
        <w:t xml:space="preserve">” </w:t>
      </w:r>
      <w:r>
        <w:rPr>
          <w:i w:val="1"/>
          <w:iCs w:val="1"/>
          <w:rtl w:val="0"/>
          <w:lang w:val="en-US"/>
        </w:rPr>
        <w:t>Reading.</w:t>
      </w:r>
    </w:p>
    <w:p>
      <w:pPr>
        <w:pStyle w:val="Body 2"/>
        <w:bidi w:val="0"/>
      </w:pPr>
    </w:p>
    <w:p>
      <w:pPr>
        <w:pStyle w:val="Body 2"/>
        <w:bidi w:val="0"/>
      </w:pPr>
      <w:r>
        <w:rPr>
          <w:rtl w:val="0"/>
        </w:rPr>
        <w:t xml:space="preserve">As an example of a dangerous interpretation of the book of Revelation one need only consider the events surrounding mount Carmel near Waco, Texas, in 1993. There the Branch Davidians, a millenarian cult under the leadership of David Koresh, were besieged for fifty one days by the FBI before their compound caught fire, resulting in the deaths of both Davidians and federal agents. Koresh was heavily influenced by the ideas and images found in the Apocalypse of John (in particular the seven seals of Revelation 6.1-8.1) which fuelled his particular ideology with tragic consequences. </w:t>
      </w:r>
      <w:r>
        <w:rPr>
          <w:rFonts w:ascii="Baskerville" w:cs="Baskerville" w:hAnsi="Baskerville" w:eastAsia="Baskerville"/>
          <w:b w:val="0"/>
          <w:bCs w:val="0"/>
          <w:i w:val="0"/>
          <w:iCs w:val="0"/>
          <w:vertAlign w:val="superscript"/>
        </w:rPr>
        <w:footnoteReference w:id="2"/>
      </w:r>
    </w:p>
    <w:p>
      <w:pPr>
        <w:pStyle w:val="Body 2"/>
        <w:bidi w:val="0"/>
      </w:pPr>
    </w:p>
    <w:p>
      <w:pPr>
        <w:pStyle w:val="Body 2"/>
        <w:bidi w:val="0"/>
      </w:pPr>
      <w:r>
        <w:rPr>
          <w:rtl w:val="0"/>
        </w:rPr>
        <w:t xml:space="preserve">A less dramatic but perhaps more influential example of the way Revelation has been interpreted would be the popularity of the </w:t>
      </w:r>
      <w:r>
        <w:rPr>
          <w:i w:val="1"/>
          <w:iCs w:val="1"/>
          <w:rtl w:val="0"/>
          <w:lang w:val="en-US"/>
        </w:rPr>
        <w:t xml:space="preserve">Left Behind </w:t>
      </w:r>
      <w:r>
        <w:rPr>
          <w:rtl w:val="0"/>
        </w:rPr>
        <w:t xml:space="preserve">series of novels, not to mention the numerous ways the Apocalypse has found its way into the popular imagination, at times related to global warming, the Internet, and movies such as </w:t>
      </w:r>
      <w:r>
        <w:rPr>
          <w:i w:val="1"/>
          <w:iCs w:val="1"/>
          <w:rtl w:val="0"/>
          <w:lang w:val="en-US"/>
        </w:rPr>
        <w:t>The Terminator</w:t>
      </w:r>
      <w:r>
        <w:rPr>
          <w:rtl w:val="0"/>
        </w:rPr>
        <w:t xml:space="preserve"> and </w:t>
      </w:r>
      <w:r>
        <w:rPr>
          <w:i w:val="1"/>
          <w:iCs w:val="1"/>
          <w:rtl w:val="0"/>
          <w:lang w:val="en-US"/>
        </w:rPr>
        <w:t>Armageddon</w:t>
      </w:r>
      <w:r>
        <w:rPr>
          <w:rtl w:val="0"/>
        </w:rPr>
        <w:t>.</w:t>
      </w:r>
      <w:r>
        <w:rPr>
          <w:rFonts w:ascii="Baskerville" w:cs="Baskerville" w:hAnsi="Baskerville" w:eastAsia="Baskerville"/>
          <w:b w:val="0"/>
          <w:bCs w:val="0"/>
          <w:i w:val="0"/>
          <w:iCs w:val="0"/>
          <w:vertAlign w:val="superscript"/>
        </w:rPr>
        <w:footnoteReference w:id="3"/>
      </w:r>
    </w:p>
    <w:p>
      <w:pPr>
        <w:pStyle w:val="Body 2"/>
        <w:bidi w:val="0"/>
      </w:pPr>
      <w:r>
        <w:rPr>
          <w:rtl w:val="0"/>
        </w:rPr>
        <w:t xml:space="preserve">The key feature that connects these various interpretations is reading the Apocalypse, not as an historically and culturally situated work, but, to quote Boxall,  </w:t>
      </w:r>
      <w:r>
        <w:rPr>
          <w:rtl w:val="0"/>
        </w:rPr>
        <w:t>“</w:t>
      </w:r>
      <w:r>
        <w:rPr>
          <w:rtl w:val="0"/>
        </w:rPr>
        <w:t>as a collection of future prophecies relating to their own times</w:t>
      </w:r>
      <w:r>
        <w:rPr>
          <w:rtl w:val="0"/>
        </w:rPr>
        <w:t>”</w:t>
      </w:r>
      <w:r>
        <w:rPr>
          <w:rtl w:val="0"/>
        </w:rPr>
        <w:t>.</w:t>
      </w:r>
      <w:r>
        <w:rPr>
          <w:rFonts w:ascii="Baskerville" w:cs="Baskerville" w:hAnsi="Baskerville" w:eastAsia="Baskerville"/>
          <w:b w:val="0"/>
          <w:bCs w:val="0"/>
          <w:i w:val="0"/>
          <w:iCs w:val="0"/>
          <w:vertAlign w:val="superscript"/>
        </w:rPr>
        <w:footnoteReference w:id="4"/>
      </w:r>
      <w:r>
        <w:rPr>
          <w:rtl w:val="0"/>
        </w:rPr>
        <w:t xml:space="preserve"> It is not so much that Koresh read the Apocalypse in a wooden literal fashion, but that he was convinced the events in the text were speaking directly to him and his followers. </w:t>
      </w:r>
    </w:p>
    <w:p>
      <w:pPr>
        <w:pStyle w:val="Body 2"/>
        <w:bidi w:val="0"/>
      </w:pPr>
    </w:p>
    <w:p>
      <w:pPr>
        <w:pStyle w:val="Body 2"/>
        <w:bidi w:val="0"/>
      </w:pPr>
      <w:r>
        <w:rPr>
          <w:rtl w:val="0"/>
        </w:rPr>
        <w:t>The very real problem, then, is that such interpretations can inform a dangerous ideology and, on a larger scale, even influence foreign policy.</w:t>
      </w:r>
      <w:r>
        <w:rPr>
          <w:rFonts w:ascii="Baskerville" w:cs="Baskerville" w:hAnsi="Baskerville" w:eastAsia="Baskerville"/>
          <w:b w:val="0"/>
          <w:bCs w:val="0"/>
          <w:i w:val="0"/>
          <w:iCs w:val="0"/>
          <w:vertAlign w:val="superscript"/>
        </w:rPr>
        <w:footnoteReference w:id="5"/>
      </w:r>
      <w:r>
        <w:rPr>
          <w:rtl w:val="0"/>
        </w:rPr>
        <w:t xml:space="preserve"> Woodman notes, rightly, that if war in the Near East and a potential nuclear holocaust are interpreted as the outworking of God</w:t>
      </w:r>
      <w:r>
        <w:rPr>
          <w:rtl w:val="0"/>
        </w:rPr>
        <w:t>’</w:t>
      </w:r>
      <w:r>
        <w:rPr>
          <w:rtl w:val="0"/>
        </w:rPr>
        <w:t>s plan for the world, then such catastrophes can be, if not welcomed, at least remain legitimately unopposed.</w:t>
      </w:r>
      <w:r>
        <w:rPr>
          <w:rFonts w:ascii="Baskerville" w:cs="Baskerville" w:hAnsi="Baskerville" w:eastAsia="Baskerville"/>
          <w:b w:val="0"/>
          <w:bCs w:val="0"/>
          <w:i w:val="0"/>
          <w:iCs w:val="0"/>
          <w:vertAlign w:val="superscript"/>
        </w:rPr>
        <w:footnoteReference w:id="6"/>
      </w:r>
      <w:r>
        <w:rPr>
          <w:rtl w:val="0"/>
        </w:rPr>
        <w:t xml:space="preserve"> </w:t>
      </w:r>
    </w:p>
    <w:p>
      <w:pPr>
        <w:pStyle w:val="Body 2"/>
        <w:bidi w:val="0"/>
      </w:pPr>
    </w:p>
    <w:p>
      <w:pPr>
        <w:pStyle w:val="Body 2"/>
        <w:bidi w:val="0"/>
      </w:pPr>
      <w:r>
        <w:rPr>
          <w:rtl w:val="0"/>
        </w:rPr>
        <w:t>Rather, what is required for an interpretation of any text (not least Revelation) is, firstly, the task of exegesis, followed by that of hermeneutics.</w:t>
      </w:r>
      <w:r>
        <w:rPr>
          <w:rFonts w:ascii="Baskerville" w:cs="Baskerville" w:hAnsi="Baskerville" w:eastAsia="Baskerville"/>
          <w:b w:val="0"/>
          <w:bCs w:val="0"/>
          <w:i w:val="0"/>
          <w:iCs w:val="0"/>
          <w:vertAlign w:val="superscript"/>
        </w:rPr>
        <w:footnoteReference w:id="7"/>
      </w:r>
      <w:r>
        <w:rPr>
          <w:rtl w:val="0"/>
        </w:rPr>
        <w:t xml:space="preserve"> One must establish the original intended meaning, drawing upon the literary and historical context, before considering how it can be applied today.</w:t>
      </w:r>
      <w:r>
        <w:rPr>
          <w:rFonts w:ascii="Baskerville" w:cs="Baskerville" w:hAnsi="Baskerville" w:eastAsia="Baskerville"/>
          <w:b w:val="0"/>
          <w:bCs w:val="0"/>
          <w:i w:val="0"/>
          <w:iCs w:val="0"/>
          <w:vertAlign w:val="superscript"/>
        </w:rPr>
        <w:footnoteReference w:id="8"/>
      </w:r>
      <w:r>
        <w:rPr>
          <w:rtl w:val="0"/>
        </w:rPr>
        <w:t xml:space="preserve"> The problem with the above examples is that they have ignored the exegetical task and focused purely on the hermeneutical.</w:t>
      </w:r>
    </w:p>
    <w:p>
      <w:pPr>
        <w:pStyle w:val="Body 2"/>
        <w:bidi w:val="0"/>
      </w:pPr>
    </w:p>
    <w:p>
      <w:pPr>
        <w:pStyle w:val="Body 2"/>
        <w:rPr>
          <w:i w:val="1"/>
          <w:iCs w:val="1"/>
        </w:rPr>
      </w:pPr>
      <w:r>
        <w:rPr>
          <w:i w:val="1"/>
          <w:iCs w:val="1"/>
          <w:rtl w:val="0"/>
          <w:lang w:val="en-US"/>
        </w:rPr>
        <w:t xml:space="preserve">The Nature of </w:t>
      </w:r>
      <w:r>
        <w:rPr>
          <w:i w:val="1"/>
          <w:iCs w:val="1"/>
          <w:rtl w:val="0"/>
          <w:lang w:val="en-US"/>
        </w:rPr>
        <w:t>“</w:t>
      </w:r>
      <w:r>
        <w:rPr>
          <w:i w:val="1"/>
          <w:iCs w:val="1"/>
          <w:rtl w:val="0"/>
          <w:lang w:val="en-US"/>
        </w:rPr>
        <w:t>Apocalyptic</w:t>
      </w:r>
      <w:r>
        <w:rPr>
          <w:i w:val="1"/>
          <w:iCs w:val="1"/>
          <w:rtl w:val="0"/>
          <w:lang w:val="en-US"/>
        </w:rPr>
        <w:t>”</w:t>
      </w:r>
      <w:r>
        <w:rPr>
          <w:i w:val="1"/>
          <w:iCs w:val="1"/>
          <w:rtl w:val="0"/>
          <w:lang w:val="en-US"/>
        </w:rPr>
        <w:t>.</w:t>
      </w:r>
    </w:p>
    <w:p>
      <w:pPr>
        <w:pStyle w:val="Body 2"/>
        <w:bidi w:val="0"/>
      </w:pPr>
    </w:p>
    <w:p>
      <w:pPr>
        <w:pStyle w:val="Body 2"/>
        <w:bidi w:val="0"/>
      </w:pPr>
      <w:r>
        <w:rPr>
          <w:rtl w:val="0"/>
        </w:rPr>
        <w:t>One of the difficulties facing an interpretation of Revelation is that it belongs to a genre of literature largely unfamiliar to the modern reader, that of apocalyptic. Whilst there is debate on the exact definition</w:t>
      </w:r>
      <w:r>
        <w:rPr>
          <w:rFonts w:ascii="Baskerville" w:cs="Baskerville" w:hAnsi="Baskerville" w:eastAsia="Baskerville"/>
          <w:b w:val="0"/>
          <w:bCs w:val="0"/>
          <w:i w:val="0"/>
          <w:iCs w:val="0"/>
          <w:vertAlign w:val="superscript"/>
        </w:rPr>
        <w:footnoteReference w:id="9"/>
      </w:r>
      <w:r>
        <w:rPr>
          <w:rtl w:val="0"/>
        </w:rPr>
        <w:t xml:space="preserve"> there is general scholarly consensus of certain key features.</w:t>
      </w:r>
    </w:p>
    <w:p>
      <w:pPr>
        <w:pStyle w:val="Body 2"/>
        <w:bidi w:val="0"/>
      </w:pPr>
      <w:r>
        <w:rPr>
          <w:rtl w:val="0"/>
        </w:rPr>
        <w:t xml:space="preserve">One standard definition is as follows: </w:t>
      </w:r>
    </w:p>
    <w:p>
      <w:pPr>
        <w:pStyle w:val="Body 2"/>
        <w:bidi w:val="0"/>
      </w:pPr>
      <w:r>
        <w:rPr>
          <w:rtl w:val="0"/>
        </w:rPr>
        <w:t>'Apocalypse' is a genre of revelatory literature with a narrative framework, in which a revelation is mediated</w:t>
      </w:r>
      <w:r>
        <w:rPr>
          <w:rtl w:val="0"/>
        </w:rPr>
        <w:t xml:space="preserve">  </w:t>
      </w:r>
      <w:r>
        <w:rPr>
          <w:rtl w:val="0"/>
        </w:rPr>
        <w:t>by an otherworldly being</w:t>
      </w:r>
      <w:r>
        <w:rPr>
          <w:rtl w:val="0"/>
        </w:rPr>
        <w:t xml:space="preserve">  </w:t>
      </w:r>
      <w:r>
        <w:rPr>
          <w:rtl w:val="0"/>
        </w:rPr>
        <w:t>to a human recipient, disclosing a transcendent reality which is both temporal, insofar as it envisages eschatological salvation, and spatial insofar as it involves another, supernatural world</w:t>
      </w:r>
      <w:r>
        <w:rPr>
          <w:rtl w:val="0"/>
        </w:rPr>
        <w:t>”</w:t>
      </w:r>
      <w:r>
        <w:rPr>
          <w:rtl w:val="0"/>
        </w:rPr>
        <w:t>.</w:t>
      </w:r>
      <w:r>
        <w:rPr>
          <w:rFonts w:ascii="Baskerville" w:cs="Baskerville" w:hAnsi="Baskerville" w:eastAsia="Baskerville"/>
          <w:b w:val="0"/>
          <w:bCs w:val="0"/>
          <w:i w:val="0"/>
          <w:iCs w:val="0"/>
          <w:vertAlign w:val="superscript"/>
        </w:rPr>
        <w:footnoteReference w:id="10"/>
      </w:r>
    </w:p>
    <w:p>
      <w:pPr>
        <w:pStyle w:val="Body 2"/>
        <w:bidi w:val="0"/>
      </w:pPr>
      <w:r>
        <w:rPr>
          <w:rtl w:val="0"/>
        </w:rPr>
        <w:t>Apocalyptic is a literary genre peculiar to the Judeo-Christian tradition between 250BC -200CE.</w:t>
      </w:r>
      <w:r>
        <w:rPr>
          <w:rFonts w:ascii="Baskerville" w:cs="Baskerville" w:hAnsi="Baskerville" w:eastAsia="Baskerville"/>
          <w:b w:val="0"/>
          <w:bCs w:val="0"/>
          <w:i w:val="0"/>
          <w:iCs w:val="0"/>
          <w:vertAlign w:val="superscript"/>
        </w:rPr>
        <w:footnoteReference w:id="11"/>
      </w:r>
      <w:r>
        <w:rPr>
          <w:rtl w:val="0"/>
        </w:rPr>
        <w:t xml:space="preserve"> The word itself is Greek for </w:t>
      </w:r>
      <w:r>
        <w:rPr>
          <w:rtl w:val="0"/>
        </w:rPr>
        <w:t>“</w:t>
      </w:r>
      <w:r>
        <w:rPr>
          <w:rtl w:val="0"/>
        </w:rPr>
        <w:t>uncovering</w:t>
      </w:r>
      <w:r>
        <w:rPr>
          <w:rtl w:val="0"/>
        </w:rPr>
        <w:t xml:space="preserve">” </w:t>
      </w:r>
      <w:r>
        <w:rPr>
          <w:rtl w:val="0"/>
        </w:rPr>
        <w:t xml:space="preserve">or </w:t>
      </w:r>
      <w:r>
        <w:rPr>
          <w:rtl w:val="0"/>
        </w:rPr>
        <w:t>“</w:t>
      </w:r>
      <w:r>
        <w:rPr>
          <w:rtl w:val="0"/>
        </w:rPr>
        <w:t>revealing</w:t>
      </w:r>
      <w:r>
        <w:rPr>
          <w:rtl w:val="0"/>
        </w:rPr>
        <w:t>”</w:t>
      </w:r>
      <w:r>
        <w:rPr>
          <w:rtl w:val="0"/>
        </w:rPr>
        <w:t>,</w:t>
      </w:r>
      <w:r>
        <w:rPr>
          <w:rFonts w:ascii="Baskerville" w:cs="Baskerville" w:hAnsi="Baskerville" w:eastAsia="Baskerville"/>
          <w:b w:val="0"/>
          <w:bCs w:val="0"/>
          <w:i w:val="0"/>
          <w:iCs w:val="0"/>
          <w:vertAlign w:val="superscript"/>
        </w:rPr>
        <w:footnoteReference w:id="12"/>
      </w:r>
      <w:r>
        <w:rPr>
          <w:rtl w:val="0"/>
        </w:rPr>
        <w:t xml:space="preserve"> thus the content is usually that of a divine disclosure through the medium of angels, dreams and visions.</w:t>
      </w:r>
      <w:r>
        <w:rPr>
          <w:rFonts w:ascii="Baskerville" w:cs="Baskerville" w:hAnsi="Baskerville" w:eastAsia="Baskerville"/>
          <w:b w:val="0"/>
          <w:bCs w:val="0"/>
          <w:i w:val="0"/>
          <w:iCs w:val="0"/>
          <w:vertAlign w:val="superscript"/>
        </w:rPr>
        <w:footnoteReference w:id="13"/>
      </w:r>
      <w:r>
        <w:rPr>
          <w:rtl w:val="0"/>
        </w:rPr>
        <w:t xml:space="preserve"> Literary features include first person narrative, use of bizarre symbolism and imaginative poetry.</w:t>
      </w:r>
      <w:r>
        <w:rPr>
          <w:rFonts w:ascii="Baskerville" w:cs="Baskerville" w:hAnsi="Baskerville" w:eastAsia="Baskerville"/>
          <w:b w:val="0"/>
          <w:bCs w:val="0"/>
          <w:i w:val="0"/>
          <w:iCs w:val="0"/>
          <w:vertAlign w:val="superscript"/>
        </w:rPr>
        <w:footnoteReference w:id="14"/>
      </w:r>
      <w:r>
        <w:rPr>
          <w:rtl w:val="0"/>
        </w:rPr>
        <w:t xml:space="preserve"> Importantly, despite popular conceptions of the word </w:t>
      </w:r>
      <w:r>
        <w:rPr>
          <w:rtl w:val="0"/>
        </w:rPr>
        <w:t>“</w:t>
      </w:r>
      <w:r>
        <w:rPr>
          <w:rtl w:val="0"/>
        </w:rPr>
        <w:t>apocalypse</w:t>
      </w:r>
      <w:r>
        <w:rPr>
          <w:rtl w:val="0"/>
        </w:rPr>
        <w:t>”</w:t>
      </w:r>
      <w:r>
        <w:rPr>
          <w:rtl w:val="0"/>
        </w:rPr>
        <w:t>, the texts in question are not primarily concerned with eschatology.</w:t>
      </w:r>
      <w:r>
        <w:rPr>
          <w:rFonts w:ascii="Baskerville" w:cs="Baskerville" w:hAnsi="Baskerville" w:eastAsia="Baskerville"/>
          <w:b w:val="0"/>
          <w:bCs w:val="0"/>
          <w:i w:val="0"/>
          <w:iCs w:val="0"/>
          <w:vertAlign w:val="superscript"/>
        </w:rPr>
        <w:footnoteReference w:id="15"/>
      </w:r>
    </w:p>
    <w:p>
      <w:pPr>
        <w:pStyle w:val="Body 2"/>
        <w:bidi w:val="0"/>
      </w:pPr>
    </w:p>
    <w:p>
      <w:pPr>
        <w:pStyle w:val="Body 2"/>
        <w:bidi w:val="0"/>
      </w:pPr>
      <w:r>
        <w:rPr>
          <w:rtl w:val="0"/>
        </w:rPr>
        <w:t xml:space="preserve">Crucial also is the way in which the genre draws heavily upon the Old Testament prophetic literature, the </w:t>
      </w:r>
      <w:r>
        <w:rPr>
          <w:rtl w:val="0"/>
        </w:rPr>
        <w:t>“</w:t>
      </w:r>
      <w:r>
        <w:rPr>
          <w:rtl w:val="0"/>
        </w:rPr>
        <w:t>taproot</w:t>
      </w:r>
      <w:r>
        <w:rPr>
          <w:rtl w:val="0"/>
        </w:rPr>
        <w:t xml:space="preserve">” </w:t>
      </w:r>
      <w:r>
        <w:rPr>
          <w:rtl w:val="0"/>
        </w:rPr>
        <w:t>of apocalyptic.</w:t>
      </w:r>
      <w:r>
        <w:rPr>
          <w:rFonts w:ascii="Baskerville" w:cs="Baskerville" w:hAnsi="Baskerville" w:eastAsia="Baskerville"/>
          <w:b w:val="0"/>
          <w:bCs w:val="0"/>
          <w:i w:val="0"/>
          <w:iCs w:val="0"/>
          <w:vertAlign w:val="superscript"/>
        </w:rPr>
        <w:footnoteReference w:id="16"/>
      </w:r>
      <w:r>
        <w:rPr>
          <w:rtl w:val="0"/>
        </w:rPr>
        <w:t xml:space="preserve"> Revelation is no exception, and it is generally recognised that it contains more Old Testament references and allusions than any other New Testament book.</w:t>
      </w:r>
      <w:r>
        <w:rPr>
          <w:rFonts w:ascii="Baskerville" w:cs="Baskerville" w:hAnsi="Baskerville" w:eastAsia="Baskerville"/>
          <w:b w:val="0"/>
          <w:bCs w:val="0"/>
          <w:i w:val="0"/>
          <w:iCs w:val="0"/>
          <w:vertAlign w:val="superscript"/>
        </w:rPr>
        <w:footnoteReference w:id="17"/>
      </w:r>
    </w:p>
    <w:p>
      <w:pPr>
        <w:pStyle w:val="Body 2"/>
        <w:bidi w:val="0"/>
      </w:pPr>
    </w:p>
    <w:p>
      <w:pPr>
        <w:pStyle w:val="Body 2"/>
        <w:bidi w:val="0"/>
      </w:pPr>
      <w:r>
        <w:rPr>
          <w:rtl w:val="0"/>
        </w:rPr>
        <w:t xml:space="preserve">As an example of more informed interpretation, with an appreciation of historical context and apocalyptic genre, I shall look at Rev 13:1-10. </w:t>
      </w:r>
    </w:p>
    <w:p>
      <w:pPr>
        <w:pStyle w:val="Body 2"/>
        <w:bidi w:val="0"/>
      </w:pPr>
    </w:p>
    <w:p>
      <w:pPr>
        <w:pStyle w:val="Body 2"/>
        <w:rPr>
          <w:i w:val="0"/>
          <w:iCs w:val="0"/>
        </w:rPr>
      </w:pPr>
      <w:r>
        <w:rPr>
          <w:i w:val="1"/>
          <w:iCs w:val="1"/>
          <w:rtl w:val="0"/>
          <w:lang w:val="en-US"/>
        </w:rPr>
        <w:t>Exegesis of Revelation 13: The Beast from the Sea.</w:t>
      </w:r>
    </w:p>
    <w:p>
      <w:pPr>
        <w:pStyle w:val="Body 2"/>
        <w:rPr>
          <w:i w:val="0"/>
          <w:iCs w:val="0"/>
        </w:rPr>
      </w:pPr>
    </w:p>
    <w:p>
      <w:pPr>
        <w:pStyle w:val="Body 2"/>
        <w:rPr>
          <w:i w:val="1"/>
          <w:iCs w:val="1"/>
        </w:rPr>
      </w:pPr>
      <w:r>
        <w:rPr>
          <w:i w:val="0"/>
          <w:iCs w:val="0"/>
          <w:rtl w:val="0"/>
          <w:lang w:val="en-US"/>
        </w:rPr>
        <w:t>The historical context is that the author, John, is in exile on the island of Patmos (1:9). The letter was written to churches around Asia Minor to encourage them to stand firm in the face of Roman persecution, at a time when there was intense pressure to compromise their faith in Jesus and participate in Emperor worship.</w:t>
      </w:r>
      <w:r>
        <w:rPr>
          <w:i w:val="1"/>
          <w:iCs w:val="1"/>
          <w:vertAlign w:val="superscript"/>
        </w:rPr>
        <w:footnoteReference w:id="18"/>
      </w:r>
    </w:p>
    <w:p>
      <w:pPr>
        <w:pStyle w:val="Body 2"/>
        <w:bidi w:val="0"/>
      </w:pPr>
    </w:p>
    <w:p>
      <w:pPr>
        <w:pStyle w:val="Body 2"/>
        <w:bidi w:val="0"/>
      </w:pPr>
      <w:r>
        <w:rPr>
          <w:rtl w:val="0"/>
        </w:rPr>
        <w:t xml:space="preserve">John describes a </w:t>
      </w:r>
      <w:r>
        <w:rPr>
          <w:rtl w:val="0"/>
        </w:rPr>
        <w:t>“</w:t>
      </w:r>
      <w:r>
        <w:rPr>
          <w:rtl w:val="0"/>
        </w:rPr>
        <w:t>beast</w:t>
      </w:r>
      <w:r>
        <w:rPr>
          <w:rtl w:val="0"/>
        </w:rPr>
        <w:t xml:space="preserve">” </w:t>
      </w:r>
      <w:r>
        <w:rPr>
          <w:rtl w:val="0"/>
        </w:rPr>
        <w:t>emerging from the sea, with seven heads and ten crowned horns (13:1). This monstrous creature makes war on the saints, blasphemes God and receives authority from the dragon of chapter 12 (13:2).</w:t>
      </w:r>
    </w:p>
    <w:p>
      <w:pPr>
        <w:pStyle w:val="Body 2"/>
        <w:bidi w:val="0"/>
      </w:pPr>
      <w:r>
        <w:rPr>
          <w:rtl w:val="0"/>
        </w:rPr>
        <w:t>It is generally agreed that John is evoking a very similar vision from Daniel 7.</w:t>
      </w:r>
      <w:r>
        <w:rPr>
          <w:rFonts w:ascii="Baskerville" w:cs="Baskerville" w:hAnsi="Baskerville" w:eastAsia="Baskerville"/>
          <w:b w:val="0"/>
          <w:bCs w:val="0"/>
          <w:i w:val="0"/>
          <w:iCs w:val="0"/>
          <w:vertAlign w:val="superscript"/>
        </w:rPr>
        <w:footnoteReference w:id="19"/>
      </w:r>
      <w:r>
        <w:rPr>
          <w:rtl w:val="0"/>
        </w:rPr>
        <w:t xml:space="preserve"> There, written in a context of pagan oppression and suppression of Jewish religious practice,</w:t>
      </w:r>
      <w:r>
        <w:rPr>
          <w:rFonts w:ascii="Baskerville" w:cs="Baskerville" w:hAnsi="Baskerville" w:eastAsia="Baskerville"/>
          <w:b w:val="0"/>
          <w:bCs w:val="0"/>
          <w:i w:val="0"/>
          <w:iCs w:val="0"/>
          <w:vertAlign w:val="superscript"/>
        </w:rPr>
        <w:footnoteReference w:id="20"/>
      </w:r>
      <w:r>
        <w:rPr>
          <w:rtl w:val="0"/>
        </w:rPr>
        <w:t xml:space="preserve"> Daniel describes four beasts also arising from the sea: a leopard, a bear, a lion, and a final terror with iron teeth (Dan 7:4-8), which are revealed in that text to be three kings and a fourth kingdom (Dan 7:17-23).  John</w:t>
      </w:r>
      <w:r>
        <w:rPr>
          <w:rtl w:val="0"/>
        </w:rPr>
        <w:t>’</w:t>
      </w:r>
      <w:r>
        <w:rPr>
          <w:rtl w:val="0"/>
        </w:rPr>
        <w:t>s vision combines Daniel</w:t>
      </w:r>
      <w:r>
        <w:rPr>
          <w:rtl w:val="0"/>
        </w:rPr>
        <w:t>’</w:t>
      </w:r>
      <w:r>
        <w:rPr>
          <w:rtl w:val="0"/>
        </w:rPr>
        <w:t xml:space="preserve">s four individual beasts into one, thus creating a </w:t>
      </w:r>
      <w:r>
        <w:rPr>
          <w:rtl w:val="0"/>
        </w:rPr>
        <w:t>“</w:t>
      </w:r>
      <w:r>
        <w:rPr>
          <w:rtl w:val="0"/>
        </w:rPr>
        <w:t>super beast</w:t>
      </w:r>
      <w:r>
        <w:rPr>
          <w:rtl w:val="0"/>
        </w:rPr>
        <w:t>”</w:t>
      </w:r>
      <w:r>
        <w:rPr>
          <w:rFonts w:ascii="Baskerville" w:cs="Baskerville" w:hAnsi="Baskerville" w:eastAsia="Baskerville"/>
          <w:b w:val="0"/>
          <w:bCs w:val="0"/>
          <w:i w:val="0"/>
          <w:iCs w:val="0"/>
          <w:vertAlign w:val="superscript"/>
        </w:rPr>
        <w:footnoteReference w:id="21"/>
      </w:r>
      <w:r>
        <w:rPr>
          <w:rtl w:val="0"/>
        </w:rPr>
        <w:t xml:space="preserve"> or a picture of the </w:t>
      </w:r>
      <w:r>
        <w:rPr>
          <w:rtl w:val="0"/>
        </w:rPr>
        <w:t>“</w:t>
      </w:r>
      <w:r>
        <w:rPr>
          <w:rtl w:val="0"/>
        </w:rPr>
        <w:t>sum total of all evil</w:t>
      </w:r>
      <w:r>
        <w:rPr>
          <w:rtl w:val="0"/>
        </w:rPr>
        <w:t>”</w:t>
      </w:r>
      <w:r>
        <w:rPr>
          <w:rtl w:val="0"/>
        </w:rPr>
        <w:t>.</w:t>
      </w:r>
      <w:r>
        <w:rPr>
          <w:rFonts w:ascii="Baskerville" w:cs="Baskerville" w:hAnsi="Baskerville" w:eastAsia="Baskerville"/>
          <w:b w:val="0"/>
          <w:bCs w:val="0"/>
          <w:i w:val="0"/>
          <w:iCs w:val="0"/>
          <w:vertAlign w:val="superscript"/>
        </w:rPr>
        <w:footnoteReference w:id="22"/>
      </w:r>
    </w:p>
    <w:p>
      <w:pPr>
        <w:pStyle w:val="Body 2"/>
        <w:bidi w:val="0"/>
      </w:pPr>
    </w:p>
    <w:p>
      <w:pPr>
        <w:pStyle w:val="Body 2"/>
        <w:bidi w:val="0"/>
      </w:pPr>
      <w:r>
        <w:rPr>
          <w:rtl w:val="0"/>
        </w:rPr>
        <w:t>Given the clear echo in Rev 13 of the beast/kingdoms of Daniel 7, now envisioned by John as an amalgamation into an ultimate beast/kingdom, most commentators see this as symbolic of the Roman Empire.</w:t>
      </w:r>
      <w:r>
        <w:rPr>
          <w:rFonts w:ascii="Baskerville" w:cs="Baskerville" w:hAnsi="Baskerville" w:eastAsia="Baskerville"/>
          <w:b w:val="0"/>
          <w:bCs w:val="0"/>
          <w:i w:val="0"/>
          <w:iCs w:val="0"/>
          <w:vertAlign w:val="superscript"/>
        </w:rPr>
        <w:footnoteReference w:id="23"/>
      </w:r>
      <w:r>
        <w:rPr>
          <w:rtl w:val="0"/>
        </w:rPr>
        <w:t xml:space="preserve"> For John and his audience, the beast who wages war on the saints, utters blasphemies against God (manifest in worship of the emperor) and has powerful authority would be readily seen as Rome.</w:t>
      </w:r>
    </w:p>
    <w:p>
      <w:pPr>
        <w:pStyle w:val="Body 2"/>
        <w:bidi w:val="0"/>
      </w:pPr>
    </w:p>
    <w:p>
      <w:pPr>
        <w:pStyle w:val="Body 2"/>
        <w:bidi w:val="0"/>
      </w:pPr>
      <w:r>
        <w:rPr>
          <w:rtl w:val="0"/>
        </w:rPr>
        <w:t xml:space="preserve">This interpretation also makes sense of the somewhat bizarre description of the horns/rulers, with one </w:t>
      </w:r>
      <w:r>
        <w:rPr>
          <w:rtl w:val="0"/>
        </w:rPr>
        <w:t>“</w:t>
      </w:r>
      <w:r>
        <w:rPr>
          <w:rtl w:val="0"/>
        </w:rPr>
        <w:t>that received a mortal wound</w:t>
      </w:r>
      <w:r>
        <w:rPr>
          <w:rtl w:val="0"/>
        </w:rPr>
        <w:t xml:space="preserve">” </w:t>
      </w:r>
      <w:r>
        <w:rPr>
          <w:rtl w:val="0"/>
        </w:rPr>
        <w:t>(13:4). Scholarly consensus is this is the Roman emperor Nero, who had died, but popular belief spread that he would one day return.</w:t>
      </w:r>
      <w:r>
        <w:rPr>
          <w:rFonts w:ascii="Baskerville" w:cs="Baskerville" w:hAnsi="Baskerville" w:eastAsia="Baskerville"/>
          <w:b w:val="0"/>
          <w:bCs w:val="0"/>
          <w:i w:val="0"/>
          <w:iCs w:val="0"/>
          <w:vertAlign w:val="superscript"/>
        </w:rPr>
        <w:footnoteReference w:id="24"/>
      </w:r>
    </w:p>
    <w:p>
      <w:pPr>
        <w:pStyle w:val="Body 2"/>
        <w:bidi w:val="0"/>
      </w:pPr>
    </w:p>
    <w:p>
      <w:pPr>
        <w:pStyle w:val="Body 2"/>
        <w:bidi w:val="0"/>
      </w:pPr>
      <w:r>
        <w:rPr>
          <w:rtl w:val="0"/>
        </w:rPr>
        <w:t>In summary then, using apocalyptic imagery, drawing upon an Old Testament passage and in the context of Roman persecution, the Beast of Rev 13 envisions neither a literal sea-creature nor a futuristic catastrophe, but a visceral symbol of the power and violence of the Empire towards the early Church. The call is neither to fight on the Empire's terms nor to assimilate, but to faithfully endure to the point of (a very literal) death (13:9,10).</w:t>
      </w:r>
    </w:p>
    <w:p>
      <w:pPr>
        <w:pStyle w:val="Body 2"/>
        <w:bidi w:val="0"/>
      </w:pPr>
    </w:p>
    <w:p>
      <w:pPr>
        <w:pStyle w:val="Body 2"/>
        <w:bidi w:val="0"/>
      </w:pPr>
    </w:p>
    <w:p>
      <w:pPr>
        <w:pStyle w:val="Body 2"/>
        <w:rPr>
          <w:i w:val="1"/>
          <w:iCs w:val="1"/>
        </w:rPr>
      </w:pPr>
    </w:p>
    <w:p>
      <w:pPr>
        <w:pStyle w:val="Body 2"/>
        <w:rPr>
          <w:i w:val="1"/>
          <w:iCs w:val="1"/>
        </w:rPr>
      </w:pPr>
      <w:r>
        <w:rPr>
          <w:i w:val="1"/>
          <w:iCs w:val="1"/>
          <w:rtl w:val="0"/>
          <w:lang w:val="en-US"/>
        </w:rPr>
        <w:t>Conclusion.</w:t>
      </w:r>
    </w:p>
    <w:p>
      <w:pPr>
        <w:pStyle w:val="Body 2"/>
        <w:bidi w:val="0"/>
      </w:pPr>
      <w:r>
        <w:rPr>
          <w:rtl w:val="0"/>
        </w:rPr>
        <w:t xml:space="preserve">This brief essay has considered how a </w:t>
      </w:r>
      <w:r>
        <w:rPr>
          <w:rtl w:val="0"/>
        </w:rPr>
        <w:t>“</w:t>
      </w:r>
      <w:r>
        <w:rPr>
          <w:rtl w:val="0"/>
        </w:rPr>
        <w:t>literal" interpretation of a text such as Revelation (not so much a wooden literalism but a disregard for the historical and literary context) can be dangerous. A more informed approach engages with the tasks of exegesis and hermeneutics, and in the case of Revelation, will attempt an understanding of the genre of apocalyptic. As an example the beast of Rev 13, drawing upon the imagery of Dan 7, is interpreted as the Roman Empire</w:t>
      </w:r>
      <w:r>
        <w:rPr>
          <w:rtl w:val="0"/>
        </w:rPr>
        <w:t>’</w:t>
      </w:r>
      <w:r>
        <w:rPr>
          <w:rtl w:val="0"/>
        </w:rPr>
        <w:t>s violent persecution of the 1st century Church.</w:t>
      </w:r>
    </w:p>
    <w:p>
      <w:pPr>
        <w:pStyle w:val="Body 2"/>
        <w:bidi w:val="0"/>
      </w:pPr>
    </w:p>
    <w:p>
      <w:pPr>
        <w:pStyle w:val="Body 2"/>
        <w:bidi w:val="0"/>
      </w:pPr>
      <w:r>
        <w:rPr>
          <w:rtl w:val="0"/>
        </w:rPr>
        <w:t xml:space="preserve">One final point to consider, however, is that such an approach to the text may still be </w:t>
      </w:r>
      <w:r>
        <w:rPr>
          <w:rtl w:val="0"/>
        </w:rPr>
        <w:t>“</w:t>
      </w:r>
      <w:r>
        <w:rPr>
          <w:rtl w:val="0"/>
        </w:rPr>
        <w:t>dangerous</w:t>
      </w:r>
      <w:r>
        <w:rPr>
          <w:rtl w:val="0"/>
        </w:rPr>
        <w:t>”</w:t>
      </w:r>
      <w:r>
        <w:rPr>
          <w:rtl w:val="0"/>
        </w:rPr>
        <w:t xml:space="preserve">, but at least in a way that is faithful to the original meaning. Whilst the </w:t>
      </w:r>
      <w:r>
        <w:rPr>
          <w:rtl w:val="0"/>
        </w:rPr>
        <w:t>“</w:t>
      </w:r>
      <w:r>
        <w:rPr>
          <w:rtl w:val="0"/>
        </w:rPr>
        <w:t>dangerous</w:t>
      </w:r>
      <w:r>
        <w:rPr>
          <w:rtl w:val="0"/>
        </w:rPr>
        <w:t xml:space="preserve">” </w:t>
      </w:r>
      <w:r>
        <w:rPr>
          <w:rtl w:val="0"/>
        </w:rPr>
        <w:t xml:space="preserve">examples above (such as the Branch Davidians) have, I believe, applied the text in a way never intended by the author, an appreciation of the historical context nevertheless speaks a challenge to the modern reader. Rome has fallen, but, to quote Desrosiers: </w:t>
      </w:r>
    </w:p>
    <w:p>
      <w:pPr>
        <w:pStyle w:val="Body 2"/>
        <w:rPr>
          <w:b w:val="1"/>
          <w:bCs w:val="1"/>
        </w:rPr>
      </w:pPr>
    </w:p>
    <w:p>
      <w:pPr>
        <w:pStyle w:val="Body 2"/>
        <w:rPr>
          <w:b w:val="0"/>
          <w:bCs w:val="0"/>
        </w:rPr>
      </w:pPr>
      <w:r>
        <w:rPr>
          <w:b w:val="0"/>
          <w:bCs w:val="0"/>
          <w:rtl w:val="0"/>
          <w:lang w:val="en-US"/>
        </w:rPr>
        <w:t>The Roman Empire, with its claim to divinity and sole object of worship, is still alive today. The beast is constantly lurking around.</w:t>
      </w:r>
      <w:r>
        <w:rPr>
          <w:b w:val="1"/>
          <w:bCs w:val="1"/>
          <w:vertAlign w:val="superscript"/>
        </w:rPr>
        <w:footnoteReference w:id="25"/>
      </w:r>
    </w:p>
    <w:p>
      <w:pPr>
        <w:pStyle w:val="Body 2"/>
        <w:rPr>
          <w:b w:val="0"/>
          <w:bCs w:val="0"/>
        </w:rPr>
      </w:pPr>
    </w:p>
    <w:p>
      <w:pPr>
        <w:pStyle w:val="Body 2"/>
        <w:rPr>
          <w:b w:val="0"/>
          <w:bCs w:val="0"/>
        </w:rPr>
      </w:pPr>
      <w:r>
        <w:rPr>
          <w:b w:val="0"/>
          <w:bCs w:val="0"/>
          <w:rtl w:val="0"/>
          <w:lang w:val="en-US"/>
        </w:rPr>
        <w:t xml:space="preserve">Discerning the </w:t>
      </w:r>
      <w:r>
        <w:rPr>
          <w:b w:val="0"/>
          <w:bCs w:val="0"/>
          <w:rtl w:val="0"/>
          <w:lang w:val="en-US"/>
        </w:rPr>
        <w:t>“</w:t>
      </w:r>
      <w:r>
        <w:rPr>
          <w:b w:val="0"/>
          <w:bCs w:val="0"/>
          <w:rtl w:val="0"/>
          <w:lang w:val="en-US"/>
        </w:rPr>
        <w:t>beast</w:t>
      </w:r>
      <w:r>
        <w:rPr>
          <w:b w:val="0"/>
          <w:bCs w:val="0"/>
          <w:rtl w:val="0"/>
          <w:lang w:val="en-US"/>
        </w:rPr>
        <w:t xml:space="preserve">” </w:t>
      </w:r>
      <w:r>
        <w:rPr>
          <w:b w:val="0"/>
          <w:bCs w:val="0"/>
          <w:rtl w:val="0"/>
          <w:lang w:val="en-US"/>
        </w:rPr>
        <w:t xml:space="preserve">today and how to endure against it, without abandoning the task of thorough exegesis, is the task of faithful hermeneutics. </w:t>
      </w:r>
    </w:p>
    <w:p>
      <w:pPr>
        <w:pStyle w:val="Body 2"/>
        <w:rPr>
          <w:b w:val="0"/>
          <w:bCs w:val="0"/>
        </w:rPr>
      </w:pPr>
    </w:p>
    <w:p>
      <w:pPr>
        <w:pStyle w:val="Body 2"/>
        <w:rPr>
          <w:b w:val="0"/>
          <w:bCs w:val="0"/>
        </w:rPr>
      </w:pPr>
    </w:p>
    <w:p>
      <w:pPr>
        <w:pStyle w:val="Body 2"/>
        <w:rPr>
          <w:b w:val="0"/>
          <w:bCs w:val="0"/>
        </w:rPr>
      </w:pPr>
    </w:p>
    <w:p>
      <w:pPr>
        <w:pStyle w:val="Body 2"/>
        <w:rPr>
          <w:b w:val="1"/>
          <w:bCs w:val="1"/>
        </w:rPr>
      </w:pPr>
    </w:p>
    <w:p>
      <w:pPr>
        <w:pStyle w:val="Body 2"/>
        <w:bidi w:val="0"/>
      </w:pPr>
    </w:p>
    <w:p>
      <w:pPr>
        <w:pStyle w:val="Body 2"/>
        <w:bidi w:val="0"/>
      </w:pPr>
    </w:p>
    <w:p>
      <w:pPr>
        <w:pStyle w:val="Body 2"/>
        <w:bidi w:val="0"/>
      </w:pPr>
    </w:p>
    <w:p>
      <w:pPr>
        <w:pStyle w:val="Body 2"/>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i w:val="1"/>
          <w:iCs w:val="1"/>
        </w:rPr>
      </w:pPr>
      <w:r>
        <w:rPr>
          <w:i w:val="1"/>
          <w:iCs w:val="1"/>
          <w:rtl w:val="0"/>
          <w:lang w:val="en-US"/>
        </w:rPr>
        <w:t>Bibliography:</w:t>
      </w:r>
    </w:p>
    <w:p>
      <w:pPr>
        <w:pStyle w:val="Body"/>
        <w:bidi w:val="0"/>
      </w:pPr>
    </w:p>
    <w:p>
      <w:pPr>
        <w:pStyle w:val="Body"/>
        <w:bidi w:val="0"/>
      </w:pPr>
      <w:r>
        <w:rPr>
          <w:rFonts w:cs="Arial Unicode MS" w:eastAsia="Arial Unicode MS"/>
          <w:rtl w:val="0"/>
          <w:lang w:val="en-US"/>
        </w:rPr>
        <w:t xml:space="preserve">Beale, G.K. and McDonough, S.M., </w:t>
      </w:r>
      <w:r>
        <w:rPr>
          <w:rFonts w:cs="Arial Unicode MS" w:eastAsia="Arial Unicode MS" w:hint="default"/>
          <w:rtl w:val="0"/>
          <w:lang w:val="en-US"/>
        </w:rPr>
        <w:t>“</w:t>
      </w:r>
      <w:r>
        <w:rPr>
          <w:rFonts w:cs="Arial Unicode MS" w:eastAsia="Arial Unicode MS"/>
          <w:rtl w:val="0"/>
          <w:lang w:val="en-US"/>
        </w:rPr>
        <w:t>Revelation</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Commentary on the New Testament Use of the Old Testament, </w:t>
      </w:r>
      <w:r>
        <w:rPr>
          <w:rFonts w:cs="Arial Unicode MS" w:eastAsia="Arial Unicode MS"/>
          <w:rtl w:val="0"/>
          <w:lang w:val="en-US"/>
        </w:rPr>
        <w:t>eds. Beale, G.K. &amp; Carson, D.A (Grand Rapids: Baker Academic, 2007), pp. 1081-1161.</w:t>
      </w:r>
    </w:p>
    <w:p>
      <w:pPr>
        <w:pStyle w:val="Body"/>
        <w:bidi w:val="0"/>
      </w:pPr>
      <w:r>
        <w:rPr>
          <w:rFonts w:cs="Arial Unicode MS" w:eastAsia="Arial Unicode MS"/>
          <w:rtl w:val="0"/>
          <w:lang w:val="en-US"/>
        </w:rPr>
        <w:t xml:space="preserve">Boxall, I., </w:t>
      </w:r>
      <w:r>
        <w:rPr>
          <w:rFonts w:cs="Arial Unicode MS" w:eastAsia="Arial Unicode MS"/>
          <w:i w:val="1"/>
          <w:iCs w:val="1"/>
          <w:rtl w:val="0"/>
          <w:lang w:val="en-US"/>
        </w:rPr>
        <w:t xml:space="preserve">Revelation: Vision and Insight </w:t>
      </w:r>
      <w:r>
        <w:rPr>
          <w:rFonts w:cs="Arial Unicode MS" w:eastAsia="Arial Unicode MS"/>
          <w:rtl w:val="0"/>
          <w:lang w:val="en-US"/>
        </w:rPr>
        <w:t>(London: SPCK, 2002).</w:t>
      </w:r>
      <w:r>
        <w:rPr>
          <w:rFonts w:cs="Arial Unicode MS" w:eastAsia="Arial Unicode MS"/>
          <w:rtl w:val="0"/>
        </w:rPr>
        <w:t xml:space="preserve"> </w:t>
      </w:r>
    </w:p>
    <w:p>
      <w:pPr>
        <w:pStyle w:val="Body"/>
        <w:bidi w:val="0"/>
      </w:pPr>
      <w:r>
        <w:rPr>
          <w:rFonts w:cs="Arial Unicode MS" w:eastAsia="Arial Unicode MS"/>
          <w:rtl w:val="0"/>
          <w:lang w:val="en-US"/>
        </w:rPr>
        <w:t xml:space="preserve">Collins, J.J, </w:t>
      </w:r>
      <w:r>
        <w:rPr>
          <w:rFonts w:cs="Arial Unicode MS" w:eastAsia="Arial Unicode MS" w:hint="default"/>
          <w:rtl w:val="0"/>
          <w:lang w:val="en-US"/>
        </w:rPr>
        <w:t>“</w:t>
      </w:r>
      <w:r>
        <w:rPr>
          <w:rFonts w:cs="Arial Unicode MS" w:eastAsia="Arial Unicode MS"/>
          <w:rtl w:val="0"/>
          <w:lang w:val="en-US"/>
        </w:rPr>
        <w:t>Introduction: Towards the Morphology of a Genre</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Apocalypse: The Morphology of a Genre, </w:t>
      </w:r>
      <w:r>
        <w:rPr>
          <w:rFonts w:cs="Arial Unicode MS" w:eastAsia="Arial Unicode MS"/>
          <w:rtl w:val="0"/>
          <w:lang w:val="en-US"/>
        </w:rPr>
        <w:t>ed. Collins, J.J, Semeia 14 (Chico: Scholars Press, 1979).</w:t>
      </w:r>
    </w:p>
    <w:p>
      <w:pPr>
        <w:pStyle w:val="Body"/>
        <w:bidi w:val="0"/>
      </w:pPr>
      <w:r>
        <w:rPr>
          <w:rFonts w:cs="Arial Unicode MS" w:eastAsia="Arial Unicode MS"/>
          <w:rtl w:val="0"/>
          <w:lang w:val="en-US"/>
        </w:rPr>
        <w:t xml:space="preserve">Crossan, J.D., </w:t>
      </w:r>
      <w:r>
        <w:rPr>
          <w:rFonts w:cs="Arial Unicode MS" w:eastAsia="Arial Unicode MS"/>
          <w:i w:val="1"/>
          <w:iCs w:val="1"/>
          <w:rtl w:val="0"/>
          <w:lang w:val="en-US"/>
        </w:rPr>
        <w:t xml:space="preserve">Jesus and the Violence of Scripture: </w:t>
      </w:r>
      <w:r>
        <w:rPr>
          <w:rFonts w:cs="Arial Unicode MS" w:eastAsia="Arial Unicode MS"/>
          <w:i w:val="1"/>
          <w:iCs w:val="1"/>
          <w:rtl w:val="0"/>
          <w:lang w:val="en-US"/>
        </w:rPr>
        <w:t>How to Read the Bible and Still be a Christian</w:t>
      </w:r>
      <w:r>
        <w:rPr>
          <w:rFonts w:cs="Arial Unicode MS" w:eastAsia="Arial Unicode MS"/>
          <w:i w:val="1"/>
          <w:iCs w:val="1"/>
          <w:rtl w:val="0"/>
          <w:lang w:val="en-US"/>
        </w:rPr>
        <w:t xml:space="preserve"> </w:t>
      </w:r>
      <w:r>
        <w:rPr>
          <w:rFonts w:cs="Arial Unicode MS" w:eastAsia="Arial Unicode MS"/>
          <w:rtl w:val="0"/>
          <w:lang w:val="en-US"/>
        </w:rPr>
        <w:t>(London: SPCK, 2015).</w:t>
      </w:r>
    </w:p>
    <w:p>
      <w:pPr>
        <w:pStyle w:val="Body"/>
        <w:bidi w:val="0"/>
      </w:pPr>
      <w:r>
        <w:rPr>
          <w:rFonts w:cs="Arial Unicode MS" w:eastAsia="Arial Unicode MS"/>
          <w:rtl w:val="0"/>
          <w:lang w:val="en-US"/>
        </w:rPr>
        <w:t xml:space="preserve">Desrosiers, G., </w:t>
      </w:r>
      <w:r>
        <w:rPr>
          <w:rFonts w:cs="Arial Unicode MS" w:eastAsia="Arial Unicode MS"/>
          <w:i w:val="1"/>
          <w:iCs w:val="1"/>
          <w:rtl w:val="0"/>
          <w:lang w:val="en-US"/>
        </w:rPr>
        <w:t>An Introduction to Revelation: A Pathway to Interpretation</w:t>
      </w:r>
      <w:r>
        <w:rPr>
          <w:rFonts w:cs="Arial Unicode MS" w:eastAsia="Arial Unicode MS"/>
          <w:i w:val="1"/>
          <w:iCs w:val="1"/>
          <w:rtl w:val="0"/>
          <w:lang w:val="en-US"/>
        </w:rPr>
        <w:t xml:space="preserve"> </w:t>
      </w:r>
      <w:r>
        <w:rPr>
          <w:rFonts w:cs="Arial Unicode MS" w:eastAsia="Arial Unicode MS"/>
          <w:rtl w:val="0"/>
          <w:lang w:val="en-US"/>
        </w:rPr>
        <w:t>(London: Continuum, 2000).</w:t>
      </w:r>
      <w:r>
        <w:rPr>
          <w:rFonts w:cs="Arial Unicode MS" w:eastAsia="Arial Unicode MS"/>
          <w:rtl w:val="0"/>
        </w:rPr>
        <w:t xml:space="preserve"> </w:t>
      </w:r>
    </w:p>
    <w:p>
      <w:pPr>
        <w:pStyle w:val="Body"/>
        <w:bidi w:val="0"/>
      </w:pPr>
      <w:r>
        <w:rPr>
          <w:rFonts w:cs="Arial Unicode MS" w:eastAsia="Arial Unicode MS"/>
          <w:rtl w:val="0"/>
          <w:lang w:val="en-US"/>
        </w:rPr>
        <w:t xml:space="preserve">Fee, G.D. and Stuart, D., </w:t>
      </w:r>
      <w:r>
        <w:rPr>
          <w:rFonts w:cs="Arial Unicode MS" w:eastAsia="Arial Unicode MS"/>
          <w:i w:val="1"/>
          <w:iCs w:val="1"/>
          <w:rtl w:val="0"/>
          <w:lang w:val="en-US"/>
        </w:rPr>
        <w:t xml:space="preserve">How to Read the Bible for All Its Worth, 2nd Edition </w:t>
      </w:r>
      <w:r>
        <w:rPr>
          <w:rFonts w:cs="Arial Unicode MS" w:eastAsia="Arial Unicode MS"/>
          <w:rtl w:val="0"/>
          <w:lang w:val="en-US"/>
        </w:rPr>
        <w:t>(Bletchely: Scripture Union, 1993).</w:t>
      </w:r>
      <w:r>
        <w:rPr>
          <w:rFonts w:cs="Arial Unicode MS" w:eastAsia="Arial Unicode MS"/>
          <w:rtl w:val="0"/>
        </w:rPr>
        <w:t xml:space="preserve"> </w:t>
      </w:r>
    </w:p>
    <w:p>
      <w:pPr>
        <w:pStyle w:val="Body"/>
        <w:bidi w:val="0"/>
      </w:pPr>
      <w:r>
        <w:rPr>
          <w:rFonts w:cs="Arial Unicode MS" w:eastAsia="Arial Unicode MS"/>
          <w:rtl w:val="0"/>
          <w:lang w:val="en-US"/>
        </w:rPr>
        <w:t xml:space="preserve">Mounce, R.H., </w:t>
      </w:r>
      <w:r>
        <w:rPr>
          <w:rFonts w:cs="Arial Unicode MS" w:eastAsia="Arial Unicode MS"/>
          <w:i w:val="1"/>
          <w:iCs w:val="1"/>
          <w:rtl w:val="0"/>
          <w:lang w:val="en-US"/>
        </w:rPr>
        <w:t xml:space="preserve">The Book of Revelation, Revised Edition </w:t>
      </w:r>
      <w:r>
        <w:rPr>
          <w:rFonts w:cs="Arial Unicode MS" w:eastAsia="Arial Unicode MS"/>
          <w:rtl w:val="0"/>
          <w:lang w:val="en-US"/>
        </w:rPr>
        <w:t>(Cambridge: Eerdmans, 1997).</w:t>
      </w:r>
    </w:p>
    <w:p>
      <w:pPr>
        <w:pStyle w:val="Body"/>
        <w:bidi w:val="0"/>
      </w:pPr>
      <w:r>
        <w:rPr>
          <w:rFonts w:cs="Arial Unicode MS" w:eastAsia="Arial Unicode MS"/>
          <w:rtl w:val="0"/>
          <w:lang w:val="en-US"/>
        </w:rPr>
        <w:t xml:space="preserve">Paulien, J., </w:t>
      </w:r>
      <w:r>
        <w:rPr>
          <w:rFonts w:cs="Arial Unicode MS" w:eastAsia="Arial Unicode MS" w:hint="default"/>
          <w:rtl w:val="0"/>
          <w:lang w:val="en-US"/>
        </w:rPr>
        <w:t>“</w:t>
      </w:r>
      <w:r>
        <w:rPr>
          <w:rFonts w:cs="Arial Unicode MS" w:eastAsia="Arial Unicode MS"/>
          <w:rtl w:val="0"/>
          <w:lang w:val="en-US"/>
        </w:rPr>
        <w:t>The Lion/Lamb King: Reading the Apocalypse from Popular Culture</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Reading the Book of Revelation: A Resource for Students, </w:t>
      </w:r>
      <w:r>
        <w:rPr>
          <w:rFonts w:cs="Arial Unicode MS" w:eastAsia="Arial Unicode MS"/>
          <w:rtl w:val="0"/>
          <w:lang w:val="en-US"/>
        </w:rPr>
        <w:t>ed. Barr, D.L (Atlanta: SBL, 2003), pp. 151-62.</w:t>
      </w:r>
    </w:p>
    <w:p>
      <w:pPr>
        <w:pStyle w:val="Body"/>
        <w:bidi w:val="0"/>
      </w:pPr>
      <w:r>
        <w:rPr>
          <w:rFonts w:cs="Arial Unicode MS" w:eastAsia="Arial Unicode MS"/>
          <w:rtl w:val="0"/>
          <w:lang w:val="en-US"/>
        </w:rPr>
        <w:t xml:space="preserve">Ruiz, J., </w:t>
      </w:r>
      <w:r>
        <w:rPr>
          <w:rFonts w:cs="Arial Unicode MS" w:eastAsia="Arial Unicode MS" w:hint="default"/>
          <w:rtl w:val="0"/>
          <w:lang w:val="en-US"/>
        </w:rPr>
        <w:t>“</w:t>
      </w:r>
      <w:r>
        <w:rPr>
          <w:rFonts w:cs="Arial Unicode MS" w:eastAsia="Arial Unicode MS"/>
          <w:rtl w:val="0"/>
          <w:lang w:val="en-US"/>
        </w:rPr>
        <w:t>Taking a Stand on the Sand of the Seashore: A Postcolonial Exploration of Revelation 13</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Reading the Book of Revelation: A Resource for Students, </w:t>
      </w:r>
      <w:r>
        <w:rPr>
          <w:rFonts w:cs="Arial Unicode MS" w:eastAsia="Arial Unicode MS"/>
          <w:rtl w:val="0"/>
          <w:lang w:val="en-US"/>
        </w:rPr>
        <w:t>ed. Barr, D.L (Atlanta: SBL, 2003), pp. 119-36.</w:t>
      </w:r>
      <w:r>
        <w:rPr>
          <w:rFonts w:cs="Arial Unicode MS" w:eastAsia="Arial Unicode MS"/>
          <w:rtl w:val="0"/>
        </w:rPr>
        <w:t xml:space="preserve"> </w:t>
      </w:r>
    </w:p>
    <w:p>
      <w:pPr>
        <w:pStyle w:val="Body"/>
        <w:bidi w:val="0"/>
      </w:pPr>
      <w:r>
        <w:rPr>
          <w:rFonts w:cs="Arial Unicode MS" w:eastAsia="Arial Unicode MS"/>
          <w:rtl w:val="0"/>
          <w:lang w:val="en-US"/>
        </w:rPr>
        <w:t xml:space="preserve">Russell, D.S., </w:t>
      </w:r>
      <w:r>
        <w:rPr>
          <w:rFonts w:cs="Arial Unicode MS" w:eastAsia="Arial Unicode MS" w:hint="default"/>
          <w:rtl w:val="0"/>
          <w:lang w:val="en-US"/>
        </w:rPr>
        <w:t>“</w:t>
      </w:r>
      <w:r>
        <w:rPr>
          <w:rFonts w:cs="Arial Unicode MS" w:eastAsia="Arial Unicode MS"/>
          <w:rtl w:val="0"/>
          <w:lang w:val="en-US"/>
        </w:rPr>
        <w:t>Apocalytpic Literature</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The Oxford Companion to the Bible</w:t>
      </w:r>
      <w:r>
        <w:rPr>
          <w:rFonts w:cs="Arial Unicode MS" w:eastAsia="Arial Unicode MS"/>
          <w:rtl w:val="0"/>
          <w:lang w:val="en-US"/>
        </w:rPr>
        <w:t>, eds. Metzger, B.M. &amp; Coogan, M.D (Oxford: Oxford University Press, 1993), pp. 34-36.</w:t>
      </w:r>
    </w:p>
    <w:p>
      <w:pPr>
        <w:pStyle w:val="Body"/>
        <w:bidi w:val="0"/>
      </w:pPr>
      <w:r>
        <w:rPr>
          <w:rFonts w:cs="Arial Unicode MS" w:eastAsia="Arial Unicode MS"/>
          <w:rtl w:val="0"/>
          <w:lang w:val="en-US"/>
        </w:rPr>
        <w:t xml:space="preserve">Stuckenbruck, L.T., </w:t>
      </w:r>
      <w:r>
        <w:rPr>
          <w:rFonts w:cs="Arial Unicode MS" w:eastAsia="Arial Unicode MS" w:hint="default"/>
          <w:rtl w:val="0"/>
          <w:lang w:val="en-US"/>
        </w:rPr>
        <w:t>“</w:t>
      </w:r>
      <w:r>
        <w:rPr>
          <w:rFonts w:cs="Arial Unicode MS" w:eastAsia="Arial Unicode MS"/>
          <w:rtl w:val="0"/>
          <w:lang w:val="en-US"/>
        </w:rPr>
        <w:t>Revelation</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Eerdmans Commentary on the Bible, </w:t>
      </w:r>
      <w:r>
        <w:rPr>
          <w:rFonts w:cs="Arial Unicode MS" w:eastAsia="Arial Unicode MS"/>
          <w:rtl w:val="0"/>
          <w:lang w:val="en-US"/>
        </w:rPr>
        <w:t>eds. Dunn,  J.D.G. &amp; Rogerson, J.W (Cambridge: Eerdmans, 2003), pp. 1535-1572.</w:t>
      </w:r>
    </w:p>
    <w:p>
      <w:pPr>
        <w:pStyle w:val="Body"/>
        <w:bidi w:val="0"/>
      </w:pPr>
      <w:r>
        <w:rPr>
          <w:rFonts w:cs="Arial Unicode MS" w:eastAsia="Arial Unicode MS"/>
          <w:rtl w:val="0"/>
          <w:lang w:val="en-US"/>
        </w:rPr>
        <w:t xml:space="preserve">Wilcock, M., </w:t>
      </w:r>
      <w:r>
        <w:rPr>
          <w:rFonts w:cs="Arial Unicode MS" w:eastAsia="Arial Unicode MS"/>
          <w:i w:val="1"/>
          <w:iCs w:val="1"/>
          <w:rtl w:val="0"/>
          <w:lang w:val="en-US"/>
        </w:rPr>
        <w:t xml:space="preserve">The Message of Revelation: I Saw Heaven Opened </w:t>
      </w:r>
      <w:r>
        <w:rPr>
          <w:rFonts w:cs="Arial Unicode MS" w:eastAsia="Arial Unicode MS"/>
          <w:rtl w:val="0"/>
          <w:lang w:val="en-US"/>
        </w:rPr>
        <w:t xml:space="preserve">(Leicester: IVP, 1989). </w:t>
      </w:r>
    </w:p>
    <w:p>
      <w:pPr>
        <w:pStyle w:val="Body"/>
        <w:bidi w:val="0"/>
      </w:pPr>
      <w:r>
        <w:rPr>
          <w:rFonts w:cs="Arial Unicode MS" w:eastAsia="Arial Unicode MS"/>
          <w:rtl w:val="0"/>
          <w:lang w:val="en-US"/>
        </w:rPr>
        <w:t xml:space="preserve">Woodman, S., </w:t>
      </w:r>
      <w:r>
        <w:rPr>
          <w:rFonts w:cs="Arial Unicode MS" w:eastAsia="Arial Unicode MS"/>
          <w:i w:val="1"/>
          <w:iCs w:val="1"/>
          <w:rtl w:val="0"/>
          <w:lang w:val="en-US"/>
        </w:rPr>
        <w:t xml:space="preserve">The Book of Revelation </w:t>
      </w:r>
      <w:r>
        <w:rPr>
          <w:rFonts w:cs="Arial Unicode MS" w:eastAsia="Arial Unicode MS"/>
          <w:rtl w:val="0"/>
          <w:lang w:val="en-US"/>
        </w:rPr>
        <w:t>(London: SCM Press, 2008).</w:t>
      </w:r>
    </w:p>
    <w:p>
      <w:pPr>
        <w:pStyle w:val="Body"/>
        <w:bidi w:val="0"/>
      </w:pPr>
    </w:p>
    <w:p>
      <w:pPr>
        <w:pStyle w:val="Body"/>
        <w:bidi w:val="0"/>
      </w:pPr>
    </w:p>
    <w:p>
      <w:pPr>
        <w:pStyle w:val="Body"/>
        <w:bidi w:val="0"/>
      </w:pPr>
      <w:r>
        <w:rPr>
          <w:i w:val="1"/>
          <w:iCs w:val="1"/>
        </w:rPr>
      </w:r>
    </w:p>
    <w:sectPr>
      <w:headerReference w:type="default" r:id="rId4"/>
      <w:footerReference w:type="default" r:id="rId5"/>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pPr>
    <w:r>
      <w:tab/>
      <w:tab/>
    </w:r>
    <w:r>
      <w:rPr/>
      <w:fldChar w:fldCharType="begin" w:fldLock="0"/>
    </w:r>
    <w:r>
      <w:instrText xml:space="preserve"> PAGE </w:instrText>
    </w:r>
    <w:r>
      <w:rPr/>
      <w:fldChar w:fldCharType="separate" w:fldLock="0"/>
    </w:r>
    <w:r>
      <w:t>6</w:t>
    </w:r>
    <w:r>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J.D. Crossan, </w:t>
      </w:r>
      <w:r>
        <w:rPr>
          <w:rFonts w:cs="Arial Unicode MS" w:eastAsia="Arial Unicode MS"/>
          <w:i w:val="1"/>
          <w:iCs w:val="1"/>
          <w:rtl w:val="0"/>
          <w:lang w:val="en-US"/>
        </w:rPr>
        <w:t xml:space="preserve">Jesus and the Violence of Scripture: How to Read the Bible and Still Be a Christian </w:t>
      </w:r>
      <w:r>
        <w:rPr>
          <w:rFonts w:cs="Arial Unicode MS" w:eastAsia="Arial Unicode MS"/>
          <w:rtl w:val="0"/>
          <w:lang w:val="en-US"/>
        </w:rPr>
        <w:t>(London: SPCK, 2015), pp. 11-14.</w:t>
      </w:r>
    </w:p>
  </w:footnote>
  <w:footnote w:id="2">
    <w:p>
      <w:pPr>
        <w:pStyle w:val="Footnote"/>
        <w:bidi w:val="0"/>
      </w:pPr>
      <w:r>
        <w:rPr>
          <w:vertAlign w:val="superscript"/>
        </w:rPr>
        <w:footnoteRef/>
      </w:r>
      <w:r>
        <w:rPr>
          <w:rFonts w:cs="Arial Unicode MS" w:eastAsia="Arial Unicode MS"/>
          <w:rtl w:val="0"/>
          <w:lang w:val="en-US"/>
        </w:rPr>
        <w:t xml:space="preserve"> I. Boxall, </w:t>
      </w:r>
      <w:r>
        <w:rPr>
          <w:rFonts w:cs="Arial Unicode MS" w:eastAsia="Arial Unicode MS"/>
          <w:i w:val="1"/>
          <w:iCs w:val="1"/>
          <w:rtl w:val="0"/>
          <w:lang w:val="en-US"/>
        </w:rPr>
        <w:t xml:space="preserve">Revelation: Vision and Insight </w:t>
      </w:r>
      <w:r>
        <w:rPr>
          <w:rFonts w:cs="Arial Unicode MS" w:eastAsia="Arial Unicode MS"/>
          <w:rtl w:val="0"/>
          <w:lang w:val="en-US"/>
        </w:rPr>
        <w:t>(London: SPCK, 2002), p. 106.</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 Paulien, </w:t>
      </w:r>
      <w:r>
        <w:rPr>
          <w:rFonts w:cs="Arial Unicode MS" w:eastAsia="Arial Unicode MS" w:hint="default"/>
          <w:rtl w:val="0"/>
          <w:lang w:val="en-US"/>
        </w:rPr>
        <w:t>“</w:t>
      </w:r>
      <w:r>
        <w:rPr>
          <w:rFonts w:cs="Arial Unicode MS" w:eastAsia="Arial Unicode MS"/>
          <w:rtl w:val="0"/>
          <w:lang w:val="en-US"/>
        </w:rPr>
        <w:t>The Lion/Lamb King: Reading the Apocalypse from Popular Culture</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Reading the Book of Revelation: A Resource for Students, </w:t>
      </w:r>
      <w:r>
        <w:rPr>
          <w:rFonts w:cs="Arial Unicode MS" w:eastAsia="Arial Unicode MS"/>
          <w:rtl w:val="0"/>
          <w:lang w:val="en-US"/>
        </w:rPr>
        <w:t>ed. D.L. Barr (Atlanta: SBL, 2003), pp. 152-154.</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Boxall, </w:t>
      </w:r>
      <w:r>
        <w:rPr>
          <w:rFonts w:cs="Arial Unicode MS" w:eastAsia="Arial Unicode MS"/>
          <w:i w:val="1"/>
          <w:iCs w:val="1"/>
          <w:rtl w:val="0"/>
          <w:lang w:val="en-US"/>
        </w:rPr>
        <w:t xml:space="preserve">Revelation, </w:t>
      </w:r>
      <w:r>
        <w:rPr>
          <w:rFonts w:cs="Arial Unicode MS" w:eastAsia="Arial Unicode MS"/>
          <w:rtl w:val="0"/>
          <w:lang w:val="en-US"/>
        </w:rPr>
        <w:t>p. 106.</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Crossan,</w:t>
      </w:r>
      <w:r>
        <w:rPr>
          <w:rFonts w:cs="Arial Unicode MS" w:eastAsia="Arial Unicode MS"/>
          <w:rtl w:val="0"/>
        </w:rPr>
        <w:t xml:space="preserve"> </w:t>
      </w:r>
      <w:r>
        <w:rPr>
          <w:rFonts w:cs="Arial Unicode MS" w:eastAsia="Arial Unicode MS"/>
          <w:i w:val="1"/>
          <w:iCs w:val="1"/>
          <w:rtl w:val="0"/>
          <w:lang w:val="en-US"/>
        </w:rPr>
        <w:t>Violence of Scripture</w:t>
      </w:r>
      <w:r>
        <w:rPr>
          <w:rFonts w:cs="Arial Unicode MS" w:eastAsia="Arial Unicode MS"/>
          <w:rtl w:val="0"/>
          <w:lang w:val="en-US"/>
        </w:rPr>
        <w:t>, pp. 192-200.</w:t>
      </w:r>
    </w:p>
  </w:footnote>
  <w:footnote w:id="6">
    <w:p>
      <w:pPr>
        <w:pStyle w:val="Footnote"/>
        <w:bidi w:val="0"/>
      </w:pPr>
      <w:r>
        <w:rPr>
          <w:vertAlign w:val="superscript"/>
        </w:rPr>
        <w:footnoteRef/>
      </w:r>
      <w:r>
        <w:rPr>
          <w:rFonts w:cs="Arial Unicode MS" w:eastAsia="Arial Unicode MS"/>
          <w:rtl w:val="0"/>
          <w:lang w:val="en-US"/>
        </w:rPr>
        <w:t xml:space="preserve"> S. Woodman, </w:t>
      </w:r>
      <w:r>
        <w:rPr>
          <w:rFonts w:cs="Arial Unicode MS" w:eastAsia="Arial Unicode MS"/>
          <w:i w:val="1"/>
          <w:iCs w:val="1"/>
          <w:rtl w:val="0"/>
          <w:lang w:val="en-US"/>
        </w:rPr>
        <w:t xml:space="preserve">The Book of Revelation </w:t>
      </w:r>
      <w:r>
        <w:rPr>
          <w:rFonts w:cs="Arial Unicode MS" w:eastAsia="Arial Unicode MS"/>
          <w:rtl w:val="0"/>
          <w:lang w:val="en-US"/>
        </w:rPr>
        <w:t>(London: SCM Press, 2008), p. 25.</w:t>
      </w:r>
    </w:p>
  </w:footnote>
  <w:footnote w:id="7">
    <w:p>
      <w:pPr>
        <w:pStyle w:val="Footnote"/>
        <w:bidi w:val="0"/>
      </w:pPr>
      <w:r>
        <w:rPr>
          <w:vertAlign w:val="superscript"/>
        </w:rPr>
        <w:footnoteRef/>
      </w:r>
      <w:r>
        <w:rPr>
          <w:rFonts w:cs="Arial Unicode MS" w:eastAsia="Arial Unicode MS"/>
          <w:rtl w:val="0"/>
          <w:lang w:val="en-US"/>
        </w:rPr>
        <w:t xml:space="preserve"> G.D. Fee and D. Stuart, </w:t>
      </w:r>
      <w:r>
        <w:rPr>
          <w:rFonts w:cs="Arial Unicode MS" w:eastAsia="Arial Unicode MS"/>
          <w:i w:val="1"/>
          <w:iCs w:val="1"/>
          <w:rtl w:val="0"/>
          <w:lang w:val="en-US"/>
        </w:rPr>
        <w:t xml:space="preserve">How to Read the Bible for All Its Worth, 2nd Edition </w:t>
      </w:r>
      <w:r>
        <w:rPr>
          <w:rFonts w:cs="Arial Unicode MS" w:eastAsia="Arial Unicode MS"/>
          <w:rtl w:val="0"/>
          <w:lang w:val="en-US"/>
        </w:rPr>
        <w:t>(Bletchely: Scripture Union, 1993), pp. 19-27.</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Fee and Stuart, </w:t>
      </w:r>
      <w:r>
        <w:rPr>
          <w:rFonts w:cs="Arial Unicode MS" w:eastAsia="Arial Unicode MS"/>
          <w:i w:val="1"/>
          <w:iCs w:val="1"/>
          <w:rtl w:val="0"/>
          <w:lang w:val="en-US"/>
        </w:rPr>
        <w:t xml:space="preserve">How to Read the Bible, </w:t>
      </w:r>
      <w:r>
        <w:rPr>
          <w:rFonts w:cs="Arial Unicode MS" w:eastAsia="Arial Unicode MS"/>
          <w:rtl w:val="0"/>
          <w:lang w:val="en-US"/>
        </w:rPr>
        <w:t>pp. 235-242.</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Boxall</w:t>
      </w:r>
      <w:r>
        <w:rPr>
          <w:rFonts w:cs="Arial Unicode MS" w:eastAsia="Arial Unicode MS"/>
          <w:i w:val="1"/>
          <w:iCs w:val="1"/>
          <w:rtl w:val="0"/>
          <w:lang w:val="en-US"/>
        </w:rPr>
        <w:t xml:space="preserve">, Revelation, </w:t>
      </w:r>
      <w:r>
        <w:rPr>
          <w:rFonts w:cs="Arial Unicode MS" w:eastAsia="Arial Unicode MS"/>
          <w:rtl w:val="0"/>
          <w:lang w:val="en-US"/>
        </w:rPr>
        <w:t xml:space="preserve">p. 12; Woodman, </w:t>
      </w:r>
      <w:r>
        <w:rPr>
          <w:rFonts w:cs="Arial Unicode MS" w:eastAsia="Arial Unicode MS"/>
          <w:i w:val="1"/>
          <w:iCs w:val="1"/>
          <w:rtl w:val="0"/>
          <w:lang w:val="en-US"/>
        </w:rPr>
        <w:t xml:space="preserve">Revelation, </w:t>
      </w:r>
      <w:r>
        <w:rPr>
          <w:rFonts w:cs="Arial Unicode MS" w:eastAsia="Arial Unicode MS"/>
          <w:rtl w:val="0"/>
          <w:lang w:val="en-US"/>
        </w:rPr>
        <w:t>p 9.</w:t>
      </w:r>
    </w:p>
  </w:footnote>
  <w:footnote w:id="1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J.J. Collins, </w:t>
      </w:r>
      <w:r>
        <w:rPr>
          <w:rFonts w:cs="Arial Unicode MS" w:eastAsia="Arial Unicode MS" w:hint="default"/>
          <w:rtl w:val="0"/>
          <w:lang w:val="en-US"/>
        </w:rPr>
        <w:t>“</w:t>
      </w:r>
      <w:r>
        <w:rPr>
          <w:rFonts w:cs="Arial Unicode MS" w:eastAsia="Arial Unicode MS"/>
          <w:rtl w:val="0"/>
          <w:lang w:val="en-US"/>
        </w:rPr>
        <w:t>Introduction: Towards the Morphology of a Genre</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Apocalypse: The Morphology of a Genre, </w:t>
      </w:r>
      <w:r>
        <w:rPr>
          <w:rFonts w:cs="Arial Unicode MS" w:eastAsia="Arial Unicode MS"/>
          <w:rtl w:val="0"/>
          <w:lang w:val="en-US"/>
        </w:rPr>
        <w:t>ed. J.J Collins, Semeia 14 (Chico: Scholars Press, 1979), p. 9.</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R.H. Mounce,</w:t>
      </w:r>
      <w:r>
        <w:rPr>
          <w:rFonts w:cs="Arial Unicode MS" w:eastAsia="Arial Unicode MS"/>
          <w:i w:val="1"/>
          <w:iCs w:val="1"/>
          <w:rtl w:val="0"/>
          <w:lang w:val="en-US"/>
        </w:rPr>
        <w:t xml:space="preserve">The Book of Revelation, Revised Edition </w:t>
      </w:r>
      <w:r>
        <w:rPr>
          <w:rFonts w:cs="Arial Unicode MS" w:eastAsia="Arial Unicode MS"/>
          <w:rtl w:val="0"/>
          <w:lang w:val="en-US"/>
        </w:rPr>
        <w:t>(Cambridge: Eerdmans, 1997), p. 2;</w:t>
      </w:r>
      <w:r>
        <w:rPr>
          <w:rFonts w:cs="Arial Unicode MS" w:eastAsia="Arial Unicode MS"/>
          <w:rtl w:val="0"/>
        </w:rPr>
        <w:t xml:space="preserve"> </w:t>
      </w:r>
      <w:r>
        <w:rPr>
          <w:rFonts w:cs="Arial Unicode MS" w:eastAsia="Arial Unicode MS"/>
          <w:rtl w:val="0"/>
          <w:lang w:val="en-US"/>
        </w:rPr>
        <w:t xml:space="preserve">D.S. Russell, </w:t>
      </w:r>
      <w:r>
        <w:rPr>
          <w:rFonts w:cs="Arial Unicode MS" w:eastAsia="Arial Unicode MS" w:hint="default"/>
          <w:rtl w:val="0"/>
          <w:lang w:val="en-US"/>
        </w:rPr>
        <w:t>“</w:t>
      </w:r>
      <w:r>
        <w:rPr>
          <w:rFonts w:cs="Arial Unicode MS" w:eastAsia="Arial Unicode MS"/>
          <w:rtl w:val="0"/>
          <w:lang w:val="en-US"/>
        </w:rPr>
        <w:t>Apocalytpic Literature</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The Oxford Companion to the Bible</w:t>
      </w:r>
      <w:r>
        <w:rPr>
          <w:rFonts w:cs="Arial Unicode MS" w:eastAsia="Arial Unicode MS"/>
          <w:rtl w:val="0"/>
          <w:lang w:val="en-US"/>
        </w:rPr>
        <w:t>, eds. B.M. Metzger &amp; M.D. Coogan (Oxford: Oxford University Press, 1993), p. 34;</w:t>
      </w:r>
      <w:r>
        <w:rPr>
          <w:rFonts w:cs="Arial Unicode MS" w:eastAsia="Arial Unicode MS"/>
          <w:rtl w:val="0"/>
        </w:rPr>
        <w:t xml:space="preserve"> </w:t>
      </w:r>
      <w:r>
        <w:rPr>
          <w:rFonts w:cs="Arial Unicode MS" w:eastAsia="Arial Unicode MS"/>
          <w:rtl w:val="0"/>
          <w:lang w:val="en-US"/>
        </w:rPr>
        <w:t xml:space="preserve">M. Wilcock, </w:t>
      </w:r>
      <w:r>
        <w:rPr>
          <w:rFonts w:cs="Arial Unicode MS" w:eastAsia="Arial Unicode MS"/>
          <w:i w:val="1"/>
          <w:iCs w:val="1"/>
          <w:rtl w:val="0"/>
          <w:lang w:val="en-US"/>
        </w:rPr>
        <w:t xml:space="preserve">The Message of Revelation: I Saw Heaven Opened </w:t>
      </w:r>
      <w:r>
        <w:rPr>
          <w:rFonts w:cs="Arial Unicode MS" w:eastAsia="Arial Unicode MS"/>
          <w:rtl w:val="0"/>
          <w:lang w:val="en-US"/>
        </w:rPr>
        <w:t>(Leicester: IVP, 1989), p. 20.</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Woodman, </w:t>
      </w:r>
      <w:r>
        <w:rPr>
          <w:rFonts w:cs="Arial Unicode MS" w:eastAsia="Arial Unicode MS"/>
          <w:i w:val="1"/>
          <w:iCs w:val="1"/>
          <w:rtl w:val="0"/>
          <w:lang w:val="en-US"/>
        </w:rPr>
        <w:t xml:space="preserve">Revelation, </w:t>
      </w:r>
      <w:r>
        <w:rPr>
          <w:rFonts w:cs="Arial Unicode MS" w:eastAsia="Arial Unicode MS"/>
          <w:rtl w:val="0"/>
          <w:lang w:val="en-US"/>
        </w:rPr>
        <w:t>p 8.</w:t>
      </w:r>
    </w:p>
  </w:footnote>
  <w:footnote w:id="1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Boxall, </w:t>
      </w:r>
      <w:r>
        <w:rPr>
          <w:rFonts w:cs="Arial Unicode MS" w:eastAsia="Arial Unicode MS"/>
          <w:i w:val="1"/>
          <w:iCs w:val="1"/>
          <w:rtl w:val="0"/>
          <w:lang w:val="en-US"/>
        </w:rPr>
        <w:t xml:space="preserve">Revelation, </w:t>
      </w:r>
      <w:r>
        <w:rPr>
          <w:rFonts w:cs="Arial Unicode MS" w:eastAsia="Arial Unicode MS"/>
          <w:rtl w:val="0"/>
          <w:lang w:val="en-US"/>
        </w:rPr>
        <w:t xml:space="preserve">pp. 12-14; Mounce, </w:t>
      </w:r>
      <w:r>
        <w:rPr>
          <w:rFonts w:cs="Arial Unicode MS" w:eastAsia="Arial Unicode MS"/>
          <w:i w:val="1"/>
          <w:iCs w:val="1"/>
          <w:rtl w:val="0"/>
          <w:lang w:val="en-US"/>
        </w:rPr>
        <w:t xml:space="preserve">Revelation, </w:t>
      </w:r>
      <w:r>
        <w:rPr>
          <w:rFonts w:cs="Arial Unicode MS" w:eastAsia="Arial Unicode MS"/>
          <w:rtl w:val="0"/>
          <w:lang w:val="en-US"/>
        </w:rPr>
        <w:t xml:space="preserve">p. 1; Russell, </w:t>
      </w:r>
      <w:r>
        <w:rPr>
          <w:rFonts w:cs="Arial Unicode MS" w:eastAsia="Arial Unicode MS" w:hint="default"/>
          <w:rtl w:val="0"/>
          <w:lang w:val="en-US"/>
        </w:rPr>
        <w:t>“</w:t>
      </w:r>
      <w:r>
        <w:rPr>
          <w:rFonts w:cs="Arial Unicode MS" w:eastAsia="Arial Unicode MS"/>
          <w:rtl w:val="0"/>
          <w:lang w:val="en-US"/>
        </w:rPr>
        <w:t>Apocalyptic</w:t>
      </w:r>
      <w:r>
        <w:rPr>
          <w:rFonts w:cs="Arial Unicode MS" w:eastAsia="Arial Unicode MS" w:hint="default"/>
          <w:rtl w:val="0"/>
          <w:lang w:val="en-US"/>
        </w:rPr>
        <w:t>”</w:t>
      </w:r>
      <w:r>
        <w:rPr>
          <w:rFonts w:cs="Arial Unicode MS" w:eastAsia="Arial Unicode MS"/>
          <w:rtl w:val="0"/>
          <w:lang w:val="en-US"/>
        </w:rPr>
        <w:t>, p. 34.</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Wilcock, </w:t>
      </w:r>
      <w:r>
        <w:rPr>
          <w:rFonts w:cs="Arial Unicode MS" w:eastAsia="Arial Unicode MS"/>
          <w:i w:val="1"/>
          <w:iCs w:val="1"/>
          <w:rtl w:val="0"/>
          <w:lang w:val="en-US"/>
        </w:rPr>
        <w:t xml:space="preserve">Message, </w:t>
      </w:r>
      <w:r>
        <w:rPr>
          <w:rFonts w:cs="Arial Unicode MS" w:eastAsia="Arial Unicode MS"/>
          <w:rtl w:val="0"/>
          <w:lang w:val="en-US"/>
        </w:rPr>
        <w:t xml:space="preserve">p. 21; Woodman, </w:t>
      </w:r>
      <w:r>
        <w:rPr>
          <w:rFonts w:cs="Arial Unicode MS" w:eastAsia="Arial Unicode MS"/>
          <w:i w:val="1"/>
          <w:iCs w:val="1"/>
          <w:rtl w:val="0"/>
          <w:lang w:val="en-US"/>
        </w:rPr>
        <w:t xml:space="preserve">Revelation, </w:t>
      </w:r>
      <w:r>
        <w:rPr>
          <w:rFonts w:cs="Arial Unicode MS" w:eastAsia="Arial Unicode MS"/>
          <w:rtl w:val="0"/>
          <w:lang w:val="en-US"/>
        </w:rPr>
        <w:t>p. 16.</w:t>
      </w:r>
    </w:p>
  </w:footnote>
  <w:footnote w:id="1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Boxall, </w:t>
      </w:r>
      <w:r>
        <w:rPr>
          <w:rFonts w:cs="Arial Unicode MS" w:eastAsia="Arial Unicode MS"/>
          <w:i w:val="1"/>
          <w:iCs w:val="1"/>
          <w:rtl w:val="0"/>
          <w:lang w:val="en-US"/>
        </w:rPr>
        <w:t xml:space="preserve">Revelation, </w:t>
      </w:r>
      <w:r>
        <w:rPr>
          <w:rFonts w:cs="Arial Unicode MS" w:eastAsia="Arial Unicode MS"/>
          <w:rtl w:val="0"/>
          <w:lang w:val="en-US"/>
        </w:rPr>
        <w:t>p. 13.</w:t>
      </w:r>
    </w:p>
  </w:footnote>
  <w:footnote w:id="1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Fee and Stuart, </w:t>
      </w:r>
      <w:r>
        <w:rPr>
          <w:rFonts w:cs="Arial Unicode MS" w:eastAsia="Arial Unicode MS"/>
          <w:i w:val="1"/>
          <w:iCs w:val="1"/>
          <w:rtl w:val="0"/>
          <w:lang w:val="en-US"/>
        </w:rPr>
        <w:t xml:space="preserve">How to Read the Bible, </w:t>
      </w:r>
      <w:r>
        <w:rPr>
          <w:rFonts w:cs="Arial Unicode MS" w:eastAsia="Arial Unicode MS"/>
          <w:rtl w:val="0"/>
          <w:lang w:val="en-US"/>
        </w:rPr>
        <w:t>p. 232.</w:t>
      </w:r>
    </w:p>
  </w:footnote>
  <w:footnote w:id="17">
    <w:p>
      <w:pPr>
        <w:pStyle w:val="Footnote"/>
        <w:bidi w:val="0"/>
      </w:pPr>
      <w:r>
        <w:rPr>
          <w:vertAlign w:val="superscript"/>
        </w:rPr>
        <w:footnoteRef/>
      </w:r>
      <w:r>
        <w:rPr>
          <w:rFonts w:cs="Arial Unicode MS" w:eastAsia="Arial Unicode MS"/>
          <w:rtl w:val="0"/>
          <w:lang w:val="en-US"/>
        </w:rPr>
        <w:t xml:space="preserve"> G.K. Beale and S.M. McDonough, </w:t>
      </w:r>
      <w:r>
        <w:rPr>
          <w:rFonts w:cs="Arial Unicode MS" w:eastAsia="Arial Unicode MS" w:hint="default"/>
          <w:rtl w:val="0"/>
          <w:lang w:val="en-US"/>
        </w:rPr>
        <w:t>“</w:t>
      </w:r>
      <w:r>
        <w:rPr>
          <w:rFonts w:cs="Arial Unicode MS" w:eastAsia="Arial Unicode MS"/>
          <w:rtl w:val="0"/>
          <w:lang w:val="en-US"/>
        </w:rPr>
        <w:t>Revelation</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Commentary on the New Testament Use of the Old Testament, </w:t>
      </w:r>
      <w:r>
        <w:rPr>
          <w:rFonts w:cs="Arial Unicode MS" w:eastAsia="Arial Unicode MS"/>
          <w:rtl w:val="0"/>
          <w:lang w:val="en-US"/>
        </w:rPr>
        <w:t>eds. G.K. Beale &amp; D.A Carson (Grand Rapids: Baker Academic, 2007), pp. 1081-1082.</w:t>
      </w:r>
    </w:p>
  </w:footnote>
  <w:footnote w:id="1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Wilcock, </w:t>
      </w:r>
      <w:r>
        <w:rPr>
          <w:rFonts w:cs="Arial Unicode MS" w:eastAsia="Arial Unicode MS"/>
          <w:i w:val="1"/>
          <w:iCs w:val="1"/>
          <w:rtl w:val="0"/>
          <w:lang w:val="en-US"/>
        </w:rPr>
        <w:t xml:space="preserve">Message, </w:t>
      </w:r>
      <w:r>
        <w:rPr>
          <w:rFonts w:cs="Arial Unicode MS" w:eastAsia="Arial Unicode MS"/>
          <w:rtl w:val="0"/>
          <w:lang w:val="en-US"/>
        </w:rPr>
        <w:t>p. 22-23.</w:t>
      </w:r>
    </w:p>
  </w:footnote>
  <w:footnote w:id="1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Beale and McDonough, </w:t>
      </w:r>
      <w:r>
        <w:rPr>
          <w:rFonts w:cs="Arial Unicode MS" w:eastAsia="Arial Unicode MS" w:hint="default"/>
          <w:rtl w:val="0"/>
          <w:lang w:val="en-US"/>
        </w:rPr>
        <w:t>“</w:t>
      </w:r>
      <w:r>
        <w:rPr>
          <w:rFonts w:cs="Arial Unicode MS" w:eastAsia="Arial Unicode MS"/>
          <w:rtl w:val="0"/>
          <w:lang w:val="en-US"/>
        </w:rPr>
        <w:t>Revelation</w:t>
      </w:r>
      <w:r>
        <w:rPr>
          <w:rFonts w:cs="Arial Unicode MS" w:eastAsia="Arial Unicode MS" w:hint="default"/>
          <w:rtl w:val="0"/>
          <w:lang w:val="en-US"/>
        </w:rPr>
        <w:t>”</w:t>
      </w:r>
      <w:r>
        <w:rPr>
          <w:rFonts w:cs="Arial Unicode MS" w:eastAsia="Arial Unicode MS"/>
          <w:rtl w:val="0"/>
          <w:lang w:val="en-US"/>
        </w:rPr>
        <w:t xml:space="preserve">, pp. 1127-30; Derosiers, </w:t>
      </w:r>
      <w:r>
        <w:rPr>
          <w:rFonts w:cs="Arial Unicode MS" w:eastAsia="Arial Unicode MS"/>
          <w:i w:val="1"/>
          <w:iCs w:val="1"/>
          <w:rtl w:val="0"/>
          <w:lang w:val="en-US"/>
        </w:rPr>
        <w:t>An Introduction to Revelation: A Pathway to Interpretation</w:t>
      </w:r>
      <w:r>
        <w:rPr>
          <w:rFonts w:cs="Arial Unicode MS" w:eastAsia="Arial Unicode MS"/>
          <w:i w:val="1"/>
          <w:iCs w:val="1"/>
          <w:rtl w:val="0"/>
          <w:lang w:val="en-US"/>
        </w:rPr>
        <w:t xml:space="preserve"> </w:t>
      </w:r>
      <w:r>
        <w:rPr>
          <w:rFonts w:cs="Arial Unicode MS" w:eastAsia="Arial Unicode MS"/>
          <w:rtl w:val="0"/>
          <w:lang w:val="en-US"/>
        </w:rPr>
        <w:t xml:space="preserve">(London: Continuum, 2000), pp. 85-87; Mounce, </w:t>
      </w:r>
      <w:r>
        <w:rPr>
          <w:rFonts w:cs="Arial Unicode MS" w:eastAsia="Arial Unicode MS"/>
          <w:i w:val="1"/>
          <w:iCs w:val="1"/>
          <w:rtl w:val="0"/>
          <w:lang w:val="en-US"/>
        </w:rPr>
        <w:t xml:space="preserve">Revelation, </w:t>
      </w:r>
      <w:r>
        <w:rPr>
          <w:rFonts w:cs="Arial Unicode MS" w:eastAsia="Arial Unicode MS"/>
          <w:rtl w:val="0"/>
          <w:lang w:val="en-US"/>
        </w:rPr>
        <w:t xml:space="preserve">pp. 244-46; L.T Stuckenbruck, </w:t>
      </w:r>
      <w:r>
        <w:rPr>
          <w:rFonts w:cs="Arial Unicode MS" w:eastAsia="Arial Unicode MS" w:hint="default"/>
          <w:rtl w:val="0"/>
          <w:lang w:val="en-US"/>
        </w:rPr>
        <w:t>“</w:t>
      </w:r>
      <w:r>
        <w:rPr>
          <w:rFonts w:cs="Arial Unicode MS" w:eastAsia="Arial Unicode MS"/>
          <w:rtl w:val="0"/>
          <w:lang w:val="en-US"/>
        </w:rPr>
        <w:t>Revelation</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Eerdmans Commentary on the Bible, </w:t>
      </w:r>
      <w:r>
        <w:rPr>
          <w:rFonts w:cs="Arial Unicode MS" w:eastAsia="Arial Unicode MS"/>
          <w:rtl w:val="0"/>
          <w:lang w:val="en-US"/>
        </w:rPr>
        <w:t xml:space="preserve">eds. J.D.G. Dunn &amp; J.W. Rogerson, (Cambridge: Eerdmans, 2003), pp. 1555-56; Wilcock, </w:t>
      </w:r>
      <w:r>
        <w:rPr>
          <w:rFonts w:cs="Arial Unicode MS" w:eastAsia="Arial Unicode MS"/>
          <w:i w:val="1"/>
          <w:iCs w:val="1"/>
          <w:rtl w:val="0"/>
          <w:lang w:val="en-US"/>
        </w:rPr>
        <w:t xml:space="preserve">Message, </w:t>
      </w:r>
      <w:r>
        <w:rPr>
          <w:rFonts w:cs="Arial Unicode MS" w:eastAsia="Arial Unicode MS"/>
          <w:rtl w:val="0"/>
          <w:lang w:val="en-US"/>
        </w:rPr>
        <w:t>pp. 122-25.</w:t>
      </w:r>
    </w:p>
  </w:footnote>
  <w:footnote w:id="2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 Ruiz, </w:t>
      </w:r>
      <w:r>
        <w:rPr>
          <w:rFonts w:cs="Arial Unicode MS" w:eastAsia="Arial Unicode MS" w:hint="default"/>
          <w:rtl w:val="0"/>
          <w:lang w:val="en-US"/>
        </w:rPr>
        <w:t>“</w:t>
      </w:r>
      <w:r>
        <w:rPr>
          <w:rFonts w:cs="Arial Unicode MS" w:eastAsia="Arial Unicode MS"/>
          <w:rtl w:val="0"/>
          <w:lang w:val="en-US"/>
        </w:rPr>
        <w:t>Taking a Stand on the Sand of the Seashore: A Postcolonial Exploration of Revelation 13</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Reading the Book of Revelation: A Resource for Students, </w:t>
      </w:r>
      <w:r>
        <w:rPr>
          <w:rFonts w:cs="Arial Unicode MS" w:eastAsia="Arial Unicode MS"/>
          <w:rtl w:val="0"/>
          <w:lang w:val="en-US"/>
        </w:rPr>
        <w:t>ed. D.L. Barr (Atlanta: SBL, 2003), p. 130.</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Stuckenbruck, </w:t>
      </w:r>
      <w:r>
        <w:rPr>
          <w:rFonts w:cs="Arial Unicode MS" w:eastAsia="Arial Unicode MS" w:hint="default"/>
          <w:rtl w:val="0"/>
          <w:lang w:val="en-US"/>
        </w:rPr>
        <w:t>“</w:t>
      </w:r>
      <w:r>
        <w:rPr>
          <w:rFonts w:cs="Arial Unicode MS" w:eastAsia="Arial Unicode MS"/>
          <w:rtl w:val="0"/>
          <w:lang w:val="en-US"/>
        </w:rPr>
        <w:t>Revelation</w:t>
      </w:r>
      <w:r>
        <w:rPr>
          <w:rFonts w:cs="Arial Unicode MS" w:eastAsia="Arial Unicode MS" w:hint="default"/>
          <w:rtl w:val="0"/>
          <w:lang w:val="en-US"/>
        </w:rPr>
        <w:t>”</w:t>
      </w:r>
      <w:r>
        <w:rPr>
          <w:rFonts w:cs="Arial Unicode MS" w:eastAsia="Arial Unicode MS"/>
          <w:rtl w:val="0"/>
          <w:lang w:val="en-US"/>
        </w:rPr>
        <w:t xml:space="preserve">, p. 1555. </w:t>
      </w:r>
    </w:p>
  </w:footnote>
  <w:footnote w:id="2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Mounce, </w:t>
      </w:r>
      <w:r>
        <w:rPr>
          <w:rFonts w:cs="Arial Unicode MS" w:eastAsia="Arial Unicode MS"/>
          <w:i w:val="1"/>
          <w:iCs w:val="1"/>
          <w:rtl w:val="0"/>
          <w:lang w:val="en-US"/>
        </w:rPr>
        <w:t xml:space="preserve">Revelation, </w:t>
      </w:r>
      <w:r>
        <w:rPr>
          <w:rFonts w:cs="Arial Unicode MS" w:eastAsia="Arial Unicode MS"/>
          <w:rtl w:val="0"/>
          <w:lang w:val="en-US"/>
        </w:rPr>
        <w:t>p. 246.</w:t>
      </w:r>
    </w:p>
  </w:footnote>
  <w:footnote w:id="2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Ruiz, </w:t>
      </w:r>
      <w:r>
        <w:rPr>
          <w:rFonts w:cs="Arial Unicode MS" w:eastAsia="Arial Unicode MS"/>
          <w:i w:val="1"/>
          <w:iCs w:val="1"/>
          <w:rtl w:val="0"/>
          <w:lang w:val="en-US"/>
        </w:rPr>
        <w:t xml:space="preserve">Taking a Stand, </w:t>
      </w:r>
      <w:r>
        <w:rPr>
          <w:rFonts w:cs="Arial Unicode MS" w:eastAsia="Arial Unicode MS"/>
          <w:rtl w:val="0"/>
          <w:lang w:val="en-US"/>
        </w:rPr>
        <w:t xml:space="preserve">pp. 130-132; Wilcock, </w:t>
      </w:r>
      <w:r>
        <w:rPr>
          <w:rFonts w:cs="Arial Unicode MS" w:eastAsia="Arial Unicode MS"/>
          <w:i w:val="1"/>
          <w:iCs w:val="1"/>
          <w:rtl w:val="0"/>
          <w:lang w:val="en-US"/>
        </w:rPr>
        <w:t xml:space="preserve">Message, </w:t>
      </w:r>
      <w:r>
        <w:rPr>
          <w:rFonts w:cs="Arial Unicode MS" w:eastAsia="Arial Unicode MS"/>
          <w:rtl w:val="0"/>
          <w:lang w:val="en-US"/>
        </w:rPr>
        <w:t xml:space="preserve">p. 124; Stuckenbruck, </w:t>
      </w:r>
      <w:r>
        <w:rPr>
          <w:rFonts w:cs="Arial Unicode MS" w:eastAsia="Arial Unicode MS"/>
          <w:i w:val="1"/>
          <w:iCs w:val="1"/>
          <w:rtl w:val="0"/>
          <w:lang w:val="en-US"/>
        </w:rPr>
        <w:t xml:space="preserve">Revelation, </w:t>
      </w:r>
      <w:r>
        <w:rPr>
          <w:rFonts w:cs="Arial Unicode MS" w:eastAsia="Arial Unicode MS"/>
          <w:rtl w:val="0"/>
          <w:lang w:val="en-US"/>
        </w:rPr>
        <w:t>p. 1555.</w:t>
      </w:r>
    </w:p>
  </w:footnote>
  <w:footnote w:id="2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Crossan, </w:t>
      </w:r>
      <w:r>
        <w:rPr>
          <w:rFonts w:cs="Arial Unicode MS" w:eastAsia="Arial Unicode MS"/>
          <w:i w:val="1"/>
          <w:iCs w:val="1"/>
          <w:rtl w:val="0"/>
          <w:lang w:val="en-US"/>
        </w:rPr>
        <w:t xml:space="preserve">Violence of Scripture, </w:t>
      </w:r>
      <w:r>
        <w:rPr>
          <w:rFonts w:cs="Arial Unicode MS" w:eastAsia="Arial Unicode MS"/>
          <w:rtl w:val="0"/>
          <w:lang w:val="en-US"/>
        </w:rPr>
        <w:t xml:space="preserve">pp. 182-185. The emperor Caligula is suggested as an alternative by Mounce, </w:t>
      </w:r>
      <w:r>
        <w:rPr>
          <w:rFonts w:cs="Arial Unicode MS" w:eastAsia="Arial Unicode MS"/>
          <w:i w:val="1"/>
          <w:iCs w:val="1"/>
          <w:rtl w:val="0"/>
          <w:lang w:val="en-US"/>
        </w:rPr>
        <w:t xml:space="preserve">Revelation, </w:t>
      </w:r>
      <w:r>
        <w:rPr>
          <w:rFonts w:cs="Arial Unicode MS" w:eastAsia="Arial Unicode MS"/>
          <w:rtl w:val="0"/>
          <w:lang w:val="en-US"/>
        </w:rPr>
        <w:t xml:space="preserve">p. 247. </w:t>
      </w:r>
    </w:p>
  </w:footnote>
  <w:footnote w:id="2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Desrosiers, </w:t>
      </w:r>
      <w:r>
        <w:rPr>
          <w:rFonts w:cs="Arial Unicode MS" w:eastAsia="Arial Unicode MS"/>
          <w:i w:val="1"/>
          <w:iCs w:val="1"/>
          <w:rtl w:val="0"/>
          <w:lang w:val="en-US"/>
        </w:rPr>
        <w:t xml:space="preserve">An Introduction, </w:t>
      </w:r>
      <w:r>
        <w:rPr>
          <w:rFonts w:cs="Arial Unicode MS" w:eastAsia="Arial Unicode MS"/>
          <w:rtl w:val="0"/>
          <w:lang w:val="en-US"/>
        </w:rPr>
        <w:t>p. 119.</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Baskerville" w:eastAsia="Arial Unicode MS"/>
      <w:b w:val="0"/>
      <w:bCs w:val="0"/>
      <w:i w:val="0"/>
      <w:iCs w:val="0"/>
      <w:caps w:val="1"/>
      <w:strike w:val="0"/>
      <w:dstrike w:val="0"/>
      <w:outline w:val="0"/>
      <w:color w:val="000000"/>
      <w:spacing w:val="0"/>
      <w:kern w:val="0"/>
      <w:position w:val="0"/>
      <w:sz w:val="20"/>
      <w:szCs w:val="20"/>
      <w:u w:val="none"/>
      <w:vertAlign w:val="baseline"/>
    </w:rPr>
  </w:style>
  <w:style w:type="paragraph" w:styleId="Heading">
    <w:name w:val="Heading"/>
    <w:next w:val="Body 2"/>
    <w:pPr>
      <w:keepNext w:val="0"/>
      <w:keepLines w:val="0"/>
      <w:pageBreakBefore w:val="0"/>
      <w:widowControl w:val="1"/>
      <w:shd w:val="clear" w:color="auto" w:fill="auto"/>
      <w:suppressAutoHyphens w:val="0"/>
      <w:bidi w:val="0"/>
      <w:spacing w:before="0" w:after="0" w:line="312" w:lineRule="auto"/>
      <w:ind w:left="0" w:right="0" w:firstLine="0"/>
      <w:jc w:val="left"/>
      <w:outlineLvl w:val="0"/>
    </w:pPr>
    <w:rPr>
      <w:rFonts w:ascii="Baskerville" w:cs="Arial Unicode MS" w:hAnsi="Baskerville" w:eastAsia="Arial Unicode MS"/>
      <w:b w:val="0"/>
      <w:bCs w:val="0"/>
      <w:i w:val="0"/>
      <w:iCs w:val="0"/>
      <w:caps w:val="0"/>
      <w:smallCaps w:val="0"/>
      <w:strike w:val="0"/>
      <w:dstrike w:val="0"/>
      <w:outline w:val="0"/>
      <w:color w:val="000000"/>
      <w:spacing w:val="0"/>
      <w:kern w:val="0"/>
      <w:position w:val="0"/>
      <w:sz w:val="26"/>
      <w:szCs w:val="2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Baskerville" w:eastAsia="Arial Unicode MS"/>
      <w:b w:val="0"/>
      <w:bCs w:val="0"/>
      <w:i w:val="0"/>
      <w:iCs w:val="0"/>
      <w:caps w:val="0"/>
      <w:smallCaps w:val="0"/>
      <w:strike w:val="0"/>
      <w:dstrike w:val="0"/>
      <w:outline w:val="0"/>
      <w:color w:val="434343"/>
      <w:spacing w:val="0"/>
      <w:kern w:val="0"/>
      <w:position w:val="0"/>
      <w:sz w:val="24"/>
      <w:szCs w:val="24"/>
      <w:u w:val="none"/>
      <w:vertAlign w:val="baseline"/>
      <w:lang w:val="en-US"/>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Baskerville" w:cs="Arial Unicode MS" w:hAnsi="Baskerville" w:eastAsia="Arial Unicode MS"/>
      <w:b w:val="0"/>
      <w:bCs w:val="0"/>
      <w:i w:val="0"/>
      <w:iCs w:val="0"/>
      <w:caps w:val="0"/>
      <w:smallCaps w:val="0"/>
      <w:strike w:val="0"/>
      <w:dstrike w:val="0"/>
      <w:outline w:val="0"/>
      <w:color w:val="dc5921"/>
      <w:spacing w:val="6"/>
      <w:kern w:val="0"/>
      <w:position w:val="0"/>
      <w:sz w:val="64"/>
      <w:szCs w:val="64"/>
      <w:u w:val="none"/>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Baskerville" w:cs="Baskerville" w:hAnsi="Baskerville" w:eastAsia="Baskerville"/>
      <w:b w:val="0"/>
      <w:bCs w:val="0"/>
      <w:i w:val="0"/>
      <w:iCs w:val="0"/>
      <w:caps w:val="0"/>
      <w:smallCaps w:val="0"/>
      <w:strike w:val="0"/>
      <w:dstrike w:val="0"/>
      <w:outline w:val="0"/>
      <w:color w:val="434343"/>
      <w:spacing w:val="0"/>
      <w:kern w:val="0"/>
      <w:position w:val="0"/>
      <w:sz w:val="20"/>
      <w:szCs w:val="20"/>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Baskerville" w:cs="Baskerville" w:hAnsi="Baskerville" w:eastAsia="Baskerville"/>
      <w:b w:val="0"/>
      <w:bCs w:val="0"/>
      <w:i w:val="0"/>
      <w:iCs w:val="0"/>
      <w:caps w:val="0"/>
      <w:smallCaps w:val="0"/>
      <w:strike w:val="0"/>
      <w:dstrike w:val="0"/>
      <w:outline w:val="0"/>
      <w:color w:val="000000"/>
      <w:spacing w:val="0"/>
      <w:kern w:val="0"/>
      <w:position w:val="0"/>
      <w:sz w:val="24"/>
      <w:szCs w:val="24"/>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400"/>
          </a:spcBef>
          <a:spcAft>
            <a:spcPts val="0"/>
          </a:spcAft>
          <a:buClrTx/>
          <a:buSzTx/>
          <a:buFontTx/>
          <a:buNone/>
          <a:tabLst/>
          <a:defRPr b="0" baseline="0" cap="none" i="0" spc="0" strike="noStrike" sz="1200" u="none" kumimoji="0" normalizeH="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