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80C5F0" w14:textId="77777777" w:rsidR="003753E2" w:rsidRDefault="003753E2" w:rsidP="00EA6E49">
      <w:pPr>
        <w:spacing w:line="360" w:lineRule="auto"/>
        <w:rPr>
          <w:rFonts w:ascii="Arial" w:hAnsi="Arial" w:cs="Arial"/>
          <w:b/>
          <w:bCs/>
          <w:sz w:val="48"/>
          <w:szCs w:val="48"/>
        </w:rPr>
      </w:pPr>
    </w:p>
    <w:p w14:paraId="47F32352" w14:textId="41E67307" w:rsidR="003753E2" w:rsidRDefault="003753E2" w:rsidP="00EA6E49">
      <w:pPr>
        <w:spacing w:line="360" w:lineRule="auto"/>
        <w:rPr>
          <w:rFonts w:ascii="Arial" w:hAnsi="Arial" w:cs="Arial"/>
          <w:b/>
          <w:bCs/>
          <w:sz w:val="48"/>
          <w:szCs w:val="48"/>
        </w:rPr>
      </w:pPr>
      <w:r>
        <w:rPr>
          <w:rFonts w:ascii="Arial" w:hAnsi="Arial" w:cs="Arial"/>
          <w:b/>
          <w:bCs/>
          <w:sz w:val="48"/>
          <w:szCs w:val="48"/>
        </w:rPr>
        <w:t>Sylwia Brylewicz</w:t>
      </w:r>
    </w:p>
    <w:p w14:paraId="2E488D15" w14:textId="0A0F0E97" w:rsidR="003753E2" w:rsidRDefault="003753E2" w:rsidP="00EA6E49">
      <w:pPr>
        <w:spacing w:line="360" w:lineRule="auto"/>
        <w:rPr>
          <w:rFonts w:ascii="Arial" w:hAnsi="Arial" w:cs="Arial"/>
          <w:b/>
          <w:bCs/>
          <w:sz w:val="48"/>
          <w:szCs w:val="48"/>
        </w:rPr>
      </w:pPr>
      <w:r>
        <w:rPr>
          <w:rFonts w:ascii="Arial" w:hAnsi="Arial" w:cs="Arial"/>
          <w:b/>
          <w:bCs/>
          <w:sz w:val="48"/>
          <w:szCs w:val="48"/>
        </w:rPr>
        <w:t>2112267</w:t>
      </w:r>
    </w:p>
    <w:p w14:paraId="27511898" w14:textId="6A3680AC" w:rsidR="003753E2" w:rsidRDefault="003753E2" w:rsidP="00EA6E49">
      <w:pPr>
        <w:spacing w:line="360" w:lineRule="auto"/>
        <w:rPr>
          <w:rFonts w:ascii="Arial" w:hAnsi="Arial" w:cs="Arial"/>
          <w:b/>
          <w:bCs/>
          <w:sz w:val="48"/>
          <w:szCs w:val="48"/>
        </w:rPr>
      </w:pPr>
      <w:r w:rsidRPr="003753E2">
        <w:rPr>
          <w:rFonts w:ascii="Arial" w:hAnsi="Arial" w:cs="Arial"/>
          <w:b/>
          <w:bCs/>
          <w:sz w:val="48"/>
          <w:szCs w:val="48"/>
        </w:rPr>
        <w:t>Community Care and Development</w:t>
      </w:r>
    </w:p>
    <w:p w14:paraId="4A491A0C" w14:textId="169A77BF" w:rsidR="003753E2" w:rsidRDefault="003753E2" w:rsidP="00EA6E49">
      <w:pPr>
        <w:spacing w:line="360" w:lineRule="auto"/>
        <w:rPr>
          <w:rFonts w:ascii="Arial" w:hAnsi="Arial" w:cs="Arial"/>
          <w:b/>
          <w:bCs/>
          <w:sz w:val="48"/>
          <w:szCs w:val="48"/>
        </w:rPr>
      </w:pPr>
      <w:r>
        <w:rPr>
          <w:rFonts w:ascii="Arial" w:hAnsi="Arial" w:cs="Arial"/>
          <w:b/>
          <w:bCs/>
          <w:sz w:val="48"/>
          <w:szCs w:val="48"/>
        </w:rPr>
        <w:t xml:space="preserve">Module code: </w:t>
      </w:r>
      <w:r w:rsidRPr="003753E2">
        <w:rPr>
          <w:rFonts w:ascii="Arial" w:hAnsi="Arial" w:cs="Arial"/>
          <w:b/>
          <w:bCs/>
          <w:sz w:val="48"/>
          <w:szCs w:val="48"/>
        </w:rPr>
        <w:t>BMHP6022</w:t>
      </w:r>
    </w:p>
    <w:p w14:paraId="29DFB871" w14:textId="739EAAF8" w:rsidR="003753E2" w:rsidRPr="001A664D" w:rsidRDefault="003753E2" w:rsidP="00EA6E49">
      <w:pPr>
        <w:spacing w:line="360" w:lineRule="auto"/>
        <w:rPr>
          <w:rFonts w:ascii="Arial" w:hAnsi="Arial" w:cs="Arial"/>
          <w:b/>
          <w:bCs/>
          <w:sz w:val="48"/>
          <w:szCs w:val="48"/>
          <w:lang w:val="fr-FR"/>
        </w:rPr>
      </w:pPr>
      <w:proofErr w:type="spellStart"/>
      <w:r w:rsidRPr="001A664D">
        <w:rPr>
          <w:rFonts w:ascii="Arial" w:hAnsi="Arial" w:cs="Arial"/>
          <w:b/>
          <w:bCs/>
          <w:sz w:val="48"/>
          <w:szCs w:val="48"/>
          <w:lang w:val="fr-FR"/>
        </w:rPr>
        <w:t>Lecturer</w:t>
      </w:r>
      <w:proofErr w:type="spellEnd"/>
      <w:r w:rsidRPr="001A664D">
        <w:rPr>
          <w:rFonts w:ascii="Arial" w:hAnsi="Arial" w:cs="Arial"/>
          <w:b/>
          <w:bCs/>
          <w:sz w:val="48"/>
          <w:szCs w:val="48"/>
          <w:lang w:val="fr-FR"/>
        </w:rPr>
        <w:t>: J</w:t>
      </w:r>
      <w:r w:rsidRPr="001A664D">
        <w:rPr>
          <w:rFonts w:ascii="Arial" w:hAnsi="Arial" w:cs="Arial"/>
          <w:b/>
          <w:bCs/>
          <w:sz w:val="48"/>
          <w:szCs w:val="48"/>
          <w:lang w:val="fr-FR"/>
        </w:rPr>
        <w:t>olly Nwankwo</w:t>
      </w:r>
    </w:p>
    <w:p w14:paraId="4DF5610D" w14:textId="77777777" w:rsidR="003753E2" w:rsidRPr="001A664D" w:rsidRDefault="003753E2" w:rsidP="00EA6E49">
      <w:pPr>
        <w:spacing w:line="360" w:lineRule="auto"/>
        <w:rPr>
          <w:rFonts w:ascii="Arial" w:hAnsi="Arial" w:cs="Arial"/>
          <w:b/>
          <w:bCs/>
          <w:sz w:val="48"/>
          <w:szCs w:val="48"/>
          <w:lang w:val="fr-FR"/>
        </w:rPr>
      </w:pPr>
    </w:p>
    <w:p w14:paraId="413DCEB0" w14:textId="77777777" w:rsidR="003753E2" w:rsidRPr="001A664D" w:rsidRDefault="003753E2" w:rsidP="00EA6E49">
      <w:pPr>
        <w:spacing w:line="360" w:lineRule="auto"/>
        <w:rPr>
          <w:rFonts w:ascii="Arial" w:hAnsi="Arial" w:cs="Arial"/>
          <w:b/>
          <w:bCs/>
          <w:sz w:val="22"/>
          <w:szCs w:val="22"/>
          <w:u w:val="single"/>
          <w:lang w:val="fr-FR"/>
        </w:rPr>
      </w:pPr>
    </w:p>
    <w:p w14:paraId="55BCAB23" w14:textId="77777777" w:rsidR="003753E2" w:rsidRPr="001A664D" w:rsidRDefault="003753E2" w:rsidP="00EA6E49">
      <w:pPr>
        <w:spacing w:line="360" w:lineRule="auto"/>
        <w:rPr>
          <w:rFonts w:ascii="Arial" w:hAnsi="Arial" w:cs="Arial"/>
          <w:b/>
          <w:bCs/>
          <w:sz w:val="22"/>
          <w:szCs w:val="22"/>
          <w:u w:val="single"/>
          <w:lang w:val="fr-FR"/>
        </w:rPr>
      </w:pPr>
    </w:p>
    <w:p w14:paraId="54F5E298" w14:textId="77777777" w:rsidR="003753E2" w:rsidRPr="001A664D" w:rsidRDefault="003753E2" w:rsidP="00EA6E49">
      <w:pPr>
        <w:spacing w:line="360" w:lineRule="auto"/>
        <w:rPr>
          <w:rFonts w:ascii="Arial" w:hAnsi="Arial" w:cs="Arial"/>
          <w:b/>
          <w:bCs/>
          <w:sz w:val="22"/>
          <w:szCs w:val="22"/>
          <w:u w:val="single"/>
          <w:lang w:val="fr-FR"/>
        </w:rPr>
      </w:pPr>
    </w:p>
    <w:p w14:paraId="200D8F3D" w14:textId="77777777" w:rsidR="003753E2" w:rsidRPr="001A664D" w:rsidRDefault="003753E2" w:rsidP="00EA6E49">
      <w:pPr>
        <w:spacing w:line="360" w:lineRule="auto"/>
        <w:rPr>
          <w:rFonts w:ascii="Arial" w:hAnsi="Arial" w:cs="Arial"/>
          <w:b/>
          <w:bCs/>
          <w:sz w:val="22"/>
          <w:szCs w:val="22"/>
          <w:u w:val="single"/>
          <w:lang w:val="fr-FR"/>
        </w:rPr>
      </w:pPr>
    </w:p>
    <w:p w14:paraId="106A078B" w14:textId="77777777" w:rsidR="003753E2" w:rsidRPr="001A664D" w:rsidRDefault="003753E2" w:rsidP="00EA6E49">
      <w:pPr>
        <w:spacing w:line="360" w:lineRule="auto"/>
        <w:rPr>
          <w:rFonts w:ascii="Arial" w:hAnsi="Arial" w:cs="Arial"/>
          <w:b/>
          <w:bCs/>
          <w:sz w:val="22"/>
          <w:szCs w:val="22"/>
          <w:u w:val="single"/>
          <w:lang w:val="fr-FR"/>
        </w:rPr>
      </w:pPr>
    </w:p>
    <w:p w14:paraId="5372F086" w14:textId="77777777" w:rsidR="003753E2" w:rsidRPr="001A664D" w:rsidRDefault="003753E2" w:rsidP="00EA6E49">
      <w:pPr>
        <w:spacing w:line="360" w:lineRule="auto"/>
        <w:rPr>
          <w:rFonts w:ascii="Arial" w:hAnsi="Arial" w:cs="Arial"/>
          <w:b/>
          <w:bCs/>
          <w:sz w:val="22"/>
          <w:szCs w:val="22"/>
          <w:u w:val="single"/>
          <w:lang w:val="fr-FR"/>
        </w:rPr>
      </w:pPr>
    </w:p>
    <w:p w14:paraId="4D887B92" w14:textId="77777777" w:rsidR="003753E2" w:rsidRPr="001A664D" w:rsidRDefault="003753E2" w:rsidP="00EA6E49">
      <w:pPr>
        <w:spacing w:line="360" w:lineRule="auto"/>
        <w:rPr>
          <w:rFonts w:ascii="Arial" w:hAnsi="Arial" w:cs="Arial"/>
          <w:b/>
          <w:bCs/>
          <w:sz w:val="22"/>
          <w:szCs w:val="22"/>
          <w:u w:val="single"/>
          <w:lang w:val="fr-FR"/>
        </w:rPr>
      </w:pPr>
    </w:p>
    <w:p w14:paraId="04FB3E73" w14:textId="77777777" w:rsidR="003753E2" w:rsidRPr="001A664D" w:rsidRDefault="003753E2" w:rsidP="00EA6E49">
      <w:pPr>
        <w:spacing w:line="360" w:lineRule="auto"/>
        <w:rPr>
          <w:rFonts w:ascii="Arial" w:hAnsi="Arial" w:cs="Arial"/>
          <w:b/>
          <w:bCs/>
          <w:sz w:val="22"/>
          <w:szCs w:val="22"/>
          <w:u w:val="single"/>
          <w:lang w:val="fr-FR"/>
        </w:rPr>
      </w:pPr>
    </w:p>
    <w:p w14:paraId="10403BDB" w14:textId="77777777" w:rsidR="003753E2" w:rsidRPr="001A664D" w:rsidRDefault="003753E2" w:rsidP="00EA6E49">
      <w:pPr>
        <w:spacing w:line="360" w:lineRule="auto"/>
        <w:rPr>
          <w:rFonts w:ascii="Arial" w:hAnsi="Arial" w:cs="Arial"/>
          <w:b/>
          <w:bCs/>
          <w:sz w:val="22"/>
          <w:szCs w:val="22"/>
          <w:u w:val="single"/>
          <w:lang w:val="fr-FR"/>
        </w:rPr>
      </w:pPr>
    </w:p>
    <w:p w14:paraId="6F69CDE7" w14:textId="77777777" w:rsidR="003753E2" w:rsidRPr="001A664D" w:rsidRDefault="003753E2" w:rsidP="00EA6E49">
      <w:pPr>
        <w:spacing w:line="360" w:lineRule="auto"/>
        <w:rPr>
          <w:rFonts w:ascii="Arial" w:hAnsi="Arial" w:cs="Arial"/>
          <w:b/>
          <w:bCs/>
          <w:sz w:val="22"/>
          <w:szCs w:val="22"/>
          <w:u w:val="single"/>
          <w:lang w:val="fr-FR"/>
        </w:rPr>
      </w:pPr>
    </w:p>
    <w:p w14:paraId="16FA897A" w14:textId="77777777" w:rsidR="003753E2" w:rsidRPr="001A664D" w:rsidRDefault="003753E2" w:rsidP="00EA6E49">
      <w:pPr>
        <w:spacing w:line="360" w:lineRule="auto"/>
        <w:rPr>
          <w:rFonts w:ascii="Arial" w:hAnsi="Arial" w:cs="Arial"/>
          <w:b/>
          <w:bCs/>
          <w:sz w:val="22"/>
          <w:szCs w:val="22"/>
          <w:u w:val="single"/>
          <w:lang w:val="fr-FR"/>
        </w:rPr>
      </w:pPr>
    </w:p>
    <w:p w14:paraId="47FEFE7B" w14:textId="77777777" w:rsidR="003753E2" w:rsidRPr="001A664D" w:rsidRDefault="003753E2" w:rsidP="00EA6E49">
      <w:pPr>
        <w:spacing w:line="360" w:lineRule="auto"/>
        <w:rPr>
          <w:rFonts w:ascii="Arial" w:hAnsi="Arial" w:cs="Arial"/>
          <w:b/>
          <w:bCs/>
          <w:sz w:val="22"/>
          <w:szCs w:val="22"/>
          <w:u w:val="single"/>
          <w:lang w:val="fr-FR"/>
        </w:rPr>
      </w:pPr>
    </w:p>
    <w:p w14:paraId="628537E5" w14:textId="77777777" w:rsidR="003753E2" w:rsidRPr="001A664D" w:rsidRDefault="003753E2" w:rsidP="00EA6E49">
      <w:pPr>
        <w:spacing w:line="360" w:lineRule="auto"/>
        <w:rPr>
          <w:rFonts w:ascii="Arial" w:hAnsi="Arial" w:cs="Arial"/>
          <w:b/>
          <w:bCs/>
          <w:sz w:val="22"/>
          <w:szCs w:val="22"/>
          <w:u w:val="single"/>
          <w:lang w:val="fr-FR"/>
        </w:rPr>
      </w:pPr>
    </w:p>
    <w:p w14:paraId="3DC4F907" w14:textId="77777777" w:rsidR="003753E2" w:rsidRPr="001A664D" w:rsidRDefault="003753E2" w:rsidP="00EA6E49">
      <w:pPr>
        <w:spacing w:line="360" w:lineRule="auto"/>
        <w:rPr>
          <w:rFonts w:ascii="Arial" w:hAnsi="Arial" w:cs="Arial"/>
          <w:b/>
          <w:bCs/>
          <w:sz w:val="22"/>
          <w:szCs w:val="22"/>
          <w:u w:val="single"/>
          <w:lang w:val="fr-FR"/>
        </w:rPr>
      </w:pPr>
    </w:p>
    <w:p w14:paraId="1A478C5B" w14:textId="77777777" w:rsidR="001A664D" w:rsidRDefault="001A664D" w:rsidP="00EA6E49">
      <w:pPr>
        <w:spacing w:line="360" w:lineRule="auto"/>
        <w:rPr>
          <w:rFonts w:ascii="Arial" w:hAnsi="Arial" w:cs="Arial"/>
          <w:b/>
          <w:bCs/>
          <w:sz w:val="32"/>
          <w:szCs w:val="32"/>
          <w:u w:val="single"/>
          <w:lang w:val="fr-FR"/>
        </w:rPr>
      </w:pPr>
    </w:p>
    <w:p w14:paraId="451C4226" w14:textId="77777777" w:rsidR="001A664D" w:rsidRDefault="001A664D" w:rsidP="00EA6E49">
      <w:pPr>
        <w:spacing w:line="360" w:lineRule="auto"/>
        <w:rPr>
          <w:rFonts w:ascii="Arial" w:hAnsi="Arial" w:cs="Arial"/>
          <w:b/>
          <w:bCs/>
          <w:sz w:val="32"/>
          <w:szCs w:val="32"/>
          <w:u w:val="single"/>
          <w:lang w:val="fr-FR"/>
        </w:rPr>
      </w:pPr>
    </w:p>
    <w:p w14:paraId="32D9A3FD" w14:textId="45E03349" w:rsidR="003753E2" w:rsidRPr="001A664D" w:rsidRDefault="001A664D" w:rsidP="00EA6E49">
      <w:pPr>
        <w:spacing w:line="360" w:lineRule="auto"/>
        <w:rPr>
          <w:rFonts w:ascii="Arial" w:hAnsi="Arial" w:cs="Arial"/>
          <w:b/>
          <w:bCs/>
          <w:sz w:val="32"/>
          <w:szCs w:val="32"/>
          <w:u w:val="single"/>
          <w:lang w:val="fr-FR"/>
        </w:rPr>
      </w:pPr>
      <w:r w:rsidRPr="001A664D">
        <w:rPr>
          <w:rFonts w:ascii="Arial" w:hAnsi="Arial" w:cs="Arial"/>
          <w:b/>
          <w:bCs/>
          <w:sz w:val="32"/>
          <w:szCs w:val="32"/>
          <w:u w:val="single"/>
          <w:lang w:val="fr-FR"/>
        </w:rPr>
        <w:t>Contents Page</w:t>
      </w:r>
    </w:p>
    <w:p w14:paraId="10E5EB7D" w14:textId="483EDA54" w:rsidR="001A664D" w:rsidRPr="001A664D" w:rsidRDefault="001A664D" w:rsidP="001A664D">
      <w:pPr>
        <w:spacing w:line="240" w:lineRule="auto"/>
        <w:rPr>
          <w:rFonts w:ascii="Arial" w:hAnsi="Arial" w:cs="Arial"/>
          <w:b/>
          <w:bCs/>
          <w:sz w:val="28"/>
          <w:szCs w:val="28"/>
        </w:rPr>
      </w:pPr>
      <w:r w:rsidRPr="001A664D">
        <w:rPr>
          <w:rFonts w:ascii="Arial" w:hAnsi="Arial" w:cs="Arial"/>
          <w:b/>
          <w:bCs/>
          <w:sz w:val="28"/>
          <w:szCs w:val="28"/>
        </w:rPr>
        <w:t>1… Introduction</w:t>
      </w:r>
    </w:p>
    <w:p w14:paraId="394BB9EC" w14:textId="5D15025D" w:rsidR="001A664D" w:rsidRPr="001A664D" w:rsidRDefault="001A664D" w:rsidP="001A664D">
      <w:pPr>
        <w:spacing w:line="240" w:lineRule="auto"/>
        <w:rPr>
          <w:rFonts w:ascii="Arial" w:hAnsi="Arial" w:cs="Arial"/>
          <w:b/>
          <w:bCs/>
          <w:sz w:val="28"/>
          <w:szCs w:val="28"/>
        </w:rPr>
      </w:pPr>
      <w:r w:rsidRPr="001A664D">
        <w:rPr>
          <w:rFonts w:ascii="Arial" w:hAnsi="Arial" w:cs="Arial"/>
          <w:b/>
          <w:bCs/>
          <w:sz w:val="28"/>
          <w:szCs w:val="28"/>
        </w:rPr>
        <w:t>2</w:t>
      </w:r>
      <w:r w:rsidRPr="001A664D">
        <w:rPr>
          <w:rFonts w:ascii="Arial" w:hAnsi="Arial" w:cs="Arial"/>
          <w:b/>
          <w:bCs/>
          <w:sz w:val="28"/>
          <w:szCs w:val="28"/>
        </w:rPr>
        <w:t>…</w:t>
      </w:r>
      <w:r w:rsidRPr="001A664D">
        <w:rPr>
          <w:rFonts w:ascii="Arial" w:hAnsi="Arial" w:cs="Arial"/>
          <w:b/>
          <w:bCs/>
          <w:sz w:val="28"/>
          <w:szCs w:val="28"/>
        </w:rPr>
        <w:t xml:space="preserve"> Demographics</w:t>
      </w:r>
    </w:p>
    <w:p w14:paraId="6721F88B" w14:textId="3323D74C" w:rsidR="001A664D" w:rsidRPr="001A664D" w:rsidRDefault="001A664D" w:rsidP="001A664D">
      <w:pPr>
        <w:spacing w:line="240" w:lineRule="auto"/>
        <w:rPr>
          <w:rFonts w:ascii="Arial" w:hAnsi="Arial" w:cs="Arial"/>
          <w:b/>
          <w:bCs/>
          <w:sz w:val="28"/>
          <w:szCs w:val="28"/>
        </w:rPr>
      </w:pPr>
      <w:r w:rsidRPr="001A664D">
        <w:rPr>
          <w:rFonts w:ascii="Arial" w:hAnsi="Arial" w:cs="Arial"/>
          <w:b/>
          <w:bCs/>
          <w:sz w:val="28"/>
          <w:szCs w:val="28"/>
        </w:rPr>
        <w:t>3… Stakeholders</w:t>
      </w:r>
    </w:p>
    <w:p w14:paraId="3A3F10AC" w14:textId="158593DC" w:rsidR="001A664D" w:rsidRPr="001A664D" w:rsidRDefault="001A664D" w:rsidP="001A664D">
      <w:pPr>
        <w:spacing w:line="240" w:lineRule="auto"/>
        <w:rPr>
          <w:rFonts w:ascii="Arial" w:hAnsi="Arial" w:cs="Arial"/>
          <w:b/>
          <w:bCs/>
          <w:sz w:val="28"/>
          <w:szCs w:val="28"/>
        </w:rPr>
      </w:pPr>
      <w:r w:rsidRPr="001A664D">
        <w:rPr>
          <w:rFonts w:ascii="Arial" w:hAnsi="Arial" w:cs="Arial"/>
          <w:b/>
          <w:bCs/>
          <w:sz w:val="28"/>
          <w:szCs w:val="28"/>
        </w:rPr>
        <w:t>4</w:t>
      </w:r>
      <w:r>
        <w:rPr>
          <w:rFonts w:ascii="Arial" w:hAnsi="Arial" w:cs="Arial"/>
          <w:b/>
          <w:bCs/>
          <w:sz w:val="28"/>
          <w:szCs w:val="28"/>
        </w:rPr>
        <w:t>…</w:t>
      </w:r>
      <w:r w:rsidRPr="001A664D">
        <w:rPr>
          <w:rFonts w:ascii="Arial" w:hAnsi="Arial" w:cs="Arial"/>
          <w:b/>
          <w:bCs/>
          <w:sz w:val="28"/>
          <w:szCs w:val="28"/>
        </w:rPr>
        <w:t xml:space="preserve"> Theories</w:t>
      </w:r>
    </w:p>
    <w:p w14:paraId="6B733DCE" w14:textId="53841139" w:rsidR="001A664D" w:rsidRDefault="001A664D" w:rsidP="001A664D">
      <w:pPr>
        <w:spacing w:line="240" w:lineRule="auto"/>
        <w:rPr>
          <w:rFonts w:ascii="Arial" w:hAnsi="Arial" w:cs="Arial"/>
          <w:b/>
          <w:bCs/>
          <w:sz w:val="28"/>
          <w:szCs w:val="28"/>
        </w:rPr>
      </w:pPr>
      <w:r w:rsidRPr="001A664D">
        <w:rPr>
          <w:rFonts w:ascii="Arial" w:hAnsi="Arial" w:cs="Arial"/>
          <w:b/>
          <w:bCs/>
          <w:sz w:val="28"/>
          <w:szCs w:val="28"/>
        </w:rPr>
        <w:t>5</w:t>
      </w:r>
      <w:r>
        <w:rPr>
          <w:rFonts w:ascii="Arial" w:hAnsi="Arial" w:cs="Arial"/>
          <w:b/>
          <w:bCs/>
          <w:sz w:val="28"/>
          <w:szCs w:val="28"/>
        </w:rPr>
        <w:t>…</w:t>
      </w:r>
      <w:r w:rsidRPr="001A664D">
        <w:rPr>
          <w:rFonts w:ascii="Arial" w:hAnsi="Arial" w:cs="Arial"/>
          <w:b/>
          <w:bCs/>
          <w:sz w:val="28"/>
          <w:szCs w:val="28"/>
        </w:rPr>
        <w:t xml:space="preserve"> Digital media and technologies for community development</w:t>
      </w:r>
    </w:p>
    <w:p w14:paraId="7DBA91D9" w14:textId="48BA49B8" w:rsidR="001A664D" w:rsidRPr="001A664D" w:rsidRDefault="001A664D" w:rsidP="001A664D">
      <w:pPr>
        <w:spacing w:line="240" w:lineRule="auto"/>
        <w:rPr>
          <w:rFonts w:ascii="Arial" w:hAnsi="Arial" w:cs="Arial"/>
          <w:b/>
          <w:bCs/>
          <w:sz w:val="28"/>
          <w:szCs w:val="28"/>
          <w:lang w:val="fr-FR"/>
        </w:rPr>
      </w:pPr>
      <w:r w:rsidRPr="001A664D">
        <w:rPr>
          <w:rFonts w:ascii="Arial" w:hAnsi="Arial" w:cs="Arial"/>
          <w:b/>
          <w:bCs/>
          <w:sz w:val="28"/>
          <w:szCs w:val="28"/>
          <w:lang w:val="fr-FR"/>
        </w:rPr>
        <w:t>6</w:t>
      </w:r>
      <w:r w:rsidRPr="001A664D">
        <w:rPr>
          <w:rFonts w:ascii="Arial" w:hAnsi="Arial" w:cs="Arial"/>
          <w:b/>
          <w:bCs/>
          <w:sz w:val="28"/>
          <w:szCs w:val="28"/>
          <w:lang w:val="fr-FR"/>
        </w:rPr>
        <w:t>…</w:t>
      </w:r>
      <w:proofErr w:type="spellStart"/>
      <w:r w:rsidRPr="001A664D">
        <w:rPr>
          <w:rFonts w:ascii="Arial" w:hAnsi="Arial" w:cs="Arial"/>
          <w:b/>
          <w:bCs/>
          <w:sz w:val="28"/>
          <w:szCs w:val="28"/>
          <w:lang w:val="fr-FR"/>
        </w:rPr>
        <w:t>Legislations</w:t>
      </w:r>
      <w:proofErr w:type="spellEnd"/>
      <w:r w:rsidRPr="001A664D">
        <w:rPr>
          <w:rFonts w:ascii="Arial" w:hAnsi="Arial" w:cs="Arial"/>
          <w:b/>
          <w:bCs/>
          <w:sz w:val="28"/>
          <w:szCs w:val="28"/>
          <w:lang w:val="fr-FR"/>
        </w:rPr>
        <w:t xml:space="preserve"> and </w:t>
      </w:r>
      <w:proofErr w:type="spellStart"/>
      <w:r w:rsidRPr="001A664D">
        <w:rPr>
          <w:rFonts w:ascii="Arial" w:hAnsi="Arial" w:cs="Arial"/>
          <w:b/>
          <w:bCs/>
          <w:sz w:val="28"/>
          <w:szCs w:val="28"/>
          <w:lang w:val="fr-FR"/>
        </w:rPr>
        <w:t>Policies</w:t>
      </w:r>
      <w:proofErr w:type="spellEnd"/>
    </w:p>
    <w:p w14:paraId="5DC90E46" w14:textId="749A5498" w:rsidR="001A664D" w:rsidRPr="001A664D" w:rsidRDefault="001A664D" w:rsidP="001A664D">
      <w:pPr>
        <w:spacing w:line="240" w:lineRule="auto"/>
        <w:rPr>
          <w:rFonts w:ascii="Arial" w:hAnsi="Arial" w:cs="Arial"/>
          <w:b/>
          <w:bCs/>
          <w:sz w:val="28"/>
          <w:szCs w:val="28"/>
          <w:lang w:val="fr-FR"/>
        </w:rPr>
      </w:pPr>
      <w:r w:rsidRPr="001A664D">
        <w:rPr>
          <w:rFonts w:ascii="Arial" w:hAnsi="Arial" w:cs="Arial"/>
          <w:b/>
          <w:bCs/>
          <w:sz w:val="28"/>
          <w:szCs w:val="28"/>
          <w:lang w:val="fr-FR"/>
        </w:rPr>
        <w:t>7</w:t>
      </w:r>
      <w:r>
        <w:rPr>
          <w:rFonts w:ascii="Arial" w:hAnsi="Arial" w:cs="Arial"/>
          <w:b/>
          <w:bCs/>
          <w:sz w:val="28"/>
          <w:szCs w:val="28"/>
          <w:lang w:val="fr-FR"/>
        </w:rPr>
        <w:t>…</w:t>
      </w:r>
      <w:r w:rsidRPr="001A664D">
        <w:rPr>
          <w:rFonts w:ascii="Arial" w:hAnsi="Arial" w:cs="Arial"/>
          <w:b/>
          <w:bCs/>
          <w:sz w:val="28"/>
          <w:szCs w:val="28"/>
          <w:lang w:val="fr-FR"/>
        </w:rPr>
        <w:t xml:space="preserve"> Obstacles</w:t>
      </w:r>
    </w:p>
    <w:p w14:paraId="0C7DF1A2" w14:textId="25624100" w:rsidR="001A664D" w:rsidRPr="001A664D" w:rsidRDefault="001A664D" w:rsidP="001A664D">
      <w:pPr>
        <w:spacing w:line="240" w:lineRule="auto"/>
        <w:rPr>
          <w:rFonts w:ascii="Arial" w:hAnsi="Arial" w:cs="Arial"/>
          <w:b/>
          <w:bCs/>
          <w:sz w:val="28"/>
          <w:szCs w:val="28"/>
          <w:lang w:val="fr-FR"/>
        </w:rPr>
      </w:pPr>
      <w:r w:rsidRPr="001A664D">
        <w:rPr>
          <w:rFonts w:ascii="Arial" w:hAnsi="Arial" w:cs="Arial"/>
          <w:b/>
          <w:bCs/>
          <w:sz w:val="28"/>
          <w:szCs w:val="28"/>
          <w:lang w:val="fr-FR"/>
        </w:rPr>
        <w:t>8</w:t>
      </w:r>
      <w:r>
        <w:rPr>
          <w:rFonts w:ascii="Arial" w:hAnsi="Arial" w:cs="Arial"/>
          <w:b/>
          <w:bCs/>
          <w:sz w:val="28"/>
          <w:szCs w:val="28"/>
          <w:lang w:val="fr-FR"/>
        </w:rPr>
        <w:t>…</w:t>
      </w:r>
      <w:r w:rsidRPr="001A664D">
        <w:rPr>
          <w:rFonts w:ascii="Arial" w:hAnsi="Arial" w:cs="Arial"/>
          <w:b/>
          <w:bCs/>
          <w:sz w:val="28"/>
          <w:szCs w:val="28"/>
          <w:lang w:val="fr-FR"/>
        </w:rPr>
        <w:t xml:space="preserve"> </w:t>
      </w:r>
      <w:proofErr w:type="spellStart"/>
      <w:r w:rsidRPr="001A664D">
        <w:rPr>
          <w:rFonts w:ascii="Arial" w:hAnsi="Arial" w:cs="Arial"/>
          <w:b/>
          <w:bCs/>
          <w:sz w:val="28"/>
          <w:szCs w:val="28"/>
          <w:lang w:val="fr-FR"/>
        </w:rPr>
        <w:t>Recommendations</w:t>
      </w:r>
      <w:proofErr w:type="spellEnd"/>
    </w:p>
    <w:p w14:paraId="45048836" w14:textId="16343576" w:rsidR="001A664D" w:rsidRPr="001A664D" w:rsidRDefault="001A664D" w:rsidP="001A664D">
      <w:pPr>
        <w:spacing w:line="240" w:lineRule="auto"/>
        <w:rPr>
          <w:rFonts w:ascii="Arial" w:hAnsi="Arial" w:cs="Arial"/>
          <w:b/>
          <w:bCs/>
          <w:sz w:val="28"/>
          <w:szCs w:val="28"/>
          <w:lang w:val="fr-FR"/>
        </w:rPr>
      </w:pPr>
      <w:r w:rsidRPr="001A664D">
        <w:rPr>
          <w:rFonts w:ascii="Arial" w:hAnsi="Arial" w:cs="Arial"/>
          <w:b/>
          <w:bCs/>
          <w:sz w:val="28"/>
          <w:szCs w:val="28"/>
          <w:lang w:val="fr-FR"/>
        </w:rPr>
        <w:t>9</w:t>
      </w:r>
      <w:r>
        <w:rPr>
          <w:rFonts w:ascii="Arial" w:hAnsi="Arial" w:cs="Arial"/>
          <w:b/>
          <w:bCs/>
          <w:sz w:val="28"/>
          <w:szCs w:val="28"/>
          <w:lang w:val="fr-FR"/>
        </w:rPr>
        <w:t>…</w:t>
      </w:r>
      <w:r w:rsidRPr="001A664D">
        <w:rPr>
          <w:rFonts w:ascii="Arial" w:hAnsi="Arial" w:cs="Arial"/>
          <w:b/>
          <w:bCs/>
          <w:sz w:val="28"/>
          <w:szCs w:val="28"/>
          <w:lang w:val="fr-FR"/>
        </w:rPr>
        <w:t xml:space="preserve"> Conclusion</w:t>
      </w:r>
    </w:p>
    <w:p w14:paraId="3399E507" w14:textId="1F872603" w:rsidR="001A664D" w:rsidRPr="001A664D" w:rsidRDefault="001A664D" w:rsidP="001A664D">
      <w:pPr>
        <w:spacing w:line="240" w:lineRule="auto"/>
        <w:rPr>
          <w:rFonts w:ascii="Arial" w:hAnsi="Arial" w:cs="Arial"/>
          <w:b/>
          <w:bCs/>
          <w:sz w:val="28"/>
          <w:szCs w:val="28"/>
        </w:rPr>
      </w:pPr>
      <w:r>
        <w:rPr>
          <w:rFonts w:ascii="Arial" w:hAnsi="Arial" w:cs="Arial"/>
          <w:b/>
          <w:bCs/>
          <w:sz w:val="28"/>
          <w:szCs w:val="28"/>
        </w:rPr>
        <w:t>10… References</w:t>
      </w:r>
    </w:p>
    <w:p w14:paraId="3B8557C7" w14:textId="77777777" w:rsidR="003753E2" w:rsidRPr="001A664D" w:rsidRDefault="003753E2" w:rsidP="00EA6E49">
      <w:pPr>
        <w:spacing w:line="360" w:lineRule="auto"/>
        <w:rPr>
          <w:rFonts w:ascii="Arial" w:hAnsi="Arial" w:cs="Arial"/>
          <w:b/>
          <w:bCs/>
          <w:sz w:val="22"/>
          <w:szCs w:val="22"/>
          <w:u w:val="single"/>
        </w:rPr>
      </w:pPr>
    </w:p>
    <w:p w14:paraId="64855AD7" w14:textId="77777777" w:rsidR="003753E2" w:rsidRPr="001A664D" w:rsidRDefault="003753E2" w:rsidP="00EA6E49">
      <w:pPr>
        <w:spacing w:line="360" w:lineRule="auto"/>
        <w:rPr>
          <w:rFonts w:ascii="Arial" w:hAnsi="Arial" w:cs="Arial"/>
          <w:b/>
          <w:bCs/>
          <w:sz w:val="22"/>
          <w:szCs w:val="22"/>
          <w:u w:val="single"/>
        </w:rPr>
      </w:pPr>
    </w:p>
    <w:p w14:paraId="35F61624" w14:textId="77777777" w:rsidR="003753E2" w:rsidRPr="001A664D" w:rsidRDefault="003753E2" w:rsidP="00EA6E49">
      <w:pPr>
        <w:spacing w:line="360" w:lineRule="auto"/>
        <w:rPr>
          <w:rFonts w:ascii="Arial" w:hAnsi="Arial" w:cs="Arial"/>
          <w:b/>
          <w:bCs/>
          <w:sz w:val="22"/>
          <w:szCs w:val="22"/>
          <w:u w:val="single"/>
        </w:rPr>
      </w:pPr>
    </w:p>
    <w:p w14:paraId="1B20E491" w14:textId="77777777" w:rsidR="003753E2" w:rsidRPr="001A664D" w:rsidRDefault="003753E2" w:rsidP="00EA6E49">
      <w:pPr>
        <w:spacing w:line="360" w:lineRule="auto"/>
        <w:rPr>
          <w:rFonts w:ascii="Arial" w:hAnsi="Arial" w:cs="Arial"/>
          <w:b/>
          <w:bCs/>
          <w:sz w:val="22"/>
          <w:szCs w:val="22"/>
          <w:u w:val="single"/>
        </w:rPr>
      </w:pPr>
    </w:p>
    <w:p w14:paraId="435D6BDC" w14:textId="77777777" w:rsidR="003753E2" w:rsidRPr="001A664D" w:rsidRDefault="003753E2" w:rsidP="00EA6E49">
      <w:pPr>
        <w:spacing w:line="360" w:lineRule="auto"/>
        <w:rPr>
          <w:rFonts w:ascii="Arial" w:hAnsi="Arial" w:cs="Arial"/>
          <w:b/>
          <w:bCs/>
          <w:sz w:val="22"/>
          <w:szCs w:val="22"/>
          <w:u w:val="single"/>
        </w:rPr>
      </w:pPr>
    </w:p>
    <w:p w14:paraId="772791CA" w14:textId="77777777" w:rsidR="003753E2" w:rsidRPr="001A664D" w:rsidRDefault="003753E2" w:rsidP="00EA6E49">
      <w:pPr>
        <w:spacing w:line="360" w:lineRule="auto"/>
        <w:rPr>
          <w:rFonts w:ascii="Arial" w:hAnsi="Arial" w:cs="Arial"/>
          <w:b/>
          <w:bCs/>
          <w:sz w:val="22"/>
          <w:szCs w:val="22"/>
          <w:u w:val="single"/>
        </w:rPr>
      </w:pPr>
    </w:p>
    <w:p w14:paraId="555A62BA" w14:textId="77777777" w:rsidR="003753E2" w:rsidRPr="001A664D" w:rsidRDefault="003753E2" w:rsidP="00EA6E49">
      <w:pPr>
        <w:spacing w:line="360" w:lineRule="auto"/>
        <w:rPr>
          <w:rFonts w:ascii="Arial" w:hAnsi="Arial" w:cs="Arial"/>
          <w:b/>
          <w:bCs/>
          <w:sz w:val="22"/>
          <w:szCs w:val="22"/>
          <w:u w:val="single"/>
        </w:rPr>
      </w:pPr>
    </w:p>
    <w:p w14:paraId="6163CCAB" w14:textId="77777777" w:rsidR="003753E2" w:rsidRPr="001A664D" w:rsidRDefault="003753E2" w:rsidP="00EA6E49">
      <w:pPr>
        <w:spacing w:line="360" w:lineRule="auto"/>
        <w:rPr>
          <w:rFonts w:ascii="Arial" w:hAnsi="Arial" w:cs="Arial"/>
          <w:b/>
          <w:bCs/>
          <w:sz w:val="22"/>
          <w:szCs w:val="22"/>
          <w:u w:val="single"/>
        </w:rPr>
      </w:pPr>
    </w:p>
    <w:p w14:paraId="085DA16E" w14:textId="77777777" w:rsidR="003753E2" w:rsidRPr="001A664D" w:rsidRDefault="003753E2" w:rsidP="00EA6E49">
      <w:pPr>
        <w:spacing w:line="360" w:lineRule="auto"/>
        <w:rPr>
          <w:rFonts w:ascii="Arial" w:hAnsi="Arial" w:cs="Arial"/>
          <w:b/>
          <w:bCs/>
          <w:sz w:val="22"/>
          <w:szCs w:val="22"/>
          <w:u w:val="single"/>
        </w:rPr>
      </w:pPr>
    </w:p>
    <w:p w14:paraId="1934C052" w14:textId="77777777" w:rsidR="003753E2" w:rsidRDefault="003753E2" w:rsidP="00EA6E49">
      <w:pPr>
        <w:spacing w:line="360" w:lineRule="auto"/>
        <w:rPr>
          <w:rFonts w:ascii="Arial" w:hAnsi="Arial" w:cs="Arial"/>
          <w:b/>
          <w:bCs/>
          <w:sz w:val="22"/>
          <w:szCs w:val="22"/>
          <w:u w:val="single"/>
        </w:rPr>
      </w:pPr>
    </w:p>
    <w:p w14:paraId="48A64315" w14:textId="77777777" w:rsidR="001A664D" w:rsidRDefault="001A664D" w:rsidP="00EA6E49">
      <w:pPr>
        <w:spacing w:line="360" w:lineRule="auto"/>
        <w:rPr>
          <w:rFonts w:ascii="Arial" w:hAnsi="Arial" w:cs="Arial"/>
          <w:b/>
          <w:bCs/>
          <w:sz w:val="22"/>
          <w:szCs w:val="22"/>
          <w:u w:val="single"/>
        </w:rPr>
      </w:pPr>
    </w:p>
    <w:p w14:paraId="1908F167" w14:textId="77777777" w:rsidR="001A664D" w:rsidRDefault="001A664D" w:rsidP="00EA6E49">
      <w:pPr>
        <w:spacing w:line="360" w:lineRule="auto"/>
        <w:rPr>
          <w:rFonts w:ascii="Arial" w:hAnsi="Arial" w:cs="Arial"/>
          <w:b/>
          <w:bCs/>
          <w:sz w:val="22"/>
          <w:szCs w:val="22"/>
          <w:u w:val="single"/>
        </w:rPr>
      </w:pPr>
    </w:p>
    <w:p w14:paraId="354B5480" w14:textId="77777777" w:rsidR="001A664D" w:rsidRDefault="001A664D" w:rsidP="00EA6E49">
      <w:pPr>
        <w:spacing w:line="360" w:lineRule="auto"/>
        <w:rPr>
          <w:rFonts w:ascii="Arial" w:hAnsi="Arial" w:cs="Arial"/>
          <w:b/>
          <w:bCs/>
          <w:sz w:val="22"/>
          <w:szCs w:val="22"/>
          <w:u w:val="single"/>
        </w:rPr>
      </w:pPr>
    </w:p>
    <w:p w14:paraId="53E86763" w14:textId="77777777" w:rsidR="001A664D" w:rsidRDefault="001A664D" w:rsidP="00EA6E49">
      <w:pPr>
        <w:spacing w:line="360" w:lineRule="auto"/>
        <w:rPr>
          <w:rFonts w:ascii="Arial" w:hAnsi="Arial" w:cs="Arial"/>
          <w:b/>
          <w:bCs/>
          <w:sz w:val="22"/>
          <w:szCs w:val="22"/>
          <w:u w:val="single"/>
        </w:rPr>
      </w:pPr>
    </w:p>
    <w:p w14:paraId="5E6D65DE" w14:textId="77777777" w:rsidR="001A664D" w:rsidRPr="001A664D" w:rsidRDefault="001A664D" w:rsidP="00EA6E49">
      <w:pPr>
        <w:spacing w:line="360" w:lineRule="auto"/>
        <w:rPr>
          <w:rFonts w:ascii="Arial" w:hAnsi="Arial" w:cs="Arial"/>
          <w:b/>
          <w:bCs/>
          <w:sz w:val="22"/>
          <w:szCs w:val="22"/>
          <w:u w:val="single"/>
        </w:rPr>
      </w:pPr>
    </w:p>
    <w:p w14:paraId="7A778B44" w14:textId="7800AE7D" w:rsidR="009A31F2" w:rsidRPr="00F249AD" w:rsidRDefault="001A664D" w:rsidP="00EA6E49">
      <w:pPr>
        <w:spacing w:line="360" w:lineRule="auto"/>
        <w:rPr>
          <w:rFonts w:ascii="Arial" w:hAnsi="Arial" w:cs="Arial"/>
          <w:b/>
          <w:bCs/>
          <w:sz w:val="22"/>
          <w:szCs w:val="22"/>
          <w:u w:val="single"/>
        </w:rPr>
      </w:pPr>
      <w:r>
        <w:rPr>
          <w:rFonts w:ascii="Arial" w:hAnsi="Arial" w:cs="Arial"/>
          <w:b/>
          <w:bCs/>
          <w:sz w:val="22"/>
          <w:szCs w:val="22"/>
          <w:u w:val="single"/>
        </w:rPr>
        <w:t xml:space="preserve">1 </w:t>
      </w:r>
      <w:r w:rsidR="00021D8C" w:rsidRPr="00F249AD">
        <w:rPr>
          <w:rFonts w:ascii="Arial" w:hAnsi="Arial" w:cs="Arial"/>
          <w:b/>
          <w:bCs/>
          <w:sz w:val="22"/>
          <w:szCs w:val="22"/>
          <w:u w:val="single"/>
        </w:rPr>
        <w:t>Introduction</w:t>
      </w:r>
    </w:p>
    <w:p w14:paraId="05D3AACC" w14:textId="41FCF68D" w:rsidR="008B7D98" w:rsidRPr="00F249AD" w:rsidRDefault="008B7D98" w:rsidP="00EA6E49">
      <w:pPr>
        <w:spacing w:line="360" w:lineRule="auto"/>
        <w:rPr>
          <w:rFonts w:ascii="Arial" w:hAnsi="Arial" w:cs="Arial"/>
          <w:sz w:val="22"/>
          <w:szCs w:val="22"/>
        </w:rPr>
      </w:pPr>
      <w:r w:rsidRPr="00F249AD">
        <w:rPr>
          <w:rFonts w:ascii="Arial" w:hAnsi="Arial" w:cs="Arial"/>
          <w:sz w:val="22"/>
          <w:szCs w:val="22"/>
        </w:rPr>
        <w:t>The London Borough of Newham faces acute housing and homelessness challenges due to its ethnic diversity and high levels of deprivation</w:t>
      </w:r>
      <w:r w:rsidR="00776494" w:rsidRPr="00F249AD">
        <w:rPr>
          <w:rFonts w:ascii="Arial" w:hAnsi="Arial" w:cs="Arial"/>
          <w:sz w:val="22"/>
          <w:szCs w:val="22"/>
        </w:rPr>
        <w:t xml:space="preserve"> </w:t>
      </w:r>
      <w:r w:rsidR="00776494" w:rsidRPr="00F249AD">
        <w:rPr>
          <w:rFonts w:ascii="Arial" w:hAnsi="Arial" w:cs="Arial"/>
          <w:sz w:val="22"/>
          <w:szCs w:val="22"/>
        </w:rPr>
        <w:t>(Jackson, 2024)</w:t>
      </w:r>
      <w:r w:rsidRPr="00F249AD">
        <w:rPr>
          <w:rFonts w:ascii="Arial" w:hAnsi="Arial" w:cs="Arial"/>
          <w:sz w:val="22"/>
          <w:szCs w:val="22"/>
        </w:rPr>
        <w:t>. This community development project aims to enhance the quality of life for Newham's residents by addressing housing instability and homelessness through increasing affordable housing, providing comprehensive support services, and advocating for policies that alleviate housing-related issues. The goal is to create a stable and secure living environment, fostering a healthier, more inclusive, and resilient community.</w:t>
      </w:r>
    </w:p>
    <w:p w14:paraId="64FA3B2F" w14:textId="63000211" w:rsidR="00776494" w:rsidRPr="00F249AD" w:rsidRDefault="00776494" w:rsidP="00EA6E49">
      <w:pPr>
        <w:spacing w:line="360" w:lineRule="auto"/>
        <w:rPr>
          <w:rFonts w:ascii="Arial" w:hAnsi="Arial" w:cs="Arial"/>
          <w:sz w:val="22"/>
          <w:szCs w:val="22"/>
        </w:rPr>
      </w:pPr>
      <w:r w:rsidRPr="00F249AD">
        <w:rPr>
          <w:rFonts w:ascii="Arial" w:hAnsi="Arial" w:cs="Arial"/>
          <w:sz w:val="22"/>
          <w:szCs w:val="22"/>
        </w:rPr>
        <w:t>A community is a group of people who live in the same geographic area or share common interests, values, or goals, fostering a sense of belonging and mutual support. Communities play a crucial role in providing social connections, support systems, and opportunities for collective action and advocacy (Anon, 2022).</w:t>
      </w:r>
    </w:p>
    <w:p w14:paraId="197B55CC" w14:textId="33442A33" w:rsidR="00985144" w:rsidRPr="00F249AD" w:rsidRDefault="001A664D" w:rsidP="00EA6E49">
      <w:pPr>
        <w:spacing w:line="360" w:lineRule="auto"/>
        <w:rPr>
          <w:rFonts w:ascii="Arial" w:hAnsi="Arial" w:cs="Arial"/>
          <w:b/>
          <w:bCs/>
          <w:sz w:val="22"/>
          <w:szCs w:val="22"/>
          <w:u w:val="single"/>
        </w:rPr>
      </w:pPr>
      <w:bookmarkStart w:id="0" w:name="_Hlk174693089"/>
      <w:r>
        <w:rPr>
          <w:rFonts w:ascii="Arial" w:hAnsi="Arial" w:cs="Arial"/>
          <w:b/>
          <w:bCs/>
          <w:sz w:val="22"/>
          <w:szCs w:val="22"/>
          <w:u w:val="single"/>
        </w:rPr>
        <w:t xml:space="preserve">2 </w:t>
      </w:r>
      <w:r w:rsidR="00985144" w:rsidRPr="00F249AD">
        <w:rPr>
          <w:rFonts w:ascii="Arial" w:hAnsi="Arial" w:cs="Arial"/>
          <w:b/>
          <w:bCs/>
          <w:sz w:val="22"/>
          <w:szCs w:val="22"/>
          <w:u w:val="single"/>
        </w:rPr>
        <w:t>Demographic</w:t>
      </w:r>
      <w:r w:rsidR="008B7D98" w:rsidRPr="00F249AD">
        <w:rPr>
          <w:rFonts w:ascii="Arial" w:hAnsi="Arial" w:cs="Arial"/>
          <w:b/>
          <w:bCs/>
          <w:sz w:val="22"/>
          <w:szCs w:val="22"/>
          <w:u w:val="single"/>
        </w:rPr>
        <w:t>s</w:t>
      </w:r>
    </w:p>
    <w:bookmarkEnd w:id="0"/>
    <w:p w14:paraId="71C99319" w14:textId="32CCF2C8" w:rsidR="00D44612" w:rsidRPr="00F249AD" w:rsidRDefault="00D44612" w:rsidP="00EA6E49">
      <w:pPr>
        <w:spacing w:line="360" w:lineRule="auto"/>
        <w:rPr>
          <w:rFonts w:ascii="Arial" w:hAnsi="Arial" w:cs="Arial"/>
          <w:sz w:val="22"/>
          <w:szCs w:val="22"/>
        </w:rPr>
      </w:pPr>
      <w:r w:rsidRPr="00F249AD">
        <w:rPr>
          <w:rFonts w:ascii="Arial" w:hAnsi="Arial" w:cs="Arial"/>
          <w:sz w:val="22"/>
          <w:szCs w:val="22"/>
        </w:rPr>
        <w:t>Newham, situated in East London, is celebrated for its vibrant and diverse demographics. With a population of approximately 353,134 residents, the borough is characterised by a rich ethnic tapestry that includes significant communities from South Asia (Bangladeshi, Indian, Pakistani) and Black African and Caribbean backgrounds. The demographic profile skews relatively young, with a median age of around 32 years old, reflecting a dynamic and evolving community</w:t>
      </w:r>
      <w:r w:rsidR="003533B5" w:rsidRPr="00F249AD">
        <w:rPr>
          <w:rFonts w:ascii="Arial" w:hAnsi="Arial" w:cs="Arial"/>
          <w:sz w:val="22"/>
          <w:szCs w:val="22"/>
        </w:rPr>
        <w:t xml:space="preserve"> </w:t>
      </w:r>
      <w:r w:rsidR="003533B5" w:rsidRPr="00F249AD">
        <w:rPr>
          <w:rFonts w:ascii="Arial" w:hAnsi="Arial" w:cs="Arial"/>
          <w:sz w:val="22"/>
          <w:szCs w:val="22"/>
        </w:rPr>
        <w:t>(Office for National Statistics, 2024)</w:t>
      </w:r>
      <w:r w:rsidR="003533B5" w:rsidRPr="00F249AD">
        <w:rPr>
          <w:rFonts w:ascii="Arial" w:hAnsi="Arial" w:cs="Arial"/>
          <w:sz w:val="22"/>
          <w:szCs w:val="22"/>
        </w:rPr>
        <w:t>.</w:t>
      </w:r>
    </w:p>
    <w:p w14:paraId="42D83921" w14:textId="6C8F9F79" w:rsidR="00D44612" w:rsidRPr="00F249AD" w:rsidRDefault="00D44612" w:rsidP="00EA6E49">
      <w:pPr>
        <w:spacing w:line="360" w:lineRule="auto"/>
        <w:rPr>
          <w:rFonts w:ascii="Arial" w:hAnsi="Arial" w:cs="Arial"/>
          <w:sz w:val="22"/>
          <w:szCs w:val="22"/>
        </w:rPr>
      </w:pPr>
      <w:r w:rsidRPr="00F249AD">
        <w:rPr>
          <w:rFonts w:ascii="Arial" w:hAnsi="Arial" w:cs="Arial"/>
          <w:sz w:val="22"/>
          <w:szCs w:val="22"/>
        </w:rPr>
        <w:t>As one of London's largest boroughs both in terms of population and geographic size, Newham stands out for its cultural diversity. This diversity contributes to a mosaic of cultures, languages, and traditions within the borough, encompassing European, Middle Eastern, an</w:t>
      </w:r>
      <w:r w:rsidR="00B5283D" w:rsidRPr="00F249AD">
        <w:rPr>
          <w:rFonts w:ascii="Arial" w:hAnsi="Arial" w:cs="Arial"/>
          <w:sz w:val="22"/>
          <w:szCs w:val="22"/>
        </w:rPr>
        <w:t xml:space="preserve">d </w:t>
      </w:r>
      <w:r w:rsidRPr="00F249AD">
        <w:rPr>
          <w:rFonts w:ascii="Arial" w:hAnsi="Arial" w:cs="Arial"/>
          <w:sz w:val="22"/>
          <w:szCs w:val="22"/>
        </w:rPr>
        <w:t>the</w:t>
      </w:r>
      <w:r w:rsidR="00B5283D" w:rsidRPr="00F249AD">
        <w:rPr>
          <w:rFonts w:ascii="Arial" w:hAnsi="Arial" w:cs="Arial"/>
          <w:sz w:val="22"/>
          <w:szCs w:val="22"/>
        </w:rPr>
        <w:t xml:space="preserve">ir </w:t>
      </w:r>
      <w:r w:rsidRPr="00F249AD">
        <w:rPr>
          <w:rFonts w:ascii="Arial" w:hAnsi="Arial" w:cs="Arial"/>
          <w:sz w:val="22"/>
          <w:szCs w:val="22"/>
        </w:rPr>
        <w:t>ethnic groups. However, alongside its cultural richness, Newham faces notable socio-economic challenges, including higher-than-average levels of deprivation. These challenges influence various facets of community life, impacting health outcomes, educational opportunities, and access to essential services like housing and social support. Addressing these issues requires tailored approaches that embrace diversity while fostering inclusive development strategies</w:t>
      </w:r>
      <w:r w:rsidR="003533B5" w:rsidRPr="00F249AD">
        <w:rPr>
          <w:rFonts w:ascii="Arial" w:hAnsi="Arial" w:cs="Arial"/>
          <w:sz w:val="22"/>
          <w:szCs w:val="22"/>
        </w:rPr>
        <w:t xml:space="preserve"> </w:t>
      </w:r>
      <w:r w:rsidR="003533B5" w:rsidRPr="00F249AD">
        <w:rPr>
          <w:rFonts w:ascii="Arial" w:hAnsi="Arial" w:cs="Arial"/>
          <w:sz w:val="22"/>
          <w:szCs w:val="22"/>
        </w:rPr>
        <w:t>(Office for National Statistics, 2024)</w:t>
      </w:r>
      <w:r w:rsidRPr="00F249AD">
        <w:rPr>
          <w:rFonts w:ascii="Arial" w:hAnsi="Arial" w:cs="Arial"/>
          <w:sz w:val="22"/>
          <w:szCs w:val="22"/>
        </w:rPr>
        <w:t>.</w:t>
      </w:r>
    </w:p>
    <w:p w14:paraId="18324DFA" w14:textId="631E6678" w:rsidR="00B34731" w:rsidRPr="00F249AD" w:rsidRDefault="001A664D" w:rsidP="00EA6E49">
      <w:pPr>
        <w:spacing w:line="360" w:lineRule="auto"/>
        <w:rPr>
          <w:rFonts w:ascii="Arial" w:hAnsi="Arial" w:cs="Arial"/>
          <w:b/>
          <w:bCs/>
          <w:sz w:val="22"/>
          <w:szCs w:val="22"/>
          <w:u w:val="single"/>
        </w:rPr>
      </w:pPr>
      <w:r>
        <w:rPr>
          <w:rFonts w:ascii="Arial" w:hAnsi="Arial" w:cs="Arial"/>
          <w:b/>
          <w:bCs/>
          <w:sz w:val="22"/>
          <w:szCs w:val="22"/>
          <w:u w:val="single"/>
        </w:rPr>
        <w:t xml:space="preserve">3 </w:t>
      </w:r>
      <w:r w:rsidR="00B34731" w:rsidRPr="00F249AD">
        <w:rPr>
          <w:rFonts w:ascii="Arial" w:hAnsi="Arial" w:cs="Arial"/>
          <w:b/>
          <w:bCs/>
          <w:sz w:val="22"/>
          <w:szCs w:val="22"/>
          <w:u w:val="single"/>
        </w:rPr>
        <w:t>Stakeholders</w:t>
      </w:r>
    </w:p>
    <w:p w14:paraId="138CCED2" w14:textId="724241BD" w:rsidR="00B34731" w:rsidRPr="00F249AD" w:rsidRDefault="00B34731" w:rsidP="00EA6E49">
      <w:pPr>
        <w:spacing w:line="360" w:lineRule="auto"/>
        <w:rPr>
          <w:rFonts w:ascii="Arial" w:hAnsi="Arial" w:cs="Arial"/>
          <w:sz w:val="22"/>
          <w:szCs w:val="22"/>
        </w:rPr>
      </w:pPr>
      <w:r w:rsidRPr="00F249AD">
        <w:rPr>
          <w:rFonts w:ascii="Arial" w:hAnsi="Arial" w:cs="Arial"/>
          <w:sz w:val="22"/>
          <w:szCs w:val="22"/>
        </w:rPr>
        <w:lastRenderedPageBreak/>
        <w:t>The Newham Borough Council plays a central role as the local government authority, responsible for policy-making, funding allocation, and regulatory oversight related to housing and homelessness services</w:t>
      </w:r>
      <w:r w:rsidR="00F249AD" w:rsidRPr="00F249AD">
        <w:rPr>
          <w:rFonts w:ascii="Arial" w:hAnsi="Arial" w:cs="Arial"/>
          <w:sz w:val="22"/>
          <w:szCs w:val="22"/>
        </w:rPr>
        <w:t xml:space="preserve"> </w:t>
      </w:r>
      <w:r w:rsidR="00F249AD" w:rsidRPr="00F249AD">
        <w:rPr>
          <w:rFonts w:ascii="Arial" w:hAnsi="Arial" w:cs="Arial"/>
          <w:sz w:val="22"/>
          <w:szCs w:val="22"/>
        </w:rPr>
        <w:t>(Bohr and Dunlap, 2021)</w:t>
      </w:r>
      <w:r w:rsidRPr="00F249AD">
        <w:rPr>
          <w:rFonts w:ascii="Arial" w:hAnsi="Arial" w:cs="Arial"/>
          <w:sz w:val="22"/>
          <w:szCs w:val="22"/>
        </w:rPr>
        <w:t>. Housing associations collaborate closely with the council to manage social housing and develop affordable housing solutions, crucial in expanding housing options and providing support services to tenants</w:t>
      </w:r>
      <w:r w:rsidR="00F249AD" w:rsidRPr="00F249AD">
        <w:rPr>
          <w:rFonts w:ascii="Arial" w:hAnsi="Arial" w:cs="Arial"/>
          <w:sz w:val="22"/>
          <w:szCs w:val="22"/>
        </w:rPr>
        <w:t xml:space="preserve"> </w:t>
      </w:r>
      <w:r w:rsidR="00F249AD" w:rsidRPr="00F249AD">
        <w:rPr>
          <w:rFonts w:ascii="Arial" w:hAnsi="Arial" w:cs="Arial"/>
          <w:sz w:val="22"/>
          <w:szCs w:val="22"/>
        </w:rPr>
        <w:t>(Bohr and Dunlap, 2021)</w:t>
      </w:r>
      <w:r w:rsidRPr="00F249AD">
        <w:rPr>
          <w:rFonts w:ascii="Arial" w:hAnsi="Arial" w:cs="Arial"/>
          <w:sz w:val="22"/>
          <w:szCs w:val="22"/>
        </w:rPr>
        <w:t>.</w:t>
      </w:r>
    </w:p>
    <w:p w14:paraId="37F41CFE" w14:textId="167C0D97" w:rsidR="00CB737D" w:rsidRPr="00F249AD" w:rsidRDefault="00CB737D" w:rsidP="00EA6E49">
      <w:pPr>
        <w:spacing w:line="360" w:lineRule="auto"/>
        <w:rPr>
          <w:rFonts w:ascii="Arial" w:hAnsi="Arial" w:cs="Arial"/>
          <w:sz w:val="22"/>
          <w:szCs w:val="22"/>
        </w:rPr>
      </w:pPr>
      <w:r w:rsidRPr="00F249AD">
        <w:rPr>
          <w:rFonts w:ascii="Arial" w:hAnsi="Arial" w:cs="Arial"/>
          <w:sz w:val="22"/>
          <w:szCs w:val="22"/>
        </w:rPr>
        <w:t>Community organisations in Newham, including non-profits and grassroots groups, provide direct support to homeless individuals and families, advocate for housing rights, and run outreach programs. Healthcare providers like hospitals and clinics play a critical role by offering essential services to address health issues worsened by homelessness, such as mental health care, addiction treatment, and primary healthcare</w:t>
      </w:r>
      <w:r w:rsidR="00F249AD" w:rsidRPr="00F249AD">
        <w:rPr>
          <w:rFonts w:ascii="Arial" w:hAnsi="Arial" w:cs="Arial"/>
          <w:sz w:val="22"/>
          <w:szCs w:val="22"/>
        </w:rPr>
        <w:t xml:space="preserve"> </w:t>
      </w:r>
      <w:r w:rsidR="00F249AD" w:rsidRPr="00F249AD">
        <w:rPr>
          <w:rFonts w:ascii="Arial" w:hAnsi="Arial" w:cs="Arial"/>
          <w:sz w:val="22"/>
          <w:szCs w:val="22"/>
        </w:rPr>
        <w:t>(Seidu et al., 2021)</w:t>
      </w:r>
      <w:r w:rsidRPr="00F249AD">
        <w:rPr>
          <w:rFonts w:ascii="Arial" w:hAnsi="Arial" w:cs="Arial"/>
          <w:sz w:val="22"/>
          <w:szCs w:val="22"/>
        </w:rPr>
        <w:t>.</w:t>
      </w:r>
    </w:p>
    <w:p w14:paraId="1BE117C6" w14:textId="1106F443" w:rsidR="00CB737D" w:rsidRPr="00F249AD" w:rsidRDefault="00CB737D" w:rsidP="00EA6E49">
      <w:pPr>
        <w:spacing w:line="360" w:lineRule="auto"/>
        <w:rPr>
          <w:rFonts w:ascii="Arial" w:hAnsi="Arial" w:cs="Arial"/>
          <w:sz w:val="22"/>
          <w:szCs w:val="22"/>
        </w:rPr>
      </w:pPr>
      <w:r w:rsidRPr="00F249AD">
        <w:rPr>
          <w:rFonts w:ascii="Arial" w:hAnsi="Arial" w:cs="Arial"/>
          <w:sz w:val="22"/>
          <w:szCs w:val="22"/>
        </w:rPr>
        <w:t>Government agencies like the MHCLG provide funding, policy guidance, and regulatory frameworks that shape housing and homelessness initiatives in Newham. Residents and community members offer insights and feedback through consultations, informing decision-making processes</w:t>
      </w:r>
      <w:r w:rsidR="00F249AD" w:rsidRPr="00F249AD">
        <w:rPr>
          <w:rFonts w:ascii="Arial" w:hAnsi="Arial" w:cs="Arial"/>
          <w:sz w:val="22"/>
          <w:szCs w:val="22"/>
        </w:rPr>
        <w:t xml:space="preserve"> </w:t>
      </w:r>
      <w:r w:rsidR="00F249AD" w:rsidRPr="00F249AD">
        <w:rPr>
          <w:rFonts w:ascii="Arial" w:hAnsi="Arial" w:cs="Arial"/>
          <w:sz w:val="22"/>
          <w:szCs w:val="22"/>
        </w:rPr>
        <w:t>(House of Commons, 2022)</w:t>
      </w:r>
      <w:r w:rsidRPr="00F249AD">
        <w:rPr>
          <w:rFonts w:ascii="Arial" w:hAnsi="Arial" w:cs="Arial"/>
          <w:sz w:val="22"/>
          <w:szCs w:val="22"/>
        </w:rPr>
        <w:t>.</w:t>
      </w:r>
    </w:p>
    <w:p w14:paraId="7EBE3489" w14:textId="5B5F88F2" w:rsidR="00CB737D" w:rsidRPr="00F249AD" w:rsidRDefault="00CB737D" w:rsidP="00EA6E49">
      <w:pPr>
        <w:spacing w:line="360" w:lineRule="auto"/>
        <w:rPr>
          <w:rFonts w:ascii="Arial" w:hAnsi="Arial" w:cs="Arial"/>
          <w:sz w:val="22"/>
          <w:szCs w:val="22"/>
        </w:rPr>
      </w:pPr>
      <w:r w:rsidRPr="00F249AD">
        <w:rPr>
          <w:rFonts w:ascii="Arial" w:hAnsi="Arial" w:cs="Arial"/>
          <w:sz w:val="22"/>
          <w:szCs w:val="22"/>
        </w:rPr>
        <w:t>Together, these stakeholders form a collaborative network that aims to leverage diverse expertise, resources, and perspectives to effectively address housing and homelessness issues in Newham, fostering a more inclusive and resilient community.</w:t>
      </w:r>
    </w:p>
    <w:p w14:paraId="74F82F8D" w14:textId="69AD2D61" w:rsidR="001F0E2E" w:rsidRPr="00F249AD" w:rsidRDefault="001A664D" w:rsidP="00EA6E49">
      <w:pPr>
        <w:spacing w:line="360" w:lineRule="auto"/>
        <w:rPr>
          <w:rFonts w:ascii="Arial" w:hAnsi="Arial" w:cs="Arial"/>
          <w:b/>
          <w:bCs/>
          <w:sz w:val="22"/>
          <w:szCs w:val="22"/>
          <w:u w:val="single"/>
        </w:rPr>
      </w:pPr>
      <w:r>
        <w:rPr>
          <w:rFonts w:ascii="Arial" w:hAnsi="Arial" w:cs="Arial"/>
          <w:b/>
          <w:bCs/>
          <w:sz w:val="22"/>
          <w:szCs w:val="22"/>
          <w:u w:val="single"/>
        </w:rPr>
        <w:t xml:space="preserve">4 </w:t>
      </w:r>
      <w:r w:rsidR="001F0E2E" w:rsidRPr="00F249AD">
        <w:rPr>
          <w:rFonts w:ascii="Arial" w:hAnsi="Arial" w:cs="Arial"/>
          <w:b/>
          <w:bCs/>
          <w:sz w:val="22"/>
          <w:szCs w:val="22"/>
          <w:u w:val="single"/>
        </w:rPr>
        <w:t>Theories</w:t>
      </w:r>
    </w:p>
    <w:p w14:paraId="7BE014C0" w14:textId="78C78F58" w:rsidR="001F0E2E" w:rsidRPr="00F249AD" w:rsidRDefault="001F0E2E" w:rsidP="00EA6E49">
      <w:pPr>
        <w:spacing w:line="360" w:lineRule="auto"/>
        <w:rPr>
          <w:rFonts w:ascii="Arial" w:hAnsi="Arial" w:cs="Arial"/>
          <w:sz w:val="22"/>
          <w:szCs w:val="22"/>
        </w:rPr>
      </w:pPr>
      <w:r w:rsidRPr="00F249AD">
        <w:rPr>
          <w:rFonts w:ascii="Arial" w:hAnsi="Arial" w:cs="Arial"/>
          <w:sz w:val="22"/>
          <w:szCs w:val="22"/>
        </w:rPr>
        <w:t>Attachment theory is highly relevant to this community development project in Newham, particularly in addressing housing instability and homelessness. According to attachment theory, early relationships and bonds formed with caregivers significantly influence an individual's emotional and social development throughout their life</w:t>
      </w:r>
      <w:r w:rsidR="00A967E9" w:rsidRPr="00F249AD">
        <w:rPr>
          <w:rFonts w:ascii="Arial" w:hAnsi="Arial" w:cs="Arial"/>
          <w:sz w:val="22"/>
          <w:szCs w:val="22"/>
        </w:rPr>
        <w:t xml:space="preserve"> (NSPCC, 2021)</w:t>
      </w:r>
      <w:r w:rsidRPr="00F249AD">
        <w:rPr>
          <w:rFonts w:ascii="Arial" w:hAnsi="Arial" w:cs="Arial"/>
          <w:sz w:val="22"/>
          <w:szCs w:val="22"/>
        </w:rPr>
        <w:t>. Secure attachments typically result in healthier relationships and better coping mechanisms, whereas insecure attachments can lead to difficulties in managing stress and forming stable relationships</w:t>
      </w:r>
      <w:r w:rsidR="00A967E9" w:rsidRPr="00F249AD">
        <w:rPr>
          <w:rFonts w:ascii="Arial" w:hAnsi="Arial" w:cs="Arial"/>
          <w:sz w:val="22"/>
          <w:szCs w:val="22"/>
        </w:rPr>
        <w:t xml:space="preserve"> (NSPCC, 2021)</w:t>
      </w:r>
      <w:r w:rsidRPr="00F249AD">
        <w:rPr>
          <w:rFonts w:ascii="Arial" w:hAnsi="Arial" w:cs="Arial"/>
          <w:sz w:val="22"/>
          <w:szCs w:val="22"/>
        </w:rPr>
        <w:t>.</w:t>
      </w:r>
    </w:p>
    <w:p w14:paraId="4B0D5EDA" w14:textId="054B3423" w:rsidR="001F0E2E" w:rsidRPr="00F249AD" w:rsidRDefault="001F0E2E" w:rsidP="00EA6E49">
      <w:pPr>
        <w:spacing w:line="360" w:lineRule="auto"/>
        <w:rPr>
          <w:rFonts w:ascii="Arial" w:hAnsi="Arial" w:cs="Arial"/>
          <w:sz w:val="22"/>
          <w:szCs w:val="22"/>
        </w:rPr>
      </w:pPr>
      <w:r w:rsidRPr="00F249AD">
        <w:rPr>
          <w:rFonts w:ascii="Arial" w:hAnsi="Arial" w:cs="Arial"/>
          <w:sz w:val="22"/>
          <w:szCs w:val="22"/>
        </w:rPr>
        <w:t>In the context of homelessness, many individuals experiencing housing instability often have histories of disrupted or insecure attachments. These disrupted bonds can contribute to mental health issues, substance abuse, and difficulty in maintaining stable housing and employment</w:t>
      </w:r>
      <w:r w:rsidR="00A967E9" w:rsidRPr="00F249AD">
        <w:rPr>
          <w:rFonts w:ascii="Arial" w:hAnsi="Arial" w:cs="Arial"/>
          <w:sz w:val="22"/>
          <w:szCs w:val="22"/>
        </w:rPr>
        <w:t xml:space="preserve"> (Carnemolla and Skinner, 2021)</w:t>
      </w:r>
      <w:r w:rsidRPr="00F249AD">
        <w:rPr>
          <w:rFonts w:ascii="Arial" w:hAnsi="Arial" w:cs="Arial"/>
          <w:sz w:val="22"/>
          <w:szCs w:val="22"/>
        </w:rPr>
        <w:t xml:space="preserve">. Understanding the role of attachment helps to underscore the importance of providing comprehensive support services that go beyond just housing. It highlights the need for emotional and psychological support, including </w:t>
      </w:r>
      <w:r w:rsidR="00A967E9" w:rsidRPr="00F249AD">
        <w:rPr>
          <w:rFonts w:ascii="Arial" w:hAnsi="Arial" w:cs="Arial"/>
          <w:sz w:val="22"/>
          <w:szCs w:val="22"/>
        </w:rPr>
        <w:t>counselling</w:t>
      </w:r>
      <w:r w:rsidRPr="00F249AD">
        <w:rPr>
          <w:rFonts w:ascii="Arial" w:hAnsi="Arial" w:cs="Arial"/>
          <w:sz w:val="22"/>
          <w:szCs w:val="22"/>
        </w:rPr>
        <w:t xml:space="preserve"> and mental health services, to address underlying issues stemming from past trauma or unstable early relationships</w:t>
      </w:r>
      <w:r w:rsidR="00A967E9" w:rsidRPr="00F249AD">
        <w:rPr>
          <w:rFonts w:ascii="Arial" w:hAnsi="Arial" w:cs="Arial"/>
          <w:sz w:val="22"/>
          <w:szCs w:val="22"/>
        </w:rPr>
        <w:t xml:space="preserve"> (NSPCC, 2021)</w:t>
      </w:r>
      <w:r w:rsidRPr="00F249AD">
        <w:rPr>
          <w:rFonts w:ascii="Arial" w:hAnsi="Arial" w:cs="Arial"/>
          <w:sz w:val="22"/>
          <w:szCs w:val="22"/>
        </w:rPr>
        <w:t>.</w:t>
      </w:r>
    </w:p>
    <w:p w14:paraId="451F2FE5" w14:textId="0E6F9EE5" w:rsidR="001F0E2E" w:rsidRPr="00F249AD" w:rsidRDefault="001F0E2E" w:rsidP="00EA6E49">
      <w:pPr>
        <w:spacing w:line="360" w:lineRule="auto"/>
        <w:rPr>
          <w:rFonts w:ascii="Arial" w:hAnsi="Arial" w:cs="Arial"/>
          <w:sz w:val="22"/>
          <w:szCs w:val="22"/>
        </w:rPr>
      </w:pPr>
      <w:r w:rsidRPr="00F249AD">
        <w:rPr>
          <w:rFonts w:ascii="Arial" w:hAnsi="Arial" w:cs="Arial"/>
          <w:sz w:val="22"/>
          <w:szCs w:val="22"/>
        </w:rPr>
        <w:lastRenderedPageBreak/>
        <w:t>For the Newham community development project, applying attachment theory means creating environments and services that foster secure attachments and support positive relationship-building. This could involve providing safe and stable housing options that allow individuals to develop a sense of security and belonging</w:t>
      </w:r>
      <w:r w:rsidR="00A967E9" w:rsidRPr="00F249AD">
        <w:rPr>
          <w:rFonts w:ascii="Arial" w:hAnsi="Arial" w:cs="Arial"/>
          <w:sz w:val="22"/>
          <w:szCs w:val="22"/>
        </w:rPr>
        <w:t xml:space="preserve"> (Carnemolla and Skinner, 2021)</w:t>
      </w:r>
      <w:r w:rsidRPr="00F249AD">
        <w:rPr>
          <w:rFonts w:ascii="Arial" w:hAnsi="Arial" w:cs="Arial"/>
          <w:sz w:val="22"/>
          <w:szCs w:val="22"/>
        </w:rPr>
        <w:t>. Additionally, support services should focus on rebuilding trust and promoting healthy relationships, both within families and the broader community. By addressing the emotional and psychological needs of individuals, the project can enhance overall well-being and stability, reducing the risk of recurring homelessness and contributing to a more resilient and inclusive community.</w:t>
      </w:r>
    </w:p>
    <w:p w14:paraId="0EB41075" w14:textId="77777777" w:rsidR="001F0E2E" w:rsidRPr="00F249AD" w:rsidRDefault="001F0E2E" w:rsidP="00EA6E49">
      <w:pPr>
        <w:spacing w:line="360" w:lineRule="auto"/>
        <w:rPr>
          <w:rFonts w:ascii="Arial" w:hAnsi="Arial" w:cs="Arial"/>
          <w:sz w:val="22"/>
          <w:szCs w:val="22"/>
        </w:rPr>
      </w:pPr>
    </w:p>
    <w:p w14:paraId="77DDBB28" w14:textId="6D222333" w:rsidR="007F2E78" w:rsidRPr="00F249AD" w:rsidRDefault="001A664D" w:rsidP="00EA6E49">
      <w:pPr>
        <w:spacing w:line="360" w:lineRule="auto"/>
        <w:rPr>
          <w:rFonts w:ascii="Arial" w:hAnsi="Arial" w:cs="Arial"/>
          <w:sz w:val="22"/>
          <w:szCs w:val="22"/>
          <w:u w:val="single"/>
        </w:rPr>
      </w:pPr>
      <w:r>
        <w:rPr>
          <w:rFonts w:ascii="Arial" w:hAnsi="Arial" w:cs="Arial"/>
          <w:b/>
          <w:bCs/>
          <w:sz w:val="22"/>
          <w:szCs w:val="22"/>
          <w:u w:val="single"/>
        </w:rPr>
        <w:t xml:space="preserve">5 </w:t>
      </w:r>
      <w:r w:rsidR="007F2E78" w:rsidRPr="00F249AD">
        <w:rPr>
          <w:rFonts w:ascii="Arial" w:hAnsi="Arial" w:cs="Arial"/>
          <w:b/>
          <w:bCs/>
          <w:sz w:val="22"/>
          <w:szCs w:val="22"/>
          <w:u w:val="single"/>
        </w:rPr>
        <w:t>Digital media and technologies for community development</w:t>
      </w:r>
    </w:p>
    <w:p w14:paraId="27E394C5" w14:textId="4E0E1B97" w:rsidR="007F2E78" w:rsidRPr="00F249AD" w:rsidRDefault="007F2E78" w:rsidP="00EA6E49">
      <w:pPr>
        <w:spacing w:line="360" w:lineRule="auto"/>
        <w:rPr>
          <w:rFonts w:ascii="Arial" w:hAnsi="Arial" w:cs="Arial"/>
          <w:sz w:val="22"/>
          <w:szCs w:val="22"/>
        </w:rPr>
      </w:pPr>
      <w:r w:rsidRPr="00F249AD">
        <w:rPr>
          <w:rFonts w:ascii="Arial" w:hAnsi="Arial" w:cs="Arial"/>
          <w:sz w:val="22"/>
          <w:szCs w:val="22"/>
        </w:rPr>
        <w:t>In addressing housing and homelessness challenges in Newham, digital media and technologies can play a pivotal role in community development. Magazines focused on local issues could publish stories and resources about housing rights, available support services, and success stories of individuals overcoming homelessness. Mobile apps could be developed to provide real-time updates on housing availability, resources for homeless individuals, and connections to relevant support networks</w:t>
      </w:r>
      <w:r w:rsidR="00F249AD" w:rsidRPr="00F249AD">
        <w:rPr>
          <w:rFonts w:ascii="Arial" w:hAnsi="Arial" w:cs="Arial"/>
          <w:sz w:val="22"/>
          <w:szCs w:val="22"/>
        </w:rPr>
        <w:t xml:space="preserve"> </w:t>
      </w:r>
      <w:r w:rsidR="00F249AD" w:rsidRPr="00F249AD">
        <w:rPr>
          <w:rFonts w:ascii="Arial" w:hAnsi="Arial" w:cs="Arial"/>
          <w:sz w:val="22"/>
          <w:szCs w:val="22"/>
        </w:rPr>
        <w:t>(Kumar, 2023)</w:t>
      </w:r>
      <w:r w:rsidRPr="00F249AD">
        <w:rPr>
          <w:rFonts w:ascii="Arial" w:hAnsi="Arial" w:cs="Arial"/>
          <w:sz w:val="22"/>
          <w:szCs w:val="22"/>
        </w:rPr>
        <w:t xml:space="preserve">. </w:t>
      </w:r>
    </w:p>
    <w:p w14:paraId="5746F9DE" w14:textId="44D29F92" w:rsidR="007F2E78" w:rsidRPr="00F249AD" w:rsidRDefault="007F2E78" w:rsidP="00EA6E49">
      <w:pPr>
        <w:spacing w:line="360" w:lineRule="auto"/>
        <w:rPr>
          <w:rFonts w:ascii="Arial" w:hAnsi="Arial" w:cs="Arial"/>
          <w:sz w:val="22"/>
          <w:szCs w:val="22"/>
        </w:rPr>
      </w:pPr>
      <w:r w:rsidRPr="00F249AD">
        <w:rPr>
          <w:rFonts w:ascii="Arial" w:hAnsi="Arial" w:cs="Arial"/>
          <w:sz w:val="22"/>
          <w:szCs w:val="22"/>
        </w:rPr>
        <w:t>News platforms could run investigative journalism pieces highlighting systemic issues contributing to homelessness and advocate for policy changes. Social media campaigns could raise awareness, engage the community in discussions about housing inequalities, and mobilise support for initiatives aimed at addressing homelessness. These digital tools not only facilitate information dissemination but also foster community engagement, advocacy, and support for vulnerable populations in Newham</w:t>
      </w:r>
      <w:r w:rsidR="00F249AD" w:rsidRPr="00F249AD">
        <w:rPr>
          <w:rFonts w:ascii="Arial" w:hAnsi="Arial" w:cs="Arial"/>
          <w:sz w:val="22"/>
          <w:szCs w:val="22"/>
        </w:rPr>
        <w:t xml:space="preserve"> </w:t>
      </w:r>
      <w:r w:rsidR="00F249AD" w:rsidRPr="00F249AD">
        <w:rPr>
          <w:rFonts w:ascii="Arial" w:hAnsi="Arial" w:cs="Arial"/>
          <w:sz w:val="22"/>
          <w:szCs w:val="22"/>
        </w:rPr>
        <w:t>(Kumar, 2023)</w:t>
      </w:r>
      <w:r w:rsidRPr="00F249AD">
        <w:rPr>
          <w:rFonts w:ascii="Arial" w:hAnsi="Arial" w:cs="Arial"/>
          <w:sz w:val="22"/>
          <w:szCs w:val="22"/>
        </w:rPr>
        <w:t>.</w:t>
      </w:r>
    </w:p>
    <w:p w14:paraId="029A0FA7" w14:textId="0068E058" w:rsidR="009D108F" w:rsidRPr="00F249AD" w:rsidRDefault="001A664D" w:rsidP="00EA6E49">
      <w:pPr>
        <w:spacing w:line="360" w:lineRule="auto"/>
        <w:rPr>
          <w:rFonts w:ascii="Arial" w:hAnsi="Arial" w:cs="Arial"/>
          <w:b/>
          <w:bCs/>
          <w:sz w:val="22"/>
          <w:szCs w:val="22"/>
          <w:u w:val="single"/>
        </w:rPr>
      </w:pPr>
      <w:r>
        <w:rPr>
          <w:rFonts w:ascii="Arial" w:hAnsi="Arial" w:cs="Arial"/>
          <w:b/>
          <w:bCs/>
          <w:sz w:val="22"/>
          <w:szCs w:val="22"/>
          <w:u w:val="single"/>
        </w:rPr>
        <w:t xml:space="preserve">6 </w:t>
      </w:r>
      <w:r w:rsidR="009D108F" w:rsidRPr="00F249AD">
        <w:rPr>
          <w:rFonts w:ascii="Arial" w:hAnsi="Arial" w:cs="Arial"/>
          <w:b/>
          <w:bCs/>
          <w:sz w:val="22"/>
          <w:szCs w:val="22"/>
          <w:u w:val="single"/>
        </w:rPr>
        <w:t>Legislations and Policies</w:t>
      </w:r>
    </w:p>
    <w:p w14:paraId="7168A8D2" w14:textId="2C0BCE9A" w:rsidR="009D108F" w:rsidRPr="00F249AD" w:rsidRDefault="009D108F" w:rsidP="00EA6E49">
      <w:pPr>
        <w:spacing w:line="360" w:lineRule="auto"/>
        <w:rPr>
          <w:rFonts w:ascii="Arial" w:hAnsi="Arial" w:cs="Arial"/>
          <w:sz w:val="22"/>
          <w:szCs w:val="22"/>
        </w:rPr>
      </w:pPr>
      <w:r w:rsidRPr="00F249AD">
        <w:rPr>
          <w:rFonts w:ascii="Arial" w:hAnsi="Arial" w:cs="Arial"/>
          <w:sz w:val="22"/>
          <w:szCs w:val="22"/>
        </w:rPr>
        <w:t>In addressing housing and homelessness in Newham, several legislative frameworks and policies are pivotal. The Housing Act 1996 mandates local authorities to provide housing assistance, including temporary accommodation, to homeless individuals and families</w:t>
      </w:r>
      <w:r w:rsidR="003533B5" w:rsidRPr="00F249AD">
        <w:rPr>
          <w:rFonts w:ascii="Arial" w:hAnsi="Arial" w:cs="Arial"/>
          <w:sz w:val="22"/>
          <w:szCs w:val="22"/>
        </w:rPr>
        <w:t xml:space="preserve"> </w:t>
      </w:r>
      <w:r w:rsidR="003533B5" w:rsidRPr="00F249AD">
        <w:rPr>
          <w:rFonts w:ascii="Arial" w:hAnsi="Arial" w:cs="Arial"/>
          <w:sz w:val="22"/>
          <w:szCs w:val="22"/>
        </w:rPr>
        <w:t>(The National Archives, 1996)</w:t>
      </w:r>
      <w:r w:rsidRPr="00F249AD">
        <w:rPr>
          <w:rFonts w:ascii="Arial" w:hAnsi="Arial" w:cs="Arial"/>
          <w:sz w:val="22"/>
          <w:szCs w:val="22"/>
        </w:rPr>
        <w:t>. The Homelessness Reduction Act 2017 introduced measures to prevent homelessness and requires local authorities to intervene earlier when individuals are at risk of losing their accommodation</w:t>
      </w:r>
      <w:r w:rsidR="003533B5" w:rsidRPr="00F249AD">
        <w:rPr>
          <w:rFonts w:ascii="Arial" w:hAnsi="Arial" w:cs="Arial"/>
          <w:sz w:val="22"/>
          <w:szCs w:val="22"/>
        </w:rPr>
        <w:t xml:space="preserve"> </w:t>
      </w:r>
      <w:r w:rsidR="003533B5" w:rsidRPr="00F249AD">
        <w:rPr>
          <w:rFonts w:ascii="Arial" w:hAnsi="Arial" w:cs="Arial"/>
          <w:sz w:val="22"/>
          <w:szCs w:val="22"/>
        </w:rPr>
        <w:t>(The National Archives, 2017)</w:t>
      </w:r>
      <w:r w:rsidRPr="00F249AD">
        <w:rPr>
          <w:rFonts w:ascii="Arial" w:hAnsi="Arial" w:cs="Arial"/>
          <w:sz w:val="22"/>
          <w:szCs w:val="22"/>
        </w:rPr>
        <w:t>. The Localism Act 2011 empowers local authorities to develop housing strategies tailored to local needs, including allocations and prevention measures</w:t>
      </w:r>
      <w:r w:rsidR="003533B5" w:rsidRPr="00F249AD">
        <w:rPr>
          <w:rFonts w:ascii="Arial" w:hAnsi="Arial" w:cs="Arial"/>
          <w:sz w:val="22"/>
          <w:szCs w:val="22"/>
        </w:rPr>
        <w:t xml:space="preserve"> </w:t>
      </w:r>
      <w:r w:rsidR="003533B5" w:rsidRPr="00F249AD">
        <w:rPr>
          <w:rFonts w:ascii="Arial" w:hAnsi="Arial" w:cs="Arial"/>
          <w:sz w:val="22"/>
          <w:szCs w:val="22"/>
        </w:rPr>
        <w:t xml:space="preserve">(Local Government Association, </w:t>
      </w:r>
      <w:r w:rsidR="003533B5" w:rsidRPr="00F249AD">
        <w:rPr>
          <w:rFonts w:ascii="Arial" w:hAnsi="Arial" w:cs="Arial"/>
          <w:sz w:val="22"/>
          <w:szCs w:val="22"/>
        </w:rPr>
        <w:t>2015</w:t>
      </w:r>
      <w:r w:rsidR="003533B5" w:rsidRPr="00F249AD">
        <w:rPr>
          <w:rFonts w:ascii="Arial" w:hAnsi="Arial" w:cs="Arial"/>
          <w:sz w:val="22"/>
          <w:szCs w:val="22"/>
        </w:rPr>
        <w:t>)</w:t>
      </w:r>
      <w:r w:rsidRPr="00F249AD">
        <w:rPr>
          <w:rFonts w:ascii="Arial" w:hAnsi="Arial" w:cs="Arial"/>
          <w:sz w:val="22"/>
          <w:szCs w:val="22"/>
        </w:rPr>
        <w:t>. The London Plan, a strategic document for London, includes policies on housing supply, affordability, and homelessness interventions that impact boroughs like Newham</w:t>
      </w:r>
      <w:r w:rsidR="00596CA6" w:rsidRPr="00F249AD">
        <w:rPr>
          <w:rFonts w:ascii="Arial" w:hAnsi="Arial" w:cs="Arial"/>
          <w:sz w:val="22"/>
          <w:szCs w:val="22"/>
        </w:rPr>
        <w:t xml:space="preserve"> </w:t>
      </w:r>
      <w:r w:rsidR="00596CA6" w:rsidRPr="00F249AD">
        <w:rPr>
          <w:rFonts w:ascii="Arial" w:hAnsi="Arial" w:cs="Arial"/>
          <w:sz w:val="22"/>
          <w:szCs w:val="22"/>
        </w:rPr>
        <w:t xml:space="preserve">(London Plan Public Library, </w:t>
      </w:r>
      <w:r w:rsidR="00596CA6" w:rsidRPr="00F249AD">
        <w:rPr>
          <w:rFonts w:ascii="Arial" w:hAnsi="Arial" w:cs="Arial"/>
          <w:sz w:val="22"/>
          <w:szCs w:val="22"/>
        </w:rPr>
        <w:lastRenderedPageBreak/>
        <w:t>2020)</w:t>
      </w:r>
      <w:r w:rsidRPr="00F249AD">
        <w:rPr>
          <w:rFonts w:ascii="Arial" w:hAnsi="Arial" w:cs="Arial"/>
          <w:sz w:val="22"/>
          <w:szCs w:val="22"/>
        </w:rPr>
        <w:t>. The Equality Act 2010 ensures protection against discrimination for individuals facing homelessness based on characteristics such as race, gender, disability, and age. Additionally, local planning policies influence housing availability and affordability, guiding development and social housing provision in Newham</w:t>
      </w:r>
      <w:r w:rsidR="00596CA6" w:rsidRPr="00F249AD">
        <w:rPr>
          <w:rFonts w:ascii="Arial" w:hAnsi="Arial" w:cs="Arial"/>
          <w:sz w:val="22"/>
          <w:szCs w:val="22"/>
        </w:rPr>
        <w:t xml:space="preserve"> </w:t>
      </w:r>
      <w:r w:rsidR="00596CA6" w:rsidRPr="00F249AD">
        <w:rPr>
          <w:rFonts w:ascii="Arial" w:hAnsi="Arial" w:cs="Arial"/>
          <w:sz w:val="22"/>
          <w:szCs w:val="22"/>
        </w:rPr>
        <w:t xml:space="preserve">(Equality and Human Rights Commission, </w:t>
      </w:r>
      <w:r w:rsidR="00596CA6" w:rsidRPr="00F249AD">
        <w:rPr>
          <w:rFonts w:ascii="Arial" w:hAnsi="Arial" w:cs="Arial"/>
          <w:sz w:val="22"/>
          <w:szCs w:val="22"/>
        </w:rPr>
        <w:t>2018</w:t>
      </w:r>
      <w:r w:rsidR="00596CA6" w:rsidRPr="00F249AD">
        <w:rPr>
          <w:rFonts w:ascii="Arial" w:hAnsi="Arial" w:cs="Arial"/>
          <w:sz w:val="22"/>
          <w:szCs w:val="22"/>
        </w:rPr>
        <w:t>)</w:t>
      </w:r>
      <w:r w:rsidRPr="00F249AD">
        <w:rPr>
          <w:rFonts w:ascii="Arial" w:hAnsi="Arial" w:cs="Arial"/>
          <w:sz w:val="22"/>
          <w:szCs w:val="22"/>
        </w:rPr>
        <w:t>. These legislative and policy frameworks collectively shape efforts to address housing challenges and homelessness within the borough.</w:t>
      </w:r>
    </w:p>
    <w:p w14:paraId="2C5BA9A1" w14:textId="2D08C5E8" w:rsidR="00FA7340" w:rsidRPr="00F249AD" w:rsidRDefault="001A664D" w:rsidP="007F2E78">
      <w:pPr>
        <w:spacing w:line="360" w:lineRule="auto"/>
        <w:rPr>
          <w:rFonts w:ascii="Arial" w:hAnsi="Arial" w:cs="Arial"/>
          <w:b/>
          <w:bCs/>
          <w:sz w:val="22"/>
          <w:szCs w:val="22"/>
          <w:u w:val="single"/>
        </w:rPr>
      </w:pPr>
      <w:r>
        <w:rPr>
          <w:rFonts w:ascii="Arial" w:hAnsi="Arial" w:cs="Arial"/>
          <w:b/>
          <w:bCs/>
          <w:sz w:val="22"/>
          <w:szCs w:val="22"/>
          <w:u w:val="single"/>
        </w:rPr>
        <w:t xml:space="preserve">7 </w:t>
      </w:r>
      <w:r w:rsidR="00FA7340" w:rsidRPr="00F249AD">
        <w:rPr>
          <w:rFonts w:ascii="Arial" w:hAnsi="Arial" w:cs="Arial"/>
          <w:b/>
          <w:bCs/>
          <w:sz w:val="22"/>
          <w:szCs w:val="22"/>
          <w:u w:val="single"/>
        </w:rPr>
        <w:t>Obstacles</w:t>
      </w:r>
    </w:p>
    <w:p w14:paraId="6DF9459D" w14:textId="41A761D4" w:rsidR="00F404B2" w:rsidRPr="00F249AD" w:rsidRDefault="00F404B2" w:rsidP="00F404B2">
      <w:pPr>
        <w:spacing w:line="360" w:lineRule="auto"/>
        <w:rPr>
          <w:rFonts w:ascii="Arial" w:hAnsi="Arial" w:cs="Arial"/>
          <w:sz w:val="22"/>
          <w:szCs w:val="22"/>
        </w:rPr>
      </w:pPr>
      <w:r w:rsidRPr="00F249AD">
        <w:rPr>
          <w:rFonts w:ascii="Arial" w:hAnsi="Arial" w:cs="Arial"/>
          <w:sz w:val="22"/>
          <w:szCs w:val="22"/>
        </w:rPr>
        <w:t>Implementing a community development plan to address housing and homelessness in Newham faces several obstacles and barriers. Limited financial resources from local and central government, coupled with the high costs of land and construction in London, can hinder the development of affordable housing and support services</w:t>
      </w:r>
      <w:r w:rsidR="00EA6E49">
        <w:rPr>
          <w:rFonts w:ascii="Arial" w:hAnsi="Arial" w:cs="Arial"/>
          <w:sz w:val="22"/>
          <w:szCs w:val="22"/>
        </w:rPr>
        <w:t xml:space="preserve"> </w:t>
      </w:r>
      <w:r w:rsidR="00EA6E49" w:rsidRPr="00EA6E49">
        <w:rPr>
          <w:rFonts w:ascii="Arial" w:hAnsi="Arial" w:cs="Arial"/>
          <w:sz w:val="22"/>
          <w:szCs w:val="22"/>
        </w:rPr>
        <w:t>(End Homelessness, 2023)</w:t>
      </w:r>
      <w:r w:rsidRPr="00F249AD">
        <w:rPr>
          <w:rFonts w:ascii="Arial" w:hAnsi="Arial" w:cs="Arial"/>
          <w:sz w:val="22"/>
          <w:szCs w:val="22"/>
        </w:rPr>
        <w:t>. Economic downturns can further reduce funding availability and increase demand for assistance</w:t>
      </w:r>
      <w:r w:rsidR="00EA6E49">
        <w:rPr>
          <w:rFonts w:ascii="Arial" w:hAnsi="Arial" w:cs="Arial"/>
          <w:sz w:val="22"/>
          <w:szCs w:val="22"/>
        </w:rPr>
        <w:t xml:space="preserve"> </w:t>
      </w:r>
      <w:r w:rsidR="00EA6E49" w:rsidRPr="00EA6E49">
        <w:rPr>
          <w:rFonts w:ascii="Arial" w:hAnsi="Arial" w:cs="Arial"/>
          <w:sz w:val="22"/>
          <w:szCs w:val="22"/>
        </w:rPr>
        <w:t>(End Homelessness, 2023)</w:t>
      </w:r>
      <w:r w:rsidRPr="00F249AD">
        <w:rPr>
          <w:rFonts w:ascii="Arial" w:hAnsi="Arial" w:cs="Arial"/>
          <w:sz w:val="22"/>
          <w:szCs w:val="22"/>
        </w:rPr>
        <w:t>.</w:t>
      </w:r>
    </w:p>
    <w:p w14:paraId="3E245875" w14:textId="5E0C9E13" w:rsidR="00F404B2" w:rsidRPr="00F249AD" w:rsidRDefault="00F404B2" w:rsidP="00F404B2">
      <w:pPr>
        <w:spacing w:line="360" w:lineRule="auto"/>
        <w:rPr>
          <w:rFonts w:ascii="Arial" w:hAnsi="Arial" w:cs="Arial"/>
          <w:sz w:val="22"/>
          <w:szCs w:val="22"/>
        </w:rPr>
      </w:pPr>
      <w:r w:rsidRPr="00F249AD">
        <w:rPr>
          <w:rFonts w:ascii="Arial" w:hAnsi="Arial" w:cs="Arial"/>
          <w:sz w:val="22"/>
          <w:szCs w:val="22"/>
        </w:rPr>
        <w:t>Shifts in government policies and priorities, complex regulatory requirements, and local political opposition can disrupt ongoing projects and create additional challenges</w:t>
      </w:r>
      <w:r w:rsidR="00EA6E49">
        <w:rPr>
          <w:rFonts w:ascii="Arial" w:hAnsi="Arial" w:cs="Arial"/>
          <w:sz w:val="22"/>
          <w:szCs w:val="22"/>
        </w:rPr>
        <w:t xml:space="preserve"> </w:t>
      </w:r>
      <w:r w:rsidR="00EA6E49" w:rsidRPr="00EA6E49">
        <w:rPr>
          <w:rFonts w:ascii="Arial" w:hAnsi="Arial" w:cs="Arial"/>
          <w:sz w:val="22"/>
          <w:szCs w:val="22"/>
        </w:rPr>
        <w:t>(End Homelessness, 2023)</w:t>
      </w:r>
      <w:r w:rsidRPr="00F249AD">
        <w:rPr>
          <w:rFonts w:ascii="Arial" w:hAnsi="Arial" w:cs="Arial"/>
          <w:sz w:val="22"/>
          <w:szCs w:val="22"/>
        </w:rPr>
        <w:t>. Homeless individuals may face stigma and discrimination, affecting their ability to access services and integrate into the community. Additionally, addressing the needs of a diverse population requires culturally sensitive approaches, which can be difficult to design and implement effectively</w:t>
      </w:r>
      <w:r w:rsidR="00EA6E49">
        <w:rPr>
          <w:rFonts w:ascii="Arial" w:hAnsi="Arial" w:cs="Arial"/>
          <w:sz w:val="22"/>
          <w:szCs w:val="22"/>
        </w:rPr>
        <w:t xml:space="preserve"> </w:t>
      </w:r>
      <w:r w:rsidR="00EA6E49" w:rsidRPr="00EA6E49">
        <w:rPr>
          <w:rFonts w:ascii="Arial" w:hAnsi="Arial" w:cs="Arial"/>
          <w:sz w:val="22"/>
          <w:szCs w:val="22"/>
        </w:rPr>
        <w:t>(End Homelessness, 2023)</w:t>
      </w:r>
      <w:r w:rsidRPr="00F249AD">
        <w:rPr>
          <w:rFonts w:ascii="Arial" w:hAnsi="Arial" w:cs="Arial"/>
          <w:sz w:val="22"/>
          <w:szCs w:val="22"/>
        </w:rPr>
        <w:t>.</w:t>
      </w:r>
    </w:p>
    <w:p w14:paraId="13625C5E" w14:textId="5BE5EDCA" w:rsidR="00F404B2" w:rsidRPr="00F249AD" w:rsidRDefault="00F404B2" w:rsidP="00F404B2">
      <w:pPr>
        <w:spacing w:line="360" w:lineRule="auto"/>
        <w:rPr>
          <w:rFonts w:ascii="Arial" w:hAnsi="Arial" w:cs="Arial"/>
          <w:sz w:val="22"/>
          <w:szCs w:val="22"/>
        </w:rPr>
      </w:pPr>
      <w:r w:rsidRPr="00F249AD">
        <w:rPr>
          <w:rFonts w:ascii="Arial" w:hAnsi="Arial" w:cs="Arial"/>
          <w:sz w:val="22"/>
          <w:szCs w:val="22"/>
        </w:rPr>
        <w:t>Inadequate infrastructure, coordination difficulties among different agencies and service providers, and ensuring community awareness and participation pose significant operational challenges</w:t>
      </w:r>
      <w:r w:rsidR="00EA6E49">
        <w:rPr>
          <w:rFonts w:ascii="Arial" w:hAnsi="Arial" w:cs="Arial"/>
          <w:sz w:val="22"/>
          <w:szCs w:val="22"/>
        </w:rPr>
        <w:t xml:space="preserve"> </w:t>
      </w:r>
      <w:r w:rsidR="00EA6E49" w:rsidRPr="00EA6E49">
        <w:rPr>
          <w:rFonts w:ascii="Arial" w:hAnsi="Arial" w:cs="Arial"/>
          <w:sz w:val="22"/>
          <w:szCs w:val="22"/>
        </w:rPr>
        <w:t>(Bennett and Danziger, 2021)</w:t>
      </w:r>
      <w:r w:rsidRPr="00F249AD">
        <w:rPr>
          <w:rFonts w:ascii="Arial" w:hAnsi="Arial" w:cs="Arial"/>
          <w:sz w:val="22"/>
          <w:szCs w:val="22"/>
        </w:rPr>
        <w:t>. Building trust and fostering collaboration between diverse community groups and stakeholders is essential but time-consuming. Limited access to digital tools among certain populations can hinder engagement and access to services, while effective data management is complex and resource-intensive</w:t>
      </w:r>
      <w:r w:rsidR="00EA6E49">
        <w:rPr>
          <w:rFonts w:ascii="Arial" w:hAnsi="Arial" w:cs="Arial"/>
          <w:sz w:val="22"/>
          <w:szCs w:val="22"/>
        </w:rPr>
        <w:t xml:space="preserve"> </w:t>
      </w:r>
      <w:r w:rsidR="00EA6E49" w:rsidRPr="00EA6E49">
        <w:rPr>
          <w:rFonts w:ascii="Arial" w:hAnsi="Arial" w:cs="Arial"/>
          <w:sz w:val="22"/>
          <w:szCs w:val="22"/>
        </w:rPr>
        <w:t>(Bennett and Danziger, 2021)</w:t>
      </w:r>
      <w:r w:rsidRPr="00F249AD">
        <w:rPr>
          <w:rFonts w:ascii="Arial" w:hAnsi="Arial" w:cs="Arial"/>
          <w:sz w:val="22"/>
          <w:szCs w:val="22"/>
        </w:rPr>
        <w:t>.</w:t>
      </w:r>
    </w:p>
    <w:p w14:paraId="42973FCD" w14:textId="737407C2" w:rsidR="00F404B2" w:rsidRPr="00F249AD" w:rsidRDefault="00F404B2" w:rsidP="00F404B2">
      <w:pPr>
        <w:spacing w:line="360" w:lineRule="auto"/>
        <w:rPr>
          <w:rFonts w:ascii="Arial" w:hAnsi="Arial" w:cs="Arial"/>
          <w:sz w:val="22"/>
          <w:szCs w:val="22"/>
        </w:rPr>
      </w:pPr>
      <w:r w:rsidRPr="00F249AD">
        <w:rPr>
          <w:rFonts w:ascii="Arial" w:hAnsi="Arial" w:cs="Arial"/>
          <w:sz w:val="22"/>
          <w:szCs w:val="22"/>
        </w:rPr>
        <w:t>Broader economic inequalities and high levels of deprivation in Newham can exacerbate housing instability and homelessness. Public health emergencies can strain resources and disrupt services. Resistance to change from some community members and institutional inertia within existing bureaucracies further complicate efforts. Addressing these obstacles requires robust planning, strong stakeholder collaboration, and continuous community engagement to adapt to emerging challenges and opportunities</w:t>
      </w:r>
      <w:r w:rsidR="00EA6E49">
        <w:rPr>
          <w:rFonts w:ascii="Arial" w:hAnsi="Arial" w:cs="Arial"/>
          <w:sz w:val="22"/>
          <w:szCs w:val="22"/>
        </w:rPr>
        <w:t xml:space="preserve"> </w:t>
      </w:r>
      <w:r w:rsidR="00EA6E49" w:rsidRPr="00EA6E49">
        <w:rPr>
          <w:rFonts w:ascii="Arial" w:hAnsi="Arial" w:cs="Arial"/>
          <w:sz w:val="22"/>
          <w:szCs w:val="22"/>
        </w:rPr>
        <w:t>(Bennett and Danziger, 2021)</w:t>
      </w:r>
      <w:r w:rsidRPr="00F249AD">
        <w:rPr>
          <w:rFonts w:ascii="Arial" w:hAnsi="Arial" w:cs="Arial"/>
          <w:sz w:val="22"/>
          <w:szCs w:val="22"/>
        </w:rPr>
        <w:t>.</w:t>
      </w:r>
    </w:p>
    <w:p w14:paraId="5F844F64" w14:textId="58FB19EA" w:rsidR="00B62B52" w:rsidRPr="00F249AD" w:rsidRDefault="001A664D" w:rsidP="00F404B2">
      <w:pPr>
        <w:spacing w:line="360" w:lineRule="auto"/>
        <w:rPr>
          <w:rFonts w:ascii="Arial" w:hAnsi="Arial" w:cs="Arial"/>
          <w:b/>
          <w:bCs/>
          <w:sz w:val="22"/>
          <w:szCs w:val="22"/>
          <w:u w:val="single"/>
        </w:rPr>
      </w:pPr>
      <w:r>
        <w:rPr>
          <w:rFonts w:ascii="Arial" w:hAnsi="Arial" w:cs="Arial"/>
          <w:b/>
          <w:bCs/>
          <w:sz w:val="22"/>
          <w:szCs w:val="22"/>
          <w:u w:val="single"/>
        </w:rPr>
        <w:t xml:space="preserve">8 </w:t>
      </w:r>
      <w:r w:rsidR="00B62B52" w:rsidRPr="00F249AD">
        <w:rPr>
          <w:rFonts w:ascii="Arial" w:hAnsi="Arial" w:cs="Arial"/>
          <w:b/>
          <w:bCs/>
          <w:sz w:val="22"/>
          <w:szCs w:val="22"/>
          <w:u w:val="single"/>
        </w:rPr>
        <w:t>Recommendations</w:t>
      </w:r>
    </w:p>
    <w:p w14:paraId="79DD7FCB" w14:textId="46129BE1" w:rsidR="00B62B52" w:rsidRPr="00F249AD" w:rsidRDefault="00B62B52" w:rsidP="00B62B52">
      <w:pPr>
        <w:spacing w:line="360" w:lineRule="auto"/>
        <w:rPr>
          <w:rFonts w:ascii="Arial" w:hAnsi="Arial" w:cs="Arial"/>
          <w:sz w:val="22"/>
          <w:szCs w:val="22"/>
        </w:rPr>
      </w:pPr>
      <w:r w:rsidRPr="00F249AD">
        <w:rPr>
          <w:rFonts w:ascii="Arial" w:hAnsi="Arial" w:cs="Arial"/>
          <w:sz w:val="22"/>
          <w:szCs w:val="22"/>
        </w:rPr>
        <w:lastRenderedPageBreak/>
        <w:t>To address the significant housing and homelessness challenges in Newham, the community development plan should focus on several key recommendations. First, increasing funding for affordable housing and support services is crucial. This can be achieved by advocating for higher allocations from local and central government budgets and exploring alternative funding sources such as public-private partnerships and social impact bonds</w:t>
      </w:r>
      <w:r w:rsidR="00AB50F6">
        <w:rPr>
          <w:rFonts w:ascii="Arial" w:hAnsi="Arial" w:cs="Arial"/>
          <w:sz w:val="22"/>
          <w:szCs w:val="22"/>
        </w:rPr>
        <w:t xml:space="preserve"> </w:t>
      </w:r>
      <w:r w:rsidR="00AB50F6" w:rsidRPr="00AB50F6">
        <w:rPr>
          <w:rFonts w:ascii="Arial" w:hAnsi="Arial" w:cs="Arial"/>
          <w:sz w:val="22"/>
          <w:szCs w:val="22"/>
        </w:rPr>
        <w:t xml:space="preserve">(Newham Council, </w:t>
      </w:r>
      <w:r w:rsidR="00AB50F6">
        <w:rPr>
          <w:rFonts w:ascii="Arial" w:hAnsi="Arial" w:cs="Arial"/>
          <w:sz w:val="22"/>
          <w:szCs w:val="22"/>
        </w:rPr>
        <w:t>2020)</w:t>
      </w:r>
      <w:r w:rsidRPr="00F249AD">
        <w:rPr>
          <w:rFonts w:ascii="Arial" w:hAnsi="Arial" w:cs="Arial"/>
          <w:sz w:val="22"/>
          <w:szCs w:val="22"/>
        </w:rPr>
        <w:t>. Additionally, the council should consider innovative housing solutions like modular housing and repurposing existing buildings to offset high land and construction costs.</w:t>
      </w:r>
    </w:p>
    <w:p w14:paraId="417C8283" w14:textId="49592B8C" w:rsidR="00B62B52" w:rsidRPr="00F249AD" w:rsidRDefault="00B62B52" w:rsidP="00B62B52">
      <w:pPr>
        <w:spacing w:line="360" w:lineRule="auto"/>
        <w:rPr>
          <w:rFonts w:ascii="Arial" w:hAnsi="Arial" w:cs="Arial"/>
          <w:sz w:val="22"/>
          <w:szCs w:val="22"/>
        </w:rPr>
      </w:pPr>
      <w:r w:rsidRPr="00F249AD">
        <w:rPr>
          <w:rFonts w:ascii="Arial" w:hAnsi="Arial" w:cs="Arial"/>
          <w:sz w:val="22"/>
          <w:szCs w:val="22"/>
        </w:rPr>
        <w:t>Strong stakeholder collaboration is essential. The Newham Borough Council should establish a multi-stakeholder task force comprising representatives from housing associations, community organisations, healthcare providers, government agencies, and residents. This task force can enhance coordination and ensure diverse perspectives are incorporated into policy and project development</w:t>
      </w:r>
      <w:r w:rsidR="00AB50F6">
        <w:rPr>
          <w:rFonts w:ascii="Arial" w:hAnsi="Arial" w:cs="Arial"/>
          <w:sz w:val="22"/>
          <w:szCs w:val="22"/>
        </w:rPr>
        <w:t xml:space="preserve"> </w:t>
      </w:r>
      <w:r w:rsidR="00AB50F6" w:rsidRPr="00F249AD">
        <w:rPr>
          <w:rFonts w:ascii="Arial" w:hAnsi="Arial" w:cs="Arial"/>
          <w:sz w:val="22"/>
          <w:szCs w:val="22"/>
        </w:rPr>
        <w:t>(Bohr and Dunlap, 2021)</w:t>
      </w:r>
      <w:r w:rsidRPr="00F249AD">
        <w:rPr>
          <w:rFonts w:ascii="Arial" w:hAnsi="Arial" w:cs="Arial"/>
          <w:sz w:val="22"/>
          <w:szCs w:val="22"/>
        </w:rPr>
        <w:t>.</w:t>
      </w:r>
    </w:p>
    <w:p w14:paraId="6E5D4693" w14:textId="798EF2EC" w:rsidR="00B62B52" w:rsidRPr="00F249AD" w:rsidRDefault="00B62B52" w:rsidP="00B62B52">
      <w:pPr>
        <w:spacing w:line="360" w:lineRule="auto"/>
        <w:rPr>
          <w:rFonts w:ascii="Arial" w:hAnsi="Arial" w:cs="Arial"/>
          <w:sz w:val="22"/>
          <w:szCs w:val="22"/>
        </w:rPr>
      </w:pPr>
      <w:r w:rsidRPr="00F249AD">
        <w:rPr>
          <w:rFonts w:ascii="Arial" w:hAnsi="Arial" w:cs="Arial"/>
          <w:sz w:val="22"/>
          <w:szCs w:val="22"/>
        </w:rPr>
        <w:t>Addressing stigma and discrimination against homeless individuals requires educational campaigns to challenge misconceptions and highlight their stories and contributions. Training programs for service providers and community members on cultural sensitivity and anti-discrimination practices can help create a more supportive environment</w:t>
      </w:r>
      <w:r w:rsidR="00AB50F6">
        <w:rPr>
          <w:rFonts w:ascii="Arial" w:hAnsi="Arial" w:cs="Arial"/>
          <w:sz w:val="22"/>
          <w:szCs w:val="22"/>
        </w:rPr>
        <w:t xml:space="preserve"> </w:t>
      </w:r>
      <w:r w:rsidR="00AB50F6" w:rsidRPr="00EA6E49">
        <w:rPr>
          <w:rFonts w:ascii="Arial" w:hAnsi="Arial" w:cs="Arial"/>
          <w:sz w:val="22"/>
          <w:szCs w:val="22"/>
        </w:rPr>
        <w:t>(End Homelessness, 2023)</w:t>
      </w:r>
      <w:r w:rsidRPr="00F249AD">
        <w:rPr>
          <w:rFonts w:ascii="Arial" w:hAnsi="Arial" w:cs="Arial"/>
          <w:sz w:val="22"/>
          <w:szCs w:val="22"/>
        </w:rPr>
        <w:t>.</w:t>
      </w:r>
    </w:p>
    <w:p w14:paraId="0B69710A" w14:textId="76670A5D" w:rsidR="00B62B52" w:rsidRPr="00F249AD" w:rsidRDefault="00B62B52" w:rsidP="00B62B52">
      <w:pPr>
        <w:spacing w:line="360" w:lineRule="auto"/>
        <w:rPr>
          <w:rFonts w:ascii="Arial" w:hAnsi="Arial" w:cs="Arial"/>
          <w:sz w:val="22"/>
          <w:szCs w:val="22"/>
        </w:rPr>
      </w:pPr>
      <w:r w:rsidRPr="00F249AD">
        <w:rPr>
          <w:rFonts w:ascii="Arial" w:hAnsi="Arial" w:cs="Arial"/>
          <w:sz w:val="22"/>
          <w:szCs w:val="22"/>
        </w:rPr>
        <w:t>Enhancing community engagement and participation is critical. Utilising digital media and technologies, such as mobile apps and social media platforms, can facilitate real-time communication and engagement with residents</w:t>
      </w:r>
      <w:r w:rsidR="00AB50F6">
        <w:rPr>
          <w:rFonts w:ascii="Arial" w:hAnsi="Arial" w:cs="Arial"/>
          <w:sz w:val="22"/>
          <w:szCs w:val="22"/>
        </w:rPr>
        <w:t xml:space="preserve"> </w:t>
      </w:r>
      <w:r w:rsidR="00AB50F6" w:rsidRPr="00F249AD">
        <w:rPr>
          <w:rFonts w:ascii="Arial" w:hAnsi="Arial" w:cs="Arial"/>
          <w:sz w:val="22"/>
          <w:szCs w:val="22"/>
        </w:rPr>
        <w:t>(Kumar, 2023)</w:t>
      </w:r>
      <w:r w:rsidRPr="00F249AD">
        <w:rPr>
          <w:rFonts w:ascii="Arial" w:hAnsi="Arial" w:cs="Arial"/>
          <w:sz w:val="22"/>
          <w:szCs w:val="22"/>
        </w:rPr>
        <w:t>. These tools can disseminate information about available services, gather feedback, and mobilise community support for housing initiatives. Ensuring accessibility to digital tools for all, including those with limited digital literacy, is essential</w:t>
      </w:r>
      <w:r w:rsidR="00AB50F6">
        <w:rPr>
          <w:rFonts w:ascii="Arial" w:hAnsi="Arial" w:cs="Arial"/>
          <w:sz w:val="22"/>
          <w:szCs w:val="22"/>
        </w:rPr>
        <w:t xml:space="preserve"> </w:t>
      </w:r>
      <w:r w:rsidR="00AB50F6" w:rsidRPr="00F249AD">
        <w:rPr>
          <w:rFonts w:ascii="Arial" w:hAnsi="Arial" w:cs="Arial"/>
          <w:sz w:val="22"/>
          <w:szCs w:val="22"/>
        </w:rPr>
        <w:t>(Kumar, 2023)</w:t>
      </w:r>
      <w:r w:rsidRPr="00F249AD">
        <w:rPr>
          <w:rFonts w:ascii="Arial" w:hAnsi="Arial" w:cs="Arial"/>
          <w:sz w:val="22"/>
          <w:szCs w:val="22"/>
        </w:rPr>
        <w:t>.</w:t>
      </w:r>
    </w:p>
    <w:p w14:paraId="2658D6FC" w14:textId="33D013F2" w:rsidR="00B62B52" w:rsidRPr="00F249AD" w:rsidRDefault="00B62B52" w:rsidP="00B62B52">
      <w:pPr>
        <w:spacing w:line="360" w:lineRule="auto"/>
        <w:rPr>
          <w:rFonts w:ascii="Arial" w:hAnsi="Arial" w:cs="Arial"/>
          <w:sz w:val="22"/>
          <w:szCs w:val="22"/>
        </w:rPr>
      </w:pPr>
      <w:r w:rsidRPr="00F249AD">
        <w:rPr>
          <w:rFonts w:ascii="Arial" w:hAnsi="Arial" w:cs="Arial"/>
          <w:sz w:val="22"/>
          <w:szCs w:val="22"/>
        </w:rPr>
        <w:t>Improving data management and infrastructure is necessary for effective decision-making and service delivery. Investing in robust data systems that allow for the collection, analysis, and sharing of relevant information across agencies can enhance the efficiency and responsiveness of services</w:t>
      </w:r>
      <w:r w:rsidR="00AB50F6">
        <w:rPr>
          <w:rFonts w:ascii="Arial" w:hAnsi="Arial" w:cs="Arial"/>
          <w:sz w:val="22"/>
          <w:szCs w:val="22"/>
        </w:rPr>
        <w:t xml:space="preserve"> </w:t>
      </w:r>
      <w:r w:rsidR="00AB50F6" w:rsidRPr="00EA6E49">
        <w:rPr>
          <w:rFonts w:ascii="Arial" w:hAnsi="Arial" w:cs="Arial"/>
          <w:sz w:val="22"/>
          <w:szCs w:val="22"/>
        </w:rPr>
        <w:t>(Bennett and Danziger, 2021)</w:t>
      </w:r>
      <w:r w:rsidRPr="00F249AD">
        <w:rPr>
          <w:rFonts w:ascii="Arial" w:hAnsi="Arial" w:cs="Arial"/>
          <w:sz w:val="22"/>
          <w:szCs w:val="22"/>
        </w:rPr>
        <w:t>. Transparent data management practices that comply with privacy regulations will build trust and accountability.</w:t>
      </w:r>
    </w:p>
    <w:p w14:paraId="7F3DA8D8" w14:textId="549AB276" w:rsidR="00FA7340" w:rsidRPr="00F249AD" w:rsidRDefault="00B62B52" w:rsidP="00B62B52">
      <w:pPr>
        <w:spacing w:line="360" w:lineRule="auto"/>
        <w:rPr>
          <w:rFonts w:ascii="Arial" w:hAnsi="Arial" w:cs="Arial"/>
          <w:sz w:val="22"/>
          <w:szCs w:val="22"/>
        </w:rPr>
      </w:pPr>
      <w:r w:rsidRPr="00F249AD">
        <w:rPr>
          <w:rFonts w:ascii="Arial" w:hAnsi="Arial" w:cs="Arial"/>
          <w:sz w:val="22"/>
          <w:szCs w:val="22"/>
        </w:rPr>
        <w:t>Addressing broader economic inequalities requires integrated strategies that tackle the root causes of deprivation. Initiatives such as job training programs, educational support, and access to healthcare can improve the socio-economic conditions of Newham residents, reducing housing instability</w:t>
      </w:r>
      <w:r w:rsidR="003753E2">
        <w:rPr>
          <w:rFonts w:ascii="Arial" w:hAnsi="Arial" w:cs="Arial"/>
          <w:sz w:val="22"/>
          <w:szCs w:val="22"/>
        </w:rPr>
        <w:t xml:space="preserve"> </w:t>
      </w:r>
      <w:r w:rsidR="003753E2" w:rsidRPr="003753E2">
        <w:rPr>
          <w:rFonts w:ascii="Arial" w:hAnsi="Arial" w:cs="Arial"/>
          <w:sz w:val="22"/>
          <w:szCs w:val="22"/>
        </w:rPr>
        <w:t>(Newham Council, 2024)</w:t>
      </w:r>
      <w:r w:rsidRPr="00F249AD">
        <w:rPr>
          <w:rFonts w:ascii="Arial" w:hAnsi="Arial" w:cs="Arial"/>
          <w:sz w:val="22"/>
          <w:szCs w:val="22"/>
        </w:rPr>
        <w:t xml:space="preserve">. Advocating for policies that promote economic equality and social justice at local and national levels is also crucial. By adopting these recommendations, Newham can significantly address its housing and homelessness </w:t>
      </w:r>
      <w:r w:rsidRPr="00F249AD">
        <w:rPr>
          <w:rFonts w:ascii="Arial" w:hAnsi="Arial" w:cs="Arial"/>
          <w:sz w:val="22"/>
          <w:szCs w:val="22"/>
        </w:rPr>
        <w:lastRenderedPageBreak/>
        <w:t>challenges, creating a stable, secure, and inclusive living environment for all residents</w:t>
      </w:r>
      <w:r w:rsidR="003753E2">
        <w:rPr>
          <w:rFonts w:ascii="Arial" w:hAnsi="Arial" w:cs="Arial"/>
          <w:sz w:val="22"/>
          <w:szCs w:val="22"/>
        </w:rPr>
        <w:t xml:space="preserve"> </w:t>
      </w:r>
      <w:r w:rsidR="003753E2" w:rsidRPr="003753E2">
        <w:rPr>
          <w:rFonts w:ascii="Arial" w:hAnsi="Arial" w:cs="Arial"/>
          <w:sz w:val="22"/>
          <w:szCs w:val="22"/>
        </w:rPr>
        <w:t>(Newham Council, 2024)</w:t>
      </w:r>
      <w:r w:rsidRPr="00F249AD">
        <w:rPr>
          <w:rFonts w:ascii="Arial" w:hAnsi="Arial" w:cs="Arial"/>
          <w:sz w:val="22"/>
          <w:szCs w:val="22"/>
        </w:rPr>
        <w:t>.</w:t>
      </w:r>
    </w:p>
    <w:p w14:paraId="3FD52C39" w14:textId="7D0423FA" w:rsidR="00B62B52" w:rsidRPr="00F249AD" w:rsidRDefault="001A664D" w:rsidP="00B62B52">
      <w:pPr>
        <w:spacing w:line="360" w:lineRule="auto"/>
        <w:rPr>
          <w:rFonts w:ascii="Arial" w:hAnsi="Arial" w:cs="Arial"/>
          <w:b/>
          <w:bCs/>
          <w:sz w:val="22"/>
          <w:szCs w:val="22"/>
          <w:u w:val="single"/>
        </w:rPr>
      </w:pPr>
      <w:r>
        <w:rPr>
          <w:rFonts w:ascii="Arial" w:hAnsi="Arial" w:cs="Arial"/>
          <w:b/>
          <w:bCs/>
          <w:sz w:val="22"/>
          <w:szCs w:val="22"/>
          <w:u w:val="single"/>
        </w:rPr>
        <w:t xml:space="preserve">9 </w:t>
      </w:r>
      <w:r w:rsidR="00B62B52" w:rsidRPr="00F249AD">
        <w:rPr>
          <w:rFonts w:ascii="Arial" w:hAnsi="Arial" w:cs="Arial"/>
          <w:b/>
          <w:bCs/>
          <w:sz w:val="22"/>
          <w:szCs w:val="22"/>
          <w:u w:val="single"/>
        </w:rPr>
        <w:t>Conclusion</w:t>
      </w:r>
    </w:p>
    <w:p w14:paraId="4132F047" w14:textId="2AD68FB0" w:rsidR="002C1087" w:rsidRPr="00F249AD" w:rsidRDefault="002C1087" w:rsidP="00B62B52">
      <w:pPr>
        <w:spacing w:line="360" w:lineRule="auto"/>
        <w:rPr>
          <w:rFonts w:ascii="Arial" w:hAnsi="Arial" w:cs="Arial"/>
          <w:sz w:val="22"/>
          <w:szCs w:val="22"/>
        </w:rPr>
      </w:pPr>
      <w:r w:rsidRPr="00F249AD">
        <w:rPr>
          <w:rFonts w:ascii="Arial" w:hAnsi="Arial" w:cs="Arial"/>
          <w:sz w:val="22"/>
          <w:szCs w:val="22"/>
        </w:rPr>
        <w:t>In conclusion, addressing the housing and homelessness challenges in Newham requires a multifaceted and collaborative approach. By increasing funding, fostering stakeholder collaboration, and utilising innovative housing solutions, the community can make significant strides towards stability. Tackling stigma, enhancing community engagement through digital media, and improving data management are essential steps in creating an inclusive environment. Additionally, addressing broader economic inequalities through job training, educational support, and healthcare access is crucial for reducing housing instability. Continuous community engagement and adaptability to emerging challenges will ensure the long-term success of these initiatives. Implementing these recommendations can transform Newham into a secure, resilient, and inclusive community where all residents have the opportunity to thrive.</w:t>
      </w:r>
    </w:p>
    <w:p w14:paraId="5F96CA2F" w14:textId="77777777" w:rsidR="00FA7340" w:rsidRPr="00F249AD" w:rsidRDefault="00FA7340" w:rsidP="007F2E78">
      <w:pPr>
        <w:spacing w:line="360" w:lineRule="auto"/>
        <w:rPr>
          <w:rFonts w:ascii="Arial" w:hAnsi="Arial" w:cs="Arial"/>
          <w:b/>
          <w:bCs/>
          <w:sz w:val="22"/>
          <w:szCs w:val="22"/>
        </w:rPr>
      </w:pPr>
    </w:p>
    <w:p w14:paraId="194C9462" w14:textId="77777777" w:rsidR="007F2E78" w:rsidRPr="00F249AD" w:rsidRDefault="007F2E78" w:rsidP="00D44612">
      <w:pPr>
        <w:spacing w:line="360" w:lineRule="auto"/>
        <w:rPr>
          <w:rFonts w:ascii="Arial" w:hAnsi="Arial" w:cs="Arial"/>
          <w:sz w:val="22"/>
          <w:szCs w:val="22"/>
        </w:rPr>
      </w:pPr>
    </w:p>
    <w:p w14:paraId="72397CE5" w14:textId="77777777" w:rsidR="00284482" w:rsidRPr="00F249AD" w:rsidRDefault="00284482" w:rsidP="00D44612">
      <w:pPr>
        <w:spacing w:line="360" w:lineRule="auto"/>
        <w:rPr>
          <w:rFonts w:ascii="Arial" w:hAnsi="Arial" w:cs="Arial"/>
          <w:sz w:val="22"/>
          <w:szCs w:val="22"/>
        </w:rPr>
      </w:pPr>
    </w:p>
    <w:p w14:paraId="1CD094A2" w14:textId="77777777" w:rsidR="008B7D98" w:rsidRPr="00F249AD" w:rsidRDefault="008B7D98" w:rsidP="00674B36">
      <w:pPr>
        <w:spacing w:line="360" w:lineRule="auto"/>
        <w:rPr>
          <w:rFonts w:ascii="Arial" w:hAnsi="Arial" w:cs="Arial"/>
          <w:b/>
          <w:bCs/>
          <w:sz w:val="22"/>
          <w:szCs w:val="22"/>
          <w:u w:val="single"/>
        </w:rPr>
      </w:pPr>
    </w:p>
    <w:p w14:paraId="616FD647" w14:textId="77777777" w:rsidR="003533B5" w:rsidRPr="00F249AD" w:rsidRDefault="003533B5" w:rsidP="00674B36">
      <w:pPr>
        <w:spacing w:line="360" w:lineRule="auto"/>
        <w:rPr>
          <w:rFonts w:ascii="Arial" w:hAnsi="Arial" w:cs="Arial"/>
          <w:b/>
          <w:bCs/>
          <w:sz w:val="22"/>
          <w:szCs w:val="22"/>
          <w:u w:val="single"/>
        </w:rPr>
      </w:pPr>
    </w:p>
    <w:p w14:paraId="2F4CD662" w14:textId="77777777" w:rsidR="003533B5" w:rsidRPr="00F249AD" w:rsidRDefault="003533B5" w:rsidP="00674B36">
      <w:pPr>
        <w:spacing w:line="360" w:lineRule="auto"/>
        <w:rPr>
          <w:rFonts w:ascii="Arial" w:hAnsi="Arial" w:cs="Arial"/>
          <w:b/>
          <w:bCs/>
          <w:sz w:val="22"/>
          <w:szCs w:val="22"/>
          <w:u w:val="single"/>
        </w:rPr>
      </w:pPr>
    </w:p>
    <w:p w14:paraId="0CFE02D2" w14:textId="77777777" w:rsidR="003533B5" w:rsidRPr="00F249AD" w:rsidRDefault="003533B5" w:rsidP="00674B36">
      <w:pPr>
        <w:spacing w:line="360" w:lineRule="auto"/>
        <w:rPr>
          <w:rFonts w:ascii="Arial" w:hAnsi="Arial" w:cs="Arial"/>
          <w:b/>
          <w:bCs/>
          <w:sz w:val="22"/>
          <w:szCs w:val="22"/>
          <w:u w:val="single"/>
        </w:rPr>
      </w:pPr>
    </w:p>
    <w:p w14:paraId="4011726E" w14:textId="77777777" w:rsidR="003533B5" w:rsidRPr="00F249AD" w:rsidRDefault="003533B5" w:rsidP="00674B36">
      <w:pPr>
        <w:spacing w:line="360" w:lineRule="auto"/>
        <w:rPr>
          <w:rFonts w:ascii="Arial" w:hAnsi="Arial" w:cs="Arial"/>
          <w:b/>
          <w:bCs/>
          <w:sz w:val="22"/>
          <w:szCs w:val="22"/>
          <w:u w:val="single"/>
        </w:rPr>
      </w:pPr>
    </w:p>
    <w:p w14:paraId="0ACCBE7A" w14:textId="77777777" w:rsidR="003533B5" w:rsidRPr="00F249AD" w:rsidRDefault="003533B5" w:rsidP="00674B36">
      <w:pPr>
        <w:spacing w:line="360" w:lineRule="auto"/>
        <w:rPr>
          <w:rFonts w:ascii="Arial" w:hAnsi="Arial" w:cs="Arial"/>
          <w:b/>
          <w:bCs/>
          <w:sz w:val="22"/>
          <w:szCs w:val="22"/>
          <w:u w:val="single"/>
        </w:rPr>
      </w:pPr>
    </w:p>
    <w:p w14:paraId="00A0262C" w14:textId="77777777" w:rsidR="00B5283D" w:rsidRDefault="00B5283D" w:rsidP="00674B36">
      <w:pPr>
        <w:spacing w:line="360" w:lineRule="auto"/>
        <w:rPr>
          <w:rFonts w:ascii="Arial" w:hAnsi="Arial" w:cs="Arial"/>
          <w:b/>
          <w:bCs/>
          <w:sz w:val="22"/>
          <w:szCs w:val="22"/>
          <w:u w:val="single"/>
        </w:rPr>
      </w:pPr>
    </w:p>
    <w:p w14:paraId="7DE30BBA" w14:textId="77777777" w:rsidR="008B7D98" w:rsidRDefault="008B7D98" w:rsidP="00674B36">
      <w:pPr>
        <w:spacing w:line="360" w:lineRule="auto"/>
        <w:rPr>
          <w:rFonts w:ascii="Arial" w:hAnsi="Arial" w:cs="Arial"/>
          <w:b/>
          <w:bCs/>
          <w:sz w:val="22"/>
          <w:szCs w:val="22"/>
          <w:u w:val="single"/>
        </w:rPr>
      </w:pPr>
    </w:p>
    <w:p w14:paraId="0EEF624F" w14:textId="77777777" w:rsidR="001A664D" w:rsidRDefault="001A664D" w:rsidP="00674B36">
      <w:pPr>
        <w:spacing w:line="360" w:lineRule="auto"/>
        <w:rPr>
          <w:rFonts w:ascii="Arial" w:hAnsi="Arial" w:cs="Arial"/>
          <w:b/>
          <w:bCs/>
          <w:sz w:val="22"/>
          <w:szCs w:val="22"/>
          <w:u w:val="single"/>
        </w:rPr>
      </w:pPr>
    </w:p>
    <w:p w14:paraId="2923F6E7" w14:textId="77777777" w:rsidR="001A664D" w:rsidRDefault="001A664D" w:rsidP="00674B36">
      <w:pPr>
        <w:spacing w:line="360" w:lineRule="auto"/>
        <w:rPr>
          <w:rFonts w:ascii="Arial" w:hAnsi="Arial" w:cs="Arial"/>
          <w:b/>
          <w:bCs/>
          <w:sz w:val="22"/>
          <w:szCs w:val="22"/>
          <w:u w:val="single"/>
        </w:rPr>
      </w:pPr>
    </w:p>
    <w:p w14:paraId="69095ADF" w14:textId="77777777" w:rsidR="001A664D" w:rsidRDefault="001A664D" w:rsidP="00674B36">
      <w:pPr>
        <w:spacing w:line="360" w:lineRule="auto"/>
        <w:rPr>
          <w:rFonts w:ascii="Arial" w:hAnsi="Arial" w:cs="Arial"/>
          <w:b/>
          <w:bCs/>
          <w:sz w:val="22"/>
          <w:szCs w:val="22"/>
          <w:u w:val="single"/>
        </w:rPr>
      </w:pPr>
    </w:p>
    <w:p w14:paraId="64D15653" w14:textId="77777777" w:rsidR="001A664D" w:rsidRDefault="001A664D" w:rsidP="00674B36">
      <w:pPr>
        <w:spacing w:line="360" w:lineRule="auto"/>
        <w:rPr>
          <w:rFonts w:ascii="Arial" w:hAnsi="Arial" w:cs="Arial"/>
          <w:b/>
          <w:bCs/>
          <w:sz w:val="22"/>
          <w:szCs w:val="22"/>
          <w:u w:val="single"/>
        </w:rPr>
      </w:pPr>
    </w:p>
    <w:p w14:paraId="35328718" w14:textId="657E58F8" w:rsidR="008B7D98" w:rsidRDefault="001A664D" w:rsidP="00674B36">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10 </w:t>
      </w:r>
      <w:r w:rsidR="008B7D98">
        <w:rPr>
          <w:rFonts w:ascii="Arial" w:hAnsi="Arial" w:cs="Arial"/>
          <w:b/>
          <w:bCs/>
          <w:sz w:val="22"/>
          <w:szCs w:val="22"/>
          <w:u w:val="single"/>
        </w:rPr>
        <w:t>Ref</w:t>
      </w:r>
    </w:p>
    <w:p w14:paraId="2DC2E2CE" w14:textId="77777777" w:rsidR="00776494" w:rsidRPr="00776494" w:rsidRDefault="00776494" w:rsidP="00776494">
      <w:pPr>
        <w:spacing w:line="360" w:lineRule="auto"/>
        <w:rPr>
          <w:rFonts w:ascii="Arial" w:hAnsi="Arial" w:cs="Arial"/>
          <w:sz w:val="22"/>
          <w:szCs w:val="22"/>
        </w:rPr>
      </w:pPr>
      <w:r w:rsidRPr="00776494">
        <w:rPr>
          <w:rFonts w:ascii="Arial" w:hAnsi="Arial" w:cs="Arial"/>
          <w:sz w:val="22"/>
          <w:szCs w:val="22"/>
        </w:rPr>
        <w:t>Jackson, L. (2024). </w:t>
      </w:r>
      <w:r w:rsidRPr="00776494">
        <w:rPr>
          <w:rFonts w:ascii="Arial" w:hAnsi="Arial" w:cs="Arial"/>
          <w:i/>
          <w:iCs/>
          <w:sz w:val="22"/>
          <w:szCs w:val="22"/>
        </w:rPr>
        <w:t>Newham Council warns it could go bust due to housing costs</w:t>
      </w:r>
      <w:r w:rsidRPr="00776494">
        <w:rPr>
          <w:rFonts w:ascii="Arial" w:hAnsi="Arial" w:cs="Arial"/>
          <w:sz w:val="22"/>
          <w:szCs w:val="22"/>
        </w:rPr>
        <w:t>. [online] Bbc.com. Available at: https://www.bbc.com/news/articles/cxr2rnx4rk9o [Accessed 15 Aug. 2024].</w:t>
      </w:r>
    </w:p>
    <w:p w14:paraId="037BFE53" w14:textId="0FE09F22" w:rsidR="00776494" w:rsidRPr="00B62B52" w:rsidRDefault="00776494" w:rsidP="00674B36">
      <w:pPr>
        <w:spacing w:line="360" w:lineRule="auto"/>
        <w:rPr>
          <w:rFonts w:ascii="Arial" w:hAnsi="Arial" w:cs="Arial"/>
          <w:sz w:val="22"/>
          <w:szCs w:val="22"/>
        </w:rPr>
      </w:pPr>
      <w:r w:rsidRPr="00776494">
        <w:rPr>
          <w:rFonts w:ascii="Arial" w:hAnsi="Arial" w:cs="Arial"/>
          <w:sz w:val="22"/>
          <w:szCs w:val="22"/>
        </w:rPr>
        <w:t>‌</w:t>
      </w:r>
    </w:p>
    <w:p w14:paraId="2F6C2FFF" w14:textId="1D39029B" w:rsidR="008B7D98" w:rsidRDefault="008B7D98" w:rsidP="008B7D9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Anon, (2022). </w:t>
      </w:r>
      <w:r>
        <w:rPr>
          <w:rFonts w:ascii="Calibri" w:hAnsi="Calibri" w:cs="Calibri"/>
          <w:i/>
          <w:iCs/>
          <w:color w:val="000000"/>
          <w:sz w:val="27"/>
          <w:szCs w:val="27"/>
        </w:rPr>
        <w:t>Understanding Community: Definitions by Leading Sociologists - Sociology Institute</w:t>
      </w:r>
      <w:r>
        <w:rPr>
          <w:rFonts w:ascii="Calibri" w:hAnsi="Calibri" w:cs="Calibri"/>
          <w:color w:val="000000"/>
          <w:sz w:val="27"/>
          <w:szCs w:val="27"/>
        </w:rPr>
        <w:t xml:space="preserve">. [online] Available at: </w:t>
      </w:r>
      <w:hyperlink r:id="rId7" w:history="1">
        <w:r w:rsidRPr="00C55DAA">
          <w:rPr>
            <w:rStyle w:val="Hyperlink"/>
            <w:rFonts w:ascii="Calibri" w:hAnsi="Calibri" w:cs="Calibri"/>
            <w:sz w:val="27"/>
            <w:szCs w:val="27"/>
          </w:rPr>
          <w:t>https://sociology.institute/introduction-to-sociology/understanding-community-definitions-sociologists/</w:t>
        </w:r>
      </w:hyperlink>
      <w:r>
        <w:rPr>
          <w:rFonts w:ascii="Calibri" w:hAnsi="Calibri" w:cs="Calibri"/>
          <w:color w:val="000000"/>
          <w:sz w:val="27"/>
          <w:szCs w:val="27"/>
        </w:rPr>
        <w:t xml:space="preserve"> (Accessed: 24 June 2024).</w:t>
      </w:r>
    </w:p>
    <w:p w14:paraId="2F94BF28" w14:textId="77777777" w:rsidR="00A967E9" w:rsidRDefault="00A967E9" w:rsidP="008B7D98">
      <w:pPr>
        <w:pStyle w:val="NormalWeb"/>
        <w:spacing w:before="0" w:beforeAutospacing="0" w:after="0" w:afterAutospacing="0" w:line="360" w:lineRule="atLeast"/>
        <w:rPr>
          <w:rFonts w:ascii="Calibri" w:hAnsi="Calibri" w:cs="Calibri"/>
          <w:color w:val="000000"/>
          <w:sz w:val="27"/>
          <w:szCs w:val="27"/>
        </w:rPr>
      </w:pPr>
    </w:p>
    <w:p w14:paraId="3373D07A" w14:textId="062ACBF2" w:rsidR="00A967E9" w:rsidRDefault="00A967E9" w:rsidP="00A967E9">
      <w:pPr>
        <w:spacing w:after="0" w:line="360" w:lineRule="atLeast"/>
        <w:rPr>
          <w:rFonts w:ascii="Calibri" w:eastAsia="Times New Roman" w:hAnsi="Calibri" w:cs="Calibri"/>
          <w:color w:val="000000"/>
          <w:kern w:val="0"/>
          <w:sz w:val="27"/>
          <w:szCs w:val="27"/>
          <w14:ligatures w14:val="none"/>
        </w:rPr>
      </w:pPr>
      <w:r w:rsidRPr="00A967E9">
        <w:rPr>
          <w:rFonts w:ascii="Calibri" w:eastAsia="Times New Roman" w:hAnsi="Calibri" w:cs="Calibri"/>
          <w:color w:val="000000"/>
          <w:kern w:val="0"/>
          <w:sz w:val="27"/>
          <w:szCs w:val="27"/>
          <w14:ligatures w14:val="none"/>
        </w:rPr>
        <w:t>NSPCC (2021). </w:t>
      </w:r>
      <w:r w:rsidRPr="00A967E9">
        <w:rPr>
          <w:rFonts w:ascii="Calibri" w:eastAsia="Times New Roman" w:hAnsi="Calibri" w:cs="Calibri"/>
          <w:i/>
          <w:iCs/>
          <w:color w:val="000000"/>
          <w:kern w:val="0"/>
          <w:sz w:val="27"/>
          <w:szCs w:val="27"/>
          <w14:ligatures w14:val="none"/>
        </w:rPr>
        <w:t>Attachment and child development</w:t>
      </w:r>
      <w:r w:rsidRPr="00A967E9">
        <w:rPr>
          <w:rFonts w:ascii="Calibri" w:eastAsia="Times New Roman" w:hAnsi="Calibri" w:cs="Calibri"/>
          <w:color w:val="000000"/>
          <w:kern w:val="0"/>
          <w:sz w:val="27"/>
          <w:szCs w:val="27"/>
          <w14:ligatures w14:val="none"/>
        </w:rPr>
        <w:t xml:space="preserve">. [online] NSPCC Learning. Available at: </w:t>
      </w:r>
      <w:hyperlink r:id="rId8" w:history="1">
        <w:r w:rsidRPr="00A967E9">
          <w:rPr>
            <w:rStyle w:val="Hyperlink"/>
            <w:rFonts w:ascii="Calibri" w:eastAsia="Times New Roman" w:hAnsi="Calibri" w:cs="Calibri"/>
            <w:kern w:val="0"/>
            <w:sz w:val="27"/>
            <w:szCs w:val="27"/>
            <w14:ligatures w14:val="none"/>
          </w:rPr>
          <w:t>https://learning.nspcc.org.uk/child-health-development/attachment-early-years</w:t>
        </w:r>
      </w:hyperlink>
      <w:r>
        <w:rPr>
          <w:rFonts w:ascii="Calibri" w:eastAsia="Times New Roman" w:hAnsi="Calibri" w:cs="Calibri"/>
          <w:color w:val="000000"/>
          <w:kern w:val="0"/>
          <w:sz w:val="27"/>
          <w:szCs w:val="27"/>
          <w14:ligatures w14:val="none"/>
        </w:rPr>
        <w:t xml:space="preserve"> (Accessed: 15 July)</w:t>
      </w:r>
    </w:p>
    <w:p w14:paraId="25E99312" w14:textId="77777777" w:rsidR="00A967E9" w:rsidRPr="00A967E9" w:rsidRDefault="00A967E9" w:rsidP="00A967E9">
      <w:pPr>
        <w:spacing w:after="0" w:line="360" w:lineRule="atLeast"/>
        <w:rPr>
          <w:rFonts w:ascii="Calibri" w:eastAsia="Times New Roman" w:hAnsi="Calibri" w:cs="Calibri"/>
          <w:color w:val="000000"/>
          <w:kern w:val="0"/>
          <w:sz w:val="27"/>
          <w:szCs w:val="27"/>
          <w14:ligatures w14:val="none"/>
        </w:rPr>
      </w:pPr>
    </w:p>
    <w:p w14:paraId="07D57172" w14:textId="0CBBCDD8" w:rsidR="00A967E9" w:rsidRDefault="00A967E9" w:rsidP="00A967E9">
      <w:pPr>
        <w:pStyle w:val="NormalWeb"/>
        <w:spacing w:before="0" w:beforeAutospacing="0" w:after="0" w:afterAutospacing="0" w:line="360" w:lineRule="atLeast"/>
        <w:rPr>
          <w:rFonts w:ascii="Calibri" w:hAnsi="Calibri" w:cs="Calibri"/>
          <w:color w:val="000000"/>
          <w:sz w:val="27"/>
          <w:szCs w:val="27"/>
          <w14:ligatures w14:val="none"/>
        </w:rPr>
      </w:pPr>
      <w:r w:rsidRPr="00A967E9">
        <w:rPr>
          <w:rFonts w:ascii="Calibri" w:hAnsi="Calibri" w:cs="Calibri"/>
          <w:color w:val="000000"/>
          <w:sz w:val="27"/>
          <w:szCs w:val="27"/>
          <w14:ligatures w14:val="none"/>
        </w:rPr>
        <w:t>‌Carnemolla, P. and Skinner, V. (2021). Outcomes Associated with Providing Secure, Stable, and Permanent Housing for People Who Have Been Homeless: An International Scoping Review. </w:t>
      </w:r>
      <w:r w:rsidRPr="00A967E9">
        <w:rPr>
          <w:rFonts w:ascii="Calibri" w:hAnsi="Calibri" w:cs="Calibri"/>
          <w:i/>
          <w:iCs/>
          <w:color w:val="000000"/>
          <w:sz w:val="27"/>
          <w:szCs w:val="27"/>
          <w14:ligatures w14:val="none"/>
        </w:rPr>
        <w:t>Journal of Planning Literature</w:t>
      </w:r>
      <w:r w:rsidRPr="00A967E9">
        <w:rPr>
          <w:rFonts w:ascii="Calibri" w:hAnsi="Calibri" w:cs="Calibri"/>
          <w:color w:val="000000"/>
          <w:sz w:val="27"/>
          <w:szCs w:val="27"/>
          <w14:ligatures w14:val="none"/>
        </w:rPr>
        <w:t xml:space="preserve">, 36(4), p.088541222110129. </w:t>
      </w:r>
      <w:proofErr w:type="spellStart"/>
      <w:r w:rsidRPr="00A967E9">
        <w:rPr>
          <w:rFonts w:ascii="Calibri" w:hAnsi="Calibri" w:cs="Calibri"/>
          <w:color w:val="000000"/>
          <w:sz w:val="27"/>
          <w:szCs w:val="27"/>
          <w14:ligatures w14:val="none"/>
        </w:rPr>
        <w:t>doi:https</w:t>
      </w:r>
      <w:proofErr w:type="spellEnd"/>
      <w:r w:rsidRPr="00A967E9">
        <w:rPr>
          <w:rFonts w:ascii="Calibri" w:hAnsi="Calibri" w:cs="Calibri"/>
          <w:color w:val="000000"/>
          <w:sz w:val="27"/>
          <w:szCs w:val="27"/>
          <w14:ligatures w14:val="none"/>
        </w:rPr>
        <w:t>://doi.org/10.1177/08854122211012911.</w:t>
      </w:r>
    </w:p>
    <w:p w14:paraId="23AFCC25" w14:textId="77777777" w:rsidR="003533B5" w:rsidRDefault="003533B5" w:rsidP="00A967E9">
      <w:pPr>
        <w:pStyle w:val="NormalWeb"/>
        <w:spacing w:before="0" w:beforeAutospacing="0" w:after="0" w:afterAutospacing="0" w:line="360" w:lineRule="atLeast"/>
        <w:rPr>
          <w:rFonts w:ascii="Calibri" w:hAnsi="Calibri" w:cs="Calibri"/>
          <w:color w:val="000000"/>
          <w:sz w:val="27"/>
          <w:szCs w:val="27"/>
          <w14:ligatures w14:val="none"/>
        </w:rPr>
      </w:pPr>
    </w:p>
    <w:p w14:paraId="3AA11C70" w14:textId="77777777" w:rsidR="003533B5" w:rsidRDefault="003533B5" w:rsidP="00A967E9">
      <w:pPr>
        <w:pStyle w:val="NormalWeb"/>
        <w:spacing w:before="0" w:beforeAutospacing="0" w:after="0" w:afterAutospacing="0" w:line="360" w:lineRule="atLeast"/>
        <w:rPr>
          <w:rFonts w:ascii="Calibri" w:hAnsi="Calibri" w:cs="Calibri"/>
          <w:color w:val="000000"/>
          <w:sz w:val="27"/>
          <w:szCs w:val="27"/>
          <w14:ligatures w14:val="none"/>
        </w:rPr>
      </w:pPr>
    </w:p>
    <w:p w14:paraId="3A8BD229" w14:textId="2174DCD3" w:rsidR="003533B5" w:rsidRDefault="003533B5" w:rsidP="00A967E9">
      <w:pPr>
        <w:pStyle w:val="NormalWeb"/>
        <w:spacing w:before="0" w:beforeAutospacing="0" w:after="0" w:afterAutospacing="0" w:line="360" w:lineRule="atLeast"/>
        <w:rPr>
          <w:rFonts w:ascii="Calibri" w:hAnsi="Calibri" w:cs="Calibri"/>
          <w:color w:val="000000"/>
          <w:sz w:val="27"/>
          <w:szCs w:val="27"/>
          <w14:ligatures w14:val="none"/>
        </w:rPr>
      </w:pPr>
      <w:r w:rsidRPr="003533B5">
        <w:rPr>
          <w:rFonts w:ascii="Calibri" w:hAnsi="Calibri" w:cs="Calibri"/>
          <w:color w:val="000000"/>
          <w:sz w:val="27"/>
          <w:szCs w:val="27"/>
          <w14:ligatures w14:val="none"/>
        </w:rPr>
        <w:t xml:space="preserve">Office for National Statistics (ONS), 2024. </w:t>
      </w:r>
      <w:r w:rsidRPr="003533B5">
        <w:rPr>
          <w:rFonts w:ascii="Calibri" w:hAnsi="Calibri" w:cs="Calibri"/>
          <w:i/>
          <w:iCs/>
          <w:color w:val="000000"/>
          <w:sz w:val="27"/>
          <w:szCs w:val="27"/>
          <w14:ligatures w14:val="none"/>
        </w:rPr>
        <w:t>Population change in Camden</w:t>
      </w:r>
      <w:r w:rsidRPr="003533B5">
        <w:rPr>
          <w:rFonts w:ascii="Calibri" w:hAnsi="Calibri" w:cs="Calibri"/>
          <w:color w:val="000000"/>
          <w:sz w:val="27"/>
          <w:szCs w:val="27"/>
          <w14:ligatures w14:val="none"/>
        </w:rPr>
        <w:t xml:space="preserve">. ONS. Available at: </w:t>
      </w:r>
      <w:hyperlink r:id="rId9" w:tgtFrame="_new" w:history="1">
        <w:r w:rsidRPr="003533B5">
          <w:rPr>
            <w:rStyle w:val="Hyperlink"/>
            <w:rFonts w:ascii="Calibri" w:hAnsi="Calibri" w:cs="Calibri"/>
            <w:sz w:val="27"/>
            <w:szCs w:val="27"/>
            <w14:ligatures w14:val="none"/>
          </w:rPr>
          <w:t>https://www.ons.gov.uk/visualisations/censuspopulationchange/E09000025/</w:t>
        </w:r>
      </w:hyperlink>
      <w:r w:rsidRPr="003533B5">
        <w:rPr>
          <w:rFonts w:ascii="Calibri" w:hAnsi="Calibri" w:cs="Calibri"/>
          <w:color w:val="000000"/>
          <w:sz w:val="27"/>
          <w:szCs w:val="27"/>
          <w14:ligatures w14:val="none"/>
        </w:rPr>
        <w:t xml:space="preserve"> [Accessed 16 August 2024].</w:t>
      </w:r>
    </w:p>
    <w:p w14:paraId="75E9276E" w14:textId="77777777" w:rsidR="003533B5" w:rsidRPr="00A967E9" w:rsidRDefault="003533B5" w:rsidP="00A967E9">
      <w:pPr>
        <w:pStyle w:val="NormalWeb"/>
        <w:spacing w:before="0" w:beforeAutospacing="0" w:after="0" w:afterAutospacing="0" w:line="360" w:lineRule="atLeast"/>
        <w:rPr>
          <w:rFonts w:ascii="Calibri" w:hAnsi="Calibri" w:cs="Calibri"/>
          <w:color w:val="000000"/>
          <w:sz w:val="27"/>
          <w:szCs w:val="27"/>
          <w14:ligatures w14:val="none"/>
        </w:rPr>
      </w:pPr>
    </w:p>
    <w:p w14:paraId="226DDBE3" w14:textId="7268337E" w:rsidR="00A967E9" w:rsidRDefault="00A967E9"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A967E9">
        <w:rPr>
          <w:rFonts w:ascii="Calibri" w:eastAsia="Times New Roman" w:hAnsi="Calibri" w:cs="Calibri"/>
          <w:color w:val="000000"/>
          <w:kern w:val="0"/>
          <w:sz w:val="27"/>
          <w:szCs w:val="27"/>
          <w14:ligatures w14:val="none"/>
        </w:rPr>
        <w:t>‌</w:t>
      </w:r>
      <w:r w:rsidR="003533B5" w:rsidRPr="003533B5">
        <w:t xml:space="preserve"> </w:t>
      </w:r>
      <w:r w:rsidR="003533B5" w:rsidRPr="003533B5">
        <w:rPr>
          <w:rFonts w:ascii="Calibri" w:eastAsia="Times New Roman" w:hAnsi="Calibri" w:cs="Calibri"/>
          <w:color w:val="000000"/>
          <w:kern w:val="0"/>
          <w:sz w:val="27"/>
          <w:szCs w:val="27"/>
          <w14:ligatures w14:val="none"/>
        </w:rPr>
        <w:t xml:space="preserve">The National Archives, 1996. </w:t>
      </w:r>
      <w:r w:rsidR="003533B5" w:rsidRPr="003533B5">
        <w:rPr>
          <w:rFonts w:ascii="Calibri" w:eastAsia="Times New Roman" w:hAnsi="Calibri" w:cs="Calibri"/>
          <w:i/>
          <w:iCs/>
          <w:color w:val="000000"/>
          <w:kern w:val="0"/>
          <w:sz w:val="27"/>
          <w:szCs w:val="27"/>
          <w14:ligatures w14:val="none"/>
        </w:rPr>
        <w:t>Education Act 1996</w:t>
      </w:r>
      <w:r w:rsidR="003533B5" w:rsidRPr="003533B5">
        <w:rPr>
          <w:rFonts w:ascii="Calibri" w:eastAsia="Times New Roman" w:hAnsi="Calibri" w:cs="Calibri"/>
          <w:color w:val="000000"/>
          <w:kern w:val="0"/>
          <w:sz w:val="27"/>
          <w:szCs w:val="27"/>
          <w14:ligatures w14:val="none"/>
        </w:rPr>
        <w:t xml:space="preserve">. legislation.gov.uk. Available at: </w:t>
      </w:r>
      <w:hyperlink r:id="rId10" w:tgtFrame="_new" w:history="1">
        <w:r w:rsidR="003533B5" w:rsidRPr="003533B5">
          <w:rPr>
            <w:rStyle w:val="Hyperlink"/>
            <w:rFonts w:ascii="Calibri" w:eastAsia="Times New Roman" w:hAnsi="Calibri" w:cs="Calibri"/>
            <w:kern w:val="0"/>
            <w:sz w:val="27"/>
            <w:szCs w:val="27"/>
            <w14:ligatures w14:val="none"/>
          </w:rPr>
          <w:t>https://www.legislation.gov.uk/ukpga/1996/52/contents</w:t>
        </w:r>
      </w:hyperlink>
      <w:r w:rsidR="003533B5" w:rsidRPr="003533B5">
        <w:rPr>
          <w:rFonts w:ascii="Calibri" w:eastAsia="Times New Roman" w:hAnsi="Calibri" w:cs="Calibri"/>
          <w:color w:val="000000"/>
          <w:kern w:val="0"/>
          <w:sz w:val="27"/>
          <w:szCs w:val="27"/>
          <w14:ligatures w14:val="none"/>
        </w:rPr>
        <w:t xml:space="preserve"> [Accessed 16 August 2024].</w:t>
      </w:r>
    </w:p>
    <w:p w14:paraId="326165B2" w14:textId="158D4856" w:rsidR="003533B5" w:rsidRDefault="003533B5"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3533B5">
        <w:rPr>
          <w:rFonts w:ascii="Calibri" w:eastAsia="Times New Roman" w:hAnsi="Calibri" w:cs="Calibri"/>
          <w:color w:val="000000"/>
          <w:kern w:val="0"/>
          <w:sz w:val="27"/>
          <w:szCs w:val="27"/>
          <w14:ligatures w14:val="none"/>
        </w:rPr>
        <w:t xml:space="preserve">Local Government Association, </w:t>
      </w:r>
      <w:r w:rsidR="00596CA6">
        <w:rPr>
          <w:rFonts w:ascii="Calibri" w:eastAsia="Times New Roman" w:hAnsi="Calibri" w:cs="Calibri"/>
          <w:color w:val="000000"/>
          <w:kern w:val="0"/>
          <w:sz w:val="27"/>
          <w:szCs w:val="27"/>
          <w14:ligatures w14:val="none"/>
        </w:rPr>
        <w:t>2015</w:t>
      </w:r>
      <w:r w:rsidRPr="003533B5">
        <w:rPr>
          <w:rFonts w:ascii="Calibri" w:eastAsia="Times New Roman" w:hAnsi="Calibri" w:cs="Calibri"/>
          <w:color w:val="000000"/>
          <w:kern w:val="0"/>
          <w:sz w:val="27"/>
          <w:szCs w:val="27"/>
          <w14:ligatures w14:val="none"/>
        </w:rPr>
        <w:t xml:space="preserve">. </w:t>
      </w:r>
      <w:r w:rsidRPr="003533B5">
        <w:rPr>
          <w:rFonts w:ascii="Calibri" w:eastAsia="Times New Roman" w:hAnsi="Calibri" w:cs="Calibri"/>
          <w:i/>
          <w:iCs/>
          <w:color w:val="000000"/>
          <w:kern w:val="0"/>
          <w:sz w:val="27"/>
          <w:szCs w:val="27"/>
          <w14:ligatures w14:val="none"/>
        </w:rPr>
        <w:t>Introduction to the Localism Act</w:t>
      </w:r>
      <w:r w:rsidRPr="003533B5">
        <w:rPr>
          <w:rFonts w:ascii="Calibri" w:eastAsia="Times New Roman" w:hAnsi="Calibri" w:cs="Calibri"/>
          <w:color w:val="000000"/>
          <w:kern w:val="0"/>
          <w:sz w:val="27"/>
          <w:szCs w:val="27"/>
          <w14:ligatures w14:val="none"/>
        </w:rPr>
        <w:t xml:space="preserve">. Local Government Association. Available at: </w:t>
      </w:r>
      <w:hyperlink r:id="rId11" w:tgtFrame="_new" w:history="1">
        <w:r w:rsidRPr="003533B5">
          <w:rPr>
            <w:rStyle w:val="Hyperlink"/>
            <w:rFonts w:ascii="Calibri" w:eastAsia="Times New Roman" w:hAnsi="Calibri" w:cs="Calibri"/>
            <w:kern w:val="0"/>
            <w:sz w:val="27"/>
            <w:szCs w:val="27"/>
            <w14:ligatures w14:val="none"/>
          </w:rPr>
          <w:t>https://www.local.gov.uk/introduction-localism-act</w:t>
        </w:r>
      </w:hyperlink>
      <w:r w:rsidRPr="003533B5">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 xml:space="preserve">3 </w:t>
      </w:r>
      <w:r w:rsidRPr="003533B5">
        <w:rPr>
          <w:rFonts w:ascii="Calibri" w:eastAsia="Times New Roman" w:hAnsi="Calibri" w:cs="Calibri"/>
          <w:color w:val="000000"/>
          <w:kern w:val="0"/>
          <w:sz w:val="27"/>
          <w:szCs w:val="27"/>
          <w14:ligatures w14:val="none"/>
        </w:rPr>
        <w:t>August 2024].</w:t>
      </w:r>
    </w:p>
    <w:p w14:paraId="40ACC22D" w14:textId="77777777"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6C301B21" w14:textId="0E00D4AF"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F249AD">
        <w:rPr>
          <w:rFonts w:ascii="Calibri" w:eastAsia="Times New Roman" w:hAnsi="Calibri" w:cs="Calibri"/>
          <w:color w:val="000000"/>
          <w:kern w:val="0"/>
          <w:sz w:val="27"/>
          <w:szCs w:val="27"/>
          <w14:ligatures w14:val="none"/>
        </w:rPr>
        <w:t xml:space="preserve">Seidu, A.-A., Ameyaw, E. K., </w:t>
      </w:r>
      <w:proofErr w:type="spellStart"/>
      <w:r w:rsidRPr="00F249AD">
        <w:rPr>
          <w:rFonts w:ascii="Calibri" w:eastAsia="Times New Roman" w:hAnsi="Calibri" w:cs="Calibri"/>
          <w:color w:val="000000"/>
          <w:kern w:val="0"/>
          <w:sz w:val="27"/>
          <w:szCs w:val="27"/>
          <w14:ligatures w14:val="none"/>
        </w:rPr>
        <w:t>Ahinkorah</w:t>
      </w:r>
      <w:proofErr w:type="spellEnd"/>
      <w:r w:rsidRPr="00F249AD">
        <w:rPr>
          <w:rFonts w:ascii="Calibri" w:eastAsia="Times New Roman" w:hAnsi="Calibri" w:cs="Calibri"/>
          <w:color w:val="000000"/>
          <w:kern w:val="0"/>
          <w:sz w:val="27"/>
          <w:szCs w:val="27"/>
          <w14:ligatures w14:val="none"/>
        </w:rPr>
        <w:t xml:space="preserve">, B. O., &amp; </w:t>
      </w:r>
      <w:proofErr w:type="spellStart"/>
      <w:r w:rsidRPr="00F249AD">
        <w:rPr>
          <w:rFonts w:ascii="Calibri" w:eastAsia="Times New Roman" w:hAnsi="Calibri" w:cs="Calibri"/>
          <w:color w:val="000000"/>
          <w:kern w:val="0"/>
          <w:sz w:val="27"/>
          <w:szCs w:val="27"/>
          <w14:ligatures w14:val="none"/>
        </w:rPr>
        <w:t>Kissah-Korsah</w:t>
      </w:r>
      <w:proofErr w:type="spellEnd"/>
      <w:r w:rsidRPr="00F249AD">
        <w:rPr>
          <w:rFonts w:ascii="Calibri" w:eastAsia="Times New Roman" w:hAnsi="Calibri" w:cs="Calibri"/>
          <w:color w:val="000000"/>
          <w:kern w:val="0"/>
          <w:sz w:val="27"/>
          <w:szCs w:val="27"/>
          <w14:ligatures w14:val="none"/>
        </w:rPr>
        <w:t xml:space="preserve">, K., 2021. </w:t>
      </w:r>
      <w:r w:rsidRPr="00F249AD">
        <w:rPr>
          <w:rFonts w:ascii="Calibri" w:eastAsia="Times New Roman" w:hAnsi="Calibri" w:cs="Calibri"/>
          <w:i/>
          <w:iCs/>
          <w:color w:val="000000"/>
          <w:kern w:val="0"/>
          <w:sz w:val="27"/>
          <w:szCs w:val="27"/>
          <w14:ligatures w14:val="none"/>
        </w:rPr>
        <w:t xml:space="preserve">Public knowledge, perceptions, and acceptance of COVID-19 vaccines: A cross-sectional </w:t>
      </w:r>
      <w:r w:rsidRPr="00F249AD">
        <w:rPr>
          <w:rFonts w:ascii="Calibri" w:eastAsia="Times New Roman" w:hAnsi="Calibri" w:cs="Calibri"/>
          <w:i/>
          <w:iCs/>
          <w:color w:val="000000"/>
          <w:kern w:val="0"/>
          <w:sz w:val="27"/>
          <w:szCs w:val="27"/>
          <w14:ligatures w14:val="none"/>
        </w:rPr>
        <w:lastRenderedPageBreak/>
        <w:t>survey in Africa</w:t>
      </w:r>
      <w:r w:rsidRPr="00F249AD">
        <w:rPr>
          <w:rFonts w:ascii="Calibri" w:eastAsia="Times New Roman" w:hAnsi="Calibri" w:cs="Calibri"/>
          <w:color w:val="000000"/>
          <w:kern w:val="0"/>
          <w:sz w:val="27"/>
          <w:szCs w:val="27"/>
          <w14:ligatures w14:val="none"/>
        </w:rPr>
        <w:t xml:space="preserve">. BMC Public Health, 21(1), pp. 1-13. Available at: </w:t>
      </w:r>
      <w:hyperlink r:id="rId12" w:tgtFrame="_new" w:history="1">
        <w:r w:rsidRPr="00F249AD">
          <w:rPr>
            <w:rStyle w:val="Hyperlink"/>
            <w:rFonts w:ascii="Calibri" w:eastAsia="Times New Roman" w:hAnsi="Calibri" w:cs="Calibri"/>
            <w:kern w:val="0"/>
            <w:sz w:val="27"/>
            <w:szCs w:val="27"/>
            <w14:ligatures w14:val="none"/>
          </w:rPr>
          <w:t>https://bmcpublichealth.biomedcentral.com/articles/10.1186/s12889-021-10630-1</w:t>
        </w:r>
      </w:hyperlink>
      <w:r w:rsidRPr="00F249AD">
        <w:rPr>
          <w:rFonts w:ascii="Calibri" w:eastAsia="Times New Roman" w:hAnsi="Calibri" w:cs="Calibri"/>
          <w:color w:val="000000"/>
          <w:kern w:val="0"/>
          <w:sz w:val="27"/>
          <w:szCs w:val="27"/>
          <w14:ligatures w14:val="none"/>
        </w:rPr>
        <w:t xml:space="preserve"> [Accessed 16 August 2024].</w:t>
      </w:r>
    </w:p>
    <w:p w14:paraId="2E397AB4" w14:textId="77777777"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20998B0D" w14:textId="5D1E5344"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596CA6">
        <w:rPr>
          <w:rFonts w:ascii="Calibri" w:eastAsia="Times New Roman" w:hAnsi="Calibri" w:cs="Calibri"/>
          <w:color w:val="000000"/>
          <w:kern w:val="0"/>
          <w:sz w:val="27"/>
          <w:szCs w:val="27"/>
          <w14:ligatures w14:val="none"/>
        </w:rPr>
        <w:t xml:space="preserve">London Plan Public Library, </w:t>
      </w:r>
      <w:r>
        <w:rPr>
          <w:rFonts w:ascii="Calibri" w:eastAsia="Times New Roman" w:hAnsi="Calibri" w:cs="Calibri"/>
          <w:color w:val="000000"/>
          <w:kern w:val="0"/>
          <w:sz w:val="27"/>
          <w:szCs w:val="27"/>
          <w14:ligatures w14:val="none"/>
        </w:rPr>
        <w:t>2020</w:t>
      </w:r>
      <w:r w:rsidRPr="00596CA6">
        <w:rPr>
          <w:rFonts w:ascii="Calibri" w:eastAsia="Times New Roman" w:hAnsi="Calibri" w:cs="Calibri"/>
          <w:color w:val="000000"/>
          <w:kern w:val="0"/>
          <w:sz w:val="27"/>
          <w:szCs w:val="27"/>
          <w14:ligatures w14:val="none"/>
        </w:rPr>
        <w:t xml:space="preserve">. </w:t>
      </w:r>
      <w:r w:rsidRPr="00596CA6">
        <w:rPr>
          <w:rFonts w:ascii="Calibri" w:eastAsia="Times New Roman" w:hAnsi="Calibri" w:cs="Calibri"/>
          <w:i/>
          <w:iCs/>
          <w:color w:val="000000"/>
          <w:kern w:val="0"/>
          <w:sz w:val="27"/>
          <w:szCs w:val="27"/>
          <w14:ligatures w14:val="none"/>
        </w:rPr>
        <w:t>London Plan Public Library</w:t>
      </w:r>
      <w:r w:rsidRPr="00596CA6">
        <w:rPr>
          <w:rFonts w:ascii="Calibri" w:eastAsia="Times New Roman" w:hAnsi="Calibri" w:cs="Calibri"/>
          <w:color w:val="000000"/>
          <w:kern w:val="0"/>
          <w:sz w:val="27"/>
          <w:szCs w:val="27"/>
          <w14:ligatures w14:val="none"/>
        </w:rPr>
        <w:t xml:space="preserve">. London Plan Public Library. Available at: </w:t>
      </w:r>
      <w:hyperlink r:id="rId13" w:tgtFrame="_new" w:history="1">
        <w:r w:rsidRPr="00596CA6">
          <w:rPr>
            <w:rStyle w:val="Hyperlink"/>
            <w:rFonts w:ascii="Calibri" w:eastAsia="Times New Roman" w:hAnsi="Calibri" w:cs="Calibri"/>
            <w:kern w:val="0"/>
            <w:sz w:val="27"/>
            <w:szCs w:val="27"/>
            <w14:ligatures w14:val="none"/>
          </w:rPr>
          <w:t>https://www.londonplanpubliclibrary.info/</w:t>
        </w:r>
      </w:hyperlink>
      <w:r w:rsidRPr="00596CA6">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 xml:space="preserve">1 </w:t>
      </w:r>
      <w:r w:rsidRPr="00596CA6">
        <w:rPr>
          <w:rFonts w:ascii="Calibri" w:eastAsia="Times New Roman" w:hAnsi="Calibri" w:cs="Calibri"/>
          <w:color w:val="000000"/>
          <w:kern w:val="0"/>
          <w:sz w:val="27"/>
          <w:szCs w:val="27"/>
          <w14:ligatures w14:val="none"/>
        </w:rPr>
        <w:t>August 2024].</w:t>
      </w:r>
    </w:p>
    <w:p w14:paraId="1033C05A" w14:textId="77777777"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068B3D78" w14:textId="414506EF"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596CA6">
        <w:rPr>
          <w:rFonts w:ascii="Calibri" w:eastAsia="Times New Roman" w:hAnsi="Calibri" w:cs="Calibri"/>
          <w:color w:val="000000"/>
          <w:kern w:val="0"/>
          <w:sz w:val="27"/>
          <w:szCs w:val="27"/>
          <w14:ligatures w14:val="none"/>
        </w:rPr>
        <w:t xml:space="preserve">Equality and Human Rights Commission, </w:t>
      </w:r>
      <w:r>
        <w:rPr>
          <w:rFonts w:ascii="Calibri" w:eastAsia="Times New Roman" w:hAnsi="Calibri" w:cs="Calibri"/>
          <w:color w:val="000000"/>
          <w:kern w:val="0"/>
          <w:sz w:val="27"/>
          <w:szCs w:val="27"/>
          <w14:ligatures w14:val="none"/>
        </w:rPr>
        <w:t>2018</w:t>
      </w:r>
      <w:r w:rsidRPr="00596CA6">
        <w:rPr>
          <w:rFonts w:ascii="Calibri" w:eastAsia="Times New Roman" w:hAnsi="Calibri" w:cs="Calibri"/>
          <w:color w:val="000000"/>
          <w:kern w:val="0"/>
          <w:sz w:val="27"/>
          <w:szCs w:val="27"/>
          <w14:ligatures w14:val="none"/>
        </w:rPr>
        <w:t xml:space="preserve">. </w:t>
      </w:r>
      <w:r w:rsidRPr="00596CA6">
        <w:rPr>
          <w:rFonts w:ascii="Calibri" w:eastAsia="Times New Roman" w:hAnsi="Calibri" w:cs="Calibri"/>
          <w:i/>
          <w:iCs/>
          <w:color w:val="000000"/>
          <w:kern w:val="0"/>
          <w:sz w:val="27"/>
          <w:szCs w:val="27"/>
          <w14:ligatures w14:val="none"/>
        </w:rPr>
        <w:t>Equality Act 2010</w:t>
      </w:r>
      <w:r w:rsidRPr="00596CA6">
        <w:rPr>
          <w:rFonts w:ascii="Calibri" w:eastAsia="Times New Roman" w:hAnsi="Calibri" w:cs="Calibri"/>
          <w:color w:val="000000"/>
          <w:kern w:val="0"/>
          <w:sz w:val="27"/>
          <w:szCs w:val="27"/>
          <w14:ligatures w14:val="none"/>
        </w:rPr>
        <w:t xml:space="preserve">. Equality and Human Rights Commission. Available at: </w:t>
      </w:r>
      <w:hyperlink r:id="rId14" w:tgtFrame="_new" w:history="1">
        <w:r w:rsidRPr="00596CA6">
          <w:rPr>
            <w:rStyle w:val="Hyperlink"/>
            <w:rFonts w:ascii="Calibri" w:eastAsia="Times New Roman" w:hAnsi="Calibri" w:cs="Calibri"/>
            <w:kern w:val="0"/>
            <w:sz w:val="27"/>
            <w:szCs w:val="27"/>
            <w14:ligatures w14:val="none"/>
          </w:rPr>
          <w:t>https://www.equalityhumanrights.com/equality/equality-act-2010</w:t>
        </w:r>
      </w:hyperlink>
      <w:r w:rsidRPr="00596CA6">
        <w:rPr>
          <w:rFonts w:ascii="Calibri" w:eastAsia="Times New Roman" w:hAnsi="Calibri" w:cs="Calibri"/>
          <w:color w:val="000000"/>
          <w:kern w:val="0"/>
          <w:sz w:val="27"/>
          <w:szCs w:val="27"/>
          <w14:ligatures w14:val="none"/>
        </w:rPr>
        <w:t xml:space="preserve"> [Accessed 16 August 2024].</w:t>
      </w:r>
    </w:p>
    <w:p w14:paraId="5DF231B1" w14:textId="77777777"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71A7C7BB" w14:textId="01E4450B" w:rsidR="00596CA6" w:rsidRDefault="00596CA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596CA6">
        <w:rPr>
          <w:rFonts w:ascii="Calibri" w:eastAsia="Times New Roman" w:hAnsi="Calibri" w:cs="Calibri"/>
          <w:color w:val="000000"/>
          <w:kern w:val="0"/>
          <w:sz w:val="27"/>
          <w:szCs w:val="27"/>
          <w14:ligatures w14:val="none"/>
        </w:rPr>
        <w:t xml:space="preserve">Bohr, J. and Dunlap, R. E., 2021. </w:t>
      </w:r>
      <w:r w:rsidRPr="00596CA6">
        <w:rPr>
          <w:rFonts w:ascii="Calibri" w:eastAsia="Times New Roman" w:hAnsi="Calibri" w:cs="Calibri"/>
          <w:i/>
          <w:iCs/>
          <w:color w:val="000000"/>
          <w:kern w:val="0"/>
          <w:sz w:val="27"/>
          <w:szCs w:val="27"/>
          <w14:ligatures w14:val="none"/>
        </w:rPr>
        <w:t>Elites’ views on climate change and the environment</w:t>
      </w:r>
      <w:r w:rsidRPr="00596CA6">
        <w:rPr>
          <w:rFonts w:ascii="Calibri" w:eastAsia="Times New Roman" w:hAnsi="Calibri" w:cs="Calibri"/>
          <w:color w:val="000000"/>
          <w:kern w:val="0"/>
          <w:sz w:val="27"/>
          <w:szCs w:val="27"/>
          <w14:ligatures w14:val="none"/>
        </w:rPr>
        <w:t xml:space="preserve">. The ANNALS of the American Academy of Political and Social Science, 698(1), pp. 100–116. Available at: </w:t>
      </w:r>
      <w:hyperlink r:id="rId15" w:tgtFrame="_new" w:history="1">
        <w:r w:rsidRPr="00596CA6">
          <w:rPr>
            <w:rStyle w:val="Hyperlink"/>
            <w:rFonts w:ascii="Calibri" w:eastAsia="Times New Roman" w:hAnsi="Calibri" w:cs="Calibri"/>
            <w:kern w:val="0"/>
            <w:sz w:val="27"/>
            <w:szCs w:val="27"/>
            <w14:ligatures w14:val="none"/>
          </w:rPr>
          <w:t>https://journals.sagepub.com/doi/10.1177/0002716221995158</w:t>
        </w:r>
      </w:hyperlink>
      <w:r w:rsidRPr="00596CA6">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1</w:t>
      </w:r>
      <w:r w:rsidRPr="00596CA6">
        <w:rPr>
          <w:rFonts w:ascii="Calibri" w:eastAsia="Times New Roman" w:hAnsi="Calibri" w:cs="Calibri"/>
          <w:color w:val="000000"/>
          <w:kern w:val="0"/>
          <w:sz w:val="27"/>
          <w:szCs w:val="27"/>
          <w14:ligatures w14:val="none"/>
        </w:rPr>
        <w:t xml:space="preserve"> August 2024].</w:t>
      </w:r>
    </w:p>
    <w:p w14:paraId="41BBA189" w14:textId="77777777"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2B321FD9" w14:textId="4A871FA5"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F249AD">
        <w:rPr>
          <w:rFonts w:ascii="Calibri" w:eastAsia="Times New Roman" w:hAnsi="Calibri" w:cs="Calibri"/>
          <w:color w:val="000000"/>
          <w:kern w:val="0"/>
          <w:sz w:val="27"/>
          <w:szCs w:val="27"/>
          <w14:ligatures w14:val="none"/>
        </w:rPr>
        <w:t xml:space="preserve">House of Commons, 2022. </w:t>
      </w:r>
      <w:r w:rsidRPr="00F249AD">
        <w:rPr>
          <w:rFonts w:ascii="Calibri" w:eastAsia="Times New Roman" w:hAnsi="Calibri" w:cs="Calibri"/>
          <w:i/>
          <w:iCs/>
          <w:color w:val="000000"/>
          <w:kern w:val="0"/>
          <w:sz w:val="27"/>
          <w:szCs w:val="27"/>
          <w14:ligatures w14:val="none"/>
        </w:rPr>
        <w:t>Ministry of Housing, Communities and Local Government: Performance Overview, 2021–2022</w:t>
      </w:r>
      <w:r w:rsidRPr="00F249AD">
        <w:rPr>
          <w:rFonts w:ascii="Calibri" w:eastAsia="Times New Roman" w:hAnsi="Calibri" w:cs="Calibri"/>
          <w:color w:val="000000"/>
          <w:kern w:val="0"/>
          <w:sz w:val="27"/>
          <w:szCs w:val="27"/>
          <w14:ligatures w14:val="none"/>
        </w:rPr>
        <w:t xml:space="preserve">. House of Commons. Available at: </w:t>
      </w:r>
      <w:hyperlink r:id="rId16" w:tgtFrame="_new" w:history="1">
        <w:r w:rsidRPr="00F249AD">
          <w:rPr>
            <w:rStyle w:val="Hyperlink"/>
            <w:rFonts w:ascii="Calibri" w:eastAsia="Times New Roman" w:hAnsi="Calibri" w:cs="Calibri"/>
            <w:kern w:val="0"/>
            <w:sz w:val="27"/>
            <w:szCs w:val="27"/>
            <w14:ligatures w14:val="none"/>
          </w:rPr>
          <w:t>https://www.parliament.uk/globalassets/documents/commons/scrutiny/mhclg-slides-me2021-22.pdf</w:t>
        </w:r>
      </w:hyperlink>
      <w:r w:rsidRPr="00F249AD">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1</w:t>
      </w:r>
      <w:r w:rsidRPr="00F249AD">
        <w:rPr>
          <w:rFonts w:ascii="Calibri" w:eastAsia="Times New Roman" w:hAnsi="Calibri" w:cs="Calibri"/>
          <w:color w:val="000000"/>
          <w:kern w:val="0"/>
          <w:sz w:val="27"/>
          <w:szCs w:val="27"/>
          <w14:ligatures w14:val="none"/>
        </w:rPr>
        <w:t xml:space="preserve"> August 2024].</w:t>
      </w:r>
    </w:p>
    <w:p w14:paraId="550D9AC4" w14:textId="77777777"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78491F00" w14:textId="3B8BF5C0" w:rsidR="00F249AD" w:rsidRDefault="00F249AD"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F249AD">
        <w:rPr>
          <w:rFonts w:ascii="Calibri" w:eastAsia="Times New Roman" w:hAnsi="Calibri" w:cs="Calibri"/>
          <w:color w:val="000000"/>
          <w:kern w:val="0"/>
          <w:sz w:val="27"/>
          <w:szCs w:val="27"/>
          <w14:ligatures w14:val="none"/>
        </w:rPr>
        <w:t xml:space="preserve">Kumar, A., 2023. </w:t>
      </w:r>
      <w:r w:rsidRPr="00F249AD">
        <w:rPr>
          <w:rFonts w:ascii="Calibri" w:eastAsia="Times New Roman" w:hAnsi="Calibri" w:cs="Calibri"/>
          <w:i/>
          <w:iCs/>
          <w:color w:val="000000"/>
          <w:kern w:val="0"/>
          <w:sz w:val="27"/>
          <w:szCs w:val="27"/>
          <w14:ligatures w14:val="none"/>
        </w:rPr>
        <w:t>The role of digital technologies in building resilient communities</w:t>
      </w:r>
      <w:r w:rsidRPr="00F249AD">
        <w:rPr>
          <w:rFonts w:ascii="Calibri" w:eastAsia="Times New Roman" w:hAnsi="Calibri" w:cs="Calibri"/>
          <w:color w:val="000000"/>
          <w:kern w:val="0"/>
          <w:sz w:val="27"/>
          <w:szCs w:val="27"/>
          <w14:ligatures w14:val="none"/>
        </w:rPr>
        <w:t xml:space="preserve">. ResearchGate. Available at: </w:t>
      </w:r>
      <w:hyperlink r:id="rId17" w:tgtFrame="_new" w:history="1">
        <w:r w:rsidRPr="00F249AD">
          <w:rPr>
            <w:rStyle w:val="Hyperlink"/>
            <w:rFonts w:ascii="Calibri" w:eastAsia="Times New Roman" w:hAnsi="Calibri" w:cs="Calibri"/>
            <w:kern w:val="0"/>
            <w:sz w:val="27"/>
            <w:szCs w:val="27"/>
            <w14:ligatures w14:val="none"/>
          </w:rPr>
          <w:t>https://www.researchgate.net/publication/373546915_The_Role_of_Digital_Technologies_in_Building_Resilient_Communities</w:t>
        </w:r>
      </w:hyperlink>
      <w:r w:rsidRPr="00F249AD">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1</w:t>
      </w:r>
      <w:r w:rsidRPr="00F249AD">
        <w:rPr>
          <w:rFonts w:ascii="Calibri" w:eastAsia="Times New Roman" w:hAnsi="Calibri" w:cs="Calibri"/>
          <w:color w:val="000000"/>
          <w:kern w:val="0"/>
          <w:sz w:val="27"/>
          <w:szCs w:val="27"/>
          <w14:ligatures w14:val="none"/>
        </w:rPr>
        <w:t xml:space="preserve"> August 2024].</w:t>
      </w:r>
    </w:p>
    <w:p w14:paraId="5FFBF275" w14:textId="77777777" w:rsidR="00EA6E49" w:rsidRDefault="00EA6E49"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679FF5CE" w14:textId="4B723DA1" w:rsidR="00EA6E49" w:rsidRDefault="00EA6E49"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EA6E49">
        <w:rPr>
          <w:rFonts w:ascii="Calibri" w:eastAsia="Times New Roman" w:hAnsi="Calibri" w:cs="Calibri"/>
          <w:color w:val="000000"/>
          <w:kern w:val="0"/>
          <w:sz w:val="27"/>
          <w:szCs w:val="27"/>
          <w14:ligatures w14:val="none"/>
        </w:rPr>
        <w:t xml:space="preserve">End Homelessness, 2023. </w:t>
      </w:r>
      <w:r w:rsidRPr="00EA6E49">
        <w:rPr>
          <w:rFonts w:ascii="Calibri" w:eastAsia="Times New Roman" w:hAnsi="Calibri" w:cs="Calibri"/>
          <w:i/>
          <w:iCs/>
          <w:color w:val="000000"/>
          <w:kern w:val="0"/>
          <w:sz w:val="27"/>
          <w:szCs w:val="27"/>
          <w14:ligatures w14:val="none"/>
        </w:rPr>
        <w:t>What can and can't local government do to address homelessness?</w:t>
      </w:r>
      <w:r w:rsidRPr="00EA6E49">
        <w:rPr>
          <w:rFonts w:ascii="Calibri" w:eastAsia="Times New Roman" w:hAnsi="Calibri" w:cs="Calibri"/>
          <w:color w:val="000000"/>
          <w:kern w:val="0"/>
          <w:sz w:val="27"/>
          <w:szCs w:val="27"/>
          <w14:ligatures w14:val="none"/>
        </w:rPr>
        <w:t xml:space="preserve">. End Homelessness. Available at: </w:t>
      </w:r>
      <w:hyperlink r:id="rId18" w:tgtFrame="_new" w:history="1">
        <w:r w:rsidRPr="00EA6E49">
          <w:rPr>
            <w:rStyle w:val="Hyperlink"/>
            <w:rFonts w:ascii="Calibri" w:eastAsia="Times New Roman" w:hAnsi="Calibri" w:cs="Calibri"/>
            <w:kern w:val="0"/>
            <w:sz w:val="27"/>
            <w:szCs w:val="27"/>
            <w14:ligatures w14:val="none"/>
          </w:rPr>
          <w:t>https://endhomelessness.org/blog/what-can-and-cant-local-government-do-to-address-homelessness/</w:t>
        </w:r>
      </w:hyperlink>
      <w:r w:rsidRPr="00EA6E49">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1</w:t>
      </w:r>
      <w:r w:rsidRPr="00EA6E49">
        <w:rPr>
          <w:rFonts w:ascii="Calibri" w:eastAsia="Times New Roman" w:hAnsi="Calibri" w:cs="Calibri"/>
          <w:color w:val="000000"/>
          <w:kern w:val="0"/>
          <w:sz w:val="27"/>
          <w:szCs w:val="27"/>
          <w14:ligatures w14:val="none"/>
        </w:rPr>
        <w:t xml:space="preserve"> August 2024].</w:t>
      </w:r>
    </w:p>
    <w:p w14:paraId="7555C05F" w14:textId="77777777" w:rsidR="003753E2" w:rsidRDefault="003753E2"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2AA1D157" w14:textId="1CE8BEC4" w:rsidR="003753E2" w:rsidRDefault="003753E2"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3533B5">
        <w:rPr>
          <w:rFonts w:ascii="Calibri" w:eastAsia="Times New Roman" w:hAnsi="Calibri" w:cs="Calibri"/>
          <w:color w:val="000000"/>
          <w:kern w:val="0"/>
          <w:sz w:val="27"/>
          <w:szCs w:val="27"/>
          <w14:ligatures w14:val="none"/>
        </w:rPr>
        <w:t xml:space="preserve">The National Archives, 1996. </w:t>
      </w:r>
      <w:r w:rsidRPr="003533B5">
        <w:rPr>
          <w:rFonts w:ascii="Calibri" w:eastAsia="Times New Roman" w:hAnsi="Calibri" w:cs="Calibri"/>
          <w:i/>
          <w:iCs/>
          <w:color w:val="000000"/>
          <w:kern w:val="0"/>
          <w:sz w:val="27"/>
          <w:szCs w:val="27"/>
          <w14:ligatures w14:val="none"/>
        </w:rPr>
        <w:t>Education Act 1996</w:t>
      </w:r>
      <w:r w:rsidRPr="003533B5">
        <w:rPr>
          <w:rFonts w:ascii="Calibri" w:eastAsia="Times New Roman" w:hAnsi="Calibri" w:cs="Calibri"/>
          <w:color w:val="000000"/>
          <w:kern w:val="0"/>
          <w:sz w:val="27"/>
          <w:szCs w:val="27"/>
          <w14:ligatures w14:val="none"/>
        </w:rPr>
        <w:t xml:space="preserve">. legislation.gov.uk. Available at: </w:t>
      </w:r>
      <w:hyperlink r:id="rId19" w:tgtFrame="_new" w:history="1">
        <w:r w:rsidRPr="003533B5">
          <w:rPr>
            <w:rStyle w:val="Hyperlink"/>
            <w:rFonts w:ascii="Calibri" w:eastAsia="Times New Roman" w:hAnsi="Calibri" w:cs="Calibri"/>
            <w:kern w:val="0"/>
            <w:sz w:val="27"/>
            <w:szCs w:val="27"/>
            <w14:ligatures w14:val="none"/>
          </w:rPr>
          <w:t>https://www.legislation.gov.uk/ukpga/1996/52/contents</w:t>
        </w:r>
      </w:hyperlink>
      <w:r w:rsidRPr="003533B5">
        <w:rPr>
          <w:rFonts w:ascii="Calibri" w:eastAsia="Times New Roman" w:hAnsi="Calibri" w:cs="Calibri"/>
          <w:color w:val="000000"/>
          <w:kern w:val="0"/>
          <w:sz w:val="27"/>
          <w:szCs w:val="27"/>
          <w14:ligatures w14:val="none"/>
        </w:rPr>
        <w:t xml:space="preserve"> [Accessed 16 August 2024].</w:t>
      </w:r>
    </w:p>
    <w:p w14:paraId="79B1C926" w14:textId="77777777" w:rsidR="00EA6E49" w:rsidRPr="00A967E9" w:rsidRDefault="00EA6E49"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7D11B89A" w14:textId="7C147B56" w:rsidR="00A967E9" w:rsidRDefault="00EA6E49"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EA6E49">
        <w:rPr>
          <w:rFonts w:ascii="Calibri" w:eastAsia="Times New Roman" w:hAnsi="Calibri" w:cs="Calibri"/>
          <w:color w:val="000000"/>
          <w:kern w:val="0"/>
          <w:sz w:val="27"/>
          <w:szCs w:val="27"/>
          <w14:ligatures w14:val="none"/>
        </w:rPr>
        <w:t xml:space="preserve">Bennett, L., &amp; Danziger, S., 2021. </w:t>
      </w:r>
      <w:r w:rsidRPr="00EA6E49">
        <w:rPr>
          <w:rFonts w:ascii="Calibri" w:eastAsia="Times New Roman" w:hAnsi="Calibri" w:cs="Calibri"/>
          <w:i/>
          <w:iCs/>
          <w:color w:val="000000"/>
          <w:kern w:val="0"/>
          <w:sz w:val="27"/>
          <w:szCs w:val="27"/>
          <w14:ligatures w14:val="none"/>
        </w:rPr>
        <w:t>Social capital and the effects of social networks on political participation</w:t>
      </w:r>
      <w:r w:rsidRPr="00EA6E49">
        <w:rPr>
          <w:rFonts w:ascii="Calibri" w:eastAsia="Times New Roman" w:hAnsi="Calibri" w:cs="Calibri"/>
          <w:color w:val="000000"/>
          <w:kern w:val="0"/>
          <w:sz w:val="27"/>
          <w:szCs w:val="27"/>
          <w14:ligatures w14:val="none"/>
        </w:rPr>
        <w:t xml:space="preserve">. The ANNALS of the American Academy of Political and Social Science, 698(1), pp. 92–104. Available at: </w:t>
      </w:r>
      <w:hyperlink r:id="rId20" w:tgtFrame="_new" w:history="1">
        <w:r w:rsidRPr="00EA6E49">
          <w:rPr>
            <w:rStyle w:val="Hyperlink"/>
            <w:rFonts w:ascii="Calibri" w:eastAsia="Times New Roman" w:hAnsi="Calibri" w:cs="Calibri"/>
            <w:kern w:val="0"/>
            <w:sz w:val="27"/>
            <w:szCs w:val="27"/>
            <w14:ligatures w14:val="none"/>
          </w:rPr>
          <w:t>https://journals.sagepub.com/doi/full/10.1177/0002716221994464</w:t>
        </w:r>
      </w:hyperlink>
      <w:r w:rsidRPr="00EA6E49">
        <w:rPr>
          <w:rFonts w:ascii="Calibri" w:eastAsia="Times New Roman" w:hAnsi="Calibri" w:cs="Calibri"/>
          <w:color w:val="000000"/>
          <w:kern w:val="0"/>
          <w:sz w:val="27"/>
          <w:szCs w:val="27"/>
          <w14:ligatures w14:val="none"/>
        </w:rPr>
        <w:t xml:space="preserve"> [Accessed 1</w:t>
      </w:r>
      <w:r>
        <w:rPr>
          <w:rFonts w:ascii="Calibri" w:eastAsia="Times New Roman" w:hAnsi="Calibri" w:cs="Calibri"/>
          <w:color w:val="000000"/>
          <w:kern w:val="0"/>
          <w:sz w:val="27"/>
          <w:szCs w:val="27"/>
          <w14:ligatures w14:val="none"/>
        </w:rPr>
        <w:t>1</w:t>
      </w:r>
      <w:r w:rsidRPr="00EA6E49">
        <w:rPr>
          <w:rFonts w:ascii="Calibri" w:eastAsia="Times New Roman" w:hAnsi="Calibri" w:cs="Calibri"/>
          <w:color w:val="000000"/>
          <w:kern w:val="0"/>
          <w:sz w:val="27"/>
          <w:szCs w:val="27"/>
          <w14:ligatures w14:val="none"/>
        </w:rPr>
        <w:t xml:space="preserve"> August 2024].</w:t>
      </w:r>
    </w:p>
    <w:p w14:paraId="16D65DB2" w14:textId="77777777" w:rsidR="00AB50F6" w:rsidRDefault="00AB50F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p>
    <w:p w14:paraId="673B9D5B" w14:textId="47E9F5E8" w:rsidR="00AB50F6" w:rsidRPr="00A967E9" w:rsidRDefault="00AB50F6" w:rsidP="00A967E9">
      <w:pPr>
        <w:spacing w:before="100" w:beforeAutospacing="1" w:after="100" w:afterAutospacing="1" w:line="240" w:lineRule="auto"/>
        <w:rPr>
          <w:rFonts w:ascii="Calibri" w:eastAsia="Times New Roman" w:hAnsi="Calibri" w:cs="Calibri"/>
          <w:color w:val="000000"/>
          <w:kern w:val="0"/>
          <w:sz w:val="27"/>
          <w:szCs w:val="27"/>
          <w14:ligatures w14:val="none"/>
        </w:rPr>
      </w:pPr>
      <w:r w:rsidRPr="00AB50F6">
        <w:rPr>
          <w:rFonts w:ascii="Calibri" w:eastAsia="Times New Roman" w:hAnsi="Calibri" w:cs="Calibri"/>
          <w:color w:val="000000"/>
          <w:kern w:val="0"/>
          <w:sz w:val="27"/>
          <w:szCs w:val="27"/>
          <w14:ligatures w14:val="none"/>
        </w:rPr>
        <w:t xml:space="preserve">Newham Council, </w:t>
      </w:r>
      <w:r>
        <w:rPr>
          <w:rFonts w:ascii="Calibri" w:eastAsia="Times New Roman" w:hAnsi="Calibri" w:cs="Calibri"/>
          <w:color w:val="000000"/>
          <w:kern w:val="0"/>
          <w:sz w:val="27"/>
          <w:szCs w:val="27"/>
          <w14:ligatures w14:val="none"/>
        </w:rPr>
        <w:t>2020</w:t>
      </w:r>
      <w:r w:rsidRPr="00AB50F6">
        <w:rPr>
          <w:rFonts w:ascii="Calibri" w:eastAsia="Times New Roman" w:hAnsi="Calibri" w:cs="Calibri"/>
          <w:color w:val="000000"/>
          <w:kern w:val="0"/>
          <w:sz w:val="27"/>
          <w:szCs w:val="27"/>
          <w14:ligatures w14:val="none"/>
        </w:rPr>
        <w:t xml:space="preserve">. </w:t>
      </w:r>
      <w:r w:rsidRPr="00AB50F6">
        <w:rPr>
          <w:rFonts w:ascii="Calibri" w:eastAsia="Times New Roman" w:hAnsi="Calibri" w:cs="Calibri"/>
          <w:i/>
          <w:iCs/>
          <w:color w:val="000000"/>
          <w:kern w:val="0"/>
          <w:sz w:val="27"/>
          <w:szCs w:val="27"/>
          <w14:ligatures w14:val="none"/>
        </w:rPr>
        <w:t>Housing Delivery Strategy</w:t>
      </w:r>
      <w:r w:rsidRPr="00AB50F6">
        <w:rPr>
          <w:rFonts w:ascii="Calibri" w:eastAsia="Times New Roman" w:hAnsi="Calibri" w:cs="Calibri"/>
          <w:color w:val="000000"/>
          <w:kern w:val="0"/>
          <w:sz w:val="27"/>
          <w:szCs w:val="27"/>
          <w14:ligatures w14:val="none"/>
        </w:rPr>
        <w:t xml:space="preserve">. Newham Council. Available at: </w:t>
      </w:r>
      <w:hyperlink r:id="rId21" w:tgtFrame="_new" w:history="1">
        <w:r w:rsidRPr="00AB50F6">
          <w:rPr>
            <w:rStyle w:val="Hyperlink"/>
            <w:rFonts w:ascii="Calibri" w:eastAsia="Times New Roman" w:hAnsi="Calibri" w:cs="Calibri"/>
            <w:kern w:val="0"/>
            <w:sz w:val="27"/>
            <w:szCs w:val="27"/>
            <w14:ligatures w14:val="none"/>
          </w:rPr>
          <w:t>https://www.newham.gov.uk/housing-homes-homelessness/housing-delivery-strategy</w:t>
        </w:r>
      </w:hyperlink>
      <w:r w:rsidRPr="00AB50F6">
        <w:rPr>
          <w:rFonts w:ascii="Calibri" w:eastAsia="Times New Roman" w:hAnsi="Calibri" w:cs="Calibri"/>
          <w:color w:val="000000"/>
          <w:kern w:val="0"/>
          <w:sz w:val="27"/>
          <w:szCs w:val="27"/>
          <w14:ligatures w14:val="none"/>
        </w:rPr>
        <w:t xml:space="preserve"> [Accessed 16 August 2024].</w:t>
      </w:r>
    </w:p>
    <w:p w14:paraId="672A4736" w14:textId="77777777" w:rsidR="00A967E9" w:rsidRDefault="00A967E9" w:rsidP="008B7D98">
      <w:pPr>
        <w:pStyle w:val="NormalWeb"/>
        <w:spacing w:before="0" w:beforeAutospacing="0" w:after="0" w:afterAutospacing="0" w:line="360" w:lineRule="atLeast"/>
        <w:rPr>
          <w:rFonts w:ascii="Calibri" w:hAnsi="Calibri" w:cs="Calibri"/>
          <w:color w:val="000000"/>
          <w:sz w:val="27"/>
          <w:szCs w:val="27"/>
        </w:rPr>
      </w:pPr>
    </w:p>
    <w:p w14:paraId="5759E560" w14:textId="2E2FB1BC" w:rsidR="008B7D98" w:rsidRDefault="003753E2" w:rsidP="008B7D98">
      <w:pPr>
        <w:pStyle w:val="NormalWeb"/>
        <w:spacing w:before="0" w:beforeAutospacing="0" w:after="0" w:afterAutospacing="0" w:line="360" w:lineRule="atLeast"/>
        <w:rPr>
          <w:rFonts w:ascii="Calibri" w:hAnsi="Calibri" w:cs="Calibri"/>
          <w:color w:val="000000"/>
          <w:sz w:val="27"/>
          <w:szCs w:val="27"/>
        </w:rPr>
      </w:pPr>
      <w:r w:rsidRPr="003753E2">
        <w:rPr>
          <w:rFonts w:ascii="Calibri" w:hAnsi="Calibri" w:cs="Calibri"/>
          <w:color w:val="000000"/>
          <w:sz w:val="27"/>
          <w:szCs w:val="27"/>
        </w:rPr>
        <w:t xml:space="preserve">Newham Council, 2024. </w:t>
      </w:r>
      <w:r w:rsidRPr="003753E2">
        <w:rPr>
          <w:rFonts w:ascii="Calibri" w:hAnsi="Calibri" w:cs="Calibri"/>
          <w:i/>
          <w:iCs/>
          <w:color w:val="000000"/>
          <w:sz w:val="27"/>
          <w:szCs w:val="27"/>
        </w:rPr>
        <w:t>Homelessness Strategy</w:t>
      </w:r>
      <w:r w:rsidRPr="003753E2">
        <w:rPr>
          <w:rFonts w:ascii="Calibri" w:hAnsi="Calibri" w:cs="Calibri"/>
          <w:color w:val="000000"/>
          <w:sz w:val="27"/>
          <w:szCs w:val="27"/>
        </w:rPr>
        <w:t xml:space="preserve">. Newham Council. Available at: </w:t>
      </w:r>
      <w:hyperlink r:id="rId22" w:tgtFrame="_new" w:history="1">
        <w:r w:rsidRPr="003753E2">
          <w:rPr>
            <w:rStyle w:val="Hyperlink"/>
            <w:rFonts w:ascii="Calibri" w:hAnsi="Calibri" w:cs="Calibri"/>
            <w:sz w:val="27"/>
            <w:szCs w:val="27"/>
          </w:rPr>
          <w:t>https://www.newham.gov.uk/downloads/file/4118/homelessness-strategy-fina</w:t>
        </w:r>
      </w:hyperlink>
      <w:r w:rsidRPr="003753E2">
        <w:rPr>
          <w:rFonts w:ascii="Calibri" w:hAnsi="Calibri" w:cs="Calibri"/>
          <w:color w:val="000000"/>
          <w:sz w:val="27"/>
          <w:szCs w:val="27"/>
        </w:rPr>
        <w:t xml:space="preserve"> [Accessed 16 August 2024].</w:t>
      </w:r>
    </w:p>
    <w:p w14:paraId="3606AE5F" w14:textId="77777777" w:rsidR="003753E2" w:rsidRDefault="003753E2" w:rsidP="008B7D98">
      <w:pPr>
        <w:pStyle w:val="NormalWeb"/>
        <w:spacing w:before="0" w:beforeAutospacing="0" w:after="0" w:afterAutospacing="0" w:line="360" w:lineRule="atLeast"/>
        <w:rPr>
          <w:rFonts w:ascii="Calibri" w:hAnsi="Calibri" w:cs="Calibri"/>
          <w:color w:val="000000"/>
          <w:sz w:val="27"/>
          <w:szCs w:val="27"/>
        </w:rPr>
      </w:pPr>
    </w:p>
    <w:p w14:paraId="2576C408" w14:textId="4FF5AAF2" w:rsidR="003753E2" w:rsidRDefault="003753E2" w:rsidP="008B7D98">
      <w:pPr>
        <w:pStyle w:val="NormalWeb"/>
        <w:spacing w:before="0" w:beforeAutospacing="0" w:after="0" w:afterAutospacing="0" w:line="360" w:lineRule="atLeast"/>
        <w:rPr>
          <w:rFonts w:ascii="Calibri" w:hAnsi="Calibri" w:cs="Calibri"/>
          <w:color w:val="000000"/>
          <w:sz w:val="27"/>
          <w:szCs w:val="27"/>
        </w:rPr>
      </w:pPr>
      <w:r w:rsidRPr="003753E2">
        <w:rPr>
          <w:rFonts w:ascii="Calibri" w:hAnsi="Calibri" w:cs="Calibri"/>
          <w:color w:val="000000"/>
          <w:sz w:val="27"/>
          <w:szCs w:val="27"/>
        </w:rPr>
        <w:t xml:space="preserve">Nguyen, T., Hoang, M. H., &amp; Tran, T. D., 2020. </w:t>
      </w:r>
      <w:r w:rsidRPr="003753E2">
        <w:rPr>
          <w:rFonts w:ascii="Calibri" w:hAnsi="Calibri" w:cs="Calibri"/>
          <w:i/>
          <w:iCs/>
          <w:color w:val="000000"/>
          <w:sz w:val="27"/>
          <w:szCs w:val="27"/>
        </w:rPr>
        <w:t>The impact of COVID-19 on mental health: A comprehensive review of literature</w:t>
      </w:r>
      <w:r w:rsidRPr="003753E2">
        <w:rPr>
          <w:rFonts w:ascii="Calibri" w:hAnsi="Calibri" w:cs="Calibri"/>
          <w:color w:val="000000"/>
          <w:sz w:val="27"/>
          <w:szCs w:val="27"/>
        </w:rPr>
        <w:t xml:space="preserve">. BMC Public Health, 20(1), pp. 1-12. Available at: </w:t>
      </w:r>
      <w:hyperlink r:id="rId23" w:tgtFrame="_new" w:history="1">
        <w:r w:rsidRPr="003753E2">
          <w:rPr>
            <w:rStyle w:val="Hyperlink"/>
            <w:rFonts w:ascii="Calibri" w:hAnsi="Calibri" w:cs="Calibri"/>
            <w:sz w:val="27"/>
            <w:szCs w:val="27"/>
          </w:rPr>
          <w:t>https://bmcpublichealth.biomedcentral.com/articles/10.1186/s12889-020-09224-0</w:t>
        </w:r>
      </w:hyperlink>
      <w:r w:rsidRPr="003753E2">
        <w:rPr>
          <w:rFonts w:ascii="Calibri" w:hAnsi="Calibri" w:cs="Calibri"/>
          <w:color w:val="000000"/>
          <w:sz w:val="27"/>
          <w:szCs w:val="27"/>
        </w:rPr>
        <w:t xml:space="preserve"> [Accessed 16 August 2024].</w:t>
      </w:r>
    </w:p>
    <w:p w14:paraId="647A0C19" w14:textId="77777777" w:rsidR="008B7D98" w:rsidRDefault="008B7D98" w:rsidP="008B7D98">
      <w:pPr>
        <w:pStyle w:val="NormalWeb"/>
        <w:rPr>
          <w:rFonts w:ascii="Calibri" w:hAnsi="Calibri" w:cs="Calibri"/>
          <w:color w:val="000000"/>
          <w:sz w:val="27"/>
          <w:szCs w:val="27"/>
        </w:rPr>
      </w:pPr>
      <w:r>
        <w:rPr>
          <w:rFonts w:ascii="Calibri" w:hAnsi="Calibri" w:cs="Calibri"/>
          <w:color w:val="000000"/>
          <w:sz w:val="27"/>
          <w:szCs w:val="27"/>
        </w:rPr>
        <w:t>‌</w:t>
      </w:r>
    </w:p>
    <w:p w14:paraId="699ACF4D" w14:textId="77777777" w:rsidR="008B7D98" w:rsidRPr="008B7D98" w:rsidRDefault="008B7D98" w:rsidP="00674B36">
      <w:pPr>
        <w:spacing w:line="360" w:lineRule="auto"/>
        <w:rPr>
          <w:rFonts w:ascii="Arial" w:hAnsi="Arial" w:cs="Arial"/>
          <w:sz w:val="22"/>
          <w:szCs w:val="22"/>
        </w:rPr>
      </w:pPr>
    </w:p>
    <w:p w14:paraId="40E61050" w14:textId="77777777" w:rsidR="00985144" w:rsidRPr="00985144" w:rsidRDefault="00985144" w:rsidP="00674B36">
      <w:pPr>
        <w:spacing w:line="360" w:lineRule="auto"/>
        <w:rPr>
          <w:rFonts w:ascii="Arial" w:hAnsi="Arial" w:cs="Arial"/>
          <w:sz w:val="22"/>
          <w:szCs w:val="22"/>
        </w:rPr>
      </w:pPr>
    </w:p>
    <w:sectPr w:rsidR="00985144" w:rsidRPr="009851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A670F4" w14:textId="77777777" w:rsidR="005A31C6" w:rsidRDefault="005A31C6" w:rsidP="00FA7340">
      <w:pPr>
        <w:spacing w:after="0" w:line="240" w:lineRule="auto"/>
      </w:pPr>
      <w:r>
        <w:separator/>
      </w:r>
    </w:p>
  </w:endnote>
  <w:endnote w:type="continuationSeparator" w:id="0">
    <w:p w14:paraId="5CA2362E" w14:textId="77777777" w:rsidR="005A31C6" w:rsidRDefault="005A31C6" w:rsidP="00FA7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1EBD82" w14:textId="77777777" w:rsidR="005A31C6" w:rsidRDefault="005A31C6" w:rsidP="00FA7340">
      <w:pPr>
        <w:spacing w:after="0" w:line="240" w:lineRule="auto"/>
      </w:pPr>
      <w:r>
        <w:separator/>
      </w:r>
    </w:p>
  </w:footnote>
  <w:footnote w:type="continuationSeparator" w:id="0">
    <w:p w14:paraId="17EFE831" w14:textId="77777777" w:rsidR="005A31C6" w:rsidRDefault="005A31C6" w:rsidP="00FA7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E2237E7"/>
    <w:multiLevelType w:val="hybridMultilevel"/>
    <w:tmpl w:val="B010EB32"/>
    <w:lvl w:ilvl="0" w:tplc="6FC2C540">
      <w:start w:val="1"/>
      <w:numFmt w:val="bullet"/>
      <w:lvlText w:val="–"/>
      <w:lvlJc w:val="left"/>
      <w:pPr>
        <w:tabs>
          <w:tab w:val="num" w:pos="720"/>
        </w:tabs>
        <w:ind w:left="720" w:hanging="360"/>
      </w:pPr>
      <w:rPr>
        <w:rFonts w:ascii="Arial" w:hAnsi="Arial" w:hint="default"/>
      </w:rPr>
    </w:lvl>
    <w:lvl w:ilvl="1" w:tplc="D0CA84A6">
      <w:start w:val="1"/>
      <w:numFmt w:val="bullet"/>
      <w:lvlText w:val="–"/>
      <w:lvlJc w:val="left"/>
      <w:pPr>
        <w:tabs>
          <w:tab w:val="num" w:pos="1440"/>
        </w:tabs>
        <w:ind w:left="1440" w:hanging="360"/>
      </w:pPr>
      <w:rPr>
        <w:rFonts w:ascii="Arial" w:hAnsi="Arial" w:hint="default"/>
      </w:rPr>
    </w:lvl>
    <w:lvl w:ilvl="2" w:tplc="614E6C0E" w:tentative="1">
      <w:start w:val="1"/>
      <w:numFmt w:val="bullet"/>
      <w:lvlText w:val="–"/>
      <w:lvlJc w:val="left"/>
      <w:pPr>
        <w:tabs>
          <w:tab w:val="num" w:pos="2160"/>
        </w:tabs>
        <w:ind w:left="2160" w:hanging="360"/>
      </w:pPr>
      <w:rPr>
        <w:rFonts w:ascii="Arial" w:hAnsi="Arial" w:hint="default"/>
      </w:rPr>
    </w:lvl>
    <w:lvl w:ilvl="3" w:tplc="E0360016" w:tentative="1">
      <w:start w:val="1"/>
      <w:numFmt w:val="bullet"/>
      <w:lvlText w:val="–"/>
      <w:lvlJc w:val="left"/>
      <w:pPr>
        <w:tabs>
          <w:tab w:val="num" w:pos="2880"/>
        </w:tabs>
        <w:ind w:left="2880" w:hanging="360"/>
      </w:pPr>
      <w:rPr>
        <w:rFonts w:ascii="Arial" w:hAnsi="Arial" w:hint="default"/>
      </w:rPr>
    </w:lvl>
    <w:lvl w:ilvl="4" w:tplc="C570EA46" w:tentative="1">
      <w:start w:val="1"/>
      <w:numFmt w:val="bullet"/>
      <w:lvlText w:val="–"/>
      <w:lvlJc w:val="left"/>
      <w:pPr>
        <w:tabs>
          <w:tab w:val="num" w:pos="3600"/>
        </w:tabs>
        <w:ind w:left="3600" w:hanging="360"/>
      </w:pPr>
      <w:rPr>
        <w:rFonts w:ascii="Arial" w:hAnsi="Arial" w:hint="default"/>
      </w:rPr>
    </w:lvl>
    <w:lvl w:ilvl="5" w:tplc="15408DD0" w:tentative="1">
      <w:start w:val="1"/>
      <w:numFmt w:val="bullet"/>
      <w:lvlText w:val="–"/>
      <w:lvlJc w:val="left"/>
      <w:pPr>
        <w:tabs>
          <w:tab w:val="num" w:pos="4320"/>
        </w:tabs>
        <w:ind w:left="4320" w:hanging="360"/>
      </w:pPr>
      <w:rPr>
        <w:rFonts w:ascii="Arial" w:hAnsi="Arial" w:hint="default"/>
      </w:rPr>
    </w:lvl>
    <w:lvl w:ilvl="6" w:tplc="D506C772" w:tentative="1">
      <w:start w:val="1"/>
      <w:numFmt w:val="bullet"/>
      <w:lvlText w:val="–"/>
      <w:lvlJc w:val="left"/>
      <w:pPr>
        <w:tabs>
          <w:tab w:val="num" w:pos="5040"/>
        </w:tabs>
        <w:ind w:left="5040" w:hanging="360"/>
      </w:pPr>
      <w:rPr>
        <w:rFonts w:ascii="Arial" w:hAnsi="Arial" w:hint="default"/>
      </w:rPr>
    </w:lvl>
    <w:lvl w:ilvl="7" w:tplc="13E6DB22" w:tentative="1">
      <w:start w:val="1"/>
      <w:numFmt w:val="bullet"/>
      <w:lvlText w:val="–"/>
      <w:lvlJc w:val="left"/>
      <w:pPr>
        <w:tabs>
          <w:tab w:val="num" w:pos="5760"/>
        </w:tabs>
        <w:ind w:left="5760" w:hanging="360"/>
      </w:pPr>
      <w:rPr>
        <w:rFonts w:ascii="Arial" w:hAnsi="Arial" w:hint="default"/>
      </w:rPr>
    </w:lvl>
    <w:lvl w:ilvl="8" w:tplc="35F214A6" w:tentative="1">
      <w:start w:val="1"/>
      <w:numFmt w:val="bullet"/>
      <w:lvlText w:val="–"/>
      <w:lvlJc w:val="left"/>
      <w:pPr>
        <w:tabs>
          <w:tab w:val="num" w:pos="6480"/>
        </w:tabs>
        <w:ind w:left="6480" w:hanging="360"/>
      </w:pPr>
      <w:rPr>
        <w:rFonts w:ascii="Arial" w:hAnsi="Arial" w:hint="default"/>
      </w:rPr>
    </w:lvl>
  </w:abstractNum>
  <w:num w:numId="1" w16cid:durableId="1159031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21D8C"/>
    <w:rsid w:val="00021D8C"/>
    <w:rsid w:val="000B3773"/>
    <w:rsid w:val="001A664D"/>
    <w:rsid w:val="001F0E2E"/>
    <w:rsid w:val="0021257A"/>
    <w:rsid w:val="00284482"/>
    <w:rsid w:val="00292009"/>
    <w:rsid w:val="002C1087"/>
    <w:rsid w:val="003533B5"/>
    <w:rsid w:val="003753E2"/>
    <w:rsid w:val="005365D2"/>
    <w:rsid w:val="0055607D"/>
    <w:rsid w:val="00596CA6"/>
    <w:rsid w:val="005A31C6"/>
    <w:rsid w:val="005B1617"/>
    <w:rsid w:val="00674B36"/>
    <w:rsid w:val="00714652"/>
    <w:rsid w:val="00776494"/>
    <w:rsid w:val="00776711"/>
    <w:rsid w:val="007C2B65"/>
    <w:rsid w:val="007C6D32"/>
    <w:rsid w:val="007D1CEF"/>
    <w:rsid w:val="007F2E78"/>
    <w:rsid w:val="008B7D98"/>
    <w:rsid w:val="0096474E"/>
    <w:rsid w:val="00985144"/>
    <w:rsid w:val="00991AD2"/>
    <w:rsid w:val="009A31F2"/>
    <w:rsid w:val="009D108F"/>
    <w:rsid w:val="00A77867"/>
    <w:rsid w:val="00A967E9"/>
    <w:rsid w:val="00AB50F6"/>
    <w:rsid w:val="00B34731"/>
    <w:rsid w:val="00B5283D"/>
    <w:rsid w:val="00B62B52"/>
    <w:rsid w:val="00C27F43"/>
    <w:rsid w:val="00CB737D"/>
    <w:rsid w:val="00D44612"/>
    <w:rsid w:val="00DD3619"/>
    <w:rsid w:val="00E26877"/>
    <w:rsid w:val="00E570F3"/>
    <w:rsid w:val="00EA6E49"/>
    <w:rsid w:val="00F249AD"/>
    <w:rsid w:val="00F37932"/>
    <w:rsid w:val="00F404B2"/>
    <w:rsid w:val="00FA73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8772E"/>
  <w15:chartTrackingRefBased/>
  <w15:docId w15:val="{2AAE3193-F182-4DF1-9A48-C46FF16F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D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D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D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D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D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D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D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D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D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D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D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D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D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D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D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D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D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D8C"/>
    <w:rPr>
      <w:rFonts w:eastAsiaTheme="majorEastAsia" w:cstheme="majorBidi"/>
      <w:color w:val="272727" w:themeColor="text1" w:themeTint="D8"/>
    </w:rPr>
  </w:style>
  <w:style w:type="paragraph" w:styleId="Title">
    <w:name w:val="Title"/>
    <w:basedOn w:val="Normal"/>
    <w:next w:val="Normal"/>
    <w:link w:val="TitleChar"/>
    <w:uiPriority w:val="10"/>
    <w:qFormat/>
    <w:rsid w:val="00021D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D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D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D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D8C"/>
    <w:pPr>
      <w:spacing w:before="160"/>
      <w:jc w:val="center"/>
    </w:pPr>
    <w:rPr>
      <w:i/>
      <w:iCs/>
      <w:color w:val="404040" w:themeColor="text1" w:themeTint="BF"/>
    </w:rPr>
  </w:style>
  <w:style w:type="character" w:customStyle="1" w:styleId="QuoteChar">
    <w:name w:val="Quote Char"/>
    <w:basedOn w:val="DefaultParagraphFont"/>
    <w:link w:val="Quote"/>
    <w:uiPriority w:val="29"/>
    <w:rsid w:val="00021D8C"/>
    <w:rPr>
      <w:i/>
      <w:iCs/>
      <w:color w:val="404040" w:themeColor="text1" w:themeTint="BF"/>
    </w:rPr>
  </w:style>
  <w:style w:type="paragraph" w:styleId="ListParagraph">
    <w:name w:val="List Paragraph"/>
    <w:basedOn w:val="Normal"/>
    <w:uiPriority w:val="34"/>
    <w:qFormat/>
    <w:rsid w:val="00021D8C"/>
    <w:pPr>
      <w:ind w:left="720"/>
      <w:contextualSpacing/>
    </w:pPr>
  </w:style>
  <w:style w:type="character" w:styleId="IntenseEmphasis">
    <w:name w:val="Intense Emphasis"/>
    <w:basedOn w:val="DefaultParagraphFont"/>
    <w:uiPriority w:val="21"/>
    <w:qFormat/>
    <w:rsid w:val="00021D8C"/>
    <w:rPr>
      <w:i/>
      <w:iCs/>
      <w:color w:val="0F4761" w:themeColor="accent1" w:themeShade="BF"/>
    </w:rPr>
  </w:style>
  <w:style w:type="paragraph" w:styleId="IntenseQuote">
    <w:name w:val="Intense Quote"/>
    <w:basedOn w:val="Normal"/>
    <w:next w:val="Normal"/>
    <w:link w:val="IntenseQuoteChar"/>
    <w:uiPriority w:val="30"/>
    <w:qFormat/>
    <w:rsid w:val="00021D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D8C"/>
    <w:rPr>
      <w:i/>
      <w:iCs/>
      <w:color w:val="0F4761" w:themeColor="accent1" w:themeShade="BF"/>
    </w:rPr>
  </w:style>
  <w:style w:type="character" w:styleId="IntenseReference">
    <w:name w:val="Intense Reference"/>
    <w:basedOn w:val="DefaultParagraphFont"/>
    <w:uiPriority w:val="32"/>
    <w:qFormat/>
    <w:rsid w:val="00021D8C"/>
    <w:rPr>
      <w:b/>
      <w:bCs/>
      <w:smallCaps/>
      <w:color w:val="0F4761" w:themeColor="accent1" w:themeShade="BF"/>
      <w:spacing w:val="5"/>
    </w:rPr>
  </w:style>
  <w:style w:type="paragraph" w:styleId="NormalWeb">
    <w:name w:val="Normal (Web)"/>
    <w:basedOn w:val="Normal"/>
    <w:uiPriority w:val="99"/>
    <w:semiHidden/>
    <w:unhideWhenUsed/>
    <w:rsid w:val="008B7D98"/>
    <w:pPr>
      <w:spacing w:before="100" w:beforeAutospacing="1" w:after="100" w:afterAutospacing="1" w:line="240" w:lineRule="auto"/>
    </w:pPr>
    <w:rPr>
      <w:rFonts w:ascii="Times New Roman" w:eastAsia="Times New Roman" w:hAnsi="Times New Roman" w:cs="Times New Roman"/>
      <w:kern w:val="0"/>
    </w:rPr>
  </w:style>
  <w:style w:type="character" w:styleId="Hyperlink">
    <w:name w:val="Hyperlink"/>
    <w:basedOn w:val="DefaultParagraphFont"/>
    <w:uiPriority w:val="99"/>
    <w:unhideWhenUsed/>
    <w:rsid w:val="008B7D98"/>
    <w:rPr>
      <w:color w:val="467886" w:themeColor="hyperlink"/>
      <w:u w:val="single"/>
    </w:rPr>
  </w:style>
  <w:style w:type="character" w:styleId="UnresolvedMention">
    <w:name w:val="Unresolved Mention"/>
    <w:basedOn w:val="DefaultParagraphFont"/>
    <w:uiPriority w:val="99"/>
    <w:semiHidden/>
    <w:unhideWhenUsed/>
    <w:rsid w:val="008B7D98"/>
    <w:rPr>
      <w:color w:val="605E5C"/>
      <w:shd w:val="clear" w:color="auto" w:fill="E1DFDD"/>
    </w:rPr>
  </w:style>
  <w:style w:type="paragraph" w:styleId="Header">
    <w:name w:val="header"/>
    <w:basedOn w:val="Normal"/>
    <w:link w:val="HeaderChar"/>
    <w:uiPriority w:val="99"/>
    <w:unhideWhenUsed/>
    <w:rsid w:val="00FA7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340"/>
  </w:style>
  <w:style w:type="paragraph" w:styleId="Footer">
    <w:name w:val="footer"/>
    <w:basedOn w:val="Normal"/>
    <w:link w:val="FooterChar"/>
    <w:uiPriority w:val="99"/>
    <w:unhideWhenUsed/>
    <w:rsid w:val="00FA7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254976">
      <w:bodyDiv w:val="1"/>
      <w:marLeft w:val="0"/>
      <w:marRight w:val="0"/>
      <w:marTop w:val="0"/>
      <w:marBottom w:val="0"/>
      <w:divBdr>
        <w:top w:val="none" w:sz="0" w:space="0" w:color="auto"/>
        <w:left w:val="none" w:sz="0" w:space="0" w:color="auto"/>
        <w:bottom w:val="none" w:sz="0" w:space="0" w:color="auto"/>
        <w:right w:val="none" w:sz="0" w:space="0" w:color="auto"/>
      </w:divBdr>
    </w:div>
    <w:div w:id="305285494">
      <w:bodyDiv w:val="1"/>
      <w:marLeft w:val="0"/>
      <w:marRight w:val="0"/>
      <w:marTop w:val="0"/>
      <w:marBottom w:val="0"/>
      <w:divBdr>
        <w:top w:val="none" w:sz="0" w:space="0" w:color="auto"/>
        <w:left w:val="none" w:sz="0" w:space="0" w:color="auto"/>
        <w:bottom w:val="none" w:sz="0" w:space="0" w:color="auto"/>
        <w:right w:val="none" w:sz="0" w:space="0" w:color="auto"/>
      </w:divBdr>
    </w:div>
    <w:div w:id="772096133">
      <w:bodyDiv w:val="1"/>
      <w:marLeft w:val="0"/>
      <w:marRight w:val="0"/>
      <w:marTop w:val="0"/>
      <w:marBottom w:val="0"/>
      <w:divBdr>
        <w:top w:val="none" w:sz="0" w:space="0" w:color="auto"/>
        <w:left w:val="none" w:sz="0" w:space="0" w:color="auto"/>
        <w:bottom w:val="none" w:sz="0" w:space="0" w:color="auto"/>
        <w:right w:val="none" w:sz="0" w:space="0" w:color="auto"/>
      </w:divBdr>
      <w:divsChild>
        <w:div w:id="1047031423">
          <w:marLeft w:val="1166"/>
          <w:marRight w:val="0"/>
          <w:marTop w:val="72"/>
          <w:marBottom w:val="0"/>
          <w:divBdr>
            <w:top w:val="none" w:sz="0" w:space="0" w:color="auto"/>
            <w:left w:val="none" w:sz="0" w:space="0" w:color="auto"/>
            <w:bottom w:val="none" w:sz="0" w:space="0" w:color="auto"/>
            <w:right w:val="none" w:sz="0" w:space="0" w:color="auto"/>
          </w:divBdr>
        </w:div>
      </w:divsChild>
    </w:div>
    <w:div w:id="1764647568">
      <w:bodyDiv w:val="1"/>
      <w:marLeft w:val="0"/>
      <w:marRight w:val="0"/>
      <w:marTop w:val="0"/>
      <w:marBottom w:val="0"/>
      <w:divBdr>
        <w:top w:val="none" w:sz="0" w:space="0" w:color="auto"/>
        <w:left w:val="none" w:sz="0" w:space="0" w:color="auto"/>
        <w:bottom w:val="none" w:sz="0" w:space="0" w:color="auto"/>
        <w:right w:val="none" w:sz="0" w:space="0" w:color="auto"/>
      </w:divBdr>
      <w:divsChild>
        <w:div w:id="1577857954">
          <w:marLeft w:val="0"/>
          <w:marRight w:val="0"/>
          <w:marTop w:val="0"/>
          <w:marBottom w:val="0"/>
          <w:divBdr>
            <w:top w:val="none" w:sz="0" w:space="0" w:color="auto"/>
            <w:left w:val="none" w:sz="0" w:space="0" w:color="auto"/>
            <w:bottom w:val="none" w:sz="0" w:space="0" w:color="auto"/>
            <w:right w:val="none" w:sz="0" w:space="0" w:color="auto"/>
          </w:divBdr>
          <w:divsChild>
            <w:div w:id="1396781452">
              <w:marLeft w:val="0"/>
              <w:marRight w:val="0"/>
              <w:marTop w:val="0"/>
              <w:marBottom w:val="0"/>
              <w:divBdr>
                <w:top w:val="none" w:sz="0" w:space="0" w:color="auto"/>
                <w:left w:val="none" w:sz="0" w:space="0" w:color="auto"/>
                <w:bottom w:val="none" w:sz="0" w:space="0" w:color="auto"/>
                <w:right w:val="none" w:sz="0" w:space="0" w:color="auto"/>
              </w:divBdr>
              <w:divsChild>
                <w:div w:id="1416512656">
                  <w:marLeft w:val="0"/>
                  <w:marRight w:val="0"/>
                  <w:marTop w:val="0"/>
                  <w:marBottom w:val="0"/>
                  <w:divBdr>
                    <w:top w:val="none" w:sz="0" w:space="0" w:color="auto"/>
                    <w:left w:val="none" w:sz="0" w:space="0" w:color="auto"/>
                    <w:bottom w:val="none" w:sz="0" w:space="0" w:color="auto"/>
                    <w:right w:val="none" w:sz="0" w:space="0" w:color="auto"/>
                  </w:divBdr>
                  <w:divsChild>
                    <w:div w:id="1741756333">
                      <w:marLeft w:val="0"/>
                      <w:marRight w:val="0"/>
                      <w:marTop w:val="0"/>
                      <w:marBottom w:val="0"/>
                      <w:divBdr>
                        <w:top w:val="none" w:sz="0" w:space="0" w:color="auto"/>
                        <w:left w:val="none" w:sz="0" w:space="0" w:color="auto"/>
                        <w:bottom w:val="none" w:sz="0" w:space="0" w:color="auto"/>
                        <w:right w:val="none" w:sz="0" w:space="0" w:color="auto"/>
                      </w:divBdr>
                      <w:divsChild>
                        <w:div w:id="2118014938">
                          <w:marLeft w:val="0"/>
                          <w:marRight w:val="0"/>
                          <w:marTop w:val="0"/>
                          <w:marBottom w:val="0"/>
                          <w:divBdr>
                            <w:top w:val="none" w:sz="0" w:space="0" w:color="auto"/>
                            <w:left w:val="none" w:sz="0" w:space="0" w:color="auto"/>
                            <w:bottom w:val="none" w:sz="0" w:space="0" w:color="auto"/>
                            <w:right w:val="none" w:sz="0" w:space="0" w:color="auto"/>
                          </w:divBdr>
                          <w:divsChild>
                            <w:div w:id="4661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105352">
      <w:bodyDiv w:val="1"/>
      <w:marLeft w:val="0"/>
      <w:marRight w:val="0"/>
      <w:marTop w:val="0"/>
      <w:marBottom w:val="0"/>
      <w:divBdr>
        <w:top w:val="none" w:sz="0" w:space="0" w:color="auto"/>
        <w:left w:val="none" w:sz="0" w:space="0" w:color="auto"/>
        <w:bottom w:val="none" w:sz="0" w:space="0" w:color="auto"/>
        <w:right w:val="none" w:sz="0" w:space="0" w:color="auto"/>
      </w:divBdr>
    </w:div>
    <w:div w:id="1807355391">
      <w:bodyDiv w:val="1"/>
      <w:marLeft w:val="0"/>
      <w:marRight w:val="0"/>
      <w:marTop w:val="0"/>
      <w:marBottom w:val="0"/>
      <w:divBdr>
        <w:top w:val="none" w:sz="0" w:space="0" w:color="auto"/>
        <w:left w:val="none" w:sz="0" w:space="0" w:color="auto"/>
        <w:bottom w:val="none" w:sz="0" w:space="0" w:color="auto"/>
        <w:right w:val="none" w:sz="0" w:space="0" w:color="auto"/>
      </w:divBdr>
    </w:div>
    <w:div w:id="1912152822">
      <w:bodyDiv w:val="1"/>
      <w:marLeft w:val="0"/>
      <w:marRight w:val="0"/>
      <w:marTop w:val="0"/>
      <w:marBottom w:val="0"/>
      <w:divBdr>
        <w:top w:val="none" w:sz="0" w:space="0" w:color="auto"/>
        <w:left w:val="none" w:sz="0" w:space="0" w:color="auto"/>
        <w:bottom w:val="none" w:sz="0" w:space="0" w:color="auto"/>
        <w:right w:val="none" w:sz="0" w:space="0" w:color="auto"/>
      </w:divBdr>
    </w:div>
    <w:div w:id="199426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child-health-development/attachment-early-years" TargetMode="External"/><Relationship Id="rId13" Type="http://schemas.openxmlformats.org/officeDocument/2006/relationships/hyperlink" Target="https://www.londonplanpubliclibrary.info/" TargetMode="External"/><Relationship Id="rId18" Type="http://schemas.openxmlformats.org/officeDocument/2006/relationships/hyperlink" Target="https://endhomelessness.org/blog/what-can-and-cant-local-government-do-to-address-homelessness/" TargetMode="External"/><Relationship Id="rId3" Type="http://schemas.openxmlformats.org/officeDocument/2006/relationships/settings" Target="settings.xml"/><Relationship Id="rId21" Type="http://schemas.openxmlformats.org/officeDocument/2006/relationships/hyperlink" Target="https://www.newham.gov.uk/housing-homes-homelessness/housing-delivery-strategy" TargetMode="External"/><Relationship Id="rId7" Type="http://schemas.openxmlformats.org/officeDocument/2006/relationships/hyperlink" Target="https://sociology.institute/introduction-to-sociology/understanding-community-definitions-sociologists/" TargetMode="External"/><Relationship Id="rId12" Type="http://schemas.openxmlformats.org/officeDocument/2006/relationships/hyperlink" Target="https://bmcpublichealth.biomedcentral.com/articles/10.1186/s12889-021-10630-1" TargetMode="External"/><Relationship Id="rId17" Type="http://schemas.openxmlformats.org/officeDocument/2006/relationships/hyperlink" Target="https://www.researchgate.net/publication/373546915_The_Role_of_Digital_Technologies_in_Building_Resilient_Communit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arliament.uk/globalassets/documents/commons/scrutiny/mhclg-slides-me2021-22.pdf" TargetMode="External"/><Relationship Id="rId20" Type="http://schemas.openxmlformats.org/officeDocument/2006/relationships/hyperlink" Target="https://journals.sagepub.com/doi/full/10.1177/00027162219944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ocal.gov.uk/introduction-localism-ac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ournals.sagepub.com/doi/10.1177/0002716221995158" TargetMode="External"/><Relationship Id="rId23" Type="http://schemas.openxmlformats.org/officeDocument/2006/relationships/hyperlink" Target="https://bmcpublichealth.biomedcentral.com/articles/10.1186/s12889-020-09224-0" TargetMode="External"/><Relationship Id="rId10" Type="http://schemas.openxmlformats.org/officeDocument/2006/relationships/hyperlink" Target="https://www.legislation.gov.uk/ukpga/1996/52/contents" TargetMode="External"/><Relationship Id="rId19" Type="http://schemas.openxmlformats.org/officeDocument/2006/relationships/hyperlink" Target="https://www.legislation.gov.uk/ukpga/1996/52/contents" TargetMode="External"/><Relationship Id="rId4" Type="http://schemas.openxmlformats.org/officeDocument/2006/relationships/webSettings" Target="webSettings.xml"/><Relationship Id="rId9" Type="http://schemas.openxmlformats.org/officeDocument/2006/relationships/hyperlink" Target="https://www.ons.gov.uk/visualisations/censuspopulationchange/E09000025/" TargetMode="External"/><Relationship Id="rId14" Type="http://schemas.openxmlformats.org/officeDocument/2006/relationships/hyperlink" Target="https://www.equalityhumanrights.com/equality/equality-act-2010" TargetMode="External"/><Relationship Id="rId22" Type="http://schemas.openxmlformats.org/officeDocument/2006/relationships/hyperlink" Target="https://www.newham.gov.uk/downloads/file/4118/homelessness-strategy-fi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3061</Words>
  <Characters>17451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Brylewicz (2112267)</dc:creator>
  <cp:keywords/>
  <dc:description/>
  <cp:lastModifiedBy>Sylwia Brylewicz (2112267)</cp:lastModifiedBy>
  <cp:revision>7</cp:revision>
  <dcterms:created xsi:type="dcterms:W3CDTF">2024-06-24T07:59:00Z</dcterms:created>
  <dcterms:modified xsi:type="dcterms:W3CDTF">2024-08-16T08:36:00Z</dcterms:modified>
</cp:coreProperties>
</file>