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18151" w14:textId="406967A4" w:rsidR="00A05366" w:rsidRDefault="796E7221" w:rsidP="42D9102E">
      <w:pPr>
        <w:rPr>
          <w:rFonts w:ascii="Times New Roman" w:hAnsi="Times New Roman" w:cs="Times New Roman"/>
          <w:b/>
          <w:bCs/>
          <w:sz w:val="32"/>
          <w:szCs w:val="32"/>
        </w:rPr>
      </w:pPr>
      <w:r w:rsidRPr="42D9102E">
        <w:rPr>
          <w:rFonts w:ascii="Times New Roman" w:hAnsi="Times New Roman" w:cs="Times New Roman"/>
          <w:b/>
          <w:bCs/>
          <w:sz w:val="32"/>
          <w:szCs w:val="32"/>
        </w:rPr>
        <w:t>ECCP7001C: As</w:t>
      </w:r>
      <w:r w:rsidR="55FD4C5D" w:rsidRPr="42D9102E">
        <w:rPr>
          <w:rFonts w:ascii="Times New Roman" w:hAnsi="Times New Roman" w:cs="Times New Roman"/>
          <w:b/>
          <w:bCs/>
          <w:sz w:val="32"/>
          <w:szCs w:val="32"/>
        </w:rPr>
        <w:t>signment</w:t>
      </w:r>
      <w:r w:rsidR="578EF96E" w:rsidRPr="42D9102E">
        <w:rPr>
          <w:rFonts w:ascii="Times New Roman" w:hAnsi="Times New Roman" w:cs="Times New Roman"/>
          <w:b/>
          <w:bCs/>
          <w:sz w:val="32"/>
          <w:szCs w:val="32"/>
        </w:rPr>
        <w:t xml:space="preserve"> 1</w:t>
      </w:r>
    </w:p>
    <w:p w14:paraId="228E1777" w14:textId="77777777" w:rsidR="001640C6" w:rsidRDefault="001640C6">
      <w:pPr>
        <w:rPr>
          <w:rFonts w:ascii="Times New Roman" w:hAnsi="Times New Roman" w:cs="Times New Roman"/>
        </w:rPr>
      </w:pPr>
    </w:p>
    <w:p w14:paraId="313C2E6F" w14:textId="77777777" w:rsidR="001640C6" w:rsidRDefault="001640C6">
      <w:pPr>
        <w:rPr>
          <w:rFonts w:ascii="Times New Roman" w:hAnsi="Times New Roman" w:cs="Times New Roman"/>
        </w:rPr>
      </w:pPr>
    </w:p>
    <w:p w14:paraId="04009142" w14:textId="7627199C" w:rsidR="001640C6" w:rsidRDefault="578EF96E" w:rsidP="42D9102E">
      <w:pPr>
        <w:jc w:val="center"/>
        <w:rPr>
          <w:rFonts w:ascii="Times New Roman" w:hAnsi="Times New Roman" w:cs="Times New Roman"/>
        </w:rPr>
      </w:pPr>
      <w:r w:rsidRPr="42D9102E">
        <w:rPr>
          <w:rFonts w:ascii="Times New Roman" w:hAnsi="Times New Roman" w:cs="Times New Roman"/>
        </w:rPr>
        <w:t>Claire Thomson Portfolio</w:t>
      </w:r>
    </w:p>
    <w:p w14:paraId="39EF0EE4" w14:textId="0DE4F2B8" w:rsidR="001640C6" w:rsidRDefault="001640C6">
      <w:pPr>
        <w:rPr>
          <w:rFonts w:ascii="Times New Roman" w:hAnsi="Times New Roman" w:cs="Times New Roman"/>
        </w:rPr>
      </w:pPr>
    </w:p>
    <w:p w14:paraId="62E917A2" w14:textId="0BF75558" w:rsidR="001640C6" w:rsidRDefault="578EF96E" w:rsidP="42D9102E">
      <w:pPr>
        <w:jc w:val="center"/>
        <w:rPr>
          <w:rFonts w:ascii="Times New Roman" w:hAnsi="Times New Roman" w:cs="Times New Roman"/>
        </w:rPr>
      </w:pPr>
      <w:r w:rsidRPr="42D9102E">
        <w:rPr>
          <w:rFonts w:ascii="Times New Roman" w:hAnsi="Times New Roman" w:cs="Times New Roman"/>
        </w:rPr>
        <w:t>Student No: 1603261</w:t>
      </w:r>
    </w:p>
    <w:p w14:paraId="6780CBFF" w14:textId="77777777" w:rsidR="001640C6" w:rsidRDefault="001640C6">
      <w:pPr>
        <w:rPr>
          <w:rFonts w:ascii="Times New Roman" w:hAnsi="Times New Roman" w:cs="Times New Roman"/>
        </w:rPr>
      </w:pPr>
    </w:p>
    <w:p w14:paraId="65CFCA84" w14:textId="77777777" w:rsidR="001640C6" w:rsidRDefault="001640C6">
      <w:pPr>
        <w:rPr>
          <w:rFonts w:ascii="Times New Roman" w:hAnsi="Times New Roman" w:cs="Times New Roman"/>
        </w:rPr>
      </w:pPr>
    </w:p>
    <w:p w14:paraId="60A5A134" w14:textId="77777777" w:rsidR="001640C6" w:rsidRDefault="001640C6">
      <w:pPr>
        <w:rPr>
          <w:rFonts w:ascii="Times New Roman" w:hAnsi="Times New Roman" w:cs="Times New Roman"/>
        </w:rPr>
      </w:pPr>
    </w:p>
    <w:p w14:paraId="4D83B69A" w14:textId="77777777" w:rsidR="001640C6" w:rsidRDefault="001640C6">
      <w:pPr>
        <w:rPr>
          <w:rFonts w:ascii="Times New Roman" w:hAnsi="Times New Roman" w:cs="Times New Roman"/>
        </w:rPr>
      </w:pPr>
    </w:p>
    <w:p w14:paraId="308FAB4C" w14:textId="77777777" w:rsidR="001640C6" w:rsidRDefault="001640C6">
      <w:pPr>
        <w:rPr>
          <w:rFonts w:ascii="Times New Roman" w:hAnsi="Times New Roman" w:cs="Times New Roman"/>
        </w:rPr>
      </w:pPr>
    </w:p>
    <w:p w14:paraId="4F35256B" w14:textId="77777777" w:rsidR="001640C6" w:rsidRDefault="001640C6">
      <w:pPr>
        <w:rPr>
          <w:rFonts w:ascii="Times New Roman" w:hAnsi="Times New Roman" w:cs="Times New Roman"/>
        </w:rPr>
      </w:pPr>
    </w:p>
    <w:p w14:paraId="492E5CE8" w14:textId="77777777" w:rsidR="001640C6" w:rsidRDefault="001640C6">
      <w:pPr>
        <w:rPr>
          <w:rFonts w:ascii="Times New Roman" w:hAnsi="Times New Roman" w:cs="Times New Roman"/>
        </w:rPr>
      </w:pPr>
    </w:p>
    <w:p w14:paraId="5F3E2347" w14:textId="77777777" w:rsidR="001640C6" w:rsidRDefault="001640C6">
      <w:pPr>
        <w:rPr>
          <w:rFonts w:ascii="Times New Roman" w:hAnsi="Times New Roman" w:cs="Times New Roman"/>
        </w:rPr>
      </w:pPr>
    </w:p>
    <w:p w14:paraId="373495FC" w14:textId="77777777" w:rsidR="001640C6" w:rsidRDefault="001640C6">
      <w:pPr>
        <w:rPr>
          <w:rFonts w:ascii="Times New Roman" w:hAnsi="Times New Roman" w:cs="Times New Roman"/>
        </w:rPr>
      </w:pPr>
    </w:p>
    <w:p w14:paraId="54F42F30" w14:textId="77777777" w:rsidR="001640C6" w:rsidRDefault="001640C6">
      <w:pPr>
        <w:rPr>
          <w:rFonts w:ascii="Times New Roman" w:hAnsi="Times New Roman" w:cs="Times New Roman"/>
        </w:rPr>
      </w:pPr>
    </w:p>
    <w:p w14:paraId="780B48D7" w14:textId="77777777" w:rsidR="001640C6" w:rsidRDefault="001640C6">
      <w:pPr>
        <w:rPr>
          <w:rFonts w:ascii="Times New Roman" w:hAnsi="Times New Roman" w:cs="Times New Roman"/>
        </w:rPr>
      </w:pPr>
    </w:p>
    <w:p w14:paraId="7B166842" w14:textId="77777777" w:rsidR="001640C6" w:rsidRDefault="001640C6">
      <w:pPr>
        <w:rPr>
          <w:rFonts w:ascii="Times New Roman" w:hAnsi="Times New Roman" w:cs="Times New Roman"/>
        </w:rPr>
      </w:pPr>
    </w:p>
    <w:p w14:paraId="1D492D28" w14:textId="77777777" w:rsidR="001640C6" w:rsidRDefault="001640C6">
      <w:pPr>
        <w:rPr>
          <w:rFonts w:ascii="Times New Roman" w:hAnsi="Times New Roman" w:cs="Times New Roman"/>
        </w:rPr>
      </w:pPr>
    </w:p>
    <w:p w14:paraId="503BAE86" w14:textId="77777777" w:rsidR="001640C6" w:rsidRDefault="001640C6">
      <w:pPr>
        <w:rPr>
          <w:rFonts w:ascii="Times New Roman" w:hAnsi="Times New Roman" w:cs="Times New Roman"/>
        </w:rPr>
      </w:pPr>
    </w:p>
    <w:p w14:paraId="3D6309F5" w14:textId="77777777" w:rsidR="001640C6" w:rsidRDefault="001640C6">
      <w:pPr>
        <w:rPr>
          <w:rFonts w:ascii="Times New Roman" w:hAnsi="Times New Roman" w:cs="Times New Roman"/>
        </w:rPr>
      </w:pPr>
    </w:p>
    <w:p w14:paraId="5F65AC18" w14:textId="77777777" w:rsidR="001640C6" w:rsidRDefault="001640C6">
      <w:pPr>
        <w:rPr>
          <w:rFonts w:ascii="Times New Roman" w:hAnsi="Times New Roman" w:cs="Times New Roman"/>
        </w:rPr>
      </w:pPr>
    </w:p>
    <w:p w14:paraId="306F60BA" w14:textId="77777777" w:rsidR="001640C6" w:rsidRDefault="001640C6">
      <w:pPr>
        <w:rPr>
          <w:rFonts w:ascii="Times New Roman" w:hAnsi="Times New Roman" w:cs="Times New Roman"/>
        </w:rPr>
      </w:pPr>
    </w:p>
    <w:p w14:paraId="65FDBF53" w14:textId="77777777" w:rsidR="001640C6" w:rsidRDefault="001640C6">
      <w:pPr>
        <w:rPr>
          <w:rFonts w:ascii="Times New Roman" w:hAnsi="Times New Roman" w:cs="Times New Roman"/>
        </w:rPr>
      </w:pPr>
    </w:p>
    <w:p w14:paraId="1FF7B821" w14:textId="77777777" w:rsidR="001640C6" w:rsidRDefault="001640C6">
      <w:pPr>
        <w:rPr>
          <w:rFonts w:ascii="Times New Roman" w:hAnsi="Times New Roman" w:cs="Times New Roman"/>
        </w:rPr>
      </w:pPr>
    </w:p>
    <w:p w14:paraId="544025AF" w14:textId="77777777" w:rsidR="001640C6" w:rsidRDefault="001640C6">
      <w:pPr>
        <w:rPr>
          <w:rFonts w:ascii="Times New Roman" w:hAnsi="Times New Roman" w:cs="Times New Roman"/>
        </w:rPr>
      </w:pPr>
    </w:p>
    <w:p w14:paraId="64B446D0" w14:textId="77777777" w:rsidR="001640C6" w:rsidRDefault="001640C6">
      <w:pPr>
        <w:rPr>
          <w:rFonts w:ascii="Times New Roman" w:hAnsi="Times New Roman" w:cs="Times New Roman"/>
        </w:rPr>
      </w:pPr>
    </w:p>
    <w:p w14:paraId="67A375FB" w14:textId="77777777" w:rsidR="001640C6" w:rsidRDefault="001640C6">
      <w:pPr>
        <w:rPr>
          <w:rFonts w:ascii="Times New Roman" w:hAnsi="Times New Roman" w:cs="Times New Roman"/>
        </w:rPr>
      </w:pPr>
    </w:p>
    <w:p w14:paraId="573F90BD" w14:textId="77777777" w:rsidR="001640C6" w:rsidRDefault="001640C6">
      <w:pPr>
        <w:rPr>
          <w:rFonts w:ascii="Times New Roman" w:hAnsi="Times New Roman" w:cs="Times New Roman"/>
        </w:rPr>
      </w:pPr>
    </w:p>
    <w:p w14:paraId="7716A6AA" w14:textId="77777777" w:rsidR="001640C6" w:rsidRDefault="001640C6">
      <w:pPr>
        <w:rPr>
          <w:rFonts w:ascii="Times New Roman" w:hAnsi="Times New Roman" w:cs="Times New Roman"/>
        </w:rPr>
      </w:pPr>
    </w:p>
    <w:bookmarkStart w:id="0" w:name="_Toc1474636540" w:displacedByCustomXml="next"/>
    <w:sdt>
      <w:sdtPr>
        <w:rPr>
          <w:rFonts w:asciiTheme="minorHAnsi" w:eastAsiaTheme="minorEastAsia" w:hAnsiTheme="minorHAnsi" w:cstheme="minorBidi"/>
          <w:color w:val="auto"/>
          <w:kern w:val="2"/>
          <w:sz w:val="24"/>
          <w:szCs w:val="24"/>
          <w:lang w:val="en-GB" w:eastAsia="zh-CN"/>
          <w14:ligatures w14:val="standardContextual"/>
        </w:rPr>
        <w:id w:val="1111663723"/>
        <w:docPartObj>
          <w:docPartGallery w:val="Table of Contents"/>
          <w:docPartUnique/>
        </w:docPartObj>
      </w:sdtPr>
      <w:sdtEndPr/>
      <w:sdtContent>
        <w:p w14:paraId="03A84C15" w14:textId="4800B858" w:rsidR="001640C6" w:rsidRPr="006C01BC" w:rsidRDefault="001640C6" w:rsidP="00A80B34">
          <w:pPr>
            <w:pStyle w:val="TOCHeading"/>
            <w:jc w:val="center"/>
            <w:rPr>
              <w:rStyle w:val="Heading1Char"/>
              <w:rFonts w:ascii="Times New Roman" w:hAnsi="Times New Roman" w:cs="Times New Roman"/>
              <w:b/>
              <w:bCs/>
              <w:color w:val="auto"/>
              <w:sz w:val="28"/>
              <w:szCs w:val="28"/>
            </w:rPr>
          </w:pPr>
          <w:r w:rsidRPr="006C01BC">
            <w:rPr>
              <w:rStyle w:val="Heading1Char"/>
              <w:rFonts w:ascii="Times New Roman" w:hAnsi="Times New Roman" w:cs="Times New Roman"/>
              <w:b/>
              <w:bCs/>
              <w:color w:val="auto"/>
              <w:sz w:val="28"/>
              <w:szCs w:val="28"/>
            </w:rPr>
            <w:t>Table of Contents</w:t>
          </w:r>
          <w:bookmarkEnd w:id="0"/>
        </w:p>
        <w:p w14:paraId="3EC132E7" w14:textId="77777777" w:rsidR="00EC53B9" w:rsidRPr="00EC53B9" w:rsidRDefault="00EC53B9" w:rsidP="00EC53B9">
          <w:pPr>
            <w:rPr>
              <w:lang w:val="en-US" w:eastAsia="en-US"/>
            </w:rPr>
          </w:pPr>
        </w:p>
        <w:p w14:paraId="22365452" w14:textId="2FFADF70" w:rsidR="008A480C" w:rsidRDefault="42D9102E" w:rsidP="42D9102E">
          <w:pPr>
            <w:pStyle w:val="TOC1"/>
            <w:tabs>
              <w:tab w:val="right" w:leader="dot" w:pos="9015"/>
            </w:tabs>
            <w:rPr>
              <w:rStyle w:val="Hyperlink"/>
              <w:noProof/>
            </w:rPr>
          </w:pPr>
          <w:r>
            <w:fldChar w:fldCharType="begin"/>
          </w:r>
          <w:r w:rsidR="001640C6">
            <w:instrText>TOC \o "1-3" \z \u \h</w:instrText>
          </w:r>
          <w:r>
            <w:fldChar w:fldCharType="separate"/>
          </w:r>
          <w:hyperlink w:anchor="_Toc1474636540">
            <w:r w:rsidRPr="42D9102E">
              <w:rPr>
                <w:rStyle w:val="Hyperlink"/>
              </w:rPr>
              <w:t>Table of Contents</w:t>
            </w:r>
            <w:r w:rsidR="001640C6">
              <w:tab/>
            </w:r>
            <w:r w:rsidR="001640C6">
              <w:fldChar w:fldCharType="begin"/>
            </w:r>
            <w:r w:rsidR="001640C6">
              <w:instrText>PAGEREF _Toc1474636540 \h</w:instrText>
            </w:r>
            <w:r w:rsidR="001640C6">
              <w:fldChar w:fldCharType="separate"/>
            </w:r>
            <w:r w:rsidRPr="42D9102E">
              <w:rPr>
                <w:rStyle w:val="Hyperlink"/>
              </w:rPr>
              <w:t>2</w:t>
            </w:r>
            <w:r w:rsidR="001640C6">
              <w:fldChar w:fldCharType="end"/>
            </w:r>
          </w:hyperlink>
        </w:p>
        <w:p w14:paraId="194D8CA8" w14:textId="1C27695B" w:rsidR="008A480C" w:rsidRDefault="42D9102E" w:rsidP="42D9102E">
          <w:pPr>
            <w:pStyle w:val="TOC1"/>
            <w:tabs>
              <w:tab w:val="right" w:leader="dot" w:pos="9015"/>
            </w:tabs>
            <w:rPr>
              <w:rStyle w:val="Hyperlink"/>
              <w:noProof/>
            </w:rPr>
          </w:pPr>
          <w:hyperlink w:anchor="_Toc2141468044">
            <w:r w:rsidRPr="42D9102E">
              <w:rPr>
                <w:rStyle w:val="Hyperlink"/>
              </w:rPr>
              <w:t>Acronyms</w:t>
            </w:r>
            <w:r w:rsidR="008A480C">
              <w:tab/>
            </w:r>
            <w:r w:rsidR="008A480C">
              <w:fldChar w:fldCharType="begin"/>
            </w:r>
            <w:r w:rsidR="008A480C">
              <w:instrText>PAGEREF _Toc2141468044 \h</w:instrText>
            </w:r>
            <w:r w:rsidR="008A480C">
              <w:fldChar w:fldCharType="separate"/>
            </w:r>
            <w:r w:rsidRPr="42D9102E">
              <w:rPr>
                <w:rStyle w:val="Hyperlink"/>
              </w:rPr>
              <w:t>2</w:t>
            </w:r>
            <w:r w:rsidR="008A480C">
              <w:fldChar w:fldCharType="end"/>
            </w:r>
          </w:hyperlink>
        </w:p>
        <w:p w14:paraId="4F19CBB8" w14:textId="033579AF" w:rsidR="008A480C" w:rsidRDefault="42D9102E" w:rsidP="42D9102E">
          <w:pPr>
            <w:pStyle w:val="TOC1"/>
            <w:tabs>
              <w:tab w:val="right" w:leader="dot" w:pos="9015"/>
            </w:tabs>
            <w:rPr>
              <w:rStyle w:val="Hyperlink"/>
              <w:noProof/>
            </w:rPr>
          </w:pPr>
          <w:hyperlink w:anchor="_Toc714364533">
            <w:r w:rsidRPr="42D9102E">
              <w:rPr>
                <w:rStyle w:val="Hyperlink"/>
              </w:rPr>
              <w:t>Personal Development Plan/Learning Plan</w:t>
            </w:r>
            <w:r w:rsidR="008A480C">
              <w:tab/>
            </w:r>
            <w:r w:rsidR="008A480C">
              <w:fldChar w:fldCharType="begin"/>
            </w:r>
            <w:r w:rsidR="008A480C">
              <w:instrText>PAGEREF _Toc714364533 \h</w:instrText>
            </w:r>
            <w:r w:rsidR="008A480C">
              <w:fldChar w:fldCharType="separate"/>
            </w:r>
            <w:r w:rsidRPr="42D9102E">
              <w:rPr>
                <w:rStyle w:val="Hyperlink"/>
              </w:rPr>
              <w:t>3</w:t>
            </w:r>
            <w:r w:rsidR="008A480C">
              <w:fldChar w:fldCharType="end"/>
            </w:r>
          </w:hyperlink>
        </w:p>
        <w:p w14:paraId="2BA91EA6" w14:textId="4EA11D3C" w:rsidR="008A480C" w:rsidRDefault="42D9102E" w:rsidP="42D9102E">
          <w:pPr>
            <w:pStyle w:val="TOC1"/>
            <w:tabs>
              <w:tab w:val="right" w:leader="dot" w:pos="9015"/>
            </w:tabs>
            <w:rPr>
              <w:rStyle w:val="Hyperlink"/>
              <w:noProof/>
            </w:rPr>
          </w:pPr>
          <w:hyperlink w:anchor="_Toc2096754528">
            <w:r w:rsidRPr="42D9102E">
              <w:rPr>
                <w:rStyle w:val="Hyperlink"/>
              </w:rPr>
              <w:t>Concept Map</w:t>
            </w:r>
            <w:r w:rsidR="008A480C">
              <w:tab/>
            </w:r>
            <w:r w:rsidR="008A480C">
              <w:fldChar w:fldCharType="begin"/>
            </w:r>
            <w:r w:rsidR="008A480C">
              <w:instrText>PAGEREF _Toc2096754528 \h</w:instrText>
            </w:r>
            <w:r w:rsidR="008A480C">
              <w:fldChar w:fldCharType="separate"/>
            </w:r>
            <w:r w:rsidRPr="42D9102E">
              <w:rPr>
                <w:rStyle w:val="Hyperlink"/>
              </w:rPr>
              <w:t>7</w:t>
            </w:r>
            <w:r w:rsidR="008A480C">
              <w:fldChar w:fldCharType="end"/>
            </w:r>
          </w:hyperlink>
        </w:p>
        <w:p w14:paraId="120980C0" w14:textId="5D337F55" w:rsidR="008A480C" w:rsidRDefault="42D9102E" w:rsidP="42D9102E">
          <w:pPr>
            <w:pStyle w:val="TOC1"/>
            <w:tabs>
              <w:tab w:val="right" w:leader="dot" w:pos="9015"/>
            </w:tabs>
            <w:rPr>
              <w:rStyle w:val="Hyperlink"/>
              <w:noProof/>
            </w:rPr>
          </w:pPr>
          <w:hyperlink w:anchor="_Toc1147369055">
            <w:r w:rsidRPr="42D9102E">
              <w:rPr>
                <w:rStyle w:val="Hyperlink"/>
              </w:rPr>
              <w:t>Analysis of Concept Map</w:t>
            </w:r>
            <w:r w:rsidR="008A480C">
              <w:tab/>
            </w:r>
            <w:r w:rsidR="008A480C">
              <w:fldChar w:fldCharType="begin"/>
            </w:r>
            <w:r w:rsidR="008A480C">
              <w:instrText>PAGEREF _Toc1147369055 \h</w:instrText>
            </w:r>
            <w:r w:rsidR="008A480C">
              <w:fldChar w:fldCharType="separate"/>
            </w:r>
            <w:r w:rsidRPr="42D9102E">
              <w:rPr>
                <w:rStyle w:val="Hyperlink"/>
              </w:rPr>
              <w:t>8</w:t>
            </w:r>
            <w:r w:rsidR="008A480C">
              <w:fldChar w:fldCharType="end"/>
            </w:r>
          </w:hyperlink>
        </w:p>
        <w:p w14:paraId="119D134E" w14:textId="3B146EE2" w:rsidR="008A480C" w:rsidRDefault="42D9102E" w:rsidP="42D9102E">
          <w:pPr>
            <w:pStyle w:val="TOC1"/>
            <w:tabs>
              <w:tab w:val="right" w:leader="dot" w:pos="9015"/>
            </w:tabs>
            <w:rPr>
              <w:rStyle w:val="Hyperlink"/>
              <w:noProof/>
            </w:rPr>
          </w:pPr>
          <w:hyperlink w:anchor="_Toc2000620511">
            <w:r w:rsidRPr="42D9102E">
              <w:rPr>
                <w:rStyle w:val="Hyperlink"/>
              </w:rPr>
              <w:t>Case Study</w:t>
            </w:r>
            <w:r w:rsidR="008A480C">
              <w:tab/>
            </w:r>
            <w:r w:rsidR="008A480C">
              <w:fldChar w:fldCharType="begin"/>
            </w:r>
            <w:r w:rsidR="008A480C">
              <w:instrText>PAGEREF _Toc2000620511 \h</w:instrText>
            </w:r>
            <w:r w:rsidR="008A480C">
              <w:fldChar w:fldCharType="separate"/>
            </w:r>
            <w:r w:rsidRPr="42D9102E">
              <w:rPr>
                <w:rStyle w:val="Hyperlink"/>
              </w:rPr>
              <w:t>13</w:t>
            </w:r>
            <w:r w:rsidR="008A480C">
              <w:fldChar w:fldCharType="end"/>
            </w:r>
          </w:hyperlink>
        </w:p>
        <w:p w14:paraId="32B8B381" w14:textId="430045FA" w:rsidR="42D9102E" w:rsidRDefault="42D9102E" w:rsidP="42D9102E">
          <w:pPr>
            <w:pStyle w:val="TOC1"/>
            <w:tabs>
              <w:tab w:val="right" w:leader="dot" w:pos="9015"/>
            </w:tabs>
            <w:rPr>
              <w:rStyle w:val="Hyperlink"/>
            </w:rPr>
          </w:pPr>
          <w:hyperlink w:anchor="_Toc390645858">
            <w:r w:rsidRPr="42D9102E">
              <w:rPr>
                <w:rStyle w:val="Hyperlink"/>
              </w:rPr>
              <w:t>Reflection</w:t>
            </w:r>
            <w:r>
              <w:tab/>
            </w:r>
            <w:r>
              <w:fldChar w:fldCharType="begin"/>
            </w:r>
            <w:r>
              <w:instrText>PAGEREF _Toc390645858 \h</w:instrText>
            </w:r>
            <w:r>
              <w:fldChar w:fldCharType="separate"/>
            </w:r>
            <w:r w:rsidRPr="42D9102E">
              <w:rPr>
                <w:rStyle w:val="Hyperlink"/>
              </w:rPr>
              <w:t>18</w:t>
            </w:r>
            <w:r>
              <w:fldChar w:fldCharType="end"/>
            </w:r>
          </w:hyperlink>
        </w:p>
        <w:p w14:paraId="298D08C7" w14:textId="3C04449A" w:rsidR="42D9102E" w:rsidRDefault="42D9102E" w:rsidP="42D9102E">
          <w:pPr>
            <w:pStyle w:val="TOC1"/>
            <w:tabs>
              <w:tab w:val="right" w:leader="dot" w:pos="9015"/>
            </w:tabs>
            <w:rPr>
              <w:rStyle w:val="Hyperlink"/>
            </w:rPr>
          </w:pPr>
          <w:hyperlink w:anchor="_Toc1383052651">
            <w:r w:rsidRPr="42D9102E">
              <w:rPr>
                <w:rStyle w:val="Hyperlink"/>
              </w:rPr>
              <w:t>References</w:t>
            </w:r>
            <w:r>
              <w:tab/>
            </w:r>
            <w:r>
              <w:fldChar w:fldCharType="begin"/>
            </w:r>
            <w:r>
              <w:instrText>PAGEREF _Toc1383052651 \h</w:instrText>
            </w:r>
            <w:r>
              <w:fldChar w:fldCharType="separate"/>
            </w:r>
            <w:r w:rsidRPr="42D9102E">
              <w:rPr>
                <w:rStyle w:val="Hyperlink"/>
              </w:rPr>
              <w:t>23</w:t>
            </w:r>
            <w:r>
              <w:fldChar w:fldCharType="end"/>
            </w:r>
          </w:hyperlink>
          <w:r>
            <w:fldChar w:fldCharType="end"/>
          </w:r>
        </w:p>
      </w:sdtContent>
    </w:sdt>
    <w:p w14:paraId="6A7B6C43" w14:textId="51FA4ABC" w:rsidR="001640C6" w:rsidRDefault="001640C6"/>
    <w:p w14:paraId="0B9FE925" w14:textId="77777777" w:rsidR="001640C6" w:rsidRDefault="001640C6">
      <w:pPr>
        <w:rPr>
          <w:rFonts w:ascii="Times New Roman" w:hAnsi="Times New Roman" w:cs="Times New Roman"/>
        </w:rPr>
      </w:pPr>
    </w:p>
    <w:p w14:paraId="18B7BA54" w14:textId="6ECDB427" w:rsidR="70D0CA2A" w:rsidRDefault="70D0CA2A" w:rsidP="70D0CA2A">
      <w:pPr>
        <w:rPr>
          <w:rFonts w:ascii="Times New Roman" w:hAnsi="Times New Roman" w:cs="Times New Roman"/>
        </w:rPr>
      </w:pPr>
    </w:p>
    <w:p w14:paraId="479D7BCD" w14:textId="598F38E1" w:rsidR="70D0CA2A" w:rsidRDefault="70D0CA2A" w:rsidP="70D0CA2A">
      <w:pPr>
        <w:rPr>
          <w:rFonts w:ascii="Times New Roman" w:hAnsi="Times New Roman" w:cs="Times New Roman"/>
        </w:rPr>
      </w:pPr>
    </w:p>
    <w:p w14:paraId="7D8C2AD1" w14:textId="228C1808" w:rsidR="70D0CA2A" w:rsidRDefault="70D0CA2A" w:rsidP="70D0CA2A">
      <w:pPr>
        <w:rPr>
          <w:rFonts w:ascii="Times New Roman" w:hAnsi="Times New Roman" w:cs="Times New Roman"/>
        </w:rPr>
      </w:pPr>
    </w:p>
    <w:p w14:paraId="40AD09BD" w14:textId="23175D0B" w:rsidR="70D0CA2A" w:rsidRDefault="70D0CA2A" w:rsidP="70D0CA2A">
      <w:pPr>
        <w:rPr>
          <w:rFonts w:ascii="Times New Roman" w:hAnsi="Times New Roman" w:cs="Times New Roman"/>
        </w:rPr>
      </w:pPr>
    </w:p>
    <w:p w14:paraId="089A6FBB" w14:textId="487BC4C0" w:rsidR="70D0CA2A" w:rsidRDefault="70D0CA2A" w:rsidP="70D0CA2A">
      <w:pPr>
        <w:rPr>
          <w:rFonts w:ascii="Times New Roman" w:hAnsi="Times New Roman" w:cs="Times New Roman"/>
        </w:rPr>
      </w:pPr>
    </w:p>
    <w:p w14:paraId="15B18063" w14:textId="35668484" w:rsidR="70D0CA2A" w:rsidRDefault="70D0CA2A" w:rsidP="70D0CA2A">
      <w:pPr>
        <w:rPr>
          <w:rFonts w:ascii="Times New Roman" w:hAnsi="Times New Roman" w:cs="Times New Roman"/>
        </w:rPr>
      </w:pPr>
    </w:p>
    <w:p w14:paraId="2EEE8E44" w14:textId="71244C21" w:rsidR="70D0CA2A" w:rsidRDefault="70D0CA2A" w:rsidP="70D0CA2A">
      <w:pPr>
        <w:rPr>
          <w:rFonts w:ascii="Times New Roman" w:hAnsi="Times New Roman" w:cs="Times New Roman"/>
        </w:rPr>
      </w:pPr>
    </w:p>
    <w:p w14:paraId="0D8AF284" w14:textId="73287521" w:rsidR="70D0CA2A" w:rsidRDefault="70D0CA2A" w:rsidP="70D0CA2A">
      <w:pPr>
        <w:rPr>
          <w:rFonts w:ascii="Times New Roman" w:hAnsi="Times New Roman" w:cs="Times New Roman"/>
        </w:rPr>
      </w:pPr>
    </w:p>
    <w:p w14:paraId="346109C5" w14:textId="4EC5EB9B" w:rsidR="70D0CA2A" w:rsidRDefault="70D0CA2A" w:rsidP="70D0CA2A">
      <w:pPr>
        <w:rPr>
          <w:rFonts w:ascii="Times New Roman" w:hAnsi="Times New Roman" w:cs="Times New Roman"/>
        </w:rPr>
      </w:pPr>
    </w:p>
    <w:p w14:paraId="355282FF" w14:textId="01A93CDE" w:rsidR="70D0CA2A" w:rsidRDefault="70D0CA2A" w:rsidP="70D0CA2A">
      <w:pPr>
        <w:rPr>
          <w:rFonts w:ascii="Times New Roman" w:hAnsi="Times New Roman" w:cs="Times New Roman"/>
        </w:rPr>
      </w:pPr>
    </w:p>
    <w:p w14:paraId="263DFF70" w14:textId="4978E604" w:rsidR="70D0CA2A" w:rsidRDefault="70D0CA2A" w:rsidP="70D0CA2A">
      <w:pPr>
        <w:rPr>
          <w:rFonts w:ascii="Times New Roman" w:hAnsi="Times New Roman" w:cs="Times New Roman"/>
        </w:rPr>
      </w:pPr>
    </w:p>
    <w:p w14:paraId="2397AB4B" w14:textId="05E7730B" w:rsidR="70D0CA2A" w:rsidRDefault="70D0CA2A" w:rsidP="70D0CA2A">
      <w:pPr>
        <w:rPr>
          <w:rFonts w:ascii="Times New Roman" w:hAnsi="Times New Roman" w:cs="Times New Roman"/>
        </w:rPr>
      </w:pPr>
    </w:p>
    <w:p w14:paraId="64FC2044" w14:textId="60BFF398" w:rsidR="70D0CA2A" w:rsidRDefault="70D0CA2A" w:rsidP="70D0CA2A">
      <w:pPr>
        <w:rPr>
          <w:rFonts w:ascii="Times New Roman" w:hAnsi="Times New Roman" w:cs="Times New Roman"/>
        </w:rPr>
      </w:pPr>
    </w:p>
    <w:p w14:paraId="0E2CF33C" w14:textId="770D449A" w:rsidR="70D0CA2A" w:rsidRDefault="70D0CA2A" w:rsidP="70D0CA2A">
      <w:pPr>
        <w:rPr>
          <w:rFonts w:ascii="Times New Roman" w:hAnsi="Times New Roman" w:cs="Times New Roman"/>
        </w:rPr>
      </w:pPr>
    </w:p>
    <w:p w14:paraId="1E449B0D" w14:textId="5B729143" w:rsidR="70D0CA2A" w:rsidRDefault="70D0CA2A" w:rsidP="70D0CA2A">
      <w:pPr>
        <w:rPr>
          <w:rFonts w:ascii="Times New Roman" w:hAnsi="Times New Roman" w:cs="Times New Roman"/>
        </w:rPr>
      </w:pPr>
    </w:p>
    <w:p w14:paraId="3BACC0C8" w14:textId="4C10A53D" w:rsidR="70D0CA2A" w:rsidRDefault="70D0CA2A" w:rsidP="70D0CA2A">
      <w:pPr>
        <w:rPr>
          <w:rFonts w:ascii="Times New Roman" w:hAnsi="Times New Roman" w:cs="Times New Roman"/>
        </w:rPr>
      </w:pPr>
    </w:p>
    <w:p w14:paraId="3CEEBF79" w14:textId="720830C5" w:rsidR="70D0CA2A" w:rsidRDefault="70D0CA2A" w:rsidP="70D0CA2A">
      <w:pPr>
        <w:rPr>
          <w:rFonts w:ascii="Times New Roman" w:hAnsi="Times New Roman" w:cs="Times New Roman"/>
        </w:rPr>
      </w:pPr>
    </w:p>
    <w:p w14:paraId="37CF4F90" w14:textId="762F6EE9" w:rsidR="70D0CA2A" w:rsidRDefault="70D0CA2A" w:rsidP="70D0CA2A">
      <w:pPr>
        <w:rPr>
          <w:rFonts w:ascii="Times New Roman" w:hAnsi="Times New Roman" w:cs="Times New Roman"/>
        </w:rPr>
      </w:pPr>
    </w:p>
    <w:p w14:paraId="482789A7" w14:textId="4B0843B8" w:rsidR="6BC2ACC7" w:rsidRPr="006C01BC" w:rsidRDefault="6BC2ACC7" w:rsidP="70D0CA2A">
      <w:pPr>
        <w:pStyle w:val="Heading1"/>
        <w:jc w:val="center"/>
        <w:rPr>
          <w:rFonts w:ascii="Times New Roman" w:eastAsia="Times New Roman" w:hAnsi="Times New Roman" w:cs="Times New Roman"/>
          <w:b/>
          <w:bCs/>
          <w:color w:val="auto"/>
          <w:sz w:val="28"/>
          <w:szCs w:val="28"/>
        </w:rPr>
      </w:pPr>
      <w:bookmarkStart w:id="1" w:name="_Toc2141468044"/>
      <w:r w:rsidRPr="006C01BC">
        <w:rPr>
          <w:rFonts w:ascii="Times New Roman" w:eastAsia="Times New Roman" w:hAnsi="Times New Roman" w:cs="Times New Roman"/>
          <w:b/>
          <w:bCs/>
          <w:color w:val="auto"/>
          <w:sz w:val="28"/>
          <w:szCs w:val="28"/>
        </w:rPr>
        <w:t>Acronyms</w:t>
      </w:r>
      <w:bookmarkEnd w:id="1"/>
    </w:p>
    <w:p w14:paraId="2F77B4ED" w14:textId="5CB4B394" w:rsidR="420A028B" w:rsidRDefault="420A028B" w:rsidP="42D9102E">
      <w:pPr>
        <w:rPr>
          <w:rFonts w:ascii="Times New Roman" w:eastAsia="Times New Roman" w:hAnsi="Times New Roman" w:cs="Times New Roman"/>
        </w:rPr>
      </w:pPr>
      <w:r w:rsidRPr="42D9102E">
        <w:rPr>
          <w:rFonts w:ascii="Times New Roman" w:eastAsia="Times New Roman" w:hAnsi="Times New Roman" w:cs="Times New Roman"/>
        </w:rPr>
        <w:t>AA - Appropriate Adult</w:t>
      </w:r>
    </w:p>
    <w:p w14:paraId="6D60C471" w14:textId="585F2EF8" w:rsidR="420A028B" w:rsidRDefault="420A028B" w:rsidP="42D9102E">
      <w:pPr>
        <w:rPr>
          <w:rFonts w:ascii="Times New Roman" w:eastAsia="Times New Roman" w:hAnsi="Times New Roman" w:cs="Times New Roman"/>
        </w:rPr>
      </w:pPr>
      <w:r w:rsidRPr="42D9102E">
        <w:rPr>
          <w:rFonts w:ascii="Times New Roman" w:eastAsia="Times New Roman" w:hAnsi="Times New Roman" w:cs="Times New Roman"/>
        </w:rPr>
        <w:t>ACE`s</w:t>
      </w:r>
      <w:r w:rsidR="15528DBE" w:rsidRPr="42D9102E">
        <w:rPr>
          <w:rFonts w:ascii="Times New Roman" w:eastAsia="Times New Roman" w:hAnsi="Times New Roman" w:cs="Times New Roman"/>
        </w:rPr>
        <w:t xml:space="preserve"> - Adverse </w:t>
      </w:r>
      <w:r w:rsidR="6021AE2D" w:rsidRPr="42D9102E">
        <w:rPr>
          <w:rFonts w:ascii="Times New Roman" w:eastAsia="Times New Roman" w:hAnsi="Times New Roman" w:cs="Times New Roman"/>
        </w:rPr>
        <w:t>C</w:t>
      </w:r>
      <w:r w:rsidR="15528DBE" w:rsidRPr="42D9102E">
        <w:rPr>
          <w:rFonts w:ascii="Times New Roman" w:eastAsia="Times New Roman" w:hAnsi="Times New Roman" w:cs="Times New Roman"/>
        </w:rPr>
        <w:t xml:space="preserve">hildhood </w:t>
      </w:r>
      <w:r w:rsidR="317C4A45" w:rsidRPr="42D9102E">
        <w:rPr>
          <w:rFonts w:ascii="Times New Roman" w:eastAsia="Times New Roman" w:hAnsi="Times New Roman" w:cs="Times New Roman"/>
        </w:rPr>
        <w:t>E</w:t>
      </w:r>
      <w:r w:rsidR="15528DBE" w:rsidRPr="42D9102E">
        <w:rPr>
          <w:rFonts w:ascii="Times New Roman" w:eastAsia="Times New Roman" w:hAnsi="Times New Roman" w:cs="Times New Roman"/>
        </w:rPr>
        <w:t>xperiences</w:t>
      </w:r>
      <w:r w:rsidR="5B3AF9DB" w:rsidRPr="42D9102E">
        <w:rPr>
          <w:rFonts w:ascii="Times New Roman" w:eastAsia="Times New Roman" w:hAnsi="Times New Roman" w:cs="Times New Roman"/>
        </w:rPr>
        <w:t xml:space="preserve"> </w:t>
      </w:r>
    </w:p>
    <w:p w14:paraId="748D4689" w14:textId="750FD3FB" w:rsidR="70D0CA2A" w:rsidRDefault="15E414E7" w:rsidP="42D9102E">
      <w:pPr>
        <w:rPr>
          <w:rFonts w:ascii="Times New Roman" w:eastAsia="Times New Roman" w:hAnsi="Times New Roman" w:cs="Times New Roman"/>
        </w:rPr>
      </w:pPr>
      <w:r w:rsidRPr="42D9102E">
        <w:rPr>
          <w:rFonts w:ascii="Times New Roman" w:eastAsia="Times New Roman" w:hAnsi="Times New Roman" w:cs="Times New Roman"/>
        </w:rPr>
        <w:t>PACE</w:t>
      </w:r>
      <w:r w:rsidR="781A23EF" w:rsidRPr="42D9102E">
        <w:rPr>
          <w:rFonts w:ascii="Times New Roman" w:eastAsia="Times New Roman" w:hAnsi="Times New Roman" w:cs="Times New Roman"/>
        </w:rPr>
        <w:t xml:space="preserve"> - Police </w:t>
      </w:r>
      <w:r w:rsidR="539081FA" w:rsidRPr="42D9102E">
        <w:rPr>
          <w:rFonts w:ascii="Times New Roman" w:eastAsia="Times New Roman" w:hAnsi="Times New Roman" w:cs="Times New Roman"/>
        </w:rPr>
        <w:t>and</w:t>
      </w:r>
      <w:r w:rsidR="781A23EF" w:rsidRPr="42D9102E">
        <w:rPr>
          <w:rFonts w:ascii="Times New Roman" w:eastAsia="Times New Roman" w:hAnsi="Times New Roman" w:cs="Times New Roman"/>
        </w:rPr>
        <w:t xml:space="preserve"> Criminal Evidence</w:t>
      </w:r>
    </w:p>
    <w:p w14:paraId="17467F68" w14:textId="4D84C914" w:rsidR="6BC2ACC7" w:rsidRDefault="6BC2ACC7" w:rsidP="42D9102E">
      <w:pPr>
        <w:rPr>
          <w:rFonts w:ascii="Times New Roman" w:eastAsia="Times New Roman" w:hAnsi="Times New Roman" w:cs="Times New Roman"/>
        </w:rPr>
      </w:pPr>
      <w:r w:rsidRPr="42D9102E">
        <w:rPr>
          <w:rFonts w:ascii="Times New Roman" w:eastAsia="Times New Roman" w:hAnsi="Times New Roman" w:cs="Times New Roman"/>
        </w:rPr>
        <w:t>NAAN</w:t>
      </w:r>
      <w:r w:rsidR="50F601B5" w:rsidRPr="42D9102E">
        <w:rPr>
          <w:rFonts w:ascii="Times New Roman" w:eastAsia="Times New Roman" w:hAnsi="Times New Roman" w:cs="Times New Roman"/>
        </w:rPr>
        <w:t xml:space="preserve"> – National Appropriate Adult Network</w:t>
      </w:r>
    </w:p>
    <w:p w14:paraId="1BFDD12D" w14:textId="69FD62F6" w:rsidR="6BC2ACC7" w:rsidRDefault="6BC2ACC7" w:rsidP="42D9102E">
      <w:pPr>
        <w:rPr>
          <w:rFonts w:ascii="Times New Roman" w:eastAsia="Times New Roman" w:hAnsi="Times New Roman" w:cs="Times New Roman"/>
        </w:rPr>
      </w:pPr>
      <w:r w:rsidRPr="42D9102E">
        <w:rPr>
          <w:rFonts w:ascii="Times New Roman" w:eastAsia="Times New Roman" w:hAnsi="Times New Roman" w:cs="Times New Roman"/>
        </w:rPr>
        <w:t>YJB</w:t>
      </w:r>
      <w:r w:rsidR="14AA3375" w:rsidRPr="42D9102E">
        <w:rPr>
          <w:rFonts w:ascii="Times New Roman" w:eastAsia="Times New Roman" w:hAnsi="Times New Roman" w:cs="Times New Roman"/>
        </w:rPr>
        <w:t xml:space="preserve"> – Youth Justice Board</w:t>
      </w:r>
    </w:p>
    <w:p w14:paraId="48C6631C" w14:textId="79101F64" w:rsidR="14AA3375" w:rsidRDefault="14AA3375" w:rsidP="42D9102E">
      <w:pPr>
        <w:rPr>
          <w:rFonts w:ascii="Times New Roman" w:eastAsia="Times New Roman" w:hAnsi="Times New Roman" w:cs="Times New Roman"/>
        </w:rPr>
      </w:pPr>
      <w:r w:rsidRPr="42D9102E">
        <w:rPr>
          <w:rFonts w:ascii="Times New Roman" w:eastAsia="Times New Roman" w:hAnsi="Times New Roman" w:cs="Times New Roman"/>
        </w:rPr>
        <w:t>CCE – Child Criminal Exploitation</w:t>
      </w:r>
    </w:p>
    <w:p w14:paraId="4B456F78" w14:textId="69B3AF16" w:rsidR="59DE3742" w:rsidRDefault="59DE3742" w:rsidP="70D0CA2A">
      <w:pPr>
        <w:sectPr w:rsidR="59DE3742">
          <w:headerReference w:type="default" r:id="rId11"/>
          <w:footerReference w:type="default" r:id="rId12"/>
          <w:pgSz w:w="11906" w:h="16838"/>
          <w:pgMar w:top="1440" w:right="1440" w:bottom="1440" w:left="1440" w:header="708" w:footer="708" w:gutter="0"/>
          <w:cols w:space="708"/>
          <w:docGrid w:linePitch="360"/>
        </w:sectPr>
      </w:pPr>
    </w:p>
    <w:p w14:paraId="6035E19E" w14:textId="6849AEF9" w:rsidR="00A05366" w:rsidRPr="006C01BC" w:rsidRDefault="00A05366" w:rsidP="70D0CA2A">
      <w:pPr>
        <w:pStyle w:val="Heading1"/>
        <w:jc w:val="center"/>
        <w:rPr>
          <w:rFonts w:ascii="Times New Roman" w:hAnsi="Times New Roman" w:cs="Times New Roman"/>
          <w:b/>
          <w:bCs/>
          <w:color w:val="auto"/>
          <w:sz w:val="28"/>
          <w:szCs w:val="28"/>
        </w:rPr>
      </w:pPr>
      <w:bookmarkStart w:id="2" w:name="_Toc714364533"/>
      <w:r w:rsidRPr="006C01BC">
        <w:rPr>
          <w:rFonts w:ascii="Times New Roman" w:hAnsi="Times New Roman" w:cs="Times New Roman"/>
          <w:b/>
          <w:bCs/>
          <w:color w:val="auto"/>
          <w:sz w:val="28"/>
          <w:szCs w:val="28"/>
        </w:rPr>
        <w:lastRenderedPageBreak/>
        <w:t>Personal Development Plan/Learning Plan</w:t>
      </w:r>
      <w:bookmarkEnd w:id="2"/>
    </w:p>
    <w:p w14:paraId="5724C2CF" w14:textId="4F2D800F" w:rsidR="00F25C68" w:rsidRPr="00F25C68" w:rsidRDefault="3C5FC321" w:rsidP="00766DE8">
      <w:pPr>
        <w:spacing w:line="240" w:lineRule="auto"/>
        <w:rPr>
          <w:rFonts w:ascii="Times New Roman" w:hAnsi="Times New Roman" w:cs="Times New Roman"/>
        </w:rPr>
      </w:pPr>
      <w:r w:rsidRPr="70D0CA2A">
        <w:rPr>
          <w:rFonts w:ascii="Times New Roman" w:hAnsi="Times New Roman" w:cs="Times New Roman"/>
          <w:b/>
          <w:bCs/>
        </w:rPr>
        <w:t xml:space="preserve">Name: </w:t>
      </w:r>
      <w:r w:rsidR="00F25C68" w:rsidRPr="70D0CA2A">
        <w:rPr>
          <w:rFonts w:ascii="Times New Roman" w:hAnsi="Times New Roman" w:cs="Times New Roman"/>
        </w:rPr>
        <w:t>Claire Thomson (1603261)</w:t>
      </w:r>
      <w:r w:rsidR="00F25C68">
        <w:tab/>
      </w:r>
      <w:r w:rsidR="00F25C68">
        <w:tab/>
      </w:r>
      <w:r w:rsidR="00F25C68">
        <w:tab/>
      </w:r>
      <w:r w:rsidR="00F25C68">
        <w:tab/>
      </w:r>
      <w:r w:rsidR="00F25C68">
        <w:tab/>
      </w:r>
      <w:r w:rsidR="00F25C68">
        <w:tab/>
      </w:r>
      <w:r w:rsidR="00F25C68">
        <w:tab/>
      </w:r>
      <w:r w:rsidR="00F25C68">
        <w:tab/>
      </w:r>
      <w:r w:rsidR="00F25C68">
        <w:tab/>
      </w:r>
      <w:r w:rsidR="00F25C68">
        <w:tab/>
      </w:r>
      <w:r w:rsidR="00F25C68">
        <w:tab/>
      </w:r>
      <w:r w:rsidR="00F25C68">
        <w:tab/>
      </w:r>
      <w:r w:rsidR="00F25C68">
        <w:tab/>
      </w:r>
      <w:r w:rsidR="00F25C68">
        <w:tab/>
      </w:r>
      <w:r w:rsidR="00F25C68">
        <w:tab/>
      </w:r>
      <w:r w:rsidR="00F25C68" w:rsidRPr="70D0CA2A">
        <w:rPr>
          <w:rFonts w:ascii="Times New Roman" w:hAnsi="Times New Roman" w:cs="Times New Roma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316"/>
        <w:gridCol w:w="3421"/>
        <w:gridCol w:w="3861"/>
      </w:tblGrid>
      <w:tr w:rsidR="00F25C68" w:rsidRPr="00F25C68" w14:paraId="46694612" w14:textId="77777777" w:rsidTr="70D0CA2A">
        <w:trPr>
          <w:trHeight w:val="300"/>
        </w:trPr>
        <w:tc>
          <w:tcPr>
            <w:tcW w:w="3450" w:type="dxa"/>
            <w:tcBorders>
              <w:top w:val="single" w:sz="12" w:space="0" w:color="auto"/>
              <w:left w:val="single" w:sz="12" w:space="0" w:color="auto"/>
              <w:bottom w:val="single" w:sz="6" w:space="0" w:color="auto"/>
              <w:right w:val="single" w:sz="6" w:space="0" w:color="auto"/>
            </w:tcBorders>
            <w:hideMark/>
          </w:tcPr>
          <w:p w14:paraId="3852706B"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Objectives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What do I want to be able to do</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or do better?</w:t>
            </w:r>
            <w:r w:rsidRPr="00F25C68">
              <w:rPr>
                <w:rFonts w:ascii="Times New Roman" w:hAnsi="Times New Roman" w:cs="Times New Roman"/>
              </w:rPr>
              <w:t> </w:t>
            </w:r>
          </w:p>
        </w:tc>
        <w:tc>
          <w:tcPr>
            <w:tcW w:w="3735" w:type="dxa"/>
            <w:tcBorders>
              <w:top w:val="single" w:sz="12" w:space="0" w:color="auto"/>
              <w:left w:val="single" w:sz="6" w:space="0" w:color="auto"/>
              <w:bottom w:val="single" w:sz="6" w:space="0" w:color="auto"/>
              <w:right w:val="single" w:sz="6" w:space="0" w:color="auto"/>
            </w:tcBorders>
            <w:hideMark/>
          </w:tcPr>
          <w:p w14:paraId="4DAF7DF4"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Success criteria</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recognise success?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review and measure my improvement?</w:t>
            </w:r>
            <w:r w:rsidRPr="00F25C68">
              <w:rPr>
                <w:rFonts w:ascii="Times New Roman" w:hAnsi="Times New Roman" w:cs="Times New Roman"/>
              </w:rPr>
              <w:t> </w:t>
            </w:r>
          </w:p>
        </w:tc>
        <w:tc>
          <w:tcPr>
            <w:tcW w:w="3735" w:type="dxa"/>
            <w:tcBorders>
              <w:top w:val="single" w:sz="12" w:space="0" w:color="auto"/>
              <w:left w:val="single" w:sz="6" w:space="0" w:color="auto"/>
              <w:bottom w:val="single" w:sz="6" w:space="0" w:color="auto"/>
              <w:right w:val="single" w:sz="6" w:space="0" w:color="auto"/>
            </w:tcBorders>
            <w:hideMark/>
          </w:tcPr>
          <w:p w14:paraId="607FE59C"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Actions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What methods will I use to achieve my learning objectives?</w:t>
            </w:r>
            <w:r w:rsidRPr="00F25C68">
              <w:rPr>
                <w:rFonts w:ascii="Times New Roman" w:hAnsi="Times New Roman" w:cs="Times New Roman"/>
              </w:rPr>
              <w:t> </w:t>
            </w:r>
            <w:r w:rsidRPr="00F25C68">
              <w:rPr>
                <w:rFonts w:ascii="Times New Roman" w:hAnsi="Times New Roman" w:cs="Times New Roman"/>
              </w:rPr>
              <w:br/>
              <w:t> </w:t>
            </w:r>
          </w:p>
        </w:tc>
        <w:tc>
          <w:tcPr>
            <w:tcW w:w="4320" w:type="dxa"/>
            <w:tcBorders>
              <w:top w:val="single" w:sz="12" w:space="0" w:color="auto"/>
              <w:left w:val="single" w:sz="6" w:space="0" w:color="auto"/>
              <w:bottom w:val="single" w:sz="6" w:space="0" w:color="auto"/>
              <w:right w:val="single" w:sz="12" w:space="0" w:color="auto"/>
            </w:tcBorders>
            <w:hideMark/>
          </w:tcPr>
          <w:p w14:paraId="2598880F"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Implementation</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practise and apply what I learn?</w:t>
            </w:r>
            <w:r w:rsidRPr="00F25C68">
              <w:rPr>
                <w:rFonts w:ascii="Times New Roman" w:hAnsi="Times New Roman" w:cs="Times New Roman"/>
              </w:rPr>
              <w:t> </w:t>
            </w:r>
          </w:p>
          <w:p w14:paraId="67A880FD"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i/>
                <w:iCs/>
              </w:rPr>
              <w:t>Timescale?</w:t>
            </w:r>
            <w:r w:rsidRPr="00F25C68">
              <w:rPr>
                <w:rFonts w:ascii="Times New Roman" w:hAnsi="Times New Roman" w:cs="Times New Roman"/>
              </w:rPr>
              <w:t> </w:t>
            </w:r>
          </w:p>
        </w:tc>
      </w:tr>
      <w:tr w:rsidR="00F25C68" w:rsidRPr="00F25C68" w14:paraId="1C00F2F7" w14:textId="77777777" w:rsidTr="70D0CA2A">
        <w:trPr>
          <w:trHeight w:val="495"/>
        </w:trPr>
        <w:tc>
          <w:tcPr>
            <w:tcW w:w="15255" w:type="dxa"/>
            <w:gridSpan w:val="4"/>
            <w:tcBorders>
              <w:top w:val="single" w:sz="6" w:space="0" w:color="auto"/>
              <w:left w:val="single" w:sz="12" w:space="0" w:color="auto"/>
              <w:bottom w:val="single" w:sz="6" w:space="0" w:color="auto"/>
              <w:right w:val="single" w:sz="12" w:space="0" w:color="auto"/>
            </w:tcBorders>
            <w:hideMark/>
          </w:tcPr>
          <w:p w14:paraId="30A744A3" w14:textId="1F619D72" w:rsidR="00F25C68" w:rsidRPr="00F25C68" w:rsidRDefault="00F25C68" w:rsidP="00766DE8">
            <w:pPr>
              <w:spacing w:line="240" w:lineRule="auto"/>
              <w:jc w:val="center"/>
              <w:rPr>
                <w:rFonts w:ascii="Times New Roman" w:hAnsi="Times New Roman" w:cs="Times New Roman"/>
              </w:rPr>
            </w:pPr>
            <w:r w:rsidRPr="00F25C68">
              <w:rPr>
                <w:rFonts w:ascii="Times New Roman" w:hAnsi="Times New Roman" w:cs="Times New Roman"/>
                <w:b/>
                <w:bCs/>
              </w:rPr>
              <w:t>Critical Thinking Skills</w:t>
            </w:r>
          </w:p>
        </w:tc>
      </w:tr>
      <w:tr w:rsidR="00F25C68" w:rsidRPr="00F25C68" w14:paraId="787E9109"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6B75A7B9" w14:textId="612EABEA" w:rsidR="00F25C68" w:rsidRPr="00F25C68" w:rsidRDefault="00F25C68" w:rsidP="00766DE8">
            <w:pPr>
              <w:spacing w:line="240" w:lineRule="auto"/>
              <w:rPr>
                <w:rFonts w:ascii="Times New Roman" w:hAnsi="Times New Roman" w:cs="Times New Roman"/>
              </w:rPr>
            </w:pPr>
          </w:p>
          <w:p w14:paraId="1BB054AD" w14:textId="77777777" w:rsidR="00F25C68" w:rsidRPr="00F25C68" w:rsidRDefault="00F25C68" w:rsidP="00766DE8">
            <w:pPr>
              <w:numPr>
                <w:ilvl w:val="0"/>
                <w:numId w:val="1"/>
              </w:numPr>
              <w:spacing w:line="240" w:lineRule="auto"/>
              <w:rPr>
                <w:rFonts w:ascii="Times New Roman" w:hAnsi="Times New Roman" w:cs="Times New Roman"/>
              </w:rPr>
            </w:pPr>
            <w:r w:rsidRPr="00F25C68">
              <w:rPr>
                <w:rFonts w:ascii="Times New Roman" w:hAnsi="Times New Roman" w:cs="Times New Roman"/>
              </w:rPr>
              <w:t>Recognize important questions. </w:t>
            </w:r>
          </w:p>
          <w:p w14:paraId="1748D8F7" w14:textId="5A65C71B"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60B82C2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1481FB3B"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598FC8F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3735" w:type="dxa"/>
            <w:tcBorders>
              <w:top w:val="single" w:sz="6" w:space="0" w:color="auto"/>
              <w:left w:val="single" w:sz="6" w:space="0" w:color="auto"/>
              <w:bottom w:val="single" w:sz="6" w:space="0" w:color="auto"/>
              <w:right w:val="single" w:sz="6" w:space="0" w:color="auto"/>
            </w:tcBorders>
            <w:hideMark/>
          </w:tcPr>
          <w:p w14:paraId="5066ADD4" w14:textId="766EBB58"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Understand background and methods in studies and be able to be critical of academic works. </w:t>
            </w:r>
          </w:p>
          <w:p w14:paraId="1DD9FF74" w14:textId="50C337F3"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My understanding and familiarisation with academic works should improve allowing greater depth of knowledge and ability to recognise critical questions. </w:t>
            </w:r>
          </w:p>
        </w:tc>
        <w:tc>
          <w:tcPr>
            <w:tcW w:w="3735" w:type="dxa"/>
            <w:tcBorders>
              <w:top w:val="single" w:sz="6" w:space="0" w:color="auto"/>
              <w:left w:val="single" w:sz="6" w:space="0" w:color="auto"/>
              <w:bottom w:val="single" w:sz="6" w:space="0" w:color="auto"/>
              <w:right w:val="single" w:sz="6" w:space="0" w:color="auto"/>
            </w:tcBorders>
            <w:hideMark/>
          </w:tcPr>
          <w:p w14:paraId="11093B24" w14:textId="5C8603DD"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Independently read literature related to my subject area and use tools t</w:t>
            </w:r>
            <w:r w:rsidR="00766DE8">
              <w:rPr>
                <w:rFonts w:ascii="Times New Roman" w:hAnsi="Times New Roman" w:cs="Times New Roman"/>
              </w:rPr>
              <w:t>o</w:t>
            </w:r>
            <w:r w:rsidRPr="00F25C68">
              <w:rPr>
                <w:rFonts w:ascii="Times New Roman" w:hAnsi="Times New Roman" w:cs="Times New Roman"/>
              </w:rPr>
              <w:t xml:space="preserve"> critique them. </w:t>
            </w:r>
          </w:p>
        </w:tc>
        <w:tc>
          <w:tcPr>
            <w:tcW w:w="4320" w:type="dxa"/>
            <w:tcBorders>
              <w:top w:val="single" w:sz="6" w:space="0" w:color="auto"/>
              <w:left w:val="single" w:sz="6" w:space="0" w:color="auto"/>
              <w:bottom w:val="single" w:sz="6" w:space="0" w:color="auto"/>
              <w:right w:val="single" w:sz="12" w:space="0" w:color="auto"/>
            </w:tcBorders>
            <w:hideMark/>
          </w:tcPr>
          <w:p w14:paraId="54D6F27C" w14:textId="06575EC6"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 Academic work throughout my </w:t>
            </w:r>
            <w:r w:rsidR="4FB4BB96" w:rsidRPr="70D0CA2A">
              <w:rPr>
                <w:rFonts w:ascii="Times New Roman" w:hAnsi="Times New Roman" w:cs="Times New Roman"/>
              </w:rPr>
              <w:t>PhD</w:t>
            </w:r>
            <w:r w:rsidRPr="70D0CA2A">
              <w:rPr>
                <w:rFonts w:ascii="Times New Roman" w:hAnsi="Times New Roman" w:cs="Times New Roman"/>
              </w:rPr>
              <w:t> should reflect this input and become more critical.  </w:t>
            </w:r>
          </w:p>
          <w:p w14:paraId="55215164"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7A3C5B11" w14:textId="4DB200AF"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Continuous throughout </w:t>
            </w:r>
            <w:r w:rsidR="4CD60516" w:rsidRPr="70D0CA2A">
              <w:rPr>
                <w:rFonts w:ascii="Times New Roman" w:hAnsi="Times New Roman" w:cs="Times New Roman"/>
              </w:rPr>
              <w:t>PhD</w:t>
            </w:r>
            <w:r w:rsidRPr="70D0CA2A">
              <w:rPr>
                <w:rFonts w:ascii="Times New Roman" w:hAnsi="Times New Roman" w:cs="Times New Roman"/>
              </w:rPr>
              <w:t>. </w:t>
            </w:r>
          </w:p>
        </w:tc>
      </w:tr>
      <w:tr w:rsidR="00F25C68" w:rsidRPr="00F25C68" w14:paraId="6012905D"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5E231A46" w14:textId="1C89083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03B3D111" w14:textId="77777777" w:rsidR="00F25C68" w:rsidRPr="00F25C68" w:rsidRDefault="00F25C68" w:rsidP="00766DE8">
            <w:pPr>
              <w:numPr>
                <w:ilvl w:val="0"/>
                <w:numId w:val="2"/>
              </w:numPr>
              <w:spacing w:line="240" w:lineRule="auto"/>
              <w:rPr>
                <w:rFonts w:ascii="Times New Roman" w:hAnsi="Times New Roman" w:cs="Times New Roman"/>
              </w:rPr>
            </w:pPr>
            <w:r w:rsidRPr="00F25C68">
              <w:rPr>
                <w:rFonts w:ascii="Times New Roman" w:hAnsi="Times New Roman" w:cs="Times New Roman"/>
              </w:rPr>
              <w:t>Design an experiment, answer questions and understand controls. </w:t>
            </w:r>
          </w:p>
          <w:p w14:paraId="2468204A"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61894014" w14:textId="77777777" w:rsid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0E0D2428" w14:textId="40E3245B" w:rsidR="00366D57" w:rsidRPr="00F25C68" w:rsidRDefault="00366D57" w:rsidP="00766DE8">
            <w:pPr>
              <w:spacing w:line="240" w:lineRule="auto"/>
              <w:rPr>
                <w:rFonts w:ascii="Times New Roman" w:hAnsi="Times New Roman" w:cs="Times New Roman"/>
              </w:rPr>
            </w:pPr>
          </w:p>
        </w:tc>
        <w:tc>
          <w:tcPr>
            <w:tcW w:w="3735" w:type="dxa"/>
            <w:tcBorders>
              <w:top w:val="single" w:sz="6" w:space="0" w:color="auto"/>
              <w:left w:val="single" w:sz="6" w:space="0" w:color="auto"/>
              <w:bottom w:val="single" w:sz="6" w:space="0" w:color="auto"/>
              <w:right w:val="single" w:sz="6" w:space="0" w:color="auto"/>
            </w:tcBorders>
            <w:hideMark/>
          </w:tcPr>
          <w:p w14:paraId="0A35BF94" w14:textId="256E703A"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Working alongside my supervisor will allow me to ask questions and work through options for dissertation to provide a rounded experimental design following protocols. </w:t>
            </w:r>
          </w:p>
          <w:p w14:paraId="4B034537"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Supervisor reviews. </w:t>
            </w:r>
          </w:p>
        </w:tc>
        <w:tc>
          <w:tcPr>
            <w:tcW w:w="3735" w:type="dxa"/>
            <w:tcBorders>
              <w:top w:val="single" w:sz="6" w:space="0" w:color="auto"/>
              <w:left w:val="single" w:sz="6" w:space="0" w:color="auto"/>
              <w:bottom w:val="single" w:sz="6" w:space="0" w:color="auto"/>
              <w:right w:val="single" w:sz="6" w:space="0" w:color="auto"/>
            </w:tcBorders>
            <w:hideMark/>
          </w:tcPr>
          <w:p w14:paraId="5E9C4821" w14:textId="4890DEE1"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Regularly scheduled meetings and discussion of experimental design with supervisor and peers.  </w:t>
            </w:r>
          </w:p>
        </w:tc>
        <w:tc>
          <w:tcPr>
            <w:tcW w:w="4320" w:type="dxa"/>
            <w:tcBorders>
              <w:top w:val="single" w:sz="6" w:space="0" w:color="auto"/>
              <w:left w:val="single" w:sz="6" w:space="0" w:color="auto"/>
              <w:bottom w:val="single" w:sz="6" w:space="0" w:color="auto"/>
              <w:right w:val="single" w:sz="12" w:space="0" w:color="auto"/>
            </w:tcBorders>
            <w:hideMark/>
          </w:tcPr>
          <w:p w14:paraId="02D51031" w14:textId="4B79126C"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Note taking or Voice recorder will allow me to go over discussions, cementing knowledge and improving understanding. </w:t>
            </w:r>
          </w:p>
          <w:p w14:paraId="42DAD462" w14:textId="3FF770F3"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Throughout </w:t>
            </w:r>
            <w:r w:rsidR="7F98DA1E" w:rsidRPr="70D0CA2A">
              <w:rPr>
                <w:rFonts w:ascii="Times New Roman" w:hAnsi="Times New Roman" w:cs="Times New Roman"/>
              </w:rPr>
              <w:t>PhD</w:t>
            </w:r>
            <w:r w:rsidRPr="70D0CA2A">
              <w:rPr>
                <w:rFonts w:ascii="Times New Roman" w:hAnsi="Times New Roman" w:cs="Times New Roman"/>
              </w:rPr>
              <w:t>. </w:t>
            </w:r>
          </w:p>
        </w:tc>
      </w:tr>
      <w:tr w:rsidR="00F25C68" w:rsidRPr="00F25C68" w14:paraId="51747DAC"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3CAC7141" w14:textId="0763C5DA"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lastRenderedPageBreak/>
              <w:t> </w:t>
            </w:r>
          </w:p>
          <w:p w14:paraId="3E81A2F4" w14:textId="77777777" w:rsidR="00F25C68" w:rsidRPr="00F25C68" w:rsidRDefault="00F25C68" w:rsidP="00766DE8">
            <w:pPr>
              <w:numPr>
                <w:ilvl w:val="0"/>
                <w:numId w:val="3"/>
              </w:numPr>
              <w:spacing w:line="240" w:lineRule="auto"/>
              <w:rPr>
                <w:rFonts w:ascii="Times New Roman" w:hAnsi="Times New Roman" w:cs="Times New Roman"/>
              </w:rPr>
            </w:pPr>
            <w:r w:rsidRPr="00F25C68">
              <w:rPr>
                <w:rFonts w:ascii="Times New Roman" w:hAnsi="Times New Roman" w:cs="Times New Roman"/>
              </w:rPr>
              <w:t>Interpret Data. </w:t>
            </w:r>
          </w:p>
          <w:p w14:paraId="0E554A67"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79140A23"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10D5CDD0"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75456A05"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03012A45"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3735" w:type="dxa"/>
            <w:tcBorders>
              <w:top w:val="single" w:sz="6" w:space="0" w:color="auto"/>
              <w:left w:val="single" w:sz="6" w:space="0" w:color="auto"/>
              <w:bottom w:val="single" w:sz="6" w:space="0" w:color="auto"/>
              <w:right w:val="single" w:sz="6" w:space="0" w:color="auto"/>
            </w:tcBorders>
            <w:hideMark/>
          </w:tcPr>
          <w:p w14:paraId="4DF40834" w14:textId="30237A7E"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Describe relationships between data and underlying experimental methods. </w:t>
            </w:r>
          </w:p>
          <w:p w14:paraId="25EBA083"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5B799176"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Understand different data types and tests </w:t>
            </w:r>
          </w:p>
          <w:p w14:paraId="61CE4DD5"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428CC8C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Generate graphs and images to convey data appropriately. </w:t>
            </w:r>
          </w:p>
        </w:tc>
        <w:tc>
          <w:tcPr>
            <w:tcW w:w="3735" w:type="dxa"/>
            <w:tcBorders>
              <w:top w:val="single" w:sz="6" w:space="0" w:color="auto"/>
              <w:left w:val="single" w:sz="6" w:space="0" w:color="auto"/>
              <w:bottom w:val="single" w:sz="6" w:space="0" w:color="auto"/>
              <w:right w:val="single" w:sz="6" w:space="0" w:color="auto"/>
            </w:tcBorders>
            <w:hideMark/>
          </w:tcPr>
          <w:p w14:paraId="50B8DF49" w14:textId="5D4D061E"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Use online tools to practice with data. </w:t>
            </w:r>
          </w:p>
          <w:p w14:paraId="5F5AC17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37BC08A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Think more critically when reviewing data in academic works. </w:t>
            </w:r>
          </w:p>
        </w:tc>
        <w:tc>
          <w:tcPr>
            <w:tcW w:w="4320" w:type="dxa"/>
            <w:tcBorders>
              <w:top w:val="single" w:sz="6" w:space="0" w:color="auto"/>
              <w:left w:val="single" w:sz="6" w:space="0" w:color="auto"/>
              <w:bottom w:val="single" w:sz="6" w:space="0" w:color="auto"/>
              <w:right w:val="single" w:sz="12" w:space="0" w:color="auto"/>
            </w:tcBorders>
            <w:hideMark/>
          </w:tcPr>
          <w:p w14:paraId="5DB03723" w14:textId="7EF24EF5"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Use online sources to practice with data to help understand relationships. </w:t>
            </w:r>
          </w:p>
          <w:p w14:paraId="4C40150D"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r>
      <w:tr w:rsidR="00F25C68" w:rsidRPr="00F25C68" w14:paraId="2ECC6461"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7D06032D"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6AB4D16D" w14:textId="77777777" w:rsidR="00F25C68" w:rsidRPr="00F25C68" w:rsidRDefault="00F25C68" w:rsidP="00766DE8">
            <w:pPr>
              <w:numPr>
                <w:ilvl w:val="0"/>
                <w:numId w:val="4"/>
              </w:numPr>
              <w:spacing w:line="240" w:lineRule="auto"/>
              <w:rPr>
                <w:rFonts w:ascii="Times New Roman" w:hAnsi="Times New Roman" w:cs="Times New Roman"/>
              </w:rPr>
            </w:pPr>
            <w:r w:rsidRPr="00F25C68">
              <w:rPr>
                <w:rFonts w:ascii="Times New Roman" w:hAnsi="Times New Roman" w:cs="Times New Roman"/>
              </w:rPr>
              <w:t>Actively research topics of interest </w:t>
            </w:r>
          </w:p>
          <w:p w14:paraId="35D33B0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3735" w:type="dxa"/>
            <w:tcBorders>
              <w:top w:val="single" w:sz="6" w:space="0" w:color="auto"/>
              <w:left w:val="single" w:sz="6" w:space="0" w:color="auto"/>
              <w:bottom w:val="single" w:sz="6" w:space="0" w:color="auto"/>
              <w:right w:val="single" w:sz="6" w:space="0" w:color="auto"/>
            </w:tcBorders>
            <w:hideMark/>
          </w:tcPr>
          <w:p w14:paraId="1C5D5434" w14:textId="47260296"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Be able to understand papers and ask questions to recognise connections and relationships.  </w:t>
            </w:r>
          </w:p>
        </w:tc>
        <w:tc>
          <w:tcPr>
            <w:tcW w:w="3735" w:type="dxa"/>
            <w:tcBorders>
              <w:top w:val="single" w:sz="6" w:space="0" w:color="auto"/>
              <w:left w:val="single" w:sz="6" w:space="0" w:color="auto"/>
              <w:bottom w:val="single" w:sz="6" w:space="0" w:color="auto"/>
              <w:right w:val="single" w:sz="6" w:space="0" w:color="auto"/>
            </w:tcBorders>
            <w:hideMark/>
          </w:tcPr>
          <w:p w14:paraId="5876D4AF" w14:textId="285FE891"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 Discussion with peers and supervisors to explore topics related to my </w:t>
            </w:r>
            <w:r w:rsidR="69C9AA60" w:rsidRPr="70D0CA2A">
              <w:rPr>
                <w:rFonts w:ascii="Times New Roman" w:hAnsi="Times New Roman" w:cs="Times New Roman"/>
              </w:rPr>
              <w:t>PhD</w:t>
            </w:r>
            <w:r w:rsidRPr="70D0CA2A">
              <w:rPr>
                <w:rFonts w:ascii="Times New Roman" w:hAnsi="Times New Roman" w:cs="Times New Roman"/>
              </w:rPr>
              <w:t> </w:t>
            </w:r>
            <w:proofErr w:type="gramStart"/>
            <w:r w:rsidRPr="70D0CA2A">
              <w:rPr>
                <w:rFonts w:ascii="Times New Roman" w:hAnsi="Times New Roman" w:cs="Times New Roman"/>
              </w:rPr>
              <w:t>work?</w:t>
            </w:r>
            <w:proofErr w:type="gramEnd"/>
            <w:r w:rsidRPr="70D0CA2A">
              <w:rPr>
                <w:rFonts w:ascii="Times New Roman" w:hAnsi="Times New Roman" w:cs="Times New Roman"/>
              </w:rPr>
              <w:t> </w:t>
            </w:r>
          </w:p>
        </w:tc>
        <w:tc>
          <w:tcPr>
            <w:tcW w:w="4320" w:type="dxa"/>
            <w:tcBorders>
              <w:top w:val="single" w:sz="6" w:space="0" w:color="auto"/>
              <w:left w:val="single" w:sz="6" w:space="0" w:color="auto"/>
              <w:bottom w:val="single" w:sz="6" w:space="0" w:color="auto"/>
              <w:right w:val="single" w:sz="12" w:space="0" w:color="auto"/>
            </w:tcBorders>
            <w:hideMark/>
          </w:tcPr>
          <w:p w14:paraId="23CE0E34" w14:textId="35936ADE"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Any academic work undertaken will be extensively researched and discussed where possible to improve understanding. </w:t>
            </w:r>
          </w:p>
          <w:p w14:paraId="3303AB3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r>
    </w:tbl>
    <w:p w14:paraId="72339954"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408E1F4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2752D90F"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305DEE5D"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1E8E3E6D"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51FDB0D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0C770340"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76906A18" w14:textId="4C606BFF"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72"/>
        <w:gridCol w:w="3477"/>
        <w:gridCol w:w="3527"/>
        <w:gridCol w:w="3752"/>
      </w:tblGrid>
      <w:tr w:rsidR="00F25C68" w:rsidRPr="00F25C68" w14:paraId="6B3965A1" w14:textId="77777777" w:rsidTr="70D0CA2A">
        <w:trPr>
          <w:trHeight w:val="300"/>
        </w:trPr>
        <w:tc>
          <w:tcPr>
            <w:tcW w:w="3450" w:type="dxa"/>
            <w:tcBorders>
              <w:top w:val="single" w:sz="12" w:space="0" w:color="auto"/>
              <w:left w:val="single" w:sz="12" w:space="0" w:color="auto"/>
              <w:bottom w:val="single" w:sz="6" w:space="0" w:color="auto"/>
              <w:right w:val="single" w:sz="6" w:space="0" w:color="auto"/>
            </w:tcBorders>
            <w:hideMark/>
          </w:tcPr>
          <w:p w14:paraId="1D4323EA"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lastRenderedPageBreak/>
              <w:t>Objectives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What do I want to be able to do</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or do better?</w:t>
            </w:r>
            <w:r w:rsidRPr="00F25C68">
              <w:rPr>
                <w:rFonts w:ascii="Times New Roman" w:hAnsi="Times New Roman" w:cs="Times New Roman"/>
              </w:rPr>
              <w:t> </w:t>
            </w:r>
          </w:p>
        </w:tc>
        <w:tc>
          <w:tcPr>
            <w:tcW w:w="3735" w:type="dxa"/>
            <w:tcBorders>
              <w:top w:val="single" w:sz="12" w:space="0" w:color="auto"/>
              <w:left w:val="single" w:sz="6" w:space="0" w:color="auto"/>
              <w:bottom w:val="single" w:sz="6" w:space="0" w:color="auto"/>
              <w:right w:val="single" w:sz="6" w:space="0" w:color="auto"/>
            </w:tcBorders>
            <w:hideMark/>
          </w:tcPr>
          <w:p w14:paraId="33C591F7"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Success criteria</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recognise success?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review and measure my improvement?</w:t>
            </w:r>
            <w:r w:rsidRPr="00F25C68">
              <w:rPr>
                <w:rFonts w:ascii="Times New Roman" w:hAnsi="Times New Roman" w:cs="Times New Roman"/>
              </w:rPr>
              <w:t> </w:t>
            </w:r>
          </w:p>
        </w:tc>
        <w:tc>
          <w:tcPr>
            <w:tcW w:w="3735" w:type="dxa"/>
            <w:tcBorders>
              <w:top w:val="single" w:sz="12" w:space="0" w:color="auto"/>
              <w:left w:val="single" w:sz="6" w:space="0" w:color="auto"/>
              <w:bottom w:val="single" w:sz="6" w:space="0" w:color="auto"/>
              <w:right w:val="single" w:sz="6" w:space="0" w:color="auto"/>
            </w:tcBorders>
            <w:hideMark/>
          </w:tcPr>
          <w:p w14:paraId="3D7D6EEC"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Actions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What methods will I use to achieve my learning objectives?</w:t>
            </w:r>
            <w:r w:rsidRPr="00F25C68">
              <w:rPr>
                <w:rFonts w:ascii="Times New Roman" w:hAnsi="Times New Roman" w:cs="Times New Roman"/>
              </w:rPr>
              <w:t> </w:t>
            </w:r>
            <w:r w:rsidRPr="00F25C68">
              <w:rPr>
                <w:rFonts w:ascii="Times New Roman" w:hAnsi="Times New Roman" w:cs="Times New Roman"/>
              </w:rPr>
              <w:br/>
              <w:t> </w:t>
            </w:r>
          </w:p>
        </w:tc>
        <w:tc>
          <w:tcPr>
            <w:tcW w:w="4320" w:type="dxa"/>
            <w:tcBorders>
              <w:top w:val="single" w:sz="12" w:space="0" w:color="auto"/>
              <w:left w:val="single" w:sz="6" w:space="0" w:color="auto"/>
              <w:bottom w:val="single" w:sz="6" w:space="0" w:color="auto"/>
              <w:right w:val="single" w:sz="12" w:space="0" w:color="auto"/>
            </w:tcBorders>
            <w:hideMark/>
          </w:tcPr>
          <w:p w14:paraId="1015246F"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Implementation</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practise and apply what I learn?</w:t>
            </w:r>
            <w:r w:rsidRPr="00F25C68">
              <w:rPr>
                <w:rFonts w:ascii="Times New Roman" w:hAnsi="Times New Roman" w:cs="Times New Roman"/>
              </w:rPr>
              <w:t> </w:t>
            </w:r>
          </w:p>
          <w:p w14:paraId="162381DB"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i/>
                <w:iCs/>
              </w:rPr>
              <w:t>Timescale?</w:t>
            </w:r>
            <w:r w:rsidRPr="00F25C68">
              <w:rPr>
                <w:rFonts w:ascii="Times New Roman" w:hAnsi="Times New Roman" w:cs="Times New Roman"/>
              </w:rPr>
              <w:t> </w:t>
            </w:r>
          </w:p>
        </w:tc>
      </w:tr>
      <w:tr w:rsidR="00F25C68" w:rsidRPr="00F25C68" w14:paraId="622E05D7" w14:textId="77777777" w:rsidTr="70D0CA2A">
        <w:trPr>
          <w:trHeight w:val="555"/>
        </w:trPr>
        <w:tc>
          <w:tcPr>
            <w:tcW w:w="15255" w:type="dxa"/>
            <w:gridSpan w:val="4"/>
            <w:tcBorders>
              <w:top w:val="single" w:sz="6" w:space="0" w:color="auto"/>
              <w:left w:val="single" w:sz="12" w:space="0" w:color="auto"/>
              <w:bottom w:val="single" w:sz="6" w:space="0" w:color="auto"/>
              <w:right w:val="single" w:sz="12" w:space="0" w:color="auto"/>
            </w:tcBorders>
            <w:hideMark/>
          </w:tcPr>
          <w:p w14:paraId="13FCBEBD" w14:textId="7C185E33" w:rsidR="00F25C68" w:rsidRPr="00F25C68" w:rsidRDefault="00F25C68" w:rsidP="00366D57">
            <w:pPr>
              <w:spacing w:line="240" w:lineRule="auto"/>
              <w:jc w:val="center"/>
              <w:rPr>
                <w:rFonts w:ascii="Times New Roman" w:hAnsi="Times New Roman" w:cs="Times New Roman"/>
              </w:rPr>
            </w:pPr>
            <w:r w:rsidRPr="00F25C68">
              <w:rPr>
                <w:rFonts w:ascii="Times New Roman" w:hAnsi="Times New Roman" w:cs="Times New Roman"/>
                <w:b/>
                <w:bCs/>
              </w:rPr>
              <w:t>Communication Skills</w:t>
            </w:r>
          </w:p>
        </w:tc>
      </w:tr>
      <w:tr w:rsidR="00F25C68" w:rsidRPr="00F25C68" w14:paraId="6D044706"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1AA2F741"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7B8E9AD6" w14:textId="58B4C838" w:rsidR="00F25C68" w:rsidRPr="00F25C68" w:rsidRDefault="00F25C68" w:rsidP="00766DE8">
            <w:pPr>
              <w:numPr>
                <w:ilvl w:val="0"/>
                <w:numId w:val="5"/>
              </w:numPr>
              <w:spacing w:line="240" w:lineRule="auto"/>
              <w:rPr>
                <w:rFonts w:ascii="Times New Roman" w:hAnsi="Times New Roman" w:cs="Times New Roman"/>
              </w:rPr>
            </w:pPr>
            <w:r w:rsidRPr="00F25C68">
              <w:rPr>
                <w:rFonts w:ascii="Times New Roman" w:hAnsi="Times New Roman" w:cs="Times New Roman"/>
              </w:rPr>
              <w:t>Informal Oral Presentation Skills </w:t>
            </w:r>
          </w:p>
        </w:tc>
        <w:tc>
          <w:tcPr>
            <w:tcW w:w="3735" w:type="dxa"/>
            <w:tcBorders>
              <w:top w:val="single" w:sz="6" w:space="0" w:color="auto"/>
              <w:left w:val="single" w:sz="6" w:space="0" w:color="auto"/>
              <w:bottom w:val="single" w:sz="6" w:space="0" w:color="auto"/>
              <w:right w:val="single" w:sz="6" w:space="0" w:color="auto"/>
            </w:tcBorders>
            <w:hideMark/>
          </w:tcPr>
          <w:p w14:paraId="28D6FB8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Being able to discuss and introduce topics and ideas from academic literature </w:t>
            </w:r>
          </w:p>
        </w:tc>
        <w:tc>
          <w:tcPr>
            <w:tcW w:w="3735" w:type="dxa"/>
            <w:tcBorders>
              <w:top w:val="single" w:sz="6" w:space="0" w:color="auto"/>
              <w:left w:val="single" w:sz="6" w:space="0" w:color="auto"/>
              <w:bottom w:val="single" w:sz="6" w:space="0" w:color="auto"/>
              <w:right w:val="single" w:sz="6" w:space="0" w:color="auto"/>
            </w:tcBorders>
            <w:hideMark/>
          </w:tcPr>
          <w:p w14:paraId="1152DC00" w14:textId="0841868E"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Practice: discuss key papers, ideas and knowledge with friends and lecturers and possibly AI tools. </w:t>
            </w:r>
          </w:p>
        </w:tc>
        <w:tc>
          <w:tcPr>
            <w:tcW w:w="4320" w:type="dxa"/>
            <w:tcBorders>
              <w:top w:val="single" w:sz="6" w:space="0" w:color="auto"/>
              <w:left w:val="single" w:sz="6" w:space="0" w:color="auto"/>
              <w:bottom w:val="single" w:sz="6" w:space="0" w:color="auto"/>
              <w:right w:val="single" w:sz="12" w:space="0" w:color="auto"/>
            </w:tcBorders>
            <w:hideMark/>
          </w:tcPr>
          <w:p w14:paraId="3EA2FC25" w14:textId="12E6660D"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Discussion. </w:t>
            </w:r>
          </w:p>
          <w:p w14:paraId="0DAFE5E5"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30133C7D" w14:textId="568F768B"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Throughout </w:t>
            </w:r>
            <w:r w:rsidR="647ED874" w:rsidRPr="70D0CA2A">
              <w:rPr>
                <w:rFonts w:ascii="Times New Roman" w:hAnsi="Times New Roman" w:cs="Times New Roman"/>
              </w:rPr>
              <w:t>PhD</w:t>
            </w:r>
            <w:r w:rsidRPr="70D0CA2A">
              <w:rPr>
                <w:rFonts w:ascii="Times New Roman" w:hAnsi="Times New Roman" w:cs="Times New Roman"/>
              </w:rPr>
              <w:t>  </w:t>
            </w:r>
          </w:p>
        </w:tc>
      </w:tr>
      <w:tr w:rsidR="00F25C68" w:rsidRPr="00F25C68" w14:paraId="5F59D9A7"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5825932F"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348C6265" w14:textId="77777777" w:rsidR="00F25C68" w:rsidRPr="00F25C68" w:rsidRDefault="00F25C68" w:rsidP="00766DE8">
            <w:pPr>
              <w:numPr>
                <w:ilvl w:val="0"/>
                <w:numId w:val="6"/>
              </w:numPr>
              <w:spacing w:line="240" w:lineRule="auto"/>
              <w:rPr>
                <w:rFonts w:ascii="Times New Roman" w:hAnsi="Times New Roman" w:cs="Times New Roman"/>
              </w:rPr>
            </w:pPr>
            <w:r w:rsidRPr="00F25C68">
              <w:rPr>
                <w:rFonts w:ascii="Times New Roman" w:hAnsi="Times New Roman" w:cs="Times New Roman"/>
              </w:rPr>
              <w:t>Formal Oral Presentation Skills </w:t>
            </w:r>
          </w:p>
          <w:p w14:paraId="5F858400" w14:textId="3B46F3A7" w:rsidR="00F25C68" w:rsidRPr="00F25C68" w:rsidRDefault="00F25C68" w:rsidP="00766DE8">
            <w:pPr>
              <w:spacing w:line="240" w:lineRule="auto"/>
              <w:rPr>
                <w:rFonts w:ascii="Times New Roman" w:hAnsi="Times New Roman" w:cs="Times New Roman"/>
              </w:rPr>
            </w:pPr>
          </w:p>
        </w:tc>
        <w:tc>
          <w:tcPr>
            <w:tcW w:w="3735" w:type="dxa"/>
            <w:tcBorders>
              <w:top w:val="single" w:sz="6" w:space="0" w:color="auto"/>
              <w:left w:val="single" w:sz="6" w:space="0" w:color="auto"/>
              <w:bottom w:val="single" w:sz="6" w:space="0" w:color="auto"/>
              <w:right w:val="single" w:sz="6" w:space="0" w:color="auto"/>
            </w:tcBorders>
            <w:hideMark/>
          </w:tcPr>
          <w:p w14:paraId="5A3E4288" w14:textId="373BFE30"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 Present 15 minutes of research idea and background with </w:t>
            </w:r>
            <w:r w:rsidR="17C7C263" w:rsidRPr="70D0CA2A">
              <w:rPr>
                <w:rFonts w:ascii="Times New Roman" w:hAnsi="Times New Roman" w:cs="Times New Roman"/>
              </w:rPr>
              <w:t>PowerPoint</w:t>
            </w:r>
            <w:r w:rsidRPr="70D0CA2A">
              <w:rPr>
                <w:rFonts w:ascii="Times New Roman" w:hAnsi="Times New Roman" w:cs="Times New Roman"/>
              </w:rPr>
              <w:t> slides with narrative and data. </w:t>
            </w:r>
          </w:p>
        </w:tc>
        <w:tc>
          <w:tcPr>
            <w:tcW w:w="3735" w:type="dxa"/>
            <w:tcBorders>
              <w:top w:val="single" w:sz="6" w:space="0" w:color="auto"/>
              <w:left w:val="single" w:sz="6" w:space="0" w:color="auto"/>
              <w:bottom w:val="single" w:sz="6" w:space="0" w:color="auto"/>
              <w:right w:val="single" w:sz="6" w:space="0" w:color="auto"/>
            </w:tcBorders>
            <w:hideMark/>
          </w:tcPr>
          <w:p w14:paraId="218B3DF0" w14:textId="0F4A2F79" w:rsidR="00F25C68" w:rsidRPr="00F25C68" w:rsidRDefault="0D18AFD5" w:rsidP="00766DE8">
            <w:pPr>
              <w:spacing w:line="240" w:lineRule="auto"/>
              <w:rPr>
                <w:rFonts w:ascii="Times New Roman" w:hAnsi="Times New Roman" w:cs="Times New Roman"/>
              </w:rPr>
            </w:pPr>
            <w:r w:rsidRPr="70D0CA2A">
              <w:rPr>
                <w:rFonts w:ascii="Times New Roman" w:hAnsi="Times New Roman" w:cs="Times New Roman"/>
              </w:rPr>
              <w:t>Practice: with</w:t>
            </w:r>
            <w:r w:rsidR="00F25C68" w:rsidRPr="70D0CA2A">
              <w:rPr>
                <w:rFonts w:ascii="Times New Roman" w:hAnsi="Times New Roman" w:cs="Times New Roman"/>
              </w:rPr>
              <w:t> peers and assignment presentations. Work solo on reading things aloud and ask peers and colleagues to ask me questions for practice. Record presentations and rewatch to learn about my skills. </w:t>
            </w:r>
          </w:p>
        </w:tc>
        <w:tc>
          <w:tcPr>
            <w:tcW w:w="4320" w:type="dxa"/>
            <w:tcBorders>
              <w:top w:val="single" w:sz="6" w:space="0" w:color="auto"/>
              <w:left w:val="single" w:sz="6" w:space="0" w:color="auto"/>
              <w:bottom w:val="single" w:sz="6" w:space="0" w:color="auto"/>
              <w:right w:val="single" w:sz="12" w:space="0" w:color="auto"/>
            </w:tcBorders>
            <w:hideMark/>
          </w:tcPr>
          <w:p w14:paraId="75D3F48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Throughout Degree in University and regularly present ideas to peers for practice. </w:t>
            </w:r>
          </w:p>
        </w:tc>
      </w:tr>
      <w:tr w:rsidR="00F25C68" w:rsidRPr="00F25C68" w14:paraId="3CDDD1B8"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6B56D29D" w14:textId="77777777" w:rsidR="00366D57" w:rsidRDefault="00366D57" w:rsidP="00366D57">
            <w:pPr>
              <w:spacing w:line="240" w:lineRule="auto"/>
              <w:ind w:left="720"/>
              <w:rPr>
                <w:rFonts w:ascii="Times New Roman" w:hAnsi="Times New Roman" w:cs="Times New Roman"/>
              </w:rPr>
            </w:pPr>
          </w:p>
          <w:p w14:paraId="14FFD56E" w14:textId="197CFF32" w:rsidR="00F25C68" w:rsidRPr="00F25C68" w:rsidRDefault="00F25C68" w:rsidP="00766DE8">
            <w:pPr>
              <w:numPr>
                <w:ilvl w:val="0"/>
                <w:numId w:val="7"/>
              </w:numPr>
              <w:spacing w:line="240" w:lineRule="auto"/>
              <w:rPr>
                <w:rFonts w:ascii="Times New Roman" w:hAnsi="Times New Roman" w:cs="Times New Roman"/>
              </w:rPr>
            </w:pPr>
            <w:r w:rsidRPr="00F25C68">
              <w:rPr>
                <w:rFonts w:ascii="Times New Roman" w:hAnsi="Times New Roman" w:cs="Times New Roman"/>
              </w:rPr>
              <w:t>Written Communication </w:t>
            </w:r>
          </w:p>
          <w:p w14:paraId="35AB96C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3735" w:type="dxa"/>
            <w:tcBorders>
              <w:top w:val="single" w:sz="6" w:space="0" w:color="auto"/>
              <w:left w:val="single" w:sz="6" w:space="0" w:color="auto"/>
              <w:bottom w:val="single" w:sz="6" w:space="0" w:color="auto"/>
              <w:right w:val="single" w:sz="6" w:space="0" w:color="auto"/>
            </w:tcBorders>
            <w:hideMark/>
          </w:tcPr>
          <w:p w14:paraId="341CCD85" w14:textId="08A873CE"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Learn structure of </w:t>
            </w:r>
            <w:r w:rsidR="04F8CD2B" w:rsidRPr="70D0CA2A">
              <w:rPr>
                <w:rFonts w:ascii="Times New Roman" w:hAnsi="Times New Roman" w:cs="Times New Roman"/>
              </w:rPr>
              <w:t>PhD</w:t>
            </w:r>
            <w:r w:rsidRPr="70D0CA2A">
              <w:rPr>
                <w:rFonts w:ascii="Times New Roman" w:hAnsi="Times New Roman" w:cs="Times New Roman"/>
              </w:rPr>
              <w:t> dissertation.  </w:t>
            </w:r>
          </w:p>
          <w:p w14:paraId="71E9CC7F" w14:textId="171B9DAF"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Work on aims and objectives of research. </w:t>
            </w:r>
          </w:p>
          <w:p w14:paraId="315723B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Improve writing using formats to support critical arguments </w:t>
            </w:r>
          </w:p>
        </w:tc>
        <w:tc>
          <w:tcPr>
            <w:tcW w:w="3735" w:type="dxa"/>
            <w:tcBorders>
              <w:top w:val="single" w:sz="6" w:space="0" w:color="auto"/>
              <w:left w:val="single" w:sz="6" w:space="0" w:color="auto"/>
              <w:bottom w:val="single" w:sz="6" w:space="0" w:color="auto"/>
              <w:right w:val="single" w:sz="6" w:space="0" w:color="auto"/>
            </w:tcBorders>
            <w:hideMark/>
          </w:tcPr>
          <w:p w14:paraId="7702F06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Practice: review comments and written assignments. Practice writing to enhance my writing ability, use tools to check syntax. </w:t>
            </w:r>
          </w:p>
        </w:tc>
        <w:tc>
          <w:tcPr>
            <w:tcW w:w="4320" w:type="dxa"/>
            <w:tcBorders>
              <w:top w:val="single" w:sz="6" w:space="0" w:color="auto"/>
              <w:left w:val="single" w:sz="6" w:space="0" w:color="auto"/>
              <w:bottom w:val="single" w:sz="6" w:space="0" w:color="auto"/>
              <w:right w:val="single" w:sz="12" w:space="0" w:color="auto"/>
            </w:tcBorders>
            <w:hideMark/>
          </w:tcPr>
          <w:p w14:paraId="46CCE0ED"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Throughout Degree  </w:t>
            </w:r>
          </w:p>
        </w:tc>
      </w:tr>
    </w:tbl>
    <w:p w14:paraId="24C34FB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73D6117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766826D1"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14A6090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0"/>
        <w:gridCol w:w="3342"/>
        <w:gridCol w:w="3416"/>
        <w:gridCol w:w="3900"/>
      </w:tblGrid>
      <w:tr w:rsidR="00F25C68" w:rsidRPr="00F25C68" w14:paraId="5ABB0ECD" w14:textId="77777777" w:rsidTr="70D0CA2A">
        <w:trPr>
          <w:trHeight w:val="300"/>
        </w:trPr>
        <w:tc>
          <w:tcPr>
            <w:tcW w:w="3450" w:type="dxa"/>
            <w:tcBorders>
              <w:top w:val="single" w:sz="12" w:space="0" w:color="auto"/>
              <w:left w:val="single" w:sz="12" w:space="0" w:color="auto"/>
              <w:bottom w:val="single" w:sz="6" w:space="0" w:color="auto"/>
              <w:right w:val="single" w:sz="6" w:space="0" w:color="auto"/>
            </w:tcBorders>
            <w:hideMark/>
          </w:tcPr>
          <w:p w14:paraId="40B60B91"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lastRenderedPageBreak/>
              <w:t>Objectives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What do I want to be able to do</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or do better?</w:t>
            </w:r>
            <w:r w:rsidRPr="00F25C68">
              <w:rPr>
                <w:rFonts w:ascii="Times New Roman" w:hAnsi="Times New Roman" w:cs="Times New Roman"/>
              </w:rPr>
              <w:t> </w:t>
            </w:r>
          </w:p>
        </w:tc>
        <w:tc>
          <w:tcPr>
            <w:tcW w:w="3735" w:type="dxa"/>
            <w:tcBorders>
              <w:top w:val="single" w:sz="12" w:space="0" w:color="auto"/>
              <w:left w:val="single" w:sz="6" w:space="0" w:color="auto"/>
              <w:bottom w:val="single" w:sz="6" w:space="0" w:color="auto"/>
              <w:right w:val="single" w:sz="6" w:space="0" w:color="auto"/>
            </w:tcBorders>
            <w:hideMark/>
          </w:tcPr>
          <w:p w14:paraId="22E69D55"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Success criteria</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recognise success?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review and measure my improvement?</w:t>
            </w:r>
            <w:r w:rsidRPr="00F25C68">
              <w:rPr>
                <w:rFonts w:ascii="Times New Roman" w:hAnsi="Times New Roman" w:cs="Times New Roman"/>
              </w:rPr>
              <w:t> </w:t>
            </w:r>
          </w:p>
        </w:tc>
        <w:tc>
          <w:tcPr>
            <w:tcW w:w="3735" w:type="dxa"/>
            <w:tcBorders>
              <w:top w:val="single" w:sz="12" w:space="0" w:color="auto"/>
              <w:left w:val="single" w:sz="6" w:space="0" w:color="auto"/>
              <w:bottom w:val="single" w:sz="6" w:space="0" w:color="auto"/>
              <w:right w:val="single" w:sz="6" w:space="0" w:color="auto"/>
            </w:tcBorders>
            <w:hideMark/>
          </w:tcPr>
          <w:p w14:paraId="042E8FB0"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Actions</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What methods will I use to achieve my learning objectives?</w:t>
            </w:r>
            <w:r w:rsidRPr="00F25C68">
              <w:rPr>
                <w:rFonts w:ascii="Times New Roman" w:hAnsi="Times New Roman" w:cs="Times New Roman"/>
              </w:rPr>
              <w:t> </w:t>
            </w:r>
            <w:r w:rsidRPr="00F25C68">
              <w:rPr>
                <w:rFonts w:ascii="Times New Roman" w:hAnsi="Times New Roman" w:cs="Times New Roman"/>
              </w:rPr>
              <w:br/>
              <w:t> </w:t>
            </w:r>
          </w:p>
        </w:tc>
        <w:tc>
          <w:tcPr>
            <w:tcW w:w="4320" w:type="dxa"/>
            <w:tcBorders>
              <w:top w:val="single" w:sz="12" w:space="0" w:color="auto"/>
              <w:left w:val="single" w:sz="6" w:space="0" w:color="auto"/>
              <w:bottom w:val="single" w:sz="6" w:space="0" w:color="auto"/>
              <w:right w:val="single" w:sz="12" w:space="0" w:color="auto"/>
            </w:tcBorders>
            <w:hideMark/>
          </w:tcPr>
          <w:p w14:paraId="094B033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b/>
                <w:bCs/>
                <w:i/>
                <w:iCs/>
              </w:rPr>
              <w:t>Implementation</w:t>
            </w:r>
            <w:r w:rsidRPr="00F25C68">
              <w:rPr>
                <w:rFonts w:ascii="Times New Roman" w:hAnsi="Times New Roman" w:cs="Times New Roman"/>
              </w:rPr>
              <w:t> </w:t>
            </w:r>
            <w:r w:rsidRPr="00F25C68">
              <w:rPr>
                <w:rFonts w:ascii="Times New Roman" w:hAnsi="Times New Roman" w:cs="Times New Roman"/>
              </w:rPr>
              <w:br/>
            </w:r>
            <w:r w:rsidRPr="00F25C68">
              <w:rPr>
                <w:rFonts w:ascii="Times New Roman" w:hAnsi="Times New Roman" w:cs="Times New Roman"/>
                <w:i/>
                <w:iCs/>
              </w:rPr>
              <w:t>How will I practise and apply what I learn?</w:t>
            </w:r>
            <w:r w:rsidRPr="00F25C68">
              <w:rPr>
                <w:rFonts w:ascii="Times New Roman" w:hAnsi="Times New Roman" w:cs="Times New Roman"/>
              </w:rPr>
              <w:t> </w:t>
            </w:r>
          </w:p>
          <w:p w14:paraId="1DC647B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i/>
                <w:iCs/>
              </w:rPr>
              <w:t>Timescale?</w:t>
            </w:r>
            <w:r w:rsidRPr="00F25C68">
              <w:rPr>
                <w:rFonts w:ascii="Times New Roman" w:hAnsi="Times New Roman" w:cs="Times New Roman"/>
              </w:rPr>
              <w:t> </w:t>
            </w:r>
          </w:p>
        </w:tc>
      </w:tr>
      <w:tr w:rsidR="00F25C68" w:rsidRPr="00F25C68" w14:paraId="3B65045F" w14:textId="77777777" w:rsidTr="70D0CA2A">
        <w:trPr>
          <w:trHeight w:val="360"/>
        </w:trPr>
        <w:tc>
          <w:tcPr>
            <w:tcW w:w="15255" w:type="dxa"/>
            <w:gridSpan w:val="4"/>
            <w:tcBorders>
              <w:top w:val="single" w:sz="6" w:space="0" w:color="auto"/>
              <w:left w:val="single" w:sz="6" w:space="0" w:color="auto"/>
              <w:bottom w:val="single" w:sz="6" w:space="0" w:color="auto"/>
              <w:right w:val="single" w:sz="6" w:space="0" w:color="auto"/>
            </w:tcBorders>
            <w:hideMark/>
          </w:tcPr>
          <w:p w14:paraId="5533B2F3" w14:textId="167165BE" w:rsidR="00F25C68" w:rsidRPr="00F25C68" w:rsidRDefault="00F25C68" w:rsidP="00366D57">
            <w:pPr>
              <w:spacing w:line="240" w:lineRule="auto"/>
              <w:jc w:val="center"/>
              <w:rPr>
                <w:rFonts w:ascii="Times New Roman" w:hAnsi="Times New Roman" w:cs="Times New Roman"/>
              </w:rPr>
            </w:pPr>
            <w:r w:rsidRPr="70D0CA2A">
              <w:rPr>
                <w:rFonts w:ascii="Times New Roman" w:hAnsi="Times New Roman" w:cs="Times New Roman"/>
                <w:b/>
                <w:bCs/>
              </w:rPr>
              <w:t>Essential Skills for </w:t>
            </w:r>
            <w:r w:rsidR="07D37714" w:rsidRPr="70D0CA2A">
              <w:rPr>
                <w:rFonts w:ascii="Times New Roman" w:hAnsi="Times New Roman" w:cs="Times New Roman"/>
                <w:b/>
                <w:bCs/>
              </w:rPr>
              <w:t>PhD</w:t>
            </w:r>
            <w:r w:rsidRPr="70D0CA2A">
              <w:rPr>
                <w:rFonts w:ascii="Times New Roman" w:hAnsi="Times New Roman" w:cs="Times New Roman"/>
                <w:b/>
                <w:bCs/>
              </w:rPr>
              <w:t> Study</w:t>
            </w:r>
          </w:p>
        </w:tc>
      </w:tr>
      <w:tr w:rsidR="00F25C68" w:rsidRPr="00F25C68" w14:paraId="09723307"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2D658029"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6DB20DFD" w14:textId="2654BD66" w:rsidR="00F25C68" w:rsidRPr="00F25C68" w:rsidRDefault="00F25C68" w:rsidP="00766DE8">
            <w:pPr>
              <w:numPr>
                <w:ilvl w:val="0"/>
                <w:numId w:val="8"/>
              </w:numPr>
              <w:spacing w:line="240" w:lineRule="auto"/>
              <w:rPr>
                <w:rFonts w:ascii="Times New Roman" w:hAnsi="Times New Roman" w:cs="Times New Roman"/>
              </w:rPr>
            </w:pPr>
            <w:r w:rsidRPr="00F25C68">
              <w:rPr>
                <w:rFonts w:ascii="Times New Roman" w:hAnsi="Times New Roman" w:cs="Times New Roman"/>
              </w:rPr>
              <w:t>Motivation </w:t>
            </w:r>
          </w:p>
        </w:tc>
        <w:tc>
          <w:tcPr>
            <w:tcW w:w="3735" w:type="dxa"/>
            <w:tcBorders>
              <w:top w:val="single" w:sz="6" w:space="0" w:color="auto"/>
              <w:left w:val="single" w:sz="6" w:space="0" w:color="auto"/>
              <w:bottom w:val="single" w:sz="6" w:space="0" w:color="auto"/>
              <w:right w:val="single" w:sz="6" w:space="0" w:color="auto"/>
            </w:tcBorders>
            <w:hideMark/>
          </w:tcPr>
          <w:p w14:paraId="50E2962D" w14:textId="5F21ED46"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Accept direction and attend lectures and meetings. </w:t>
            </w:r>
          </w:p>
        </w:tc>
        <w:tc>
          <w:tcPr>
            <w:tcW w:w="3735" w:type="dxa"/>
            <w:tcBorders>
              <w:top w:val="single" w:sz="6" w:space="0" w:color="auto"/>
              <w:left w:val="single" w:sz="6" w:space="0" w:color="auto"/>
              <w:bottom w:val="single" w:sz="6" w:space="0" w:color="auto"/>
              <w:right w:val="single" w:sz="6" w:space="0" w:color="auto"/>
            </w:tcBorders>
            <w:hideMark/>
          </w:tcPr>
          <w:p w14:paraId="121F764E" w14:textId="5A4A598D"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Calendar and ensuring I am free for academic events </w:t>
            </w:r>
          </w:p>
        </w:tc>
        <w:tc>
          <w:tcPr>
            <w:tcW w:w="4320" w:type="dxa"/>
            <w:tcBorders>
              <w:top w:val="single" w:sz="6" w:space="0" w:color="auto"/>
              <w:left w:val="single" w:sz="6" w:space="0" w:color="auto"/>
              <w:bottom w:val="single" w:sz="6" w:space="0" w:color="auto"/>
              <w:right w:val="single" w:sz="12" w:space="0" w:color="auto"/>
            </w:tcBorders>
            <w:hideMark/>
          </w:tcPr>
          <w:p w14:paraId="1306DDA8" w14:textId="3F98D0C9"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 Throughout </w:t>
            </w:r>
            <w:r w:rsidR="1D513FCF" w:rsidRPr="70D0CA2A">
              <w:rPr>
                <w:rFonts w:ascii="Times New Roman" w:hAnsi="Times New Roman" w:cs="Times New Roman"/>
              </w:rPr>
              <w:t>PhD</w:t>
            </w:r>
            <w:r w:rsidRPr="70D0CA2A">
              <w:rPr>
                <w:rFonts w:ascii="Times New Roman" w:hAnsi="Times New Roman" w:cs="Times New Roman"/>
              </w:rPr>
              <w:t> </w:t>
            </w:r>
          </w:p>
        </w:tc>
      </w:tr>
      <w:tr w:rsidR="00F25C68" w:rsidRPr="00F25C68" w14:paraId="18D91646"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7D1C417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4008A60F" w14:textId="4841F6C9" w:rsidR="00F25C68" w:rsidRPr="00F25C68" w:rsidRDefault="00F25C68" w:rsidP="00766DE8">
            <w:pPr>
              <w:numPr>
                <w:ilvl w:val="0"/>
                <w:numId w:val="9"/>
              </w:numPr>
              <w:spacing w:line="240" w:lineRule="auto"/>
              <w:rPr>
                <w:rFonts w:ascii="Times New Roman" w:hAnsi="Times New Roman" w:cs="Times New Roman"/>
              </w:rPr>
            </w:pPr>
            <w:r w:rsidRPr="00F25C68">
              <w:rPr>
                <w:rFonts w:ascii="Times New Roman" w:hAnsi="Times New Roman" w:cs="Times New Roman"/>
              </w:rPr>
              <w:t> </w:t>
            </w:r>
            <w:r w:rsidR="00366D57" w:rsidRPr="00F25C68">
              <w:rPr>
                <w:rFonts w:ascii="Times New Roman" w:hAnsi="Times New Roman" w:cs="Times New Roman"/>
              </w:rPr>
              <w:t>Self-directed</w:t>
            </w:r>
            <w:r w:rsidRPr="00F25C68">
              <w:rPr>
                <w:rFonts w:ascii="Times New Roman" w:hAnsi="Times New Roman" w:cs="Times New Roman"/>
              </w:rPr>
              <w:t> learning  </w:t>
            </w:r>
          </w:p>
        </w:tc>
        <w:tc>
          <w:tcPr>
            <w:tcW w:w="3735" w:type="dxa"/>
            <w:tcBorders>
              <w:top w:val="single" w:sz="6" w:space="0" w:color="auto"/>
              <w:left w:val="single" w:sz="6" w:space="0" w:color="auto"/>
              <w:bottom w:val="single" w:sz="6" w:space="0" w:color="auto"/>
              <w:right w:val="single" w:sz="6" w:space="0" w:color="auto"/>
            </w:tcBorders>
            <w:hideMark/>
          </w:tcPr>
          <w:p w14:paraId="304657B2" w14:textId="39A243CC"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Able to work alone and interest in subject grows. </w:t>
            </w:r>
          </w:p>
          <w:p w14:paraId="159F0B7A"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1188098F"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3735" w:type="dxa"/>
            <w:tcBorders>
              <w:top w:val="single" w:sz="6" w:space="0" w:color="auto"/>
              <w:left w:val="single" w:sz="6" w:space="0" w:color="auto"/>
              <w:bottom w:val="single" w:sz="6" w:space="0" w:color="auto"/>
              <w:right w:val="single" w:sz="6" w:space="0" w:color="auto"/>
            </w:tcBorders>
            <w:hideMark/>
          </w:tcPr>
          <w:p w14:paraId="2AE37C4E"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Schedule in slots were academic work take priority. </w:t>
            </w:r>
          </w:p>
          <w:p w14:paraId="74248F81"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39A2398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Use campus as a base for learning. </w:t>
            </w:r>
          </w:p>
          <w:p w14:paraId="1F85DF04"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4320" w:type="dxa"/>
            <w:tcBorders>
              <w:top w:val="single" w:sz="6" w:space="0" w:color="auto"/>
              <w:left w:val="single" w:sz="6" w:space="0" w:color="auto"/>
              <w:bottom w:val="single" w:sz="6" w:space="0" w:color="auto"/>
              <w:right w:val="single" w:sz="12" w:space="0" w:color="auto"/>
            </w:tcBorders>
            <w:hideMark/>
          </w:tcPr>
          <w:p w14:paraId="6DC9504D"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Work and academia are arranged to be separate allowing me to organise my academic worktime more efficiently. </w:t>
            </w:r>
          </w:p>
          <w:p w14:paraId="5F1A8E7C"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Notes around the house and reminders help me to do tasks related to my study. </w:t>
            </w:r>
          </w:p>
        </w:tc>
      </w:tr>
      <w:tr w:rsidR="00F25C68" w:rsidRPr="00F25C68" w14:paraId="2EF45730"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5B382C2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1501F0BE" w14:textId="77777777" w:rsidR="00F25C68" w:rsidRPr="00F25C68" w:rsidRDefault="00F25C68" w:rsidP="00766DE8">
            <w:pPr>
              <w:numPr>
                <w:ilvl w:val="0"/>
                <w:numId w:val="10"/>
              </w:numPr>
              <w:spacing w:line="240" w:lineRule="auto"/>
              <w:rPr>
                <w:rFonts w:ascii="Times New Roman" w:hAnsi="Times New Roman" w:cs="Times New Roman"/>
              </w:rPr>
            </w:pPr>
            <w:r w:rsidRPr="00F25C68">
              <w:rPr>
                <w:rFonts w:ascii="Times New Roman" w:hAnsi="Times New Roman" w:cs="Times New Roman"/>
              </w:rPr>
              <w:t>Perseverance </w:t>
            </w:r>
          </w:p>
          <w:p w14:paraId="067D5B14"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3735" w:type="dxa"/>
            <w:tcBorders>
              <w:top w:val="single" w:sz="6" w:space="0" w:color="auto"/>
              <w:left w:val="single" w:sz="6" w:space="0" w:color="auto"/>
              <w:bottom w:val="single" w:sz="6" w:space="0" w:color="auto"/>
              <w:right w:val="single" w:sz="6" w:space="0" w:color="auto"/>
            </w:tcBorders>
            <w:hideMark/>
          </w:tcPr>
          <w:p w14:paraId="121BCEA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Overcome setbacks and redesign work where necessary to incorporate new information. </w:t>
            </w:r>
          </w:p>
        </w:tc>
        <w:tc>
          <w:tcPr>
            <w:tcW w:w="3735" w:type="dxa"/>
            <w:tcBorders>
              <w:top w:val="single" w:sz="6" w:space="0" w:color="auto"/>
              <w:left w:val="single" w:sz="6" w:space="0" w:color="auto"/>
              <w:bottom w:val="single" w:sz="6" w:space="0" w:color="auto"/>
              <w:right w:val="single" w:sz="6" w:space="0" w:color="auto"/>
            </w:tcBorders>
            <w:hideMark/>
          </w:tcPr>
          <w:p w14:paraId="4FD2D173"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Repeat research and writing where necessary to include new information or formulate alternate strategies if necessary. </w:t>
            </w:r>
          </w:p>
        </w:tc>
        <w:tc>
          <w:tcPr>
            <w:tcW w:w="4320" w:type="dxa"/>
            <w:tcBorders>
              <w:top w:val="single" w:sz="6" w:space="0" w:color="auto"/>
              <w:left w:val="single" w:sz="6" w:space="0" w:color="auto"/>
              <w:bottom w:val="single" w:sz="6" w:space="0" w:color="auto"/>
              <w:right w:val="single" w:sz="12" w:space="0" w:color="auto"/>
            </w:tcBorders>
            <w:hideMark/>
          </w:tcPr>
          <w:p w14:paraId="65BA163F" w14:textId="0D57E9E6"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Throughout </w:t>
            </w:r>
            <w:r w:rsidR="072895DA" w:rsidRPr="70D0CA2A">
              <w:rPr>
                <w:rFonts w:ascii="Times New Roman" w:hAnsi="Times New Roman" w:cs="Times New Roman"/>
              </w:rPr>
              <w:t>PhD</w:t>
            </w:r>
            <w:r w:rsidRPr="70D0CA2A">
              <w:rPr>
                <w:rFonts w:ascii="Times New Roman" w:hAnsi="Times New Roman" w:cs="Times New Roman"/>
              </w:rPr>
              <w:t> </w:t>
            </w:r>
          </w:p>
        </w:tc>
      </w:tr>
      <w:tr w:rsidR="00F25C68" w:rsidRPr="00F25C68" w14:paraId="3AF0EF8F" w14:textId="77777777" w:rsidTr="70D0CA2A">
        <w:trPr>
          <w:trHeight w:val="300"/>
        </w:trPr>
        <w:tc>
          <w:tcPr>
            <w:tcW w:w="3450" w:type="dxa"/>
            <w:tcBorders>
              <w:top w:val="single" w:sz="6" w:space="0" w:color="auto"/>
              <w:left w:val="single" w:sz="12" w:space="0" w:color="auto"/>
              <w:bottom w:val="single" w:sz="6" w:space="0" w:color="auto"/>
              <w:right w:val="single" w:sz="6" w:space="0" w:color="auto"/>
            </w:tcBorders>
            <w:hideMark/>
          </w:tcPr>
          <w:p w14:paraId="6EC1A04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3F9A6E84" w14:textId="3DF4C374" w:rsidR="00F25C68" w:rsidRPr="00F25C68" w:rsidRDefault="00F25C68" w:rsidP="00766DE8">
            <w:pPr>
              <w:numPr>
                <w:ilvl w:val="0"/>
                <w:numId w:val="11"/>
              </w:numPr>
              <w:spacing w:line="240" w:lineRule="auto"/>
              <w:rPr>
                <w:rFonts w:ascii="Times New Roman" w:hAnsi="Times New Roman" w:cs="Times New Roman"/>
              </w:rPr>
            </w:pPr>
            <w:r w:rsidRPr="00F25C68">
              <w:rPr>
                <w:rFonts w:ascii="Times New Roman" w:hAnsi="Times New Roman" w:cs="Times New Roman"/>
              </w:rPr>
              <w:t>Adaptability </w:t>
            </w:r>
          </w:p>
        </w:tc>
        <w:tc>
          <w:tcPr>
            <w:tcW w:w="3735" w:type="dxa"/>
            <w:tcBorders>
              <w:top w:val="single" w:sz="6" w:space="0" w:color="auto"/>
              <w:left w:val="single" w:sz="6" w:space="0" w:color="auto"/>
              <w:bottom w:val="single" w:sz="6" w:space="0" w:color="auto"/>
              <w:right w:val="single" w:sz="6" w:space="0" w:color="auto"/>
            </w:tcBorders>
            <w:hideMark/>
          </w:tcPr>
          <w:p w14:paraId="54FD25EC" w14:textId="4B8E3DD3" w:rsidR="00F25C68" w:rsidRPr="00F25C68" w:rsidRDefault="00F25C68" w:rsidP="00766DE8">
            <w:pPr>
              <w:spacing w:line="240" w:lineRule="auto"/>
              <w:rPr>
                <w:rFonts w:ascii="Times New Roman" w:hAnsi="Times New Roman" w:cs="Times New Roman"/>
              </w:rPr>
            </w:pPr>
            <w:r w:rsidRPr="70D0CA2A">
              <w:rPr>
                <w:rFonts w:ascii="Times New Roman" w:hAnsi="Times New Roman" w:cs="Times New Roman"/>
              </w:rPr>
              <w:t> Manage </w:t>
            </w:r>
            <w:r w:rsidR="08229EB5" w:rsidRPr="70D0CA2A">
              <w:rPr>
                <w:rFonts w:ascii="Times New Roman" w:hAnsi="Times New Roman" w:cs="Times New Roman"/>
              </w:rPr>
              <w:t>studies</w:t>
            </w:r>
            <w:r w:rsidRPr="70D0CA2A">
              <w:rPr>
                <w:rFonts w:ascii="Times New Roman" w:hAnsi="Times New Roman" w:cs="Times New Roman"/>
              </w:rPr>
              <w:t>, work life and family life to best suit the academic priority of my </w:t>
            </w:r>
            <w:r w:rsidR="57348A1A" w:rsidRPr="70D0CA2A">
              <w:rPr>
                <w:rFonts w:ascii="Times New Roman" w:hAnsi="Times New Roman" w:cs="Times New Roman"/>
              </w:rPr>
              <w:t>PhD</w:t>
            </w:r>
            <w:r w:rsidRPr="70D0CA2A">
              <w:rPr>
                <w:rFonts w:ascii="Times New Roman" w:hAnsi="Times New Roman" w:cs="Times New Roman"/>
              </w:rPr>
              <w:t>. </w:t>
            </w:r>
          </w:p>
          <w:p w14:paraId="0EA4C0A1"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tc>
        <w:tc>
          <w:tcPr>
            <w:tcW w:w="3735" w:type="dxa"/>
            <w:tcBorders>
              <w:top w:val="single" w:sz="6" w:space="0" w:color="auto"/>
              <w:left w:val="single" w:sz="6" w:space="0" w:color="auto"/>
              <w:bottom w:val="single" w:sz="6" w:space="0" w:color="auto"/>
              <w:right w:val="single" w:sz="6" w:space="0" w:color="auto"/>
            </w:tcBorders>
            <w:hideMark/>
          </w:tcPr>
          <w:p w14:paraId="617E978F"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Utilise school hours for my academic study treating it like a job where possible. Weekends are reserved for work life unless lectures are planned. </w:t>
            </w:r>
          </w:p>
        </w:tc>
        <w:tc>
          <w:tcPr>
            <w:tcW w:w="4320" w:type="dxa"/>
            <w:tcBorders>
              <w:top w:val="single" w:sz="6" w:space="0" w:color="auto"/>
              <w:left w:val="single" w:sz="6" w:space="0" w:color="auto"/>
              <w:bottom w:val="single" w:sz="6" w:space="0" w:color="auto"/>
              <w:right w:val="single" w:sz="12" w:space="0" w:color="auto"/>
            </w:tcBorders>
            <w:hideMark/>
          </w:tcPr>
          <w:p w14:paraId="50893632"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Done </w:t>
            </w:r>
          </w:p>
        </w:tc>
      </w:tr>
    </w:tbl>
    <w:p w14:paraId="48232128" w14:textId="77777777" w:rsidR="00F25C68" w:rsidRPr="00F25C68" w:rsidRDefault="00F25C68" w:rsidP="00766DE8">
      <w:pPr>
        <w:spacing w:line="240" w:lineRule="auto"/>
        <w:rPr>
          <w:rFonts w:ascii="Times New Roman" w:hAnsi="Times New Roman" w:cs="Times New Roman"/>
        </w:rPr>
      </w:pPr>
      <w:r w:rsidRPr="00F25C68">
        <w:rPr>
          <w:rFonts w:ascii="Times New Roman" w:hAnsi="Times New Roman" w:cs="Times New Roman"/>
        </w:rPr>
        <w:t> </w:t>
      </w:r>
    </w:p>
    <w:p w14:paraId="52DF24BD" w14:textId="77777777" w:rsidR="00993706" w:rsidRDefault="00993706">
      <w:pPr>
        <w:rPr>
          <w:rFonts w:ascii="Times New Roman" w:hAnsi="Times New Roman" w:cs="Times New Roman"/>
        </w:rPr>
      </w:pPr>
    </w:p>
    <w:p w14:paraId="1B35C23C" w14:textId="49BC3A56" w:rsidR="006630B1" w:rsidRPr="006C01BC" w:rsidRDefault="008A2E2B" w:rsidP="105F8A98">
      <w:pPr>
        <w:pStyle w:val="Heading1"/>
        <w:jc w:val="center"/>
        <w:rPr>
          <w:rFonts w:ascii="Times New Roman" w:hAnsi="Times New Roman" w:cs="Times New Roman"/>
          <w:b/>
          <w:bCs/>
          <w:color w:val="auto"/>
          <w:sz w:val="28"/>
          <w:szCs w:val="28"/>
        </w:rPr>
      </w:pPr>
      <w:bookmarkStart w:id="3" w:name="_Toc2096754528"/>
      <w:r w:rsidRPr="006C01BC">
        <w:rPr>
          <w:rFonts w:ascii="Times New Roman" w:hAnsi="Times New Roman" w:cs="Times New Roman"/>
          <w:b/>
          <w:bCs/>
          <w:color w:val="auto"/>
          <w:sz w:val="28"/>
          <w:szCs w:val="28"/>
        </w:rPr>
        <w:lastRenderedPageBreak/>
        <w:t>Concept Ma</w:t>
      </w:r>
      <w:r w:rsidR="006630B1" w:rsidRPr="006C01BC">
        <w:rPr>
          <w:rFonts w:ascii="Times New Roman" w:hAnsi="Times New Roman" w:cs="Times New Roman"/>
          <w:b/>
          <w:bCs/>
          <w:color w:val="auto"/>
          <w:sz w:val="28"/>
          <w:szCs w:val="28"/>
        </w:rPr>
        <w:t>p</w:t>
      </w:r>
      <w:bookmarkEnd w:id="3"/>
    </w:p>
    <w:p w14:paraId="10BFDF93" w14:textId="6F8B86C7" w:rsidR="006630B1" w:rsidRPr="006630B1" w:rsidRDefault="00075BE7" w:rsidP="006630B1">
      <w:pPr>
        <w:sectPr w:rsidR="006630B1" w:rsidRPr="006630B1" w:rsidSect="00A05366">
          <w:headerReference w:type="default" r:id="rId13"/>
          <w:pgSz w:w="16838" w:h="11906" w:orient="landscape"/>
          <w:pgMar w:top="1440" w:right="1440" w:bottom="1440" w:left="1440" w:header="709" w:footer="709" w:gutter="0"/>
          <w:cols w:space="708"/>
          <w:docGrid w:linePitch="360"/>
        </w:sectPr>
      </w:pPr>
      <w:r>
        <w:rPr>
          <w:noProof/>
        </w:rPr>
        <w:drawing>
          <wp:inline distT="0" distB="0" distL="0" distR="0" wp14:anchorId="56BE81FE" wp14:editId="1AF222B1">
            <wp:extent cx="8882758" cy="4486875"/>
            <wp:effectExtent l="0" t="0" r="0" b="0"/>
            <wp:docPr id="2024118193" name="Picture 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118193" name="Picture 2" descr="A diagram of a company&#10;&#10;AI-generated content may be incorrect."/>
                    <pic:cNvPicPr/>
                  </pic:nvPicPr>
                  <pic:blipFill>
                    <a:blip r:embed="rId14">
                      <a:extLst>
                        <a:ext uri="{28A0092B-C50C-407E-A947-70E740481C1C}">
                          <a14:useLocalDpi xmlns:a14="http://schemas.microsoft.com/office/drawing/2010/main"/>
                        </a:ext>
                      </a:extLst>
                    </a:blip>
                    <a:stretch>
                      <a:fillRect/>
                    </a:stretch>
                  </pic:blipFill>
                  <pic:spPr>
                    <a:xfrm>
                      <a:off x="0" y="0"/>
                      <a:ext cx="8882758" cy="4486875"/>
                    </a:xfrm>
                    <a:prstGeom prst="rect">
                      <a:avLst/>
                    </a:prstGeom>
                  </pic:spPr>
                </pic:pic>
              </a:graphicData>
            </a:graphic>
          </wp:inline>
        </w:drawing>
      </w:r>
    </w:p>
    <w:p w14:paraId="294FE919" w14:textId="25D61E08" w:rsidR="00FE5936" w:rsidRPr="006C01BC" w:rsidRDefault="00A05366" w:rsidP="70D0CA2A">
      <w:pPr>
        <w:pStyle w:val="Heading1"/>
        <w:jc w:val="center"/>
        <w:rPr>
          <w:rFonts w:ascii="Times New Roman" w:hAnsi="Times New Roman" w:cs="Times New Roman"/>
          <w:b/>
          <w:bCs/>
          <w:color w:val="auto"/>
          <w:sz w:val="28"/>
          <w:szCs w:val="28"/>
        </w:rPr>
      </w:pPr>
      <w:bookmarkStart w:id="4" w:name="_Toc1147369055"/>
      <w:r w:rsidRPr="006C01BC">
        <w:rPr>
          <w:rFonts w:ascii="Times New Roman" w:hAnsi="Times New Roman" w:cs="Times New Roman"/>
          <w:b/>
          <w:bCs/>
          <w:color w:val="auto"/>
          <w:sz w:val="28"/>
          <w:szCs w:val="28"/>
        </w:rPr>
        <w:lastRenderedPageBreak/>
        <w:t>Analysis of Concept Map</w:t>
      </w:r>
      <w:bookmarkEnd w:id="4"/>
    </w:p>
    <w:p w14:paraId="10B1D59D" w14:textId="7374B3C5" w:rsidR="00A80B34" w:rsidRPr="006C01BC" w:rsidRDefault="00F049D8" w:rsidP="006C01BC">
      <w:pPr>
        <w:rPr>
          <w:rFonts w:ascii="Times New Roman" w:hAnsi="Times New Roman" w:cs="Times New Roman"/>
          <w:b/>
          <w:bCs/>
        </w:rPr>
      </w:pPr>
      <w:r w:rsidRPr="006C01BC">
        <w:rPr>
          <w:rFonts w:ascii="Times New Roman" w:hAnsi="Times New Roman" w:cs="Times New Roman"/>
          <w:b/>
          <w:bCs/>
        </w:rPr>
        <w:t>An Analysis of Concept Map Exploring Concepts, Theories and Models Informing Practice in Relation to Young People and County Lines Offending.</w:t>
      </w:r>
    </w:p>
    <w:p w14:paraId="11419F23" w14:textId="68475A5B" w:rsidR="00F049D8" w:rsidRPr="00F049D8" w:rsidRDefault="00F049D8" w:rsidP="00FD7BF3">
      <w:pPr>
        <w:spacing w:line="360" w:lineRule="auto"/>
        <w:rPr>
          <w:rFonts w:ascii="Times New Roman" w:hAnsi="Times New Roman" w:cs="Times New Roman"/>
        </w:rPr>
      </w:pPr>
      <w:r w:rsidRPr="70D0CA2A">
        <w:rPr>
          <w:rFonts w:ascii="Times New Roman" w:hAnsi="Times New Roman" w:cs="Times New Roman"/>
        </w:rPr>
        <w:t>County lines offending represents a complex and evolving form of organised crime in the UK, involving the exploitation of vulnerable young people to facilitate the distribution of drugs across geographic areas. Increasingly, county lines </w:t>
      </w:r>
      <w:r w:rsidR="33333C37" w:rsidRPr="70D0CA2A">
        <w:rPr>
          <w:rFonts w:ascii="Times New Roman" w:hAnsi="Times New Roman" w:cs="Times New Roman"/>
        </w:rPr>
        <w:t xml:space="preserve">drug trafficking </w:t>
      </w:r>
      <w:r w:rsidRPr="70D0CA2A">
        <w:rPr>
          <w:rFonts w:ascii="Times New Roman" w:hAnsi="Times New Roman" w:cs="Times New Roman"/>
        </w:rPr>
        <w:t>is understood not solely as criminal activity but as a safeguarding issue rooted in child criminal exploitation (CCE) (HM Government, 2023). The concept map provided visually captures the interconnected structural, psychological, theoretical, ethical and practical dimensions of young people’s involvement in county lines offending. </w:t>
      </w:r>
    </w:p>
    <w:p w14:paraId="1D82B80A"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This analysis critically examines how the concepts, theories and models represented within the concept map inform professional practice. It demonstrates how integrating criminological, sociological and psychological perspectives enables practitioners to adopt trauma-informed, contextual and ethically grounded approaches. The concept map is analysed as both a learning tool and a framework for reflective professional practice, supporting informed decision-making across safeguarding, youth justice and multi-agency contexts. </w:t>
      </w:r>
    </w:p>
    <w:p w14:paraId="3ADB258F"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At the centre of the concept map is a clear definition of county lines, encompassing organised drug supply networks, cross-border operations and hierarchical structures that rely on the exploitation of young people. Establishing this context is fundamental for professional practice, as definitions shape how young people are perceived and responded to. Research indicates that when county lines involvement is framed primarily as criminality, young people are more likely to be criminalised rather than safeguarded (Marshall, 2024). </w:t>
      </w:r>
    </w:p>
    <w:p w14:paraId="2170EABA" w14:textId="391BF369" w:rsidR="00F049D8" w:rsidRPr="00FD7BF3" w:rsidRDefault="00F049D8" w:rsidP="00FD7BF3">
      <w:pPr>
        <w:spacing w:line="360" w:lineRule="auto"/>
        <w:rPr>
          <w:rFonts w:ascii="Times New Roman" w:hAnsi="Times New Roman" w:cs="Times New Roman"/>
        </w:rPr>
      </w:pPr>
      <w:r w:rsidRPr="00F049D8">
        <w:rPr>
          <w:rFonts w:ascii="Times New Roman" w:hAnsi="Times New Roman" w:cs="Times New Roman"/>
        </w:rPr>
        <w:t>The map’s explicit recognition of youth roles within county </w:t>
      </w:r>
      <w:r w:rsidR="00DF26DA" w:rsidRPr="00FD7BF3">
        <w:rPr>
          <w:rFonts w:ascii="Times New Roman" w:hAnsi="Times New Roman" w:cs="Times New Roman"/>
        </w:rPr>
        <w:t>lines,</w:t>
      </w:r>
      <w:r w:rsidRPr="00F049D8">
        <w:rPr>
          <w:rFonts w:ascii="Times New Roman" w:hAnsi="Times New Roman" w:cs="Times New Roman"/>
        </w:rPr>
        <w:t> such as runners, enforcers and recruiters, reflects contemporary understandings that young people can occupy complex positions as both victims and offenders. This aligns with policy guidance which emphasises that children involved in county lines should be assessed primarily through a safeguarding lens (HM Government, 2023). By foregrounding exploitation, the concept map supports proportionate and ethical professional responses. </w:t>
      </w:r>
    </w:p>
    <w:p w14:paraId="754F22E9" w14:textId="3D25CCDA" w:rsidR="00FD7BF3" w:rsidRDefault="00FD7BF3" w:rsidP="70D0CA2A">
      <w:pPr>
        <w:spacing w:line="360" w:lineRule="auto"/>
        <w:rPr>
          <w:rFonts w:ascii="Times New Roman" w:hAnsi="Times New Roman" w:cs="Times New Roman"/>
        </w:rPr>
      </w:pPr>
    </w:p>
    <w:p w14:paraId="15008D65" w14:textId="77777777" w:rsidR="00E74E57" w:rsidRPr="00F049D8" w:rsidRDefault="00E74E57" w:rsidP="70D0CA2A">
      <w:pPr>
        <w:spacing w:line="360" w:lineRule="auto"/>
        <w:rPr>
          <w:rFonts w:ascii="Times New Roman" w:hAnsi="Times New Roman" w:cs="Times New Roman"/>
        </w:rPr>
      </w:pPr>
    </w:p>
    <w:p w14:paraId="03E99DD1"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lastRenderedPageBreak/>
        <w:t>Structural and Socioeconomic Drivers</w:t>
      </w:r>
      <w:r w:rsidRPr="00F049D8">
        <w:rPr>
          <w:rFonts w:ascii="Times New Roman" w:hAnsi="Times New Roman" w:cs="Times New Roman"/>
        </w:rPr>
        <w:t> </w:t>
      </w:r>
    </w:p>
    <w:p w14:paraId="34580FE7"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The concept map identifies poverty and inequality, family factors, education and exclusion, and community context as key structural drivers. These factors align strongly with sociological theories of crime, particularly strain theory and social disorganisation theory. Strain theory suggests that limited access to legitimate means of success increases the appeal of illicit alternatives, particularly for young people facing socioeconomic deprivation (Baird, 2023). </w:t>
      </w:r>
    </w:p>
    <w:p w14:paraId="3166D481"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Family breakdown, domestic abuse, neglect and care experience further increase vulnerability by weakening protective relationships. Educational exclusion is particularly significant, with evidence consistently linking school exclusion to increased risk of exploitation and serious violence (Youth Endowment Fund, 2024). Community-level factors such as gang presence, postcode rivalries and reduced social capital reflect social disorganisation, where weakened community cohesion creates conditions for criminal networks to operate. </w:t>
      </w:r>
    </w:p>
    <w:p w14:paraId="50F32C8F"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For practitioners, recognising these structural drivers discourages individualised blame and supports interventions that address systemic inequality alongside individual need. </w:t>
      </w:r>
    </w:p>
    <w:p w14:paraId="1C013FAB"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 </w:t>
      </w:r>
    </w:p>
    <w:p w14:paraId="76F4552A"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t>Psychological and Developmental Factors</w:t>
      </w:r>
      <w:r w:rsidRPr="00F049D8">
        <w:rPr>
          <w:rFonts w:ascii="Times New Roman" w:hAnsi="Times New Roman" w:cs="Times New Roman"/>
        </w:rPr>
        <w:t> </w:t>
      </w:r>
    </w:p>
    <w:p w14:paraId="1674287E" w14:textId="702E91B5" w:rsidR="00F049D8" w:rsidRPr="00F049D8" w:rsidRDefault="00F049D8" w:rsidP="00FD7BF3">
      <w:pPr>
        <w:spacing w:line="360" w:lineRule="auto"/>
        <w:rPr>
          <w:rFonts w:ascii="Times New Roman" w:hAnsi="Times New Roman" w:cs="Times New Roman"/>
        </w:rPr>
      </w:pPr>
      <w:r w:rsidRPr="70D0CA2A">
        <w:rPr>
          <w:rFonts w:ascii="Times New Roman" w:hAnsi="Times New Roman" w:cs="Times New Roman"/>
        </w:rPr>
        <w:t>The inclusion of adolescence and identity, trauma and adverse childhood experiences (ACE</w:t>
      </w:r>
      <w:r w:rsidR="4840A804" w:rsidRPr="70D0CA2A">
        <w:rPr>
          <w:rFonts w:ascii="Times New Roman" w:hAnsi="Times New Roman" w:cs="Times New Roman"/>
        </w:rPr>
        <w:t>’</w:t>
      </w:r>
      <w:r w:rsidRPr="70D0CA2A">
        <w:rPr>
          <w:rFonts w:ascii="Times New Roman" w:hAnsi="Times New Roman" w:cs="Times New Roman"/>
        </w:rPr>
        <w:t>s), and risk and resilience, highlights the importance of developmental psychology in understanding county lines involvement. Adolescence is characterised by identity exploration, heightened risk-taking and sensitivity to peer influence, making young people particularly susceptible to grooming and coercion (Sanders, Laming and McCartan, 2022). </w:t>
      </w:r>
    </w:p>
    <w:p w14:paraId="0142238C"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Trauma-informed theory is central to this aspect of the map. Research shows that many exploited young people have experienced chronic trauma, including violence, instability and neglect, which shapes emotional regulation, decision-making and coping strategies (Manister and Wroe, 2023). The concept map appropriately links trauma to mental health vulnerabilities, reinforcing the need for relational and therapeutic approaches in practice. </w:t>
      </w:r>
    </w:p>
    <w:p w14:paraId="489DD7AC" w14:textId="011937B9" w:rsidR="70D0CA2A" w:rsidRDefault="00F049D8" w:rsidP="70D0CA2A">
      <w:pPr>
        <w:spacing w:line="360" w:lineRule="auto"/>
        <w:rPr>
          <w:rFonts w:ascii="Times New Roman" w:hAnsi="Times New Roman" w:cs="Times New Roman"/>
        </w:rPr>
      </w:pPr>
      <w:r w:rsidRPr="70D0CA2A">
        <w:rPr>
          <w:rFonts w:ascii="Times New Roman" w:hAnsi="Times New Roman" w:cs="Times New Roman"/>
        </w:rPr>
        <w:t>Importantly, the inclusion of resilience reflects strengths-based models. Recognising protective factors and adaptive coping strategies allows practitioners to avoid deficit-focused narratives and support positive identity development. </w:t>
      </w:r>
    </w:p>
    <w:p w14:paraId="341C2A59"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lastRenderedPageBreak/>
        <w:t>Grooming, Coercion and Exploitation</w:t>
      </w:r>
      <w:r w:rsidRPr="00F049D8">
        <w:rPr>
          <w:rFonts w:ascii="Times New Roman" w:hAnsi="Times New Roman" w:cs="Times New Roman"/>
        </w:rPr>
        <w:t> </w:t>
      </w:r>
    </w:p>
    <w:p w14:paraId="37916728"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The concept map’s exploration of grooming pathways, including gifting, manipulation, threats and online recruitment, reflects established child protection frameworks. Criminal networks deliberately exploit young people’s needs for belonging, status and financial security, often normalising risk and violence through incremental grooming processes (Baird, 2023). </w:t>
      </w:r>
    </w:p>
    <w:p w14:paraId="602F46AA" w14:textId="0AAF2087" w:rsidR="00F049D8" w:rsidRPr="00F049D8" w:rsidRDefault="00F049D8" w:rsidP="00FD7BF3">
      <w:pPr>
        <w:spacing w:line="360" w:lineRule="auto"/>
        <w:rPr>
          <w:rFonts w:ascii="Times New Roman" w:hAnsi="Times New Roman" w:cs="Times New Roman"/>
        </w:rPr>
      </w:pPr>
      <w:r w:rsidRPr="70D0CA2A">
        <w:rPr>
          <w:rFonts w:ascii="Times New Roman" w:hAnsi="Times New Roman" w:cs="Times New Roman"/>
        </w:rPr>
        <w:t>The explicit reference to CCE is particularly significant. Framing county lines within CCE models aligns practice with safeguarding legislation and ethical standards. It also challenges the false dichotomy between victim and offender, acknowledging that coercion and control significantly </w:t>
      </w:r>
      <w:r w:rsidR="7077D861" w:rsidRPr="70D0CA2A">
        <w:rPr>
          <w:rFonts w:ascii="Times New Roman" w:hAnsi="Times New Roman" w:cs="Times New Roman"/>
        </w:rPr>
        <w:t>limit</w:t>
      </w:r>
      <w:r w:rsidRPr="70D0CA2A">
        <w:rPr>
          <w:rFonts w:ascii="Times New Roman" w:hAnsi="Times New Roman" w:cs="Times New Roman"/>
        </w:rPr>
        <w:t> young people’s agency.  </w:t>
      </w:r>
    </w:p>
    <w:p w14:paraId="10B6DF7F"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For professionals, this understanding supports early identification, disruption of exploitation pathways and appropriate safeguarding responses. </w:t>
      </w:r>
    </w:p>
    <w:p w14:paraId="52A8C8A7"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 </w:t>
      </w:r>
    </w:p>
    <w:p w14:paraId="30268D61"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t>Theoretical Frameworks</w:t>
      </w:r>
      <w:r w:rsidRPr="00F049D8">
        <w:rPr>
          <w:rFonts w:ascii="Times New Roman" w:hAnsi="Times New Roman" w:cs="Times New Roman"/>
        </w:rPr>
        <w:t> </w:t>
      </w:r>
    </w:p>
    <w:p w14:paraId="520A8C7E"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The concept map integrates criminological, sociological and psychological theories, demonstrating an interdisciplinary approach. Criminological theories help explain organised crime structures and recruitment mechanisms, while sociological theories highlight the role of inequality, marginalisation and exclusion. Psychological theories relating to attachment, trauma and development help understand individual vulnerability and behavioural responses. </w:t>
      </w:r>
    </w:p>
    <w:p w14:paraId="20CCBDE4" w14:textId="18A8FAE7" w:rsidR="00F049D8" w:rsidRPr="00F049D8" w:rsidRDefault="00F049D8" w:rsidP="00FD7BF3">
      <w:pPr>
        <w:spacing w:line="360" w:lineRule="auto"/>
        <w:rPr>
          <w:rFonts w:ascii="Times New Roman" w:hAnsi="Times New Roman" w:cs="Times New Roman"/>
        </w:rPr>
      </w:pPr>
      <w:r w:rsidRPr="70D0CA2A">
        <w:rPr>
          <w:rFonts w:ascii="Times New Roman" w:hAnsi="Times New Roman" w:cs="Times New Roman"/>
        </w:rPr>
        <w:t>This theoretical integration strengthens professional assessment and intervention. Rather than relying on single-cause explanations, practitioners are encouraged to consider how multiple factors interact. Such synthesis supports evidence-informed practice and aligns with contemporary expectations of professional competence at advanced levels (Marshall, 2024). </w:t>
      </w:r>
    </w:p>
    <w:p w14:paraId="699DAA25"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t>Methodological and Ethical Considerations</w:t>
      </w:r>
      <w:r w:rsidRPr="00F049D8">
        <w:rPr>
          <w:rFonts w:ascii="Times New Roman" w:hAnsi="Times New Roman" w:cs="Times New Roman"/>
        </w:rPr>
        <w:t> </w:t>
      </w:r>
    </w:p>
    <w:p w14:paraId="609530DF"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The map’s focus on methodological and ethical considerations reflects critical professional awareness. Working with exploited young people raises complex ethical challenges, including informed consent, confidentiality, safeguarding duties and the risk of re-traumatisation. Reflexivity is essential, requiring practitioners to examine their own assumptions, power and positionality. </w:t>
      </w:r>
    </w:p>
    <w:p w14:paraId="5680B646"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lastRenderedPageBreak/>
        <w:t>Research highlights that practitioner perceptions significantly influence whether young people are treated as victims or offenders (Marshall, 2024). Ethical practice therefore requires not only adherence to formal guidance, but also reflective engagement with values, language and professional judgement to ensure practitioners can develop their skills and experiences in line with this rapidly evolving criminal activity. </w:t>
      </w:r>
    </w:p>
    <w:p w14:paraId="22DD7E69"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 </w:t>
      </w:r>
    </w:p>
    <w:p w14:paraId="264759F6"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t>Impacts and Consequences</w:t>
      </w:r>
      <w:r w:rsidRPr="00F049D8">
        <w:rPr>
          <w:rFonts w:ascii="Times New Roman" w:hAnsi="Times New Roman" w:cs="Times New Roman"/>
        </w:rPr>
        <w:t> </w:t>
      </w:r>
    </w:p>
    <w:p w14:paraId="1A5307B7"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The concept map distinguishes between individual, community and systemic impacts of county lines offending. Individually, young people may experience trauma, disrupted education, criminal records and long-term stigma. At a community level, county lines activity contributes to violence, fear and reduced social cohesion. Systemically, enforcement-led responses can reinforce racial disproportionality and mistrust of statutory services (Youth Endowment Fund, 2024). </w:t>
      </w:r>
    </w:p>
    <w:p w14:paraId="7E5BA6AF"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Understanding these layered impacts supports proportionate responses and reinforces the need for trauma-informed and anti-discriminatory practice. </w:t>
      </w:r>
    </w:p>
    <w:p w14:paraId="1D16720D"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 </w:t>
      </w:r>
    </w:p>
    <w:p w14:paraId="0122148C"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t>Intervention and Prevention</w:t>
      </w:r>
      <w:r w:rsidRPr="00F049D8">
        <w:rPr>
          <w:rFonts w:ascii="Times New Roman" w:hAnsi="Times New Roman" w:cs="Times New Roman"/>
        </w:rPr>
        <w:t> </w:t>
      </w:r>
    </w:p>
    <w:p w14:paraId="137AFEB4"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The intervention and prevention section reflects contemporary best practice. Early intervention through youth work, mentoring and family support addresses vulnerability before exploitation escalates. Evidence suggests such preventative approaches are more effective than reactive enforcement alone (HM Government, 2024). </w:t>
      </w:r>
    </w:p>
    <w:p w14:paraId="7089E993"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Multiagency collaboration is emphasised throughout the map, reflecting the reality that county lines span policing, education, social care, health and youth justice. While policy strongly promotes partnership working, research highlights ongoing challenges around information sharing, thresholds and organisational culture (Ofsted </w:t>
      </w:r>
      <w:r w:rsidRPr="00F049D8">
        <w:rPr>
          <w:rFonts w:ascii="Times New Roman" w:hAnsi="Times New Roman" w:cs="Times New Roman"/>
          <w:i/>
          <w:iCs/>
        </w:rPr>
        <w:t>et al.,</w:t>
      </w:r>
      <w:r w:rsidRPr="00F049D8">
        <w:rPr>
          <w:rFonts w:ascii="Times New Roman" w:hAnsi="Times New Roman" w:cs="Times New Roman"/>
        </w:rPr>
        <w:t> 2023). Recognising these challenges is essential for realistic and effective practice. </w:t>
      </w:r>
    </w:p>
    <w:p w14:paraId="2BB214EC" w14:textId="7E399FBE"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Policy innovation, including trauma-informed and contextual safeguarding approaches, supports a shift away from punitive responses. Recent legislative developments further reinforce the need to protect exploited children rather than criminalise them (Topping, 2025). </w:t>
      </w:r>
    </w:p>
    <w:p w14:paraId="69D97F05"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b/>
          <w:bCs/>
        </w:rPr>
        <w:lastRenderedPageBreak/>
        <w:t>Conclusion</w:t>
      </w:r>
      <w:r w:rsidRPr="00F049D8">
        <w:rPr>
          <w:rFonts w:ascii="Times New Roman" w:hAnsi="Times New Roman" w:cs="Times New Roman"/>
        </w:rPr>
        <w:t> </w:t>
      </w:r>
    </w:p>
    <w:p w14:paraId="57EAC220"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The concept map provides a comprehensive and integrated framework for understanding young people’s involvement in county lines offending. By combining structural, developmental, theoretical and ethical perspectives, it reflects the complexity of contemporary professional practice. The map supports a shift from offender-focused narratives towards safeguarding-led, trauma-informed and multi-agency responses. </w:t>
      </w:r>
    </w:p>
    <w:p w14:paraId="64262143" w14:textId="77777777" w:rsidR="00F049D8" w:rsidRPr="00F049D8" w:rsidRDefault="00F049D8" w:rsidP="00FD7BF3">
      <w:pPr>
        <w:spacing w:line="360" w:lineRule="auto"/>
        <w:rPr>
          <w:rFonts w:ascii="Times New Roman" w:hAnsi="Times New Roman" w:cs="Times New Roman"/>
        </w:rPr>
      </w:pPr>
      <w:r w:rsidRPr="00F049D8">
        <w:rPr>
          <w:rFonts w:ascii="Times New Roman" w:hAnsi="Times New Roman" w:cs="Times New Roman"/>
        </w:rPr>
        <w:t>As a reflective tool, the concept map enhances professional understanding, supports evidence-based decision-making and promotes ethical accountability. Its value lies not only in visualising complexity but in guiding practice that recognises exploitation, addresses inequality and prioritises the welfare of vulnerable young people. </w:t>
      </w:r>
    </w:p>
    <w:p w14:paraId="2BEB6DA0" w14:textId="77777777" w:rsidR="00FE5936" w:rsidRPr="00FD7BF3" w:rsidRDefault="00FE5936" w:rsidP="00FD7BF3">
      <w:pPr>
        <w:spacing w:line="360" w:lineRule="auto"/>
        <w:rPr>
          <w:rFonts w:ascii="Times New Roman" w:hAnsi="Times New Roman" w:cs="Times New Roman"/>
        </w:rPr>
      </w:pPr>
    </w:p>
    <w:p w14:paraId="21877CE7" w14:textId="77777777" w:rsidR="00A80B34" w:rsidRPr="00FD7BF3" w:rsidRDefault="00A80B34" w:rsidP="00FD7BF3">
      <w:pPr>
        <w:spacing w:line="360" w:lineRule="auto"/>
        <w:rPr>
          <w:rFonts w:ascii="Times New Roman" w:hAnsi="Times New Roman" w:cs="Times New Roman"/>
        </w:rPr>
      </w:pPr>
    </w:p>
    <w:p w14:paraId="640A2624" w14:textId="77777777" w:rsidR="00A80B34" w:rsidRPr="00FD7BF3" w:rsidRDefault="00A80B34" w:rsidP="00FD7BF3">
      <w:pPr>
        <w:spacing w:line="360" w:lineRule="auto"/>
        <w:rPr>
          <w:rFonts w:ascii="Times New Roman" w:hAnsi="Times New Roman" w:cs="Times New Roman"/>
        </w:rPr>
      </w:pPr>
    </w:p>
    <w:p w14:paraId="666EDF24" w14:textId="227F26E1" w:rsidR="00A80B34" w:rsidRPr="00FD7BF3" w:rsidRDefault="00A80B34" w:rsidP="70D0CA2A">
      <w:pPr>
        <w:spacing w:line="360" w:lineRule="auto"/>
        <w:rPr>
          <w:rFonts w:ascii="Times New Roman" w:hAnsi="Times New Roman" w:cs="Times New Roman"/>
        </w:rPr>
      </w:pPr>
    </w:p>
    <w:p w14:paraId="55F30B25" w14:textId="4FA6E9C3" w:rsidR="70D0CA2A" w:rsidRDefault="70D0CA2A" w:rsidP="70D0CA2A">
      <w:pPr>
        <w:spacing w:line="360" w:lineRule="auto"/>
        <w:rPr>
          <w:rFonts w:ascii="Times New Roman" w:hAnsi="Times New Roman" w:cs="Times New Roman"/>
        </w:rPr>
      </w:pPr>
    </w:p>
    <w:p w14:paraId="773D60DF" w14:textId="77777777" w:rsidR="006C01BC" w:rsidRDefault="006C01BC" w:rsidP="70D0CA2A">
      <w:pPr>
        <w:spacing w:line="360" w:lineRule="auto"/>
        <w:rPr>
          <w:rFonts w:ascii="Times New Roman" w:hAnsi="Times New Roman" w:cs="Times New Roman"/>
        </w:rPr>
      </w:pPr>
    </w:p>
    <w:p w14:paraId="6F1DA08E" w14:textId="77777777" w:rsidR="006C01BC" w:rsidRDefault="006C01BC" w:rsidP="70D0CA2A">
      <w:pPr>
        <w:spacing w:line="360" w:lineRule="auto"/>
        <w:rPr>
          <w:rFonts w:ascii="Times New Roman" w:hAnsi="Times New Roman" w:cs="Times New Roman"/>
        </w:rPr>
      </w:pPr>
    </w:p>
    <w:p w14:paraId="2C1A46D0" w14:textId="77777777" w:rsidR="006C01BC" w:rsidRDefault="006C01BC" w:rsidP="70D0CA2A">
      <w:pPr>
        <w:spacing w:line="360" w:lineRule="auto"/>
        <w:rPr>
          <w:rFonts w:ascii="Times New Roman" w:hAnsi="Times New Roman" w:cs="Times New Roman"/>
        </w:rPr>
      </w:pPr>
    </w:p>
    <w:p w14:paraId="2BE25BBF" w14:textId="77777777" w:rsidR="006C01BC" w:rsidRDefault="006C01BC" w:rsidP="70D0CA2A">
      <w:pPr>
        <w:spacing w:line="360" w:lineRule="auto"/>
        <w:rPr>
          <w:rFonts w:ascii="Times New Roman" w:hAnsi="Times New Roman" w:cs="Times New Roman"/>
        </w:rPr>
      </w:pPr>
    </w:p>
    <w:p w14:paraId="656A4983" w14:textId="77777777" w:rsidR="006C01BC" w:rsidRDefault="006C01BC" w:rsidP="70D0CA2A">
      <w:pPr>
        <w:spacing w:line="360" w:lineRule="auto"/>
        <w:rPr>
          <w:rFonts w:ascii="Times New Roman" w:hAnsi="Times New Roman" w:cs="Times New Roman"/>
        </w:rPr>
      </w:pPr>
    </w:p>
    <w:p w14:paraId="58CEDEC2" w14:textId="77777777" w:rsidR="006C01BC" w:rsidRDefault="006C01BC" w:rsidP="70D0CA2A">
      <w:pPr>
        <w:spacing w:line="360" w:lineRule="auto"/>
        <w:rPr>
          <w:rFonts w:ascii="Times New Roman" w:hAnsi="Times New Roman" w:cs="Times New Roman"/>
        </w:rPr>
      </w:pPr>
    </w:p>
    <w:p w14:paraId="4C543511" w14:textId="77777777" w:rsidR="006C01BC" w:rsidRDefault="006C01BC" w:rsidP="70D0CA2A">
      <w:pPr>
        <w:spacing w:line="360" w:lineRule="auto"/>
        <w:rPr>
          <w:rFonts w:ascii="Times New Roman" w:hAnsi="Times New Roman" w:cs="Times New Roman"/>
        </w:rPr>
      </w:pPr>
    </w:p>
    <w:p w14:paraId="50D82D14" w14:textId="77777777" w:rsidR="006C01BC" w:rsidRDefault="006C01BC" w:rsidP="70D0CA2A">
      <w:pPr>
        <w:spacing w:line="360" w:lineRule="auto"/>
        <w:rPr>
          <w:rFonts w:ascii="Times New Roman" w:hAnsi="Times New Roman" w:cs="Times New Roman"/>
        </w:rPr>
      </w:pPr>
    </w:p>
    <w:p w14:paraId="2836B6CC" w14:textId="77777777" w:rsidR="006C01BC" w:rsidRDefault="006C01BC" w:rsidP="70D0CA2A">
      <w:pPr>
        <w:spacing w:line="360" w:lineRule="auto"/>
        <w:rPr>
          <w:rFonts w:ascii="Times New Roman" w:hAnsi="Times New Roman" w:cs="Times New Roman"/>
        </w:rPr>
      </w:pPr>
    </w:p>
    <w:p w14:paraId="222C66DA" w14:textId="161B1DB8" w:rsidR="00A05366" w:rsidRPr="006C01BC" w:rsidRDefault="00A05366" w:rsidP="70D0CA2A">
      <w:pPr>
        <w:pStyle w:val="Heading1"/>
        <w:spacing w:line="360" w:lineRule="auto"/>
        <w:jc w:val="center"/>
        <w:rPr>
          <w:rFonts w:ascii="Times New Roman" w:hAnsi="Times New Roman" w:cs="Times New Roman"/>
          <w:b/>
          <w:bCs/>
          <w:color w:val="auto"/>
          <w:sz w:val="28"/>
          <w:szCs w:val="28"/>
        </w:rPr>
      </w:pPr>
      <w:bookmarkStart w:id="5" w:name="_Toc2000620511"/>
      <w:r w:rsidRPr="006C01BC">
        <w:rPr>
          <w:rFonts w:ascii="Times New Roman" w:hAnsi="Times New Roman" w:cs="Times New Roman"/>
          <w:b/>
          <w:bCs/>
          <w:color w:val="auto"/>
          <w:sz w:val="28"/>
          <w:szCs w:val="28"/>
        </w:rPr>
        <w:lastRenderedPageBreak/>
        <w:t>Case Study</w:t>
      </w:r>
      <w:bookmarkEnd w:id="5"/>
    </w:p>
    <w:p w14:paraId="5ACD71DC"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b/>
          <w:bCs/>
        </w:rPr>
        <w:t>Case Study: Youth Justice Practice in a Rural Welsh Context – Workplace Realities and Future Research Directions</w:t>
      </w:r>
      <w:r w:rsidRPr="006621CB">
        <w:rPr>
          <w:rFonts w:ascii="Times New Roman" w:hAnsi="Times New Roman" w:cs="Times New Roman"/>
        </w:rPr>
        <w:t> </w:t>
      </w:r>
    </w:p>
    <w:p w14:paraId="1695FBCC" w14:textId="544D43FA" w:rsidR="006621CB" w:rsidRPr="006621CB" w:rsidRDefault="006621CB" w:rsidP="00FD7BF3">
      <w:pPr>
        <w:spacing w:line="360" w:lineRule="auto"/>
        <w:rPr>
          <w:rFonts w:ascii="Times New Roman" w:hAnsi="Times New Roman" w:cs="Times New Roman"/>
        </w:rPr>
      </w:pPr>
      <w:r w:rsidRPr="70D0CA2A">
        <w:rPr>
          <w:rFonts w:ascii="Times New Roman" w:hAnsi="Times New Roman" w:cs="Times New Roman"/>
        </w:rPr>
        <w:t xml:space="preserve">This case study examines the workplace contexts, professional learning development and emerging research interests of a trainee youth worker undertaking work placement as an </w:t>
      </w:r>
      <w:r w:rsidR="152FEA7A" w:rsidRPr="70D0CA2A">
        <w:rPr>
          <w:rFonts w:ascii="Times New Roman" w:hAnsi="Times New Roman" w:cs="Times New Roman"/>
        </w:rPr>
        <w:t>A</w:t>
      </w:r>
      <w:r w:rsidRPr="70D0CA2A">
        <w:rPr>
          <w:rFonts w:ascii="Times New Roman" w:hAnsi="Times New Roman" w:cs="Times New Roman"/>
        </w:rPr>
        <w:t xml:space="preserve">ppropriate </w:t>
      </w:r>
      <w:r w:rsidR="49ACC49D" w:rsidRPr="70D0CA2A">
        <w:rPr>
          <w:rFonts w:ascii="Times New Roman" w:hAnsi="Times New Roman" w:cs="Times New Roman"/>
        </w:rPr>
        <w:t>A</w:t>
      </w:r>
      <w:r w:rsidRPr="70D0CA2A">
        <w:rPr>
          <w:rFonts w:ascii="Times New Roman" w:hAnsi="Times New Roman" w:cs="Times New Roman"/>
        </w:rPr>
        <w:t>dult (AA) in the youth justice board (YJB) in Ceredigion, Wales. Using reflective practice, organisational and policy documents, and academic literature this case study explored the complexities of youth justice support in rural Wales. The work highlights several areas for future research opportunities that could inform better practice and lead to more equitable service provision. </w:t>
      </w:r>
    </w:p>
    <w:p w14:paraId="12E98E70"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 </w:t>
      </w:r>
    </w:p>
    <w:p w14:paraId="250A238C"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b/>
          <w:bCs/>
        </w:rPr>
        <w:t>Child-first and rights-based practice </w:t>
      </w:r>
      <w:r w:rsidRPr="006621CB">
        <w:rPr>
          <w:rFonts w:ascii="Times New Roman" w:hAnsi="Times New Roman" w:cs="Times New Roman"/>
        </w:rPr>
        <w:t> </w:t>
      </w:r>
    </w:p>
    <w:p w14:paraId="110288EE"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The YJB is a statutory body with a child-first mandate for the effective safeguarding of the rights of children involved in the youth justice system, with additional responsibilities to prevent offending and promote effective practice (Youth Justice Board for England and Wales, 2021). Within this structure, the AA plays a critical role in ensuring children detained or questioned by police are treated lawfully, humanely and fairly under the Police and Criminal Evidence Act (PACE) (Home Office &amp; NAAN, 2011). National standards describe the AA as a safeguard who supports the young person, ensures procedural understanding, observes the interview process, and facilitates communication where necessary (NAAN, 2018). During the placement, the trainee encountered confused, frightened young people and uncertainty about the youth justice process, highlighting the need for the AA role. Bevan (2016) clearly supports this observation, noting young people as having a lack of understanding of legal consequences and therefore being at a disadvantage in the justice system.  In addition, young people in the youth justice system are subject to an inherent power imbalance between themselves and officials (police, judges, social workers), and social and community status changes with the official label of “offender” (Smithson and Jones, 2021).  </w:t>
      </w:r>
    </w:p>
    <w:p w14:paraId="5606A5F0" w14:textId="2B98A591" w:rsidR="006621CB" w:rsidRDefault="006621CB" w:rsidP="70D0CA2A">
      <w:pPr>
        <w:spacing w:line="360" w:lineRule="auto"/>
        <w:rPr>
          <w:rFonts w:ascii="Times New Roman" w:hAnsi="Times New Roman" w:cs="Times New Roman"/>
        </w:rPr>
      </w:pPr>
      <w:r w:rsidRPr="70D0CA2A">
        <w:rPr>
          <w:rFonts w:ascii="Times New Roman" w:hAnsi="Times New Roman" w:cs="Times New Roman"/>
        </w:rPr>
        <w:t> </w:t>
      </w:r>
    </w:p>
    <w:p w14:paraId="6A18917B" w14:textId="77777777" w:rsidR="006C01BC" w:rsidRDefault="006C01BC" w:rsidP="70D0CA2A">
      <w:pPr>
        <w:spacing w:line="360" w:lineRule="auto"/>
        <w:rPr>
          <w:rFonts w:ascii="Times New Roman" w:hAnsi="Times New Roman" w:cs="Times New Roman"/>
        </w:rPr>
      </w:pPr>
    </w:p>
    <w:p w14:paraId="5B571576"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b/>
          <w:bCs/>
        </w:rPr>
        <w:lastRenderedPageBreak/>
        <w:t>Rural service delivery challenges</w:t>
      </w:r>
      <w:r w:rsidRPr="006621CB">
        <w:rPr>
          <w:rFonts w:ascii="Times New Roman" w:hAnsi="Times New Roman" w:cs="Times New Roman"/>
        </w:rPr>
        <w:t> </w:t>
      </w:r>
    </w:p>
    <w:p w14:paraId="36DF3698" w14:textId="1CA615EF"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Youth justice practice in Ceredigion is shaped by the rural geography of the area. Government data identified by the trainee shows that Ceredigion is sparsely populated, and characterised by limited transport links, long travel distances and subject to many services centralised to the major towns in Ceredigion (Welsh Government, 2020). The Community Profile developed during the placement, highlights a lack of funding for youth services in Ceredigion compared to the Welsh average (Welsh Governm</w:t>
      </w:r>
      <w:r w:rsidR="006C01BC">
        <w:rPr>
          <w:rFonts w:ascii="Times New Roman" w:hAnsi="Times New Roman" w:cs="Times New Roman"/>
        </w:rPr>
        <w:t>ent, 20</w:t>
      </w:r>
      <w:r w:rsidRPr="006621CB">
        <w:rPr>
          <w:rFonts w:ascii="Times New Roman" w:hAnsi="Times New Roman" w:cs="Times New Roman"/>
        </w:rPr>
        <w:t>21) and a lack of youth services, clubs and networks in many areas except for the larger towns. This situation often leaves young people unsupported, isolated and reliant on others to attend services, clubs and events in centralised locations within Ceredigion. These contextual challenges mirror academic findings within this study that indicate limited services, isolation and rural poverty as factors intensifying social exclusion and increasing the risk of offending (</w:t>
      </w:r>
      <w:proofErr w:type="spellStart"/>
      <w:r w:rsidRPr="006621CB">
        <w:rPr>
          <w:rFonts w:ascii="Times New Roman" w:hAnsi="Times New Roman" w:cs="Times New Roman"/>
        </w:rPr>
        <w:t>Sariaslan</w:t>
      </w:r>
      <w:proofErr w:type="spellEnd"/>
      <w:r w:rsidRPr="006621CB">
        <w:rPr>
          <w:rFonts w:ascii="Times New Roman" w:hAnsi="Times New Roman" w:cs="Times New Roman"/>
        </w:rPr>
        <w:t> </w:t>
      </w:r>
      <w:r w:rsidRPr="006621CB">
        <w:rPr>
          <w:rFonts w:ascii="Times New Roman" w:hAnsi="Times New Roman" w:cs="Times New Roman"/>
          <w:i/>
          <w:iCs/>
        </w:rPr>
        <w:t>et al</w:t>
      </w:r>
      <w:r w:rsidRPr="006621CB">
        <w:rPr>
          <w:rFonts w:ascii="Times New Roman" w:hAnsi="Times New Roman" w:cs="Times New Roman"/>
        </w:rPr>
        <w:t>., 2014; YJB, 2021).  </w:t>
      </w:r>
    </w:p>
    <w:p w14:paraId="2C3E402F"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 </w:t>
      </w:r>
    </w:p>
    <w:p w14:paraId="6B31122E"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b/>
          <w:bCs/>
        </w:rPr>
        <w:t>Multi-agency working</w:t>
      </w:r>
      <w:r w:rsidRPr="006621CB">
        <w:rPr>
          <w:rFonts w:ascii="Times New Roman" w:hAnsi="Times New Roman" w:cs="Times New Roman"/>
        </w:rPr>
        <w:t>  </w:t>
      </w:r>
    </w:p>
    <w:p w14:paraId="54935703"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The trainee’s role involved numerous multi-agency experiences including police custody suites, education settings, bureau panel meetings, restorative justice sessions and youth services, working with officials within the justice system, parents, teachers and police. These experiences show the diversity of professional culture and priorities that are the reality of decision-making within youth justice. Police settings were procedural, and efficiency driven to ensure processing of individuals, whereas the bureau panel meetings were discussion based for the purpose of planning child-centred interventions. The case study reveals tensions between some agencies, with differing opinions of risk and welfare and different approaches, sometimes prioritising compliance over participation. These tensions are also apparent in academic works (Case and Haines, 2015; Creaney, 2015) discussing a misalignment between punitive system measures and modern youth work practices such as rights, empowerment and participation. The trainee also discusses bureaucratic pressures undermining meaningful engagement and negatively impacting interventions for young people in the youth justice system. </w:t>
      </w:r>
    </w:p>
    <w:p w14:paraId="2AD59681" w14:textId="19699D79" w:rsidR="2EE91D84" w:rsidRDefault="006621CB" w:rsidP="70D0CA2A">
      <w:pPr>
        <w:spacing w:line="360" w:lineRule="auto"/>
        <w:rPr>
          <w:rFonts w:ascii="Times New Roman" w:hAnsi="Times New Roman" w:cs="Times New Roman"/>
        </w:rPr>
      </w:pPr>
      <w:r w:rsidRPr="70D0CA2A">
        <w:rPr>
          <w:rFonts w:ascii="Times New Roman" w:hAnsi="Times New Roman" w:cs="Times New Roman"/>
        </w:rPr>
        <w:t> </w:t>
      </w:r>
    </w:p>
    <w:p w14:paraId="5D403CA2" w14:textId="77777777" w:rsidR="006C01BC" w:rsidRDefault="006C01BC" w:rsidP="70D0CA2A">
      <w:pPr>
        <w:spacing w:line="360" w:lineRule="auto"/>
        <w:rPr>
          <w:rFonts w:ascii="Times New Roman" w:hAnsi="Times New Roman" w:cs="Times New Roman"/>
        </w:rPr>
      </w:pPr>
    </w:p>
    <w:p w14:paraId="7F51717A"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b/>
          <w:bCs/>
        </w:rPr>
        <w:lastRenderedPageBreak/>
        <w:t>Ethics and Emotional labour</w:t>
      </w:r>
      <w:r w:rsidRPr="006621CB">
        <w:rPr>
          <w:rFonts w:ascii="Times New Roman" w:hAnsi="Times New Roman" w:cs="Times New Roman"/>
        </w:rPr>
        <w:t>  </w:t>
      </w:r>
    </w:p>
    <w:p w14:paraId="727B457C" w14:textId="24B06F75" w:rsidR="006621CB" w:rsidRPr="006621CB" w:rsidRDefault="006621CB" w:rsidP="00FD7BF3">
      <w:pPr>
        <w:spacing w:line="360" w:lineRule="auto"/>
        <w:rPr>
          <w:rFonts w:ascii="Times New Roman" w:hAnsi="Times New Roman" w:cs="Times New Roman"/>
        </w:rPr>
      </w:pPr>
      <w:r w:rsidRPr="70D0CA2A">
        <w:rPr>
          <w:rFonts w:ascii="Times New Roman" w:hAnsi="Times New Roman" w:cs="Times New Roman"/>
        </w:rPr>
        <w:t>This case study highlights the interplay between young people’s complex needs, systemic pressures, and practitioner ethics. The role of the </w:t>
      </w:r>
      <w:r w:rsidR="42782F32" w:rsidRPr="70D0CA2A">
        <w:rPr>
          <w:rFonts w:ascii="Times New Roman" w:hAnsi="Times New Roman" w:cs="Times New Roman"/>
        </w:rPr>
        <w:t xml:space="preserve">AA </w:t>
      </w:r>
      <w:r w:rsidRPr="70D0CA2A">
        <w:rPr>
          <w:rFonts w:ascii="Times New Roman" w:hAnsi="Times New Roman" w:cs="Times New Roman"/>
        </w:rPr>
        <w:t>is both emotionally demanding and ethically critical, requiring resilience, fairness, and advocacy.  Supporting young people during arrest and custody process frequently involved heightened emotional states and fear of the unknown, was often linked to family conflict, trauma and mental health difficulties. Many of the individuals in this case study had histories of disrupted attachment and traumatic adversity, affecting emotional regulation, social functioning and offending risk (Baim, 2020).  </w:t>
      </w:r>
    </w:p>
    <w:p w14:paraId="7E25A319"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The emotional strain noted in the case study is supported by Myles-Wright and Nee, (2020), which suggests distressing disclosures and situations require skilled practice to remain neutral and child focussed. The trainee’s experiences reflect these findings, with reflective practice being used as a key tool for developing skills to remain effective and neutral, whilst managing personal responses in these extreme situations. Awareness of unconscious bias was also crucial in the trainee role, particularly when working with young people whose offences or experiences may evoke strong emotional responses.  This was necessary as </w:t>
      </w:r>
      <w:proofErr w:type="spellStart"/>
      <w:r w:rsidRPr="006621CB">
        <w:rPr>
          <w:rFonts w:ascii="Times New Roman" w:hAnsi="Times New Roman" w:cs="Times New Roman"/>
        </w:rPr>
        <w:t>Chafota</w:t>
      </w:r>
      <w:proofErr w:type="spellEnd"/>
      <w:r w:rsidRPr="006621CB">
        <w:rPr>
          <w:rFonts w:ascii="Times New Roman" w:hAnsi="Times New Roman" w:cs="Times New Roman"/>
        </w:rPr>
        <w:t> (2020) emphasises that these strong emotional responses can affect the judgement of practitioners working with young people, and influence decisions, further extending the importance of practitioner reflection and ethical vigilance in youth work. Future research should focus on reducing unconscious bias, supporting worker wellbeing, and addressing socio-economic inequalities that underpin offending behaviour. </w:t>
      </w:r>
    </w:p>
    <w:p w14:paraId="04EEFC6F"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 </w:t>
      </w:r>
    </w:p>
    <w:p w14:paraId="5F56D5A9"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b/>
          <w:bCs/>
        </w:rPr>
        <w:t>Restorative justice and participation</w:t>
      </w:r>
      <w:r w:rsidRPr="006621CB">
        <w:rPr>
          <w:rFonts w:ascii="Times New Roman" w:hAnsi="Times New Roman" w:cs="Times New Roman"/>
        </w:rPr>
        <w:t> </w:t>
      </w:r>
    </w:p>
    <w:p w14:paraId="214F9C19" w14:textId="77777777" w:rsidR="006621CB" w:rsidRPr="006621CB" w:rsidRDefault="006621CB" w:rsidP="00FD7BF3">
      <w:pPr>
        <w:spacing w:line="360" w:lineRule="auto"/>
        <w:rPr>
          <w:rFonts w:ascii="Times New Roman" w:hAnsi="Times New Roman" w:cs="Times New Roman"/>
        </w:rPr>
      </w:pPr>
      <w:r w:rsidRPr="70D0CA2A">
        <w:rPr>
          <w:rFonts w:ascii="Times New Roman" w:hAnsi="Times New Roman" w:cs="Times New Roman"/>
        </w:rPr>
        <w:t>The experience of the trainee creates </w:t>
      </w:r>
      <w:bookmarkStart w:id="6" w:name="_Int_w7JFRJgh"/>
      <w:proofErr w:type="gramStart"/>
      <w:r w:rsidRPr="70D0CA2A">
        <w:rPr>
          <w:rFonts w:ascii="Times New Roman" w:hAnsi="Times New Roman" w:cs="Times New Roman"/>
        </w:rPr>
        <w:t>an</w:t>
      </w:r>
      <w:bookmarkEnd w:id="6"/>
      <w:proofErr w:type="gramEnd"/>
      <w:r w:rsidRPr="70D0CA2A">
        <w:rPr>
          <w:rFonts w:ascii="Times New Roman" w:hAnsi="Times New Roman" w:cs="Times New Roman"/>
        </w:rPr>
        <w:t> </w:t>
      </w:r>
      <w:r w:rsidRPr="70D0CA2A">
        <w:rPr>
          <w:rFonts w:ascii="Times New Roman" w:hAnsi="Times New Roman" w:cs="Times New Roman"/>
          <w:i/>
          <w:iCs/>
        </w:rPr>
        <w:t>unique vantage point</w:t>
      </w:r>
      <w:r w:rsidRPr="70D0CA2A">
        <w:rPr>
          <w:rFonts w:ascii="Times New Roman" w:hAnsi="Times New Roman" w:cs="Times New Roman"/>
        </w:rPr>
        <w:t xml:space="preserve"> from which key research gaps and development areas emerge. Restorative practice was a key element of this placement, particularly involvement in reparation work and bureau panel meetings. A notable case was that of a young person undertaking restorative work in his school environment. Observations of this case show the potential of restorative practice to encourage accountability, understanding and constructive community relationships for young people. This is supported by Zehr (2015) who suggests that restorative interventions offer opportunities for young people to grow and reflect by examining the impact of their actions. </w:t>
      </w:r>
      <w:r w:rsidRPr="70D0CA2A">
        <w:rPr>
          <w:rFonts w:ascii="Times New Roman" w:hAnsi="Times New Roman" w:cs="Times New Roman"/>
        </w:rPr>
        <w:lastRenderedPageBreak/>
        <w:t>The trainee also notes the conflict between restorative measures and the societal expectation of punishment for offences, raising questions about public perceptions of youth justice and interventions, and the practical limit of restorative justice in rural and small communities. The engagement of young people in this process is essential for the effectiveness of restorative justice, with a noted difference between; participation to tick boxes and remain out of custody, and full engagement with these interventions (YJB, 2010), having a major effect on the outcomes and learning experiences provided to the young people.  </w:t>
      </w:r>
    </w:p>
    <w:p w14:paraId="06242D8C"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Youth participation emerges from this case study as another central theme. Observations show that while some young people could confidently express views, others appeared overwhelmed in the situation and by formal processes, leading to reluctance to speak in key meetings with numerous professionals. This variation reflects much of the research identified which shows youth participation is dependent of context, practitioner approach and perceived safety. The AA role could in this circumstance be considered a safety jacket allowing a higher level of participation in the youth justice process. The YJB advocates for a child first approach to youth justice with participatory principles, however, this is not always achievable in high pressure environments such as custody suites and panel meetings. The AA role in this is to be the expert communicator between young people and professionals, adapting processes to the needs of the individual. The experiences reported in the case study confirm that young people participate more when they are fully respected, informed and supported. Unfortunately, these conditions are not always able to be met leading to inequalities in the youth justice system. </w:t>
      </w:r>
    </w:p>
    <w:p w14:paraId="34F40BC2"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 </w:t>
      </w:r>
    </w:p>
    <w:p w14:paraId="1173D849"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b/>
          <w:bCs/>
        </w:rPr>
        <w:t>From these contextual observations various themes emerge for future research within Youth Justice:</w:t>
      </w:r>
      <w:r w:rsidRPr="006621CB">
        <w:rPr>
          <w:rFonts w:ascii="Times New Roman" w:hAnsi="Times New Roman" w:cs="Times New Roman"/>
        </w:rPr>
        <w:t> </w:t>
      </w:r>
    </w:p>
    <w:p w14:paraId="243D34F3" w14:textId="77777777" w:rsidR="006621CB" w:rsidRPr="006621CB" w:rsidRDefault="006621CB" w:rsidP="00FD7BF3">
      <w:pPr>
        <w:numPr>
          <w:ilvl w:val="0"/>
          <w:numId w:val="12"/>
        </w:numPr>
        <w:spacing w:line="360" w:lineRule="auto"/>
        <w:rPr>
          <w:rFonts w:ascii="Times New Roman" w:hAnsi="Times New Roman" w:cs="Times New Roman"/>
        </w:rPr>
      </w:pPr>
      <w:r w:rsidRPr="006621CB">
        <w:rPr>
          <w:rFonts w:ascii="Times New Roman" w:hAnsi="Times New Roman" w:cs="Times New Roman"/>
        </w:rPr>
        <w:t>Youth voice and participation in justice settings.  </w:t>
      </w:r>
    </w:p>
    <w:p w14:paraId="5B250C3E" w14:textId="77777777" w:rsidR="006621CB" w:rsidRPr="006621CB" w:rsidRDefault="006621CB" w:rsidP="00FD7BF3">
      <w:pPr>
        <w:numPr>
          <w:ilvl w:val="0"/>
          <w:numId w:val="13"/>
        </w:numPr>
        <w:spacing w:line="360" w:lineRule="auto"/>
        <w:rPr>
          <w:rFonts w:ascii="Times New Roman" w:hAnsi="Times New Roman" w:cs="Times New Roman"/>
        </w:rPr>
      </w:pPr>
      <w:r w:rsidRPr="006621CB">
        <w:rPr>
          <w:rFonts w:ascii="Times New Roman" w:hAnsi="Times New Roman" w:cs="Times New Roman"/>
        </w:rPr>
        <w:t>The lived experience of young people in custody.  </w:t>
      </w:r>
    </w:p>
    <w:p w14:paraId="375388AE" w14:textId="77777777" w:rsidR="006621CB" w:rsidRPr="006621CB" w:rsidRDefault="006621CB" w:rsidP="00FD7BF3">
      <w:pPr>
        <w:numPr>
          <w:ilvl w:val="0"/>
          <w:numId w:val="14"/>
        </w:numPr>
        <w:spacing w:line="360" w:lineRule="auto"/>
        <w:rPr>
          <w:rFonts w:ascii="Times New Roman" w:hAnsi="Times New Roman" w:cs="Times New Roman"/>
        </w:rPr>
      </w:pPr>
      <w:r w:rsidRPr="006621CB">
        <w:rPr>
          <w:rFonts w:ascii="Times New Roman" w:hAnsi="Times New Roman" w:cs="Times New Roman"/>
        </w:rPr>
        <w:t>Rural youth justice inequities.  </w:t>
      </w:r>
    </w:p>
    <w:p w14:paraId="1AAF531B" w14:textId="3DB80737" w:rsidR="006621CB" w:rsidRPr="006621CB" w:rsidRDefault="006621CB" w:rsidP="00FD7BF3">
      <w:pPr>
        <w:numPr>
          <w:ilvl w:val="0"/>
          <w:numId w:val="15"/>
        </w:numPr>
        <w:spacing w:line="360" w:lineRule="auto"/>
        <w:rPr>
          <w:rFonts w:ascii="Times New Roman" w:hAnsi="Times New Roman" w:cs="Times New Roman"/>
        </w:rPr>
      </w:pPr>
      <w:r w:rsidRPr="70D0CA2A">
        <w:rPr>
          <w:rFonts w:ascii="Times New Roman" w:hAnsi="Times New Roman" w:cs="Times New Roman"/>
        </w:rPr>
        <w:t>The emotional and ethical labour of A</w:t>
      </w:r>
      <w:r w:rsidR="51FC2480" w:rsidRPr="70D0CA2A">
        <w:rPr>
          <w:rFonts w:ascii="Times New Roman" w:hAnsi="Times New Roman" w:cs="Times New Roman"/>
        </w:rPr>
        <w:t>A</w:t>
      </w:r>
      <w:r w:rsidRPr="70D0CA2A">
        <w:rPr>
          <w:rFonts w:ascii="Times New Roman" w:hAnsi="Times New Roman" w:cs="Times New Roman"/>
        </w:rPr>
        <w:t>.  </w:t>
      </w:r>
    </w:p>
    <w:p w14:paraId="5313E8C2" w14:textId="77777777" w:rsidR="006621CB" w:rsidRPr="006621CB" w:rsidRDefault="006621CB" w:rsidP="00FD7BF3">
      <w:pPr>
        <w:numPr>
          <w:ilvl w:val="0"/>
          <w:numId w:val="16"/>
        </w:numPr>
        <w:spacing w:line="360" w:lineRule="auto"/>
        <w:rPr>
          <w:rFonts w:ascii="Times New Roman" w:hAnsi="Times New Roman" w:cs="Times New Roman"/>
        </w:rPr>
      </w:pPr>
      <w:r w:rsidRPr="006621CB">
        <w:rPr>
          <w:rFonts w:ascii="Times New Roman" w:hAnsi="Times New Roman" w:cs="Times New Roman"/>
        </w:rPr>
        <w:t>Trauma-informed practice across multi-agency settings. </w:t>
      </w:r>
    </w:p>
    <w:p w14:paraId="3DD52BED"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lastRenderedPageBreak/>
        <w:t> </w:t>
      </w:r>
    </w:p>
    <w:p w14:paraId="3602E795"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Overall, the trainee demonstrates that delivering child-first, rights-based youth justice in rural Wales requires not only skilled and reflective practitioners, but also systemic changes that recognise inequities, and the unique challenges and opportunities shaped by rural contexts. </w:t>
      </w:r>
    </w:p>
    <w:p w14:paraId="287B19B8"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In conclusion, this case study illustrates the complex reality of youth justice practice in rural Ceredigion, highlighting the ways geography, professional cultures, emotional labour, and children’s rights intersect in everyday decision-making in YJ. The AA role highlights that child-first and rights-based approaches are both essential and difficult to maintain within a system influenced by procedural demands, limited services, and structural inequalities. Rurality intensifies the challenges by offering limited support networks, centralising vital services, and increasing the emotional and logistical pressures on young people and practitioners in Wales. </w:t>
      </w:r>
    </w:p>
    <w:p w14:paraId="1596727A" w14:textId="77777777" w:rsidR="006621CB" w:rsidRPr="006621CB" w:rsidRDefault="006621CB" w:rsidP="00FD7BF3">
      <w:pPr>
        <w:spacing w:line="360" w:lineRule="auto"/>
        <w:rPr>
          <w:rFonts w:ascii="Times New Roman" w:hAnsi="Times New Roman" w:cs="Times New Roman"/>
        </w:rPr>
      </w:pPr>
      <w:r w:rsidRPr="006621CB">
        <w:rPr>
          <w:rFonts w:ascii="Times New Roman" w:hAnsi="Times New Roman" w:cs="Times New Roman"/>
        </w:rPr>
        <w:t>The analysis demonstrates the crucial role of multi-agency relationships, where divergent priorities, power dynamics and organisational cultures can either support or hinder meaningful participation and positive outcomes for young people. The emotional demands of the AA role, combined with young people’s trauma histories, heightened vulnerability and the ethical tensions of practice, underscore the importance of reflective practice, supervision and training to maintain neutrality, resilience and child-centred decision-making. Experiences with restorative justice further reveal its potential to empower young people and strengthen community relationships, while also exposing limitations around public perceptions and inconsistent engagement. </w:t>
      </w:r>
    </w:p>
    <w:p w14:paraId="32D5D4BA" w14:textId="1DAD7197" w:rsidR="006621CB" w:rsidRDefault="006621CB" w:rsidP="00FD7BF3">
      <w:pPr>
        <w:spacing w:line="360" w:lineRule="auto"/>
        <w:rPr>
          <w:rFonts w:ascii="Times New Roman" w:hAnsi="Times New Roman" w:cs="Times New Roman"/>
        </w:rPr>
      </w:pPr>
      <w:r w:rsidRPr="70D0CA2A">
        <w:rPr>
          <w:rFonts w:ascii="Times New Roman" w:hAnsi="Times New Roman" w:cs="Times New Roman"/>
        </w:rPr>
        <w:t>Taken together, these findings point to several critical directions for future research, including the impact of rurality on youth justice experiences, trauma-informed and attachment-based practice, rights and participation, practitioner wellbeing, restorative justice in small communities, and multi-agency power dynamics. Addressing these gaps is vital for informing policy and practice that is equitable, evidence-based and capable of meeting the needs of children in rural settings.  </w:t>
      </w:r>
    </w:p>
    <w:p w14:paraId="651311F5" w14:textId="77777777" w:rsidR="006C01BC" w:rsidRDefault="006C01BC" w:rsidP="00FD7BF3">
      <w:pPr>
        <w:spacing w:line="360" w:lineRule="auto"/>
        <w:rPr>
          <w:rFonts w:ascii="Times New Roman" w:hAnsi="Times New Roman" w:cs="Times New Roman"/>
        </w:rPr>
      </w:pPr>
    </w:p>
    <w:p w14:paraId="7A4F8862" w14:textId="77777777" w:rsidR="006C01BC" w:rsidRPr="00FD7BF3" w:rsidRDefault="006C01BC" w:rsidP="00FD7BF3">
      <w:pPr>
        <w:spacing w:line="360" w:lineRule="auto"/>
        <w:rPr>
          <w:rFonts w:ascii="Times New Roman" w:hAnsi="Times New Roman" w:cs="Times New Roman"/>
        </w:rPr>
      </w:pPr>
    </w:p>
    <w:p w14:paraId="35A8E07E" w14:textId="4C8CDB96" w:rsidR="00A05366" w:rsidRPr="006C01BC" w:rsidRDefault="00A05366" w:rsidP="70D0CA2A">
      <w:pPr>
        <w:pStyle w:val="Heading1"/>
        <w:spacing w:line="360" w:lineRule="auto"/>
        <w:jc w:val="center"/>
        <w:rPr>
          <w:rFonts w:ascii="Times New Roman" w:hAnsi="Times New Roman" w:cs="Times New Roman"/>
          <w:b/>
          <w:bCs/>
          <w:color w:val="auto"/>
          <w:sz w:val="28"/>
          <w:szCs w:val="28"/>
        </w:rPr>
      </w:pPr>
      <w:bookmarkStart w:id="7" w:name="_Toc390645858"/>
      <w:r w:rsidRPr="006C01BC">
        <w:rPr>
          <w:rFonts w:ascii="Times New Roman" w:hAnsi="Times New Roman" w:cs="Times New Roman"/>
          <w:b/>
          <w:bCs/>
          <w:color w:val="auto"/>
          <w:sz w:val="28"/>
          <w:szCs w:val="28"/>
        </w:rPr>
        <w:lastRenderedPageBreak/>
        <w:t>Reflection</w:t>
      </w:r>
      <w:bookmarkEnd w:id="7"/>
    </w:p>
    <w:p w14:paraId="4107DC75" w14:textId="77777777" w:rsidR="0046240B" w:rsidRPr="0046240B" w:rsidRDefault="0046240B" w:rsidP="00FD7BF3">
      <w:pPr>
        <w:spacing w:line="360" w:lineRule="auto"/>
        <w:rPr>
          <w:rFonts w:ascii="Times New Roman" w:hAnsi="Times New Roman" w:cs="Times New Roman"/>
        </w:rPr>
      </w:pPr>
      <w:r w:rsidRPr="0046240B">
        <w:rPr>
          <w:rFonts w:ascii="Times New Roman" w:hAnsi="Times New Roman" w:cs="Times New Roman"/>
          <w:b/>
          <w:bCs/>
        </w:rPr>
        <w:t>A Critical Reflection on Professional Practice as an Appropriate Adult in Youth Justice</w:t>
      </w:r>
      <w:r w:rsidRPr="0046240B">
        <w:rPr>
          <w:rFonts w:ascii="Times New Roman" w:hAnsi="Times New Roman" w:cs="Times New Roman"/>
        </w:rPr>
        <w:t> </w:t>
      </w:r>
    </w:p>
    <w:p w14:paraId="65A153E3" w14:textId="77777777" w:rsidR="0046240B" w:rsidRPr="0046240B" w:rsidRDefault="0046240B" w:rsidP="00FD7BF3">
      <w:pPr>
        <w:spacing w:line="360" w:lineRule="auto"/>
        <w:rPr>
          <w:rFonts w:ascii="Times New Roman" w:hAnsi="Times New Roman" w:cs="Times New Roman"/>
        </w:rPr>
      </w:pPr>
      <w:r w:rsidRPr="0046240B">
        <w:rPr>
          <w:rFonts w:ascii="Times New Roman" w:hAnsi="Times New Roman" w:cs="Times New Roman"/>
          <w:b/>
          <w:bCs/>
        </w:rPr>
        <w:t>Introduction</w:t>
      </w:r>
      <w:r w:rsidRPr="0046240B">
        <w:rPr>
          <w:rFonts w:ascii="Times New Roman" w:hAnsi="Times New Roman" w:cs="Times New Roman"/>
        </w:rPr>
        <w:t> </w:t>
      </w:r>
    </w:p>
    <w:p w14:paraId="791C0E11" w14:textId="1FD9BB34"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 xml:space="preserve">The role of the </w:t>
      </w:r>
      <w:r w:rsidR="313387A4" w:rsidRPr="70D0CA2A">
        <w:rPr>
          <w:rFonts w:ascii="Times New Roman" w:hAnsi="Times New Roman" w:cs="Times New Roman"/>
        </w:rPr>
        <w:t>AA remains</w:t>
      </w:r>
      <w:r w:rsidRPr="70D0CA2A">
        <w:rPr>
          <w:rFonts w:ascii="Times New Roman" w:hAnsi="Times New Roman" w:cs="Times New Roman"/>
        </w:rPr>
        <w:t> a cornerstone of procedural justice for children and young people who encounter the criminal justice system. Contemporary youth justice policy emphasises a child-first, rights-based and trauma-informed approach, recognising that children in custody are often among the most vulnerable in society (Youth Justice Board (YJB), 2021; Ministry of Justice, 2023). The AA is therefore not a passive presence but an active advocate responsible for ensuring comprehension, participation, and fair treatment throughout custodial processes (National Appropriate Adult Network (NAAN), 2022). </w:t>
      </w:r>
    </w:p>
    <w:p w14:paraId="4454A3E0"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This assignment critically reflects on my professional practice as an AA during placement, focusing on role clarity, emotional labour, and ethical decision-making within custodial environments. These aspects were selected due to their centrality to effective advocacy and their potential to generate moral tension within a system oriented toward compliance and risk management. Reflection is structured using Gibbs’ Reflective Cycle (1988) to examine a specific practice encounter, concepts of reflection-in-action and reflection-on-action to evaluate professional learning and adaptation. The reflection further identifies key learning points and critically evaluates how I manage my own learning as a developing doctoral-level practitioner. </w:t>
      </w:r>
    </w:p>
    <w:p w14:paraId="7E1FB265"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During placement, I attended a police custody suite to support a young person detained following a domestic-related incident. On arrival, it became apparent that the young person believed I was a solicitor and expected legal advice. This misunderstanding required immediate clarification to ensure informed participation and adherence to NAAN standards regarding independence and role boundaries (NAAN, 2022). </w:t>
      </w:r>
    </w:p>
    <w:p w14:paraId="5CDFDD97" w14:textId="498C4D5A"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My role involved explaining custodial procedures, ensuring the young person understood their rights, facilitating communication with police officers and legal representatives, and offering emotional reassurance. The encounter involved multi-agency interaction, including custody staff and youth justice professionals. While procedural requirements were met, the experience highlighted the complexity of balancing advocacy, emotional engagement, and professional detachment in a highly regulated and emotionally charged environment. </w:t>
      </w:r>
    </w:p>
    <w:p w14:paraId="76D7141B" w14:textId="0FD0F90A" w:rsidR="70D0CA2A" w:rsidRDefault="70D0CA2A" w:rsidP="70D0CA2A">
      <w:pPr>
        <w:spacing w:line="360" w:lineRule="auto"/>
        <w:rPr>
          <w:rFonts w:ascii="Times New Roman" w:hAnsi="Times New Roman" w:cs="Times New Roman"/>
        </w:rPr>
      </w:pPr>
    </w:p>
    <w:p w14:paraId="1344CA37" w14:textId="7E9EFDAA"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b/>
          <w:bCs/>
        </w:rPr>
        <w:lastRenderedPageBreak/>
        <w:t xml:space="preserve">Emotional Responses and Reflexive Awareness </w:t>
      </w:r>
    </w:p>
    <w:p w14:paraId="510E6A15"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At the time, I experienced a strong sense of responsibility alongside uncertainty. The young person’s evident anxiety and confusion evoked feelings of protectiveness and concern, intensified by my awareness of the power imbalance inherent in custodial settings. Simultaneously, I felt the pressure of operating within a clearly bounded role, conscious that over-stepping professional limits could compromise both ethical practice and the young person’s legal position. </w:t>
      </w:r>
    </w:p>
    <w:p w14:paraId="31089A1F"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This emotional response required regulation. Youth justice practitioners are routinely exposed to distressing narratives and coercive environments, making emotional labour an intrinsic aspect of practice (Knight, 2021). Engaging in reflection-in-action Gibbs, I consciously moderated my responses, ensuring empathy did not blur role clarity. These feelings later became a focal point for reflection-on-action, prompting deeper consideration of sustainability, professional identity, and ethical resilience. </w:t>
      </w:r>
    </w:p>
    <w:p w14:paraId="320D5FB8"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 </w:t>
      </w:r>
    </w:p>
    <w:p w14:paraId="461DE21F" w14:textId="4157EFC2"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b/>
          <w:bCs/>
        </w:rPr>
        <w:t xml:space="preserve">Critical Evaluation and Analysis </w:t>
      </w:r>
    </w:p>
    <w:p w14:paraId="037895A8" w14:textId="64C2E249"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 xml:space="preserve">This experience </w:t>
      </w:r>
      <w:r w:rsidR="1606A3EC" w:rsidRPr="70D0CA2A">
        <w:rPr>
          <w:rFonts w:ascii="Times New Roman" w:hAnsi="Times New Roman" w:cs="Times New Roman"/>
        </w:rPr>
        <w:t>highlighted</w:t>
      </w:r>
      <w:r w:rsidRPr="70D0CA2A">
        <w:rPr>
          <w:rFonts w:ascii="Times New Roman" w:hAnsi="Times New Roman" w:cs="Times New Roman"/>
        </w:rPr>
        <w:t xml:space="preserve"> the significance of role clarity in youth justice practice. Contemporary professional literature emphasises that unclear role boundaries can undermine trust, participation, and ethical accountability (Banks, 2021). The young person’s assumption that I could provide legal advice reflected broader confusion about professional roles within the justice system, reinforcing the AA’s responsibility to explicitly articulate their function. </w:t>
      </w:r>
    </w:p>
    <w:p w14:paraId="44121211"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The encounter also exposed role conflict, a persistent challenge within youth justice. Practitioners must navigate tensions between organisational efficiency, procedural compliance, and child-centred advocacy (Goldson &amp; Muncie, 2020). While AA standards prioritise the rights and welfare of the child, these responsibilities operate within a system structured around surveillance, risk assessment, and control. This contradiction reflects what Creaney and Smith (2022) describe as the moral friction of youth justice practice, where relational and participatory ideals sit uneasily alongside punitive frameworks. </w:t>
      </w:r>
    </w:p>
    <w:p w14:paraId="044BED52"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Emotionally, the situation required careful management of professional distance. Research indicates that practitioners often adopt emotional detachment as a coping mechanism when working with vulnerable or stigmatised populations (Knight, 2021; Myles-</w:t>
      </w:r>
      <w:r w:rsidRPr="70D0CA2A">
        <w:rPr>
          <w:rFonts w:ascii="Times New Roman" w:hAnsi="Times New Roman" w:cs="Times New Roman"/>
        </w:rPr>
        <w:lastRenderedPageBreak/>
        <w:t>Wright &amp; Nee, 2020). While emotional regulation is necessary, excessive detachment risks dehumanising practice and diminishing advocacy. Reflexive engagement allowed me to recognise this tension and maintain a balanced approach grounded in empathy without over-identification. </w:t>
      </w:r>
    </w:p>
    <w:p w14:paraId="6FDC1FC7"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Applying a trauma-informed and attachment-aware lens further enriched my analysis. Contemporary research demonstrates strong links between childhood adversity, disrupted attachment, and contact with the justice system (Baidawi </w:t>
      </w:r>
      <w:r w:rsidRPr="70D0CA2A">
        <w:rPr>
          <w:rFonts w:ascii="Times New Roman" w:hAnsi="Times New Roman" w:cs="Times New Roman"/>
          <w:i/>
          <w:iCs/>
        </w:rPr>
        <w:t>et al</w:t>
      </w:r>
      <w:r w:rsidRPr="70D0CA2A">
        <w:rPr>
          <w:rFonts w:ascii="Times New Roman" w:hAnsi="Times New Roman" w:cs="Times New Roman"/>
        </w:rPr>
        <w:t>., 2023). Viewing the young person’s behaviour through this framework shifted interpretation away from individual blame toward an understanding of adaptive survival responses. This perspective aligns with current youth justice policy advocating trauma-responsive practice as essential to ethical and effective intervention (YJB, 2023). </w:t>
      </w:r>
    </w:p>
    <w:p w14:paraId="4BBCC474" w14:textId="15EDC9C2" w:rsidR="0046240B" w:rsidRDefault="0046240B" w:rsidP="70D0CA2A">
      <w:pPr>
        <w:spacing w:line="360" w:lineRule="auto"/>
        <w:rPr>
          <w:rFonts w:ascii="Times New Roman" w:hAnsi="Times New Roman" w:cs="Times New Roman"/>
        </w:rPr>
      </w:pPr>
      <w:r w:rsidRPr="70D0CA2A">
        <w:rPr>
          <w:rFonts w:ascii="Times New Roman" w:hAnsi="Times New Roman" w:cs="Times New Roman"/>
        </w:rPr>
        <w:t>Additionally, the experience prompted reflexive examination of unconscious bias. Studies continue to show that practitioner assumptions, often shaped by media narratives and systemic inequalities, can influence decision-making within justice settings (Lammy Review, 2017; Smith, Cree and McRae, 2022). Through reflection-in-action, I actively monitored my assumptions, while reflection-on-action enabled critical interrogation of how power, identity, and institutional context shape practice. </w:t>
      </w:r>
    </w:p>
    <w:p w14:paraId="24EDBBA2" w14:textId="77777777" w:rsidR="00FD7BF3" w:rsidRPr="0046240B" w:rsidRDefault="00FD7BF3" w:rsidP="70D0CA2A">
      <w:pPr>
        <w:spacing w:line="360" w:lineRule="auto"/>
        <w:rPr>
          <w:rFonts w:ascii="Times New Roman" w:hAnsi="Times New Roman" w:cs="Times New Roman"/>
        </w:rPr>
      </w:pPr>
    </w:p>
    <w:p w14:paraId="23C9748D" w14:textId="77777777" w:rsidR="0046240B" w:rsidRPr="0046240B" w:rsidRDefault="0046240B" w:rsidP="70D0CA2A">
      <w:pPr>
        <w:spacing w:line="360" w:lineRule="auto"/>
        <w:rPr>
          <w:rFonts w:ascii="Times New Roman" w:hAnsi="Times New Roman" w:cs="Times New Roman"/>
        </w:rPr>
      </w:pPr>
      <w:r w:rsidRPr="006C01BC">
        <w:rPr>
          <w:rFonts w:ascii="Times New Roman" w:hAnsi="Times New Roman" w:cs="Times New Roman"/>
          <w:b/>
          <w:bCs/>
        </w:rPr>
        <w:t>Key Learning</w:t>
      </w:r>
      <w:r w:rsidRPr="70D0CA2A">
        <w:rPr>
          <w:rFonts w:ascii="Times New Roman" w:hAnsi="Times New Roman" w:cs="Times New Roman"/>
          <w:b/>
          <w:bCs/>
        </w:rPr>
        <w:t xml:space="preserve"> Points and Professional Development</w:t>
      </w:r>
      <w:r w:rsidRPr="70D0CA2A">
        <w:rPr>
          <w:rFonts w:ascii="Times New Roman" w:hAnsi="Times New Roman" w:cs="Times New Roman"/>
        </w:rPr>
        <w:t> </w:t>
      </w:r>
    </w:p>
    <w:p w14:paraId="028919F8" w14:textId="494B2C4E"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Several key learning points emerged from this experience. Firstly, I developed a heightened awareness of the ethical complexity of advocacy within coercive systems. Professional ethics are not static rules but require ongoing moral judgement and reflexivity (Banks, 2021). Upholding children’s rights in custody demands both procedural competence and moral courage, particularly when organisational priorities conflict with child-centred values. </w:t>
      </w:r>
    </w:p>
    <w:p w14:paraId="60B60347" w14:textId="77172BAE"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Secondly, the experience reinforced the centrality of relational practice. Research consistently demonstrates that trust, clear communication, and respectful engagement significantly </w:t>
      </w:r>
      <w:r w:rsidR="7D19CC17" w:rsidRPr="70D0CA2A">
        <w:rPr>
          <w:rFonts w:ascii="Times New Roman" w:hAnsi="Times New Roman" w:cs="Times New Roman"/>
        </w:rPr>
        <w:t>influence</w:t>
      </w:r>
      <w:r w:rsidRPr="70D0CA2A">
        <w:rPr>
          <w:rFonts w:ascii="Times New Roman" w:hAnsi="Times New Roman" w:cs="Times New Roman"/>
        </w:rPr>
        <w:t> young people’s willingness to participate meaningfully in justice processes (Bateman, 2020; YJB, 2021). This learning aligns with contemporary youth work and social work standards emphasising participation, empowerment, and co-production. </w:t>
      </w:r>
    </w:p>
    <w:p w14:paraId="41A89FE0"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lastRenderedPageBreak/>
        <w:t>Thirdly, I gained deeper insight into multi-agency dynamics. While collaboration is essential to safeguarding and effective intervention, fragmented systems can limit continuity of care. Accepting that practitioners may not witness long-term outcomes was a significant professional learning point, requiring tolerance of uncertainty and trust in collective processes. </w:t>
      </w:r>
    </w:p>
    <w:p w14:paraId="7D0A2020" w14:textId="776427D9"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Finally, the experience strengthened my commitment to the child-first principle</w:t>
      </w:r>
      <w:r w:rsidR="486B6D51" w:rsidRPr="70D0CA2A">
        <w:rPr>
          <w:rFonts w:ascii="Times New Roman" w:hAnsi="Times New Roman" w:cs="Times New Roman"/>
        </w:rPr>
        <w:t xml:space="preserve"> within my practice</w:t>
      </w:r>
      <w:r w:rsidRPr="70D0CA2A">
        <w:rPr>
          <w:rFonts w:ascii="Times New Roman" w:hAnsi="Times New Roman" w:cs="Times New Roman"/>
        </w:rPr>
        <w:t>. Observing co-production within bureau panel processes illustrated how involving young people in decision-making enhances accountability and engagement. Current evidence supports participatory approaches as more effective than purely punitive responses in reducing reoffending and promoting positive outcomes (Bateman &amp; Hazel, 2023). </w:t>
      </w:r>
    </w:p>
    <w:p w14:paraId="087F5DF8"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 </w:t>
      </w:r>
    </w:p>
    <w:p w14:paraId="1944ADC4"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b/>
          <w:bCs/>
        </w:rPr>
        <w:t>Managing My Own Learning as a Reflective Practitioner</w:t>
      </w:r>
      <w:r w:rsidRPr="70D0CA2A">
        <w:rPr>
          <w:rFonts w:ascii="Times New Roman" w:hAnsi="Times New Roman" w:cs="Times New Roman"/>
        </w:rPr>
        <w:t> </w:t>
      </w:r>
    </w:p>
    <w:p w14:paraId="7ACAF44B"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Managing my own learning has been integral to my professional development. I engaged in systematic reflective journaling, enabling structured reflection-on-action and integration of theory with practice. Reflective writing is widely recognised as a critical tool for developing reflexivity, ethical awareness, and emotional resilience in advanced practice (Fook &amp; Gardner, 2022). </w:t>
      </w:r>
    </w:p>
    <w:p w14:paraId="570AD502"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I also utilised a Personal Development Plan (PDP) aligned with contemporary youth work and social work competency frameworks. This facilitated identification of strengths, learning needs, and professional goals, supporting intentional and self-directed development. For example, recognising gaps in trauma-informed practice prompted engagement with current research and professional training. </w:t>
      </w:r>
    </w:p>
    <w:p w14:paraId="650F5E8A" w14:textId="4E8BF39B" w:rsidR="105F8A98" w:rsidRDefault="0046240B" w:rsidP="70D0CA2A">
      <w:pPr>
        <w:spacing w:line="360" w:lineRule="auto"/>
        <w:rPr>
          <w:rFonts w:ascii="Times New Roman" w:hAnsi="Times New Roman" w:cs="Times New Roman"/>
        </w:rPr>
      </w:pPr>
      <w:r w:rsidRPr="70D0CA2A">
        <w:rPr>
          <w:rFonts w:ascii="Times New Roman" w:hAnsi="Times New Roman" w:cs="Times New Roman"/>
        </w:rPr>
        <w:t>Supervision, observation, and formal training further supported learning; however, reflection revealed the risks of overly individualised learning. At doctoral level, this insight underscores the necessity of relational and dialogic learning, where critical reflection is supported through supervision and peer engagement (Fook &amp; Gardner, 2022). Reflexivity thus functioned not only as a learning mechanism but as an ethical safeguard, supporting sustainable and accountable practice. </w:t>
      </w:r>
    </w:p>
    <w:p w14:paraId="2DC4BF4B" w14:textId="2553C09A" w:rsidR="70D0CA2A" w:rsidRDefault="70D0CA2A" w:rsidP="70D0CA2A">
      <w:pPr>
        <w:spacing w:line="360" w:lineRule="auto"/>
        <w:rPr>
          <w:rFonts w:ascii="Times New Roman" w:hAnsi="Times New Roman" w:cs="Times New Roman"/>
        </w:rPr>
      </w:pPr>
    </w:p>
    <w:p w14:paraId="44B536E3" w14:textId="77777777" w:rsidR="006C01BC" w:rsidRDefault="006C01BC" w:rsidP="70D0CA2A">
      <w:pPr>
        <w:spacing w:line="360" w:lineRule="auto"/>
        <w:rPr>
          <w:rFonts w:ascii="Times New Roman" w:hAnsi="Times New Roman" w:cs="Times New Roman"/>
        </w:rPr>
      </w:pPr>
    </w:p>
    <w:p w14:paraId="0A18E315"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b/>
          <w:bCs/>
        </w:rPr>
        <w:lastRenderedPageBreak/>
        <w:t>Conclusion</w:t>
      </w:r>
      <w:r w:rsidRPr="70D0CA2A">
        <w:rPr>
          <w:rFonts w:ascii="Times New Roman" w:hAnsi="Times New Roman" w:cs="Times New Roman"/>
        </w:rPr>
        <w:t> </w:t>
      </w:r>
    </w:p>
    <w:p w14:paraId="77CC4B88" w14:textId="3BF53B66"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This critical reflection has demonstrated how practice as an AA facilitated substantial professional learning concerning role clarity, emotional labour, and ethical decision-making within youth justice. Using Gibbs’ Reflective Cycle alongside Gibbs reflective concepts enabled a rigorous examination of experience, integrating theory, policy, and practice at doctoral level. </w:t>
      </w:r>
    </w:p>
    <w:p w14:paraId="737A955E" w14:textId="77777777" w:rsidR="0046240B" w:rsidRPr="0046240B" w:rsidRDefault="0046240B" w:rsidP="70D0CA2A">
      <w:pPr>
        <w:spacing w:line="360" w:lineRule="auto"/>
        <w:rPr>
          <w:rFonts w:ascii="Times New Roman" w:hAnsi="Times New Roman" w:cs="Times New Roman"/>
        </w:rPr>
      </w:pPr>
      <w:r w:rsidRPr="70D0CA2A">
        <w:rPr>
          <w:rFonts w:ascii="Times New Roman" w:hAnsi="Times New Roman" w:cs="Times New Roman"/>
        </w:rPr>
        <w:t>The reflection reaffirmed the importance of trauma-informed, child-first and rights-based approaches within systems often dominated by punitive frameworks allowing workers to safeguard individuals once identified as victims. It also highlighted reflective practice as a professional imperative rather than a purely academic exercise. As I progress toward advanced professional practice in social work, I remain committed to reflexivity, ethical integrity, and lifelong learning as foundations for promoting justice and wellbeing for children and young people. </w:t>
      </w:r>
    </w:p>
    <w:p w14:paraId="0F2432BE" w14:textId="77777777" w:rsidR="00217F71" w:rsidRDefault="00217F71" w:rsidP="00217F71"/>
    <w:p w14:paraId="5B1585D6" w14:textId="77777777" w:rsidR="00217F71" w:rsidRDefault="00217F71" w:rsidP="00217F71"/>
    <w:p w14:paraId="46BD99B1" w14:textId="77777777" w:rsidR="00217F71" w:rsidRDefault="00217F71" w:rsidP="00217F71"/>
    <w:p w14:paraId="0723156A" w14:textId="5E775F89" w:rsidR="00A307F5" w:rsidRDefault="00A307F5" w:rsidP="70D0CA2A"/>
    <w:p w14:paraId="1FCEC2B5" w14:textId="77777777" w:rsidR="00217F71" w:rsidRDefault="00217F71" w:rsidP="00217F71"/>
    <w:p w14:paraId="022210C3" w14:textId="76E30F2B" w:rsidR="70D0CA2A" w:rsidRDefault="70D0CA2A"/>
    <w:p w14:paraId="46EDD063" w14:textId="16B3838B" w:rsidR="70D0CA2A" w:rsidRDefault="70D0CA2A"/>
    <w:p w14:paraId="3717EB7C" w14:textId="2AAAF7BC" w:rsidR="70D0CA2A" w:rsidRDefault="70D0CA2A"/>
    <w:p w14:paraId="5C8A16B5" w14:textId="77777777" w:rsidR="006C01BC" w:rsidRDefault="006C01BC"/>
    <w:p w14:paraId="6F5EE754" w14:textId="77777777" w:rsidR="006C01BC" w:rsidRDefault="006C01BC"/>
    <w:p w14:paraId="163CF5D7" w14:textId="77777777" w:rsidR="006C01BC" w:rsidRDefault="006C01BC"/>
    <w:p w14:paraId="6A585C2A" w14:textId="77777777" w:rsidR="006C01BC" w:rsidRDefault="006C01BC"/>
    <w:p w14:paraId="2BFF6D84" w14:textId="77777777" w:rsidR="006C01BC" w:rsidRDefault="006C01BC"/>
    <w:p w14:paraId="47F03251" w14:textId="7823C31C" w:rsidR="70D0CA2A" w:rsidRDefault="70D0CA2A"/>
    <w:p w14:paraId="7EA1ED4D" w14:textId="5E871C01" w:rsidR="00217F71" w:rsidRPr="006C01BC" w:rsidRDefault="00217F71" w:rsidP="006C01BC">
      <w:pPr>
        <w:pStyle w:val="Heading1"/>
        <w:jc w:val="center"/>
        <w:rPr>
          <w:rFonts w:ascii="Times New Roman" w:hAnsi="Times New Roman" w:cs="Times New Roman"/>
          <w:b/>
          <w:bCs/>
          <w:color w:val="auto"/>
          <w:sz w:val="28"/>
          <w:szCs w:val="28"/>
        </w:rPr>
      </w:pPr>
      <w:bookmarkStart w:id="8" w:name="_Toc1383052651"/>
      <w:r w:rsidRPr="006C01BC">
        <w:rPr>
          <w:rFonts w:ascii="Times New Roman" w:hAnsi="Times New Roman" w:cs="Times New Roman"/>
          <w:b/>
          <w:bCs/>
          <w:color w:val="auto"/>
          <w:sz w:val="28"/>
          <w:szCs w:val="28"/>
        </w:rPr>
        <w:lastRenderedPageBreak/>
        <w:t>References</w:t>
      </w:r>
      <w:bookmarkEnd w:id="8"/>
    </w:p>
    <w:p w14:paraId="216ECE54" w14:textId="77777777" w:rsidR="00E31C1A" w:rsidRPr="00E31C1A" w:rsidRDefault="00E31C1A" w:rsidP="00E31C1A">
      <w:pPr>
        <w:rPr>
          <w:rFonts w:ascii="Times New Roman" w:hAnsi="Times New Roman" w:cs="Times New Roman"/>
        </w:rPr>
      </w:pPr>
      <w:proofErr w:type="spellStart"/>
      <w:r w:rsidRPr="00E31C1A">
        <w:rPr>
          <w:rFonts w:ascii="Times New Roman" w:hAnsi="Times New Roman" w:cs="Times New Roman"/>
        </w:rPr>
        <w:t>Baidawi</w:t>
      </w:r>
      <w:proofErr w:type="spellEnd"/>
      <w:r w:rsidRPr="00E31C1A">
        <w:rPr>
          <w:rFonts w:ascii="Times New Roman" w:hAnsi="Times New Roman" w:cs="Times New Roman"/>
        </w:rPr>
        <w:t>, S., Sheehan, R., Flynn, C. and McCausland, R. (2023) </w:t>
      </w:r>
      <w:r w:rsidRPr="00E31C1A">
        <w:rPr>
          <w:rFonts w:ascii="Times New Roman" w:hAnsi="Times New Roman" w:cs="Times New Roman"/>
          <w:i/>
          <w:iCs/>
        </w:rPr>
        <w:t>Trauma, adversity and youth justice involvement: Implications for policy and practice</w:t>
      </w:r>
      <w:r w:rsidRPr="00E31C1A">
        <w:rPr>
          <w:rFonts w:ascii="Times New Roman" w:hAnsi="Times New Roman" w:cs="Times New Roman"/>
        </w:rPr>
        <w:t>. London: Routledge. </w:t>
      </w:r>
    </w:p>
    <w:p w14:paraId="32EE3ABE"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Baim, C.M. (2020) ‘Applying the Dynamic-Maturational Model of Attachment and Adaptation in criminal justice interventions’, </w:t>
      </w:r>
      <w:r w:rsidRPr="003A0B3E">
        <w:rPr>
          <w:rFonts w:ascii="Times New Roman" w:hAnsi="Times New Roman" w:cs="Times New Roman"/>
          <w:i/>
          <w:iCs/>
        </w:rPr>
        <w:t>Probation Journal</w:t>
      </w:r>
      <w:r w:rsidRPr="003A0B3E">
        <w:rPr>
          <w:rFonts w:ascii="Times New Roman" w:hAnsi="Times New Roman" w:cs="Times New Roman"/>
        </w:rPr>
        <w:t>, 67(1), pp. 26–46. </w:t>
      </w:r>
    </w:p>
    <w:p w14:paraId="785056C6"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Baird, J. (2023) </w:t>
      </w:r>
      <w:r w:rsidRPr="00A43CBA">
        <w:rPr>
          <w:rFonts w:ascii="Times New Roman" w:hAnsi="Times New Roman" w:cs="Times New Roman"/>
          <w:i/>
          <w:iCs/>
        </w:rPr>
        <w:t>County lines and child criminal exploitation: Understanding vulnerability and harm</w:t>
      </w:r>
      <w:r w:rsidRPr="00A43CBA">
        <w:rPr>
          <w:rFonts w:ascii="Times New Roman" w:hAnsi="Times New Roman" w:cs="Times New Roman"/>
        </w:rPr>
        <w:t>. London: Routledge. </w:t>
      </w:r>
    </w:p>
    <w:p w14:paraId="3D1DDC45"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Banks, S. (2021) </w:t>
      </w:r>
      <w:r w:rsidRPr="00E31C1A">
        <w:rPr>
          <w:rFonts w:ascii="Times New Roman" w:hAnsi="Times New Roman" w:cs="Times New Roman"/>
          <w:i/>
          <w:iCs/>
        </w:rPr>
        <w:t>Ethics and values in social work</w:t>
      </w:r>
      <w:r w:rsidRPr="00E31C1A">
        <w:rPr>
          <w:rFonts w:ascii="Times New Roman" w:hAnsi="Times New Roman" w:cs="Times New Roman"/>
        </w:rPr>
        <w:t>. 5th </w:t>
      </w:r>
      <w:proofErr w:type="spellStart"/>
      <w:r w:rsidRPr="00E31C1A">
        <w:rPr>
          <w:rFonts w:ascii="Times New Roman" w:hAnsi="Times New Roman" w:cs="Times New Roman"/>
        </w:rPr>
        <w:t>edn</w:t>
      </w:r>
      <w:proofErr w:type="spellEnd"/>
      <w:r w:rsidRPr="00E31C1A">
        <w:rPr>
          <w:rFonts w:ascii="Times New Roman" w:hAnsi="Times New Roman" w:cs="Times New Roman"/>
        </w:rPr>
        <w:t>. London: Red Globe Press. </w:t>
      </w:r>
    </w:p>
    <w:p w14:paraId="3D982419"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Bateman, T. (2020) </w:t>
      </w:r>
      <w:r w:rsidRPr="00E31C1A">
        <w:rPr>
          <w:rFonts w:ascii="Times New Roman" w:hAnsi="Times New Roman" w:cs="Times New Roman"/>
          <w:i/>
          <w:iCs/>
        </w:rPr>
        <w:t>The state of youth justice</w:t>
      </w:r>
      <w:r w:rsidRPr="00E31C1A">
        <w:rPr>
          <w:rFonts w:ascii="Times New Roman" w:hAnsi="Times New Roman" w:cs="Times New Roman"/>
        </w:rPr>
        <w:t>. Bristol: Policy Press. </w:t>
      </w:r>
    </w:p>
    <w:p w14:paraId="10ADB58B"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Bateman, T. and Hazel, N. (2023) </w:t>
      </w:r>
      <w:r w:rsidRPr="00E31C1A">
        <w:rPr>
          <w:rFonts w:ascii="Times New Roman" w:hAnsi="Times New Roman" w:cs="Times New Roman"/>
          <w:i/>
          <w:iCs/>
        </w:rPr>
        <w:t>Children first, offenders second revisited</w:t>
      </w:r>
      <w:r w:rsidRPr="00E31C1A">
        <w:rPr>
          <w:rFonts w:ascii="Times New Roman" w:hAnsi="Times New Roman" w:cs="Times New Roman"/>
        </w:rPr>
        <w:t>. London: Centre for Justice Innovation. </w:t>
      </w:r>
    </w:p>
    <w:p w14:paraId="731A3C88" w14:textId="45907729" w:rsidR="00E31C1A" w:rsidRPr="003A0B3E" w:rsidRDefault="00E31C1A" w:rsidP="003A0B3E">
      <w:pPr>
        <w:rPr>
          <w:rFonts w:ascii="Times New Roman" w:hAnsi="Times New Roman" w:cs="Times New Roman"/>
        </w:rPr>
      </w:pPr>
      <w:r w:rsidRPr="003A0B3E">
        <w:rPr>
          <w:rFonts w:ascii="Times New Roman" w:hAnsi="Times New Roman" w:cs="Times New Roman"/>
        </w:rPr>
        <w:t>Bevan</w:t>
      </w:r>
      <w:r w:rsidR="00004A84">
        <w:rPr>
          <w:rFonts w:ascii="Times New Roman" w:hAnsi="Times New Roman" w:cs="Times New Roman"/>
        </w:rPr>
        <w:t xml:space="preserve">, </w:t>
      </w:r>
      <w:r w:rsidRPr="003A0B3E">
        <w:rPr>
          <w:rFonts w:ascii="Times New Roman" w:hAnsi="Times New Roman" w:cs="Times New Roman"/>
        </w:rPr>
        <w:t>M. (2016) </w:t>
      </w:r>
      <w:r w:rsidRPr="003A0B3E">
        <w:rPr>
          <w:rFonts w:ascii="Times New Roman" w:hAnsi="Times New Roman" w:cs="Times New Roman"/>
          <w:i/>
          <w:iCs/>
        </w:rPr>
        <w:t>Investigating young people’s awareness and understanding of the criminal justice system: An exploratory study</w:t>
      </w:r>
      <w:r w:rsidRPr="003A0B3E">
        <w:rPr>
          <w:rFonts w:ascii="Times New Roman" w:hAnsi="Times New Roman" w:cs="Times New Roman"/>
        </w:rPr>
        <w:t>. Available at: </w:t>
      </w:r>
      <w:hyperlink r:id="rId15" w:tgtFrame="_blank" w:history="1">
        <w:r w:rsidRPr="003A0B3E">
          <w:rPr>
            <w:rStyle w:val="Hyperlink"/>
            <w:rFonts w:ascii="Times New Roman" w:hAnsi="Times New Roman" w:cs="Times New Roman"/>
          </w:rPr>
          <w:t>https://howardleague.org/wp-content/uploads/2016/06/Investigating-young-people%E2%80%99s-awareness-and-understanding-of-the-criminal-justice-system.pdf</w:t>
        </w:r>
      </w:hyperlink>
      <w:r w:rsidRPr="003A0B3E">
        <w:rPr>
          <w:rFonts w:ascii="Times New Roman" w:hAnsi="Times New Roman" w:cs="Times New Roman"/>
        </w:rPr>
        <w:t> (Accessed: 18 November 2025). </w:t>
      </w:r>
    </w:p>
    <w:p w14:paraId="50911F99"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Case, S. and Haines, K. (2015) ‘Children first, offenders second: The centrality of engagement in positive youth justice’, </w:t>
      </w:r>
      <w:r w:rsidRPr="003A0B3E">
        <w:rPr>
          <w:rFonts w:ascii="Times New Roman" w:hAnsi="Times New Roman" w:cs="Times New Roman"/>
          <w:i/>
          <w:iCs/>
        </w:rPr>
        <w:t>The Howard Journal of Criminal Justice</w:t>
      </w:r>
      <w:r w:rsidRPr="003A0B3E">
        <w:rPr>
          <w:rFonts w:ascii="Times New Roman" w:hAnsi="Times New Roman" w:cs="Times New Roman"/>
        </w:rPr>
        <w:t>, 54(2), pp. 157–175. </w:t>
      </w:r>
    </w:p>
    <w:p w14:paraId="6A760386" w14:textId="77777777" w:rsidR="00E31C1A" w:rsidRPr="003A0B3E" w:rsidRDefault="00E31C1A" w:rsidP="003A0B3E">
      <w:pPr>
        <w:rPr>
          <w:rFonts w:ascii="Times New Roman" w:hAnsi="Times New Roman" w:cs="Times New Roman"/>
        </w:rPr>
      </w:pPr>
      <w:proofErr w:type="spellStart"/>
      <w:r w:rsidRPr="003A0B3E">
        <w:rPr>
          <w:rFonts w:ascii="Times New Roman" w:hAnsi="Times New Roman" w:cs="Times New Roman"/>
        </w:rPr>
        <w:t>Chafota</w:t>
      </w:r>
      <w:proofErr w:type="spellEnd"/>
      <w:r w:rsidRPr="003A0B3E">
        <w:rPr>
          <w:rFonts w:ascii="Times New Roman" w:hAnsi="Times New Roman" w:cs="Times New Roman"/>
        </w:rPr>
        <w:t>, E. (2020) </w:t>
      </w:r>
      <w:r w:rsidRPr="003A0B3E">
        <w:rPr>
          <w:rFonts w:ascii="Times New Roman" w:hAnsi="Times New Roman" w:cs="Times New Roman"/>
          <w:i/>
          <w:iCs/>
        </w:rPr>
        <w:t>Unconscious bias: How might it affect social work</w:t>
      </w:r>
      <w:r w:rsidRPr="003A0B3E">
        <w:rPr>
          <w:rFonts w:ascii="Times New Roman" w:hAnsi="Times New Roman" w:cs="Times New Roman"/>
        </w:rPr>
        <w:t>. Available at: </w:t>
      </w:r>
      <w:hyperlink r:id="rId16" w:tgtFrame="_blank" w:history="1">
        <w:r w:rsidRPr="003A0B3E">
          <w:rPr>
            <w:rStyle w:val="Hyperlink"/>
            <w:rFonts w:ascii="Times New Roman" w:hAnsi="Times New Roman" w:cs="Times New Roman"/>
          </w:rPr>
          <w:t>https://www.gloucestershire.gov.uk/media/2104016/unconcious-bias.pdf</w:t>
        </w:r>
      </w:hyperlink>
      <w:r w:rsidRPr="003A0B3E">
        <w:rPr>
          <w:rFonts w:ascii="Times New Roman" w:hAnsi="Times New Roman" w:cs="Times New Roman"/>
        </w:rPr>
        <w:t> (Accessed: 25 November 2025). </w:t>
      </w:r>
    </w:p>
    <w:p w14:paraId="4C722ECE"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Creaney, S. (2015) ‘Still working with “involuntary clients” in youth justice’, </w:t>
      </w:r>
      <w:r w:rsidRPr="003A0B3E">
        <w:rPr>
          <w:rFonts w:ascii="Times New Roman" w:hAnsi="Times New Roman" w:cs="Times New Roman"/>
          <w:i/>
          <w:iCs/>
        </w:rPr>
        <w:t>British Journal of Community Justice</w:t>
      </w:r>
      <w:r w:rsidRPr="003A0B3E">
        <w:rPr>
          <w:rFonts w:ascii="Times New Roman" w:hAnsi="Times New Roman" w:cs="Times New Roman"/>
        </w:rPr>
        <w:t>, 13(1), pp. 41–54. </w:t>
      </w:r>
    </w:p>
    <w:p w14:paraId="537A69BB"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Creaney, S. and Smith, R. (2022) </w:t>
      </w:r>
      <w:r w:rsidRPr="00E31C1A">
        <w:rPr>
          <w:rFonts w:ascii="Times New Roman" w:hAnsi="Times New Roman" w:cs="Times New Roman"/>
          <w:i/>
          <w:iCs/>
        </w:rPr>
        <w:t>Youth justice, reflexivity and practice</w:t>
      </w:r>
      <w:r w:rsidRPr="00E31C1A">
        <w:rPr>
          <w:rFonts w:ascii="Times New Roman" w:hAnsi="Times New Roman" w:cs="Times New Roman"/>
        </w:rPr>
        <w:t>. London: Palgrave Macmillan. </w:t>
      </w:r>
    </w:p>
    <w:p w14:paraId="1A36FD0F"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Fook, J. and Gardner, F. (2022) </w:t>
      </w:r>
      <w:r w:rsidRPr="00E31C1A">
        <w:rPr>
          <w:rFonts w:ascii="Times New Roman" w:hAnsi="Times New Roman" w:cs="Times New Roman"/>
          <w:i/>
          <w:iCs/>
        </w:rPr>
        <w:t>Critical reflection in context</w:t>
      </w:r>
      <w:r w:rsidRPr="00E31C1A">
        <w:rPr>
          <w:rFonts w:ascii="Times New Roman" w:hAnsi="Times New Roman" w:cs="Times New Roman"/>
        </w:rPr>
        <w:t>. 3rd </w:t>
      </w:r>
      <w:proofErr w:type="spellStart"/>
      <w:r w:rsidRPr="00E31C1A">
        <w:rPr>
          <w:rFonts w:ascii="Times New Roman" w:hAnsi="Times New Roman" w:cs="Times New Roman"/>
        </w:rPr>
        <w:t>edn</w:t>
      </w:r>
      <w:proofErr w:type="spellEnd"/>
      <w:r w:rsidRPr="00E31C1A">
        <w:rPr>
          <w:rFonts w:ascii="Times New Roman" w:hAnsi="Times New Roman" w:cs="Times New Roman"/>
        </w:rPr>
        <w:t>. London: Routledge. </w:t>
      </w:r>
    </w:p>
    <w:p w14:paraId="4A96DEEC"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Goldson, B. and Muncie, J. (2020) </w:t>
      </w:r>
      <w:r w:rsidRPr="00E31C1A">
        <w:rPr>
          <w:rFonts w:ascii="Times New Roman" w:hAnsi="Times New Roman" w:cs="Times New Roman"/>
          <w:i/>
          <w:iCs/>
        </w:rPr>
        <w:t>Youth crime and justice</w:t>
      </w:r>
      <w:r w:rsidRPr="00E31C1A">
        <w:rPr>
          <w:rFonts w:ascii="Times New Roman" w:hAnsi="Times New Roman" w:cs="Times New Roman"/>
        </w:rPr>
        <w:t>. 3rd </w:t>
      </w:r>
      <w:proofErr w:type="spellStart"/>
      <w:r w:rsidRPr="00E31C1A">
        <w:rPr>
          <w:rFonts w:ascii="Times New Roman" w:hAnsi="Times New Roman" w:cs="Times New Roman"/>
        </w:rPr>
        <w:t>edn</w:t>
      </w:r>
      <w:proofErr w:type="spellEnd"/>
      <w:r w:rsidRPr="00E31C1A">
        <w:rPr>
          <w:rFonts w:ascii="Times New Roman" w:hAnsi="Times New Roman" w:cs="Times New Roman"/>
        </w:rPr>
        <w:t>. London: SAGE. </w:t>
      </w:r>
    </w:p>
    <w:p w14:paraId="18F2DF99"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HM Government (2023) </w:t>
      </w:r>
      <w:r w:rsidRPr="00A43CBA">
        <w:rPr>
          <w:rFonts w:ascii="Times New Roman" w:hAnsi="Times New Roman" w:cs="Times New Roman"/>
          <w:i/>
          <w:iCs/>
        </w:rPr>
        <w:t>Criminal exploitation of children and vulnerable adults: County lines guidance</w:t>
      </w:r>
      <w:r w:rsidRPr="00A43CBA">
        <w:rPr>
          <w:rFonts w:ascii="Times New Roman" w:hAnsi="Times New Roman" w:cs="Times New Roman"/>
        </w:rPr>
        <w:t>. London: Home Office. </w:t>
      </w:r>
    </w:p>
    <w:p w14:paraId="3878BE95"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HM Government (2024) </w:t>
      </w:r>
      <w:r w:rsidRPr="00A43CBA">
        <w:rPr>
          <w:rFonts w:ascii="Times New Roman" w:hAnsi="Times New Roman" w:cs="Times New Roman"/>
          <w:i/>
          <w:iCs/>
        </w:rPr>
        <w:t>Joint targeted area inspections: The multi-agency response to serious youth violence</w:t>
      </w:r>
      <w:r w:rsidRPr="00A43CBA">
        <w:rPr>
          <w:rFonts w:ascii="Times New Roman" w:hAnsi="Times New Roman" w:cs="Times New Roman"/>
        </w:rPr>
        <w:t>. London: Department for Education. Available at: </w:t>
      </w:r>
      <w:hyperlink r:id="rId17" w:tgtFrame="_blank" w:history="1">
        <w:r w:rsidRPr="00A43CBA">
          <w:rPr>
            <w:rStyle w:val="Hyperlink"/>
            <w:rFonts w:ascii="Times New Roman" w:hAnsi="Times New Roman" w:cs="Times New Roman"/>
          </w:rPr>
          <w:t>https://www.gov.uk/government/publications/multi-agency-responses-to-serious-youth-violence-working-together-to-support-and-protect-children/multi-agency-responses-to-serious-youth-violence-working-together-to-support-and-protect-children</w:t>
        </w:r>
      </w:hyperlink>
      <w:r w:rsidRPr="00A43CBA">
        <w:rPr>
          <w:rFonts w:ascii="Times New Roman" w:hAnsi="Times New Roman" w:cs="Times New Roman"/>
        </w:rPr>
        <w:t> (Accessed: 12 December 2025). </w:t>
      </w:r>
    </w:p>
    <w:p w14:paraId="0B343758"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lastRenderedPageBreak/>
        <w:t>Home Office and The National Appropriate Adult Network (NAAN). (2011) </w:t>
      </w:r>
      <w:r w:rsidRPr="003A0B3E">
        <w:rPr>
          <w:rFonts w:ascii="Times New Roman" w:hAnsi="Times New Roman" w:cs="Times New Roman"/>
          <w:i/>
          <w:iCs/>
        </w:rPr>
        <w:t>Guide for appropriate adults</w:t>
      </w:r>
      <w:r w:rsidRPr="003A0B3E">
        <w:rPr>
          <w:rFonts w:ascii="Times New Roman" w:hAnsi="Times New Roman" w:cs="Times New Roman"/>
        </w:rPr>
        <w:t>. Available at: </w:t>
      </w:r>
      <w:hyperlink r:id="rId18" w:tgtFrame="_blank" w:history="1">
        <w:r w:rsidRPr="003A0B3E">
          <w:rPr>
            <w:rStyle w:val="Hyperlink"/>
            <w:rFonts w:ascii="Times New Roman" w:hAnsi="Times New Roman" w:cs="Times New Roman"/>
          </w:rPr>
          <w:t>https://assets.publishing.service.gov.uk/government/uploads/system/uploads/attachment_data/file/117682/appropriate-adults-guide.pdf</w:t>
        </w:r>
      </w:hyperlink>
      <w:r w:rsidRPr="003A0B3E">
        <w:rPr>
          <w:rFonts w:ascii="Times New Roman" w:hAnsi="Times New Roman" w:cs="Times New Roman"/>
        </w:rPr>
        <w:t> (Accessed: 11 November 2025). </w:t>
      </w:r>
    </w:p>
    <w:p w14:paraId="6D3BDCF2"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Knight, A. (2021) ‘Emotional labour and ethical strain in criminal justice practice’, </w:t>
      </w:r>
      <w:r w:rsidRPr="00E31C1A">
        <w:rPr>
          <w:rFonts w:ascii="Times New Roman" w:hAnsi="Times New Roman" w:cs="Times New Roman"/>
          <w:i/>
          <w:iCs/>
        </w:rPr>
        <w:t>British Journal of Social Work</w:t>
      </w:r>
      <w:r w:rsidRPr="00E31C1A">
        <w:rPr>
          <w:rFonts w:ascii="Times New Roman" w:hAnsi="Times New Roman" w:cs="Times New Roman"/>
        </w:rPr>
        <w:t>, 51(6), pp. 2154–2171. </w:t>
      </w:r>
    </w:p>
    <w:p w14:paraId="2C980FAD"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Lammy, D. (2017) </w:t>
      </w:r>
      <w:r w:rsidRPr="00E31C1A">
        <w:rPr>
          <w:rFonts w:ascii="Times New Roman" w:hAnsi="Times New Roman" w:cs="Times New Roman"/>
          <w:i/>
          <w:iCs/>
        </w:rPr>
        <w:t>The Lammy review: An independent review into the treatment of, and outcomes for, Black, Asian and Minority Ethnic individuals in the criminal justice system</w:t>
      </w:r>
      <w:r w:rsidRPr="00E31C1A">
        <w:rPr>
          <w:rFonts w:ascii="Times New Roman" w:hAnsi="Times New Roman" w:cs="Times New Roman"/>
        </w:rPr>
        <w:t>. London: Ministry of Justice. </w:t>
      </w:r>
    </w:p>
    <w:p w14:paraId="609E18B7"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Manister, M. and Wroe, L. (2023) ‘Social care responses to children who experience criminal exploitation and violence: The conditions for a welfare response’, </w:t>
      </w:r>
      <w:r w:rsidRPr="00A43CBA">
        <w:rPr>
          <w:rFonts w:ascii="Times New Roman" w:hAnsi="Times New Roman" w:cs="Times New Roman"/>
          <w:i/>
          <w:iCs/>
        </w:rPr>
        <w:t>British Journal of Social Work</w:t>
      </w:r>
      <w:r w:rsidRPr="00A43CBA">
        <w:rPr>
          <w:rFonts w:ascii="Times New Roman" w:hAnsi="Times New Roman" w:cs="Times New Roman"/>
        </w:rPr>
        <w:t>, 53(8), pp. 3725–3743. </w:t>
      </w:r>
      <w:hyperlink r:id="rId19" w:tgtFrame="_blank" w:history="1">
        <w:r w:rsidRPr="00A43CBA">
          <w:rPr>
            <w:rStyle w:val="Hyperlink"/>
            <w:rFonts w:ascii="Times New Roman" w:hAnsi="Times New Roman" w:cs="Times New Roman"/>
          </w:rPr>
          <w:t>https://doi.org/10.1093/bjsw/bcad145</w:t>
        </w:r>
      </w:hyperlink>
      <w:r w:rsidRPr="00A43CBA">
        <w:rPr>
          <w:rFonts w:ascii="Times New Roman" w:hAnsi="Times New Roman" w:cs="Times New Roman"/>
        </w:rPr>
        <w:t> </w:t>
      </w:r>
    </w:p>
    <w:p w14:paraId="2C271F84"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Marshall, H. (2024) ‘Child criminal exploitation and the interactional emergence of victim status’, </w:t>
      </w:r>
      <w:r w:rsidRPr="00A43CBA">
        <w:rPr>
          <w:rFonts w:ascii="Times New Roman" w:hAnsi="Times New Roman" w:cs="Times New Roman"/>
          <w:i/>
          <w:iCs/>
        </w:rPr>
        <w:t>British Journal of Criminology</w:t>
      </w:r>
      <w:r w:rsidRPr="00A43CBA">
        <w:rPr>
          <w:rFonts w:ascii="Times New Roman" w:hAnsi="Times New Roman" w:cs="Times New Roman"/>
        </w:rPr>
        <w:t>, 64(5), pp. 1011–1027. https://doi.org/10.1093/bjc/azae008 </w:t>
      </w:r>
    </w:p>
    <w:p w14:paraId="73F0C82B"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Ministry of Justice (2023) </w:t>
      </w:r>
      <w:r w:rsidRPr="00E31C1A">
        <w:rPr>
          <w:rFonts w:ascii="Times New Roman" w:hAnsi="Times New Roman" w:cs="Times New Roman"/>
          <w:i/>
          <w:iCs/>
        </w:rPr>
        <w:t>Youth justice statistics 2022 to 2023</w:t>
      </w:r>
      <w:r w:rsidRPr="00E31C1A">
        <w:rPr>
          <w:rFonts w:ascii="Times New Roman" w:hAnsi="Times New Roman" w:cs="Times New Roman"/>
        </w:rPr>
        <w:t>. London: Ministry of Justice. </w:t>
      </w:r>
    </w:p>
    <w:p w14:paraId="773C02D1"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Myles-Wright, A. and Nee, C. (2020) ‘Holding the child (and practitioner) in mind? Youth justice practitioners’ experiences supervising young people displaying sexually harmful behaviour’, </w:t>
      </w:r>
      <w:r w:rsidRPr="003A0B3E">
        <w:rPr>
          <w:rFonts w:ascii="Times New Roman" w:hAnsi="Times New Roman" w:cs="Times New Roman"/>
          <w:i/>
          <w:iCs/>
        </w:rPr>
        <w:t>Journal of Interpersonal Violence</w:t>
      </w:r>
      <w:r w:rsidRPr="003A0B3E">
        <w:rPr>
          <w:rFonts w:ascii="Times New Roman" w:hAnsi="Times New Roman" w:cs="Times New Roman"/>
        </w:rPr>
        <w:t>, 35(9–10), pp. 2055–2081. </w:t>
      </w:r>
    </w:p>
    <w:p w14:paraId="54450D07" w14:textId="5736063A" w:rsidR="00E31C1A" w:rsidRPr="00E31C1A" w:rsidRDefault="00E31C1A" w:rsidP="00E31C1A">
      <w:pPr>
        <w:rPr>
          <w:rFonts w:ascii="Times New Roman" w:hAnsi="Times New Roman" w:cs="Times New Roman"/>
        </w:rPr>
      </w:pPr>
      <w:r w:rsidRPr="70D0CA2A">
        <w:rPr>
          <w:rFonts w:ascii="Times New Roman" w:hAnsi="Times New Roman" w:cs="Times New Roman"/>
        </w:rPr>
        <w:t>Myles-Wright, A. and Nee, C., (2020) Holding the Child (and Practitioner) in Mind? Youth Justice Practitioners’ Experiences Supervising Young People Displaying Sexually Harmful </w:t>
      </w:r>
      <w:r w:rsidR="20673626" w:rsidRPr="70D0CA2A">
        <w:rPr>
          <w:rFonts w:ascii="Times New Roman" w:hAnsi="Times New Roman" w:cs="Times New Roman"/>
        </w:rPr>
        <w:t>Behaviour</w:t>
      </w:r>
      <w:r w:rsidRPr="70D0CA2A">
        <w:rPr>
          <w:rFonts w:ascii="Times New Roman" w:hAnsi="Times New Roman" w:cs="Times New Roman"/>
        </w:rPr>
        <w:t>. </w:t>
      </w:r>
      <w:r w:rsidRPr="70D0CA2A">
        <w:rPr>
          <w:rFonts w:ascii="Times New Roman" w:hAnsi="Times New Roman" w:cs="Times New Roman"/>
          <w:i/>
          <w:iCs/>
        </w:rPr>
        <w:t>Journal of interpersonal violence</w:t>
      </w:r>
      <w:r w:rsidRPr="70D0CA2A">
        <w:rPr>
          <w:rFonts w:ascii="Times New Roman" w:hAnsi="Times New Roman" w:cs="Times New Roman"/>
        </w:rPr>
        <w:t>, </w:t>
      </w:r>
      <w:r w:rsidRPr="70D0CA2A">
        <w:rPr>
          <w:rFonts w:ascii="Times New Roman" w:hAnsi="Times New Roman" w:cs="Times New Roman"/>
          <w:i/>
          <w:iCs/>
        </w:rPr>
        <w:t>35</w:t>
      </w:r>
      <w:r w:rsidRPr="70D0CA2A">
        <w:rPr>
          <w:rFonts w:ascii="Times New Roman" w:hAnsi="Times New Roman" w:cs="Times New Roman"/>
        </w:rPr>
        <w:t>(9-10), pp.2055-2081.   </w:t>
      </w:r>
    </w:p>
    <w:p w14:paraId="78119E2E"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t>National Appropriate Adult Network (NAAN) (2022) </w:t>
      </w:r>
      <w:r w:rsidRPr="00E31C1A">
        <w:rPr>
          <w:rFonts w:ascii="Times New Roman" w:hAnsi="Times New Roman" w:cs="Times New Roman"/>
          <w:i/>
          <w:iCs/>
        </w:rPr>
        <w:t>National standards for appropriate adults</w:t>
      </w:r>
      <w:r w:rsidRPr="00E31C1A">
        <w:rPr>
          <w:rFonts w:ascii="Times New Roman" w:hAnsi="Times New Roman" w:cs="Times New Roman"/>
        </w:rPr>
        <w:t>. London: NAAN. </w:t>
      </w:r>
    </w:p>
    <w:p w14:paraId="56EE4657"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National Appropriate Adult Network (NAAN) (2018) </w:t>
      </w:r>
      <w:r w:rsidRPr="003A0B3E">
        <w:rPr>
          <w:rFonts w:ascii="Times New Roman" w:hAnsi="Times New Roman" w:cs="Times New Roman"/>
          <w:i/>
          <w:iCs/>
        </w:rPr>
        <w:t>National standards for the development and provision of appropriate adult schemes in England and Wales</w:t>
      </w:r>
      <w:r w:rsidRPr="003A0B3E">
        <w:rPr>
          <w:rFonts w:ascii="Times New Roman" w:hAnsi="Times New Roman" w:cs="Times New Roman"/>
        </w:rPr>
        <w:t>. Available at: </w:t>
      </w:r>
      <w:hyperlink r:id="rId20" w:tgtFrame="_blank" w:history="1">
        <w:r w:rsidRPr="003A0B3E">
          <w:rPr>
            <w:rStyle w:val="Hyperlink"/>
            <w:rFonts w:ascii="Times New Roman" w:hAnsi="Times New Roman" w:cs="Times New Roman"/>
          </w:rPr>
          <w:t>https://www.appropriateadult.org.uk/index.php/national-standards</w:t>
        </w:r>
      </w:hyperlink>
      <w:r w:rsidRPr="003A0B3E">
        <w:rPr>
          <w:rFonts w:ascii="Times New Roman" w:hAnsi="Times New Roman" w:cs="Times New Roman"/>
        </w:rPr>
        <w:t> (Accessed: 25 November 2025). </w:t>
      </w:r>
    </w:p>
    <w:p w14:paraId="0E0D6CB9"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Ofsted, Care Quality Commission, HM Inspectorate of Constabulary and Fire &amp; Rescue Services and HM Inspectorate of Probation (2023) </w:t>
      </w:r>
      <w:r w:rsidRPr="00A43CBA">
        <w:rPr>
          <w:rFonts w:ascii="Times New Roman" w:hAnsi="Times New Roman" w:cs="Times New Roman"/>
          <w:i/>
          <w:iCs/>
        </w:rPr>
        <w:t>Safeguarding children at risk of exploitation</w:t>
      </w:r>
      <w:r w:rsidRPr="00A43CBA">
        <w:rPr>
          <w:rFonts w:ascii="Times New Roman" w:hAnsi="Times New Roman" w:cs="Times New Roman"/>
        </w:rPr>
        <w:t>. Manchester: Ofsted. </w:t>
      </w:r>
    </w:p>
    <w:p w14:paraId="3410A503"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Sanders, M., Laming, K. and McCartan, K. (2022) ‘Grooming, coercion and criminal exploitation of children’, </w:t>
      </w:r>
      <w:r w:rsidRPr="00A43CBA">
        <w:rPr>
          <w:rFonts w:ascii="Times New Roman" w:hAnsi="Times New Roman" w:cs="Times New Roman"/>
          <w:i/>
          <w:iCs/>
        </w:rPr>
        <w:t>Journal of Sexual Aggression</w:t>
      </w:r>
      <w:r w:rsidRPr="00A43CBA">
        <w:rPr>
          <w:rFonts w:ascii="Times New Roman" w:hAnsi="Times New Roman" w:cs="Times New Roman"/>
        </w:rPr>
        <w:t>, 28(3), pp. 321–336.  </w:t>
      </w:r>
    </w:p>
    <w:p w14:paraId="7D973994" w14:textId="77777777" w:rsidR="00E31C1A" w:rsidRPr="003A0B3E" w:rsidRDefault="00E31C1A" w:rsidP="003A0B3E">
      <w:pPr>
        <w:rPr>
          <w:rFonts w:ascii="Times New Roman" w:hAnsi="Times New Roman" w:cs="Times New Roman"/>
        </w:rPr>
      </w:pPr>
      <w:proofErr w:type="spellStart"/>
      <w:r w:rsidRPr="003A0B3E">
        <w:rPr>
          <w:rFonts w:ascii="Times New Roman" w:hAnsi="Times New Roman" w:cs="Times New Roman"/>
        </w:rPr>
        <w:t>Sariaslan</w:t>
      </w:r>
      <w:proofErr w:type="spellEnd"/>
      <w:r w:rsidRPr="003A0B3E">
        <w:rPr>
          <w:rFonts w:ascii="Times New Roman" w:hAnsi="Times New Roman" w:cs="Times New Roman"/>
        </w:rPr>
        <w:t>, A., Larsson, H., D’Onofrio, B., </w:t>
      </w:r>
      <w:proofErr w:type="spellStart"/>
      <w:r w:rsidRPr="003A0B3E">
        <w:rPr>
          <w:rFonts w:ascii="Times New Roman" w:hAnsi="Times New Roman" w:cs="Times New Roman"/>
        </w:rPr>
        <w:t>Långström</w:t>
      </w:r>
      <w:proofErr w:type="spellEnd"/>
      <w:r w:rsidRPr="003A0B3E">
        <w:rPr>
          <w:rFonts w:ascii="Times New Roman" w:hAnsi="Times New Roman" w:cs="Times New Roman"/>
        </w:rPr>
        <w:t>, N. and Lichtenstein, P. (2014) ‘Childhood family income, adolescent violent criminality, and substance misuse: Quasi-experimental total population study’, </w:t>
      </w:r>
      <w:r w:rsidRPr="003A0B3E">
        <w:rPr>
          <w:rFonts w:ascii="Times New Roman" w:hAnsi="Times New Roman" w:cs="Times New Roman"/>
          <w:i/>
          <w:iCs/>
        </w:rPr>
        <w:t>The British Journal of Psychiatry</w:t>
      </w:r>
      <w:r w:rsidRPr="003A0B3E">
        <w:rPr>
          <w:rFonts w:ascii="Times New Roman" w:hAnsi="Times New Roman" w:cs="Times New Roman"/>
        </w:rPr>
        <w:t>, 205(4), pp. 286–290. </w:t>
      </w:r>
      <w:hyperlink r:id="rId21" w:tgtFrame="_blank" w:history="1">
        <w:r w:rsidRPr="003A0B3E">
          <w:rPr>
            <w:rStyle w:val="Hyperlink"/>
            <w:rFonts w:ascii="Times New Roman" w:hAnsi="Times New Roman" w:cs="Times New Roman"/>
          </w:rPr>
          <w:t>https://doi.org/10.1192/bjp.bp.113.136200</w:t>
        </w:r>
      </w:hyperlink>
      <w:r w:rsidRPr="003A0B3E">
        <w:rPr>
          <w:rFonts w:ascii="Times New Roman" w:hAnsi="Times New Roman" w:cs="Times New Roman"/>
        </w:rPr>
        <w:t> </w:t>
      </w:r>
    </w:p>
    <w:p w14:paraId="2D88ECA3" w14:textId="77777777" w:rsidR="00E31C1A" w:rsidRPr="00E31C1A" w:rsidRDefault="00E31C1A" w:rsidP="00E31C1A">
      <w:pPr>
        <w:rPr>
          <w:rFonts w:ascii="Times New Roman" w:hAnsi="Times New Roman" w:cs="Times New Roman"/>
        </w:rPr>
      </w:pPr>
      <w:r w:rsidRPr="00E31C1A">
        <w:rPr>
          <w:rFonts w:ascii="Times New Roman" w:hAnsi="Times New Roman" w:cs="Times New Roman"/>
        </w:rPr>
        <w:lastRenderedPageBreak/>
        <w:t>Smith, R., Cree, V. and Macrae, R. (2022) ‘Power, identity and bias in youth justice decision-making’, </w:t>
      </w:r>
      <w:r w:rsidRPr="00E31C1A">
        <w:rPr>
          <w:rFonts w:ascii="Times New Roman" w:hAnsi="Times New Roman" w:cs="Times New Roman"/>
          <w:i/>
          <w:iCs/>
        </w:rPr>
        <w:t>Youth Justice</w:t>
      </w:r>
      <w:r w:rsidRPr="00E31C1A">
        <w:rPr>
          <w:rFonts w:ascii="Times New Roman" w:hAnsi="Times New Roman" w:cs="Times New Roman"/>
        </w:rPr>
        <w:t>, 22(3), pp. 247–263. </w:t>
      </w:r>
    </w:p>
    <w:p w14:paraId="78EAE514"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Smithson, H. and Jones, A. (2021) ‘Co-creating youth justice practice with young people: Tackling power dynamics and enabling transformative action’, </w:t>
      </w:r>
      <w:r w:rsidRPr="003A0B3E">
        <w:rPr>
          <w:rFonts w:ascii="Times New Roman" w:hAnsi="Times New Roman" w:cs="Times New Roman"/>
          <w:i/>
          <w:iCs/>
        </w:rPr>
        <w:t>Children &amp; Society</w:t>
      </w:r>
      <w:r w:rsidRPr="003A0B3E">
        <w:rPr>
          <w:rFonts w:ascii="Times New Roman" w:hAnsi="Times New Roman" w:cs="Times New Roman"/>
        </w:rPr>
        <w:t>, 35(3), pp. 348–362. </w:t>
      </w:r>
    </w:p>
    <w:p w14:paraId="6663357C" w14:textId="77777777" w:rsidR="00E31C1A" w:rsidRPr="00A43CBA" w:rsidRDefault="00E31C1A" w:rsidP="00A43CBA">
      <w:pPr>
        <w:rPr>
          <w:rFonts w:ascii="Times New Roman" w:hAnsi="Times New Roman" w:cs="Times New Roman"/>
        </w:rPr>
      </w:pPr>
      <w:r w:rsidRPr="00A43CBA">
        <w:rPr>
          <w:rFonts w:ascii="Times New Roman" w:hAnsi="Times New Roman" w:cs="Times New Roman"/>
        </w:rPr>
        <w:t>Topping, A. (2025) ‘New laws to protect children exploited by gangs in England and Wales “will save lives”’, </w:t>
      </w:r>
      <w:r w:rsidRPr="00A43CBA">
        <w:rPr>
          <w:rFonts w:ascii="Times New Roman" w:hAnsi="Times New Roman" w:cs="Times New Roman"/>
          <w:i/>
          <w:iCs/>
        </w:rPr>
        <w:t>The Guardian</w:t>
      </w:r>
      <w:r w:rsidRPr="00A43CBA">
        <w:rPr>
          <w:rFonts w:ascii="Times New Roman" w:hAnsi="Times New Roman" w:cs="Times New Roman"/>
        </w:rPr>
        <w:t>, 22 February. Available at: </w:t>
      </w:r>
      <w:hyperlink r:id="rId22" w:tgtFrame="_blank" w:history="1">
        <w:r w:rsidRPr="00A43CBA">
          <w:rPr>
            <w:rStyle w:val="Hyperlink"/>
            <w:rFonts w:ascii="Times New Roman" w:hAnsi="Times New Roman" w:cs="Times New Roman"/>
          </w:rPr>
          <w:t>https://www.theguardian.com/society/2025/feb/22/new-laws-england-wales-children-exploited-gangs-county-lines</w:t>
        </w:r>
      </w:hyperlink>
      <w:r w:rsidRPr="00A43CBA">
        <w:rPr>
          <w:rFonts w:ascii="Times New Roman" w:hAnsi="Times New Roman" w:cs="Times New Roman"/>
        </w:rPr>
        <w:t> (Accessed: 16 December 2025). </w:t>
      </w:r>
    </w:p>
    <w:p w14:paraId="0707D4C1"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Welsh Government (2020) </w:t>
      </w:r>
      <w:r w:rsidRPr="003A0B3E">
        <w:rPr>
          <w:rFonts w:ascii="Times New Roman" w:hAnsi="Times New Roman" w:cs="Times New Roman"/>
          <w:i/>
          <w:iCs/>
        </w:rPr>
        <w:t>Summary statistics for Mid Wales region: 2020</w:t>
      </w:r>
      <w:r w:rsidRPr="003A0B3E">
        <w:rPr>
          <w:rFonts w:ascii="Times New Roman" w:hAnsi="Times New Roman" w:cs="Times New Roman"/>
        </w:rPr>
        <w:t>. Available at: </w:t>
      </w:r>
      <w:hyperlink r:id="rId23" w:tgtFrame="_blank" w:history="1">
        <w:r w:rsidRPr="003A0B3E">
          <w:rPr>
            <w:rStyle w:val="Hyperlink"/>
            <w:rFonts w:ascii="Times New Roman" w:hAnsi="Times New Roman" w:cs="Times New Roman"/>
          </w:rPr>
          <w:t>https://gov.wales/sites/default/files/statistics-and-research/2020-05/summary-statistics-mid-wales-region-2020-108.pdf</w:t>
        </w:r>
      </w:hyperlink>
      <w:r w:rsidRPr="003A0B3E">
        <w:rPr>
          <w:rFonts w:ascii="Times New Roman" w:hAnsi="Times New Roman" w:cs="Times New Roman"/>
        </w:rPr>
        <w:t> (Accessed: 15 November 2025). </w:t>
      </w:r>
    </w:p>
    <w:p w14:paraId="5279A982"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Welsh Government (2021) </w:t>
      </w:r>
      <w:r w:rsidRPr="003A0B3E">
        <w:rPr>
          <w:rFonts w:ascii="Times New Roman" w:hAnsi="Times New Roman" w:cs="Times New Roman"/>
          <w:i/>
          <w:iCs/>
        </w:rPr>
        <w:t>Income summary by local authority</w:t>
      </w:r>
      <w:r w:rsidRPr="003A0B3E">
        <w:rPr>
          <w:rFonts w:ascii="Times New Roman" w:hAnsi="Times New Roman" w:cs="Times New Roman"/>
        </w:rPr>
        <w:t>. Available at: </w:t>
      </w:r>
      <w:hyperlink r:id="rId24" w:tgtFrame="_blank" w:history="1">
        <w:r w:rsidRPr="003A0B3E">
          <w:rPr>
            <w:rStyle w:val="Hyperlink"/>
            <w:rFonts w:ascii="Times New Roman" w:hAnsi="Times New Roman" w:cs="Times New Roman"/>
          </w:rPr>
          <w:t>https://statswales.gov.wales/Catalogue/Education-and-Skills/Youth-Service/Finance/incomesummary-by-localauthority</w:t>
        </w:r>
      </w:hyperlink>
      <w:r w:rsidRPr="003A0B3E">
        <w:rPr>
          <w:rFonts w:ascii="Times New Roman" w:hAnsi="Times New Roman" w:cs="Times New Roman"/>
        </w:rPr>
        <w:t> (Accessed: 22 November 2025). </w:t>
      </w:r>
    </w:p>
    <w:p w14:paraId="2068BF50" w14:textId="77777777" w:rsidR="00E31C1A" w:rsidRDefault="00E31C1A" w:rsidP="00A43CBA">
      <w:pPr>
        <w:rPr>
          <w:rFonts w:ascii="Times New Roman" w:hAnsi="Times New Roman" w:cs="Times New Roman"/>
        </w:rPr>
      </w:pPr>
      <w:r w:rsidRPr="00A43CBA">
        <w:rPr>
          <w:rFonts w:ascii="Times New Roman" w:hAnsi="Times New Roman" w:cs="Times New Roman"/>
        </w:rPr>
        <w:t>Youth Endowment Fund (2024) </w:t>
      </w:r>
      <w:r w:rsidRPr="00A43CBA">
        <w:rPr>
          <w:rFonts w:ascii="Times New Roman" w:hAnsi="Times New Roman" w:cs="Times New Roman"/>
          <w:i/>
          <w:iCs/>
        </w:rPr>
        <w:t>Children, violence and exploitation: Evidence review</w:t>
      </w:r>
      <w:r w:rsidRPr="00A43CBA">
        <w:rPr>
          <w:rFonts w:ascii="Times New Roman" w:hAnsi="Times New Roman" w:cs="Times New Roman"/>
        </w:rPr>
        <w:t>. London: Youth Endowment Fund.</w:t>
      </w:r>
    </w:p>
    <w:p w14:paraId="6D8026CB"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Youth Justice Board for England and Wales (YJB).  (2021) </w:t>
      </w:r>
      <w:r w:rsidRPr="003A0B3E">
        <w:rPr>
          <w:rFonts w:ascii="Times New Roman" w:hAnsi="Times New Roman" w:cs="Times New Roman"/>
          <w:i/>
          <w:iCs/>
        </w:rPr>
        <w:t>Strategic plan 2021–2024</w:t>
      </w:r>
      <w:r w:rsidRPr="003A0B3E">
        <w:rPr>
          <w:rFonts w:ascii="Times New Roman" w:hAnsi="Times New Roman" w:cs="Times New Roman"/>
        </w:rPr>
        <w:t>. Available at: </w:t>
      </w:r>
      <w:hyperlink r:id="rId25" w:tgtFrame="_blank" w:history="1">
        <w:r w:rsidRPr="003A0B3E">
          <w:rPr>
            <w:rStyle w:val="Hyperlink"/>
            <w:rFonts w:ascii="Times New Roman" w:hAnsi="Times New Roman" w:cs="Times New Roman"/>
          </w:rPr>
          <w:t>https://assets.publishing.service.gov.uk/government/uploads/system/uploads/attachment_data/file/966200/YJB_Strategic_Plan_2021_-_2024.pdf</w:t>
        </w:r>
      </w:hyperlink>
      <w:r w:rsidRPr="003A0B3E">
        <w:rPr>
          <w:rFonts w:ascii="Times New Roman" w:hAnsi="Times New Roman" w:cs="Times New Roman"/>
        </w:rPr>
        <w:t> (Accessed: 18 November 2025). </w:t>
      </w:r>
    </w:p>
    <w:p w14:paraId="685D2591"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Youth Justice Board for England and Wales (YJB). (2010) </w:t>
      </w:r>
      <w:r w:rsidRPr="003A0B3E">
        <w:rPr>
          <w:rFonts w:ascii="Times New Roman" w:hAnsi="Times New Roman" w:cs="Times New Roman"/>
          <w:i/>
          <w:iCs/>
        </w:rPr>
        <w:t>A review of techniques for effective engagement and participation: Research study conducted for the Youth Justice Board for England and Wales</w:t>
      </w:r>
      <w:r w:rsidRPr="003A0B3E">
        <w:rPr>
          <w:rFonts w:ascii="Times New Roman" w:hAnsi="Times New Roman" w:cs="Times New Roman"/>
        </w:rPr>
        <w:t>. Available at: </w:t>
      </w:r>
      <w:hyperlink r:id="rId26" w:tgtFrame="_blank" w:history="1">
        <w:r w:rsidRPr="003A0B3E">
          <w:rPr>
            <w:rStyle w:val="Hyperlink"/>
            <w:rFonts w:ascii="Times New Roman" w:hAnsi="Times New Roman" w:cs="Times New Roman"/>
          </w:rPr>
          <w:t>https://assets.publishing.service.gov.uk/government/uploads/system/uploads/attachment_data/file/352911/A_Review_of_Techniques_for_Effective_Engagement_and_Participation__1_.pdf</w:t>
        </w:r>
      </w:hyperlink>
      <w:r w:rsidRPr="003A0B3E">
        <w:rPr>
          <w:rFonts w:ascii="Times New Roman" w:hAnsi="Times New Roman" w:cs="Times New Roman"/>
        </w:rPr>
        <w:t> (Accessed: 18 November 2025). </w:t>
      </w:r>
    </w:p>
    <w:p w14:paraId="58771433" w14:textId="5B2E1D49" w:rsidR="00E31C1A" w:rsidRPr="00E31C1A" w:rsidRDefault="00E31C1A" w:rsidP="00E31C1A">
      <w:pPr>
        <w:rPr>
          <w:rFonts w:ascii="Times New Roman" w:hAnsi="Times New Roman" w:cs="Times New Roman"/>
        </w:rPr>
      </w:pPr>
      <w:r w:rsidRPr="00E31C1A">
        <w:rPr>
          <w:rFonts w:ascii="Times New Roman" w:hAnsi="Times New Roman" w:cs="Times New Roman"/>
        </w:rPr>
        <w:t>Youth Justice Board (YJB)</w:t>
      </w:r>
      <w:r w:rsidR="006C01BC" w:rsidRPr="00E31C1A">
        <w:rPr>
          <w:rFonts w:ascii="Times New Roman" w:hAnsi="Times New Roman" w:cs="Times New Roman"/>
        </w:rPr>
        <w:t xml:space="preserve"> </w:t>
      </w:r>
      <w:r w:rsidR="006C01BC">
        <w:rPr>
          <w:rFonts w:ascii="Times New Roman" w:hAnsi="Times New Roman" w:cs="Times New Roman"/>
        </w:rPr>
        <w:t>(2</w:t>
      </w:r>
      <w:r w:rsidRPr="00E31C1A">
        <w:rPr>
          <w:rFonts w:ascii="Times New Roman" w:hAnsi="Times New Roman" w:cs="Times New Roman"/>
        </w:rPr>
        <w:t>021) </w:t>
      </w:r>
      <w:r w:rsidRPr="00E31C1A">
        <w:rPr>
          <w:rFonts w:ascii="Times New Roman" w:hAnsi="Times New Roman" w:cs="Times New Roman"/>
          <w:i/>
          <w:iCs/>
        </w:rPr>
        <w:t>Child first strategic plan 2021–2024</w:t>
      </w:r>
      <w:r w:rsidRPr="00E31C1A">
        <w:rPr>
          <w:rFonts w:ascii="Times New Roman" w:hAnsi="Times New Roman" w:cs="Times New Roman"/>
        </w:rPr>
        <w:t>. London: Youth Justice Board for England and Wales. </w:t>
      </w:r>
    </w:p>
    <w:p w14:paraId="6B4ED146" w14:textId="230F06B7" w:rsidR="00E31C1A" w:rsidRPr="00E31C1A" w:rsidRDefault="00E31C1A" w:rsidP="00E31C1A">
      <w:pPr>
        <w:rPr>
          <w:rFonts w:ascii="Times New Roman" w:hAnsi="Times New Roman" w:cs="Times New Roman"/>
        </w:rPr>
      </w:pPr>
      <w:r w:rsidRPr="00E31C1A">
        <w:rPr>
          <w:rFonts w:ascii="Times New Roman" w:hAnsi="Times New Roman" w:cs="Times New Roman"/>
        </w:rPr>
        <w:t>Youth Justice Board (YJB)</w:t>
      </w:r>
      <w:r w:rsidR="006C01BC">
        <w:rPr>
          <w:rFonts w:ascii="Times New Roman" w:hAnsi="Times New Roman" w:cs="Times New Roman"/>
        </w:rPr>
        <w:t xml:space="preserve"> (</w:t>
      </w:r>
      <w:r w:rsidRPr="00E31C1A">
        <w:rPr>
          <w:rFonts w:ascii="Times New Roman" w:hAnsi="Times New Roman" w:cs="Times New Roman"/>
        </w:rPr>
        <w:t>2023) </w:t>
      </w:r>
      <w:r w:rsidRPr="00E31C1A">
        <w:rPr>
          <w:rFonts w:ascii="Times New Roman" w:hAnsi="Times New Roman" w:cs="Times New Roman"/>
          <w:i/>
          <w:iCs/>
        </w:rPr>
        <w:t>Trauma-informed practice in youth justice</w:t>
      </w:r>
      <w:r w:rsidRPr="00E31C1A">
        <w:rPr>
          <w:rFonts w:ascii="Times New Roman" w:hAnsi="Times New Roman" w:cs="Times New Roman"/>
        </w:rPr>
        <w:t>. London: Youth Justice Board for England and Wales. </w:t>
      </w:r>
    </w:p>
    <w:p w14:paraId="49BF6816" w14:textId="77777777" w:rsidR="00E31C1A" w:rsidRPr="003A0B3E" w:rsidRDefault="00E31C1A" w:rsidP="003A0B3E">
      <w:pPr>
        <w:rPr>
          <w:rFonts w:ascii="Times New Roman" w:hAnsi="Times New Roman" w:cs="Times New Roman"/>
        </w:rPr>
      </w:pPr>
      <w:r w:rsidRPr="003A0B3E">
        <w:rPr>
          <w:rFonts w:ascii="Times New Roman" w:hAnsi="Times New Roman" w:cs="Times New Roman"/>
        </w:rPr>
        <w:t>Zehr, H. (2015) </w:t>
      </w:r>
      <w:r w:rsidRPr="003A0B3E">
        <w:rPr>
          <w:rFonts w:ascii="Times New Roman" w:hAnsi="Times New Roman" w:cs="Times New Roman"/>
          <w:i/>
          <w:iCs/>
        </w:rPr>
        <w:t>The little book of restorative justice: Revised and updated</w:t>
      </w:r>
      <w:r w:rsidRPr="003A0B3E">
        <w:rPr>
          <w:rFonts w:ascii="Times New Roman" w:hAnsi="Times New Roman" w:cs="Times New Roman"/>
        </w:rPr>
        <w:t>. New York: Simon &amp; Schuster. </w:t>
      </w:r>
    </w:p>
    <w:p w14:paraId="3BDA43F1" w14:textId="77777777" w:rsidR="003A0B3E" w:rsidRPr="00A43CBA" w:rsidRDefault="003A0B3E" w:rsidP="00A43CBA">
      <w:pPr>
        <w:rPr>
          <w:rFonts w:ascii="Times New Roman" w:hAnsi="Times New Roman" w:cs="Times New Roman"/>
        </w:rPr>
      </w:pPr>
    </w:p>
    <w:p w14:paraId="4158209C" w14:textId="77777777" w:rsidR="00217F71" w:rsidRPr="00217F71" w:rsidRDefault="00217F71" w:rsidP="00217F71"/>
    <w:sectPr w:rsidR="00217F71" w:rsidRPr="00217F71">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5C085" w14:textId="77777777" w:rsidR="005910FB" w:rsidRDefault="005910FB" w:rsidP="00B6240A">
      <w:pPr>
        <w:spacing w:after="0" w:line="240" w:lineRule="auto"/>
      </w:pPr>
      <w:r>
        <w:separator/>
      </w:r>
    </w:p>
  </w:endnote>
  <w:endnote w:type="continuationSeparator" w:id="0">
    <w:p w14:paraId="7DCA0124" w14:textId="77777777" w:rsidR="005910FB" w:rsidRDefault="005910FB" w:rsidP="00B62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340FA" w14:textId="7FF4E860" w:rsidR="00B6240A" w:rsidRDefault="00EB4AEC">
    <w:pPr>
      <w:pStyle w:val="Footer"/>
    </w:pP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1A40E" w14:textId="77777777" w:rsidR="005910FB" w:rsidRDefault="005910FB" w:rsidP="00B6240A">
      <w:pPr>
        <w:spacing w:after="0" w:line="240" w:lineRule="auto"/>
      </w:pPr>
      <w:r>
        <w:separator/>
      </w:r>
    </w:p>
  </w:footnote>
  <w:footnote w:type="continuationSeparator" w:id="0">
    <w:p w14:paraId="723504B0" w14:textId="77777777" w:rsidR="005910FB" w:rsidRDefault="005910FB" w:rsidP="00B62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EE91D84" w14:paraId="72D9DA8F" w14:textId="77777777" w:rsidTr="2EE91D84">
      <w:trPr>
        <w:trHeight w:val="300"/>
      </w:trPr>
      <w:tc>
        <w:tcPr>
          <w:tcW w:w="3005" w:type="dxa"/>
        </w:tcPr>
        <w:p w14:paraId="5F9E9DCA" w14:textId="5617B5F6" w:rsidR="2EE91D84" w:rsidRDefault="2EE91D84" w:rsidP="2EE91D84">
          <w:pPr>
            <w:pStyle w:val="Header"/>
            <w:ind w:left="-115"/>
          </w:pPr>
        </w:p>
      </w:tc>
      <w:tc>
        <w:tcPr>
          <w:tcW w:w="3005" w:type="dxa"/>
        </w:tcPr>
        <w:p w14:paraId="0DE742C4" w14:textId="1E0BAE54" w:rsidR="2EE91D84" w:rsidRDefault="2EE91D84" w:rsidP="2EE91D84">
          <w:pPr>
            <w:pStyle w:val="Header"/>
            <w:jc w:val="center"/>
          </w:pPr>
        </w:p>
      </w:tc>
      <w:tc>
        <w:tcPr>
          <w:tcW w:w="3005" w:type="dxa"/>
        </w:tcPr>
        <w:p w14:paraId="294DB6C0" w14:textId="3062CD9D" w:rsidR="2EE91D84" w:rsidRDefault="2EE91D84" w:rsidP="2EE91D84">
          <w:pPr>
            <w:pStyle w:val="Header"/>
            <w:ind w:right="-115"/>
            <w:jc w:val="right"/>
          </w:pPr>
        </w:p>
      </w:tc>
    </w:tr>
  </w:tbl>
  <w:p w14:paraId="21C945CA" w14:textId="040BB7A3" w:rsidR="2EE91D84" w:rsidRDefault="2EE91D84" w:rsidP="2EE91D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8"/>
      <w:gridCol w:w="3009"/>
      <w:gridCol w:w="3009"/>
    </w:tblGrid>
    <w:tr w:rsidR="2EE91D84" w14:paraId="627A252D" w14:textId="77777777" w:rsidTr="2EE91D84">
      <w:trPr>
        <w:trHeight w:val="300"/>
      </w:trPr>
      <w:tc>
        <w:tcPr>
          <w:tcW w:w="4650" w:type="dxa"/>
        </w:tcPr>
        <w:p w14:paraId="37C5954B" w14:textId="05F7B4A1" w:rsidR="2EE91D84" w:rsidRDefault="2EE91D84" w:rsidP="2EE91D84">
          <w:pPr>
            <w:pStyle w:val="Header"/>
            <w:ind w:left="-115"/>
          </w:pPr>
        </w:p>
      </w:tc>
      <w:tc>
        <w:tcPr>
          <w:tcW w:w="4650" w:type="dxa"/>
        </w:tcPr>
        <w:p w14:paraId="4F977488" w14:textId="2B0741D6" w:rsidR="2EE91D84" w:rsidRDefault="2EE91D84" w:rsidP="2EE91D84">
          <w:pPr>
            <w:pStyle w:val="Header"/>
            <w:jc w:val="center"/>
          </w:pPr>
        </w:p>
      </w:tc>
      <w:tc>
        <w:tcPr>
          <w:tcW w:w="4650" w:type="dxa"/>
        </w:tcPr>
        <w:p w14:paraId="3608D64B" w14:textId="085F440E" w:rsidR="2EE91D84" w:rsidRDefault="2EE91D84" w:rsidP="2EE91D84">
          <w:pPr>
            <w:pStyle w:val="Header"/>
            <w:ind w:right="-115"/>
            <w:jc w:val="right"/>
          </w:pPr>
        </w:p>
      </w:tc>
    </w:tr>
  </w:tbl>
  <w:p w14:paraId="6C6CC6DE" w14:textId="72DB732B" w:rsidR="2EE91D84" w:rsidRDefault="2EE91D84" w:rsidP="2EE91D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EE91D84" w14:paraId="4BE85726" w14:textId="77777777" w:rsidTr="70D0CA2A">
      <w:trPr>
        <w:trHeight w:val="300"/>
      </w:trPr>
      <w:tc>
        <w:tcPr>
          <w:tcW w:w="3005" w:type="dxa"/>
        </w:tcPr>
        <w:p w14:paraId="14950FEB" w14:textId="6A7BECBF" w:rsidR="2EE91D84" w:rsidRDefault="70D0CA2A" w:rsidP="70D0CA2A">
          <w:pPr>
            <w:pStyle w:val="Header"/>
            <w:ind w:left="-115"/>
          </w:pPr>
          <w:r>
            <w:t>Module: ECCP7001C</w:t>
          </w:r>
        </w:p>
      </w:tc>
      <w:tc>
        <w:tcPr>
          <w:tcW w:w="3005" w:type="dxa"/>
        </w:tcPr>
        <w:p w14:paraId="4AEE5968" w14:textId="2F1032C7" w:rsidR="2EE91D84" w:rsidRDefault="70D0CA2A" w:rsidP="70D0CA2A">
          <w:pPr>
            <w:pStyle w:val="Header"/>
            <w:jc w:val="center"/>
          </w:pPr>
          <w:r>
            <w:t>Assignment 1</w:t>
          </w:r>
        </w:p>
      </w:tc>
      <w:tc>
        <w:tcPr>
          <w:tcW w:w="3005" w:type="dxa"/>
        </w:tcPr>
        <w:p w14:paraId="0397E379" w14:textId="41F8B2B5" w:rsidR="2EE91D84" w:rsidRDefault="70D0CA2A" w:rsidP="70D0CA2A">
          <w:pPr>
            <w:pStyle w:val="Footer"/>
          </w:pPr>
          <w:r>
            <w:t>Student No:1603261</w:t>
          </w:r>
        </w:p>
        <w:p w14:paraId="0D5D8C8C" w14:textId="540E9208" w:rsidR="2EE91D84" w:rsidRDefault="2EE91D84" w:rsidP="2EE91D84">
          <w:pPr>
            <w:pStyle w:val="Header"/>
            <w:ind w:right="-115"/>
            <w:jc w:val="right"/>
          </w:pPr>
        </w:p>
      </w:tc>
    </w:tr>
  </w:tbl>
  <w:p w14:paraId="68478AFA" w14:textId="75FEBA96" w:rsidR="2EE91D84" w:rsidRDefault="2EE91D84" w:rsidP="2EE91D84">
    <w:pPr>
      <w:pStyle w:val="Header"/>
    </w:pPr>
  </w:p>
</w:hdr>
</file>

<file path=word/intelligence2.xml><?xml version="1.0" encoding="utf-8"?>
<int2:intelligence xmlns:int2="http://schemas.microsoft.com/office/intelligence/2020/intelligence" xmlns:oel="http://schemas.microsoft.com/office/2019/extlst">
  <int2:observations>
    <int2:textHash int2:hashCode="XRrR7KBLX223kT" int2:id="Zfumhbqd">
      <int2:state int2:value="Rejected" int2:type="spell"/>
    </int2:textHash>
    <int2:textHash int2:hashCode="4boo8IbBlLxcgR" int2:id="gAx4D6iw">
      <int2:state int2:value="Rejected" int2:type="spell"/>
    </int2:textHash>
    <int2:textHash int2:hashCode="IcgPvLijgZdcCP" int2:id="DA8AjxHG">
      <int2:state int2:value="Rejected" int2:type="spell"/>
    </int2:textHash>
    <int2:bookmark int2:bookmarkName="_Int_w7JFRJgh" int2:invalidationBookmarkName="" int2:hashCode="3nPqwMMFA48EN7" int2:id="GHvQSZa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2A8"/>
    <w:multiLevelType w:val="multilevel"/>
    <w:tmpl w:val="7AAA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8D5581"/>
    <w:multiLevelType w:val="multilevel"/>
    <w:tmpl w:val="DB4228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0A62A6"/>
    <w:multiLevelType w:val="multilevel"/>
    <w:tmpl w:val="8E48E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CD7E11"/>
    <w:multiLevelType w:val="multilevel"/>
    <w:tmpl w:val="4844A4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8862B3"/>
    <w:multiLevelType w:val="multilevel"/>
    <w:tmpl w:val="5F86EC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5104D0"/>
    <w:multiLevelType w:val="multilevel"/>
    <w:tmpl w:val="9B929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043818"/>
    <w:multiLevelType w:val="multilevel"/>
    <w:tmpl w:val="81089C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DE2978"/>
    <w:multiLevelType w:val="multilevel"/>
    <w:tmpl w:val="21A286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285694"/>
    <w:multiLevelType w:val="multilevel"/>
    <w:tmpl w:val="47329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9977AB"/>
    <w:multiLevelType w:val="multilevel"/>
    <w:tmpl w:val="53F8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C50A36"/>
    <w:multiLevelType w:val="multilevel"/>
    <w:tmpl w:val="E5DEF9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5949C7"/>
    <w:multiLevelType w:val="multilevel"/>
    <w:tmpl w:val="4EE2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803584"/>
    <w:multiLevelType w:val="multilevel"/>
    <w:tmpl w:val="6CD6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6E31E5"/>
    <w:multiLevelType w:val="multilevel"/>
    <w:tmpl w:val="DC404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006C33"/>
    <w:multiLevelType w:val="multilevel"/>
    <w:tmpl w:val="76B4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6E54B3"/>
    <w:multiLevelType w:val="multilevel"/>
    <w:tmpl w:val="27EE52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9255900">
    <w:abstractNumId w:val="2"/>
  </w:num>
  <w:num w:numId="2" w16cid:durableId="1144929871">
    <w:abstractNumId w:val="3"/>
  </w:num>
  <w:num w:numId="3" w16cid:durableId="824780016">
    <w:abstractNumId w:val="1"/>
  </w:num>
  <w:num w:numId="4" w16cid:durableId="1960140211">
    <w:abstractNumId w:val="7"/>
  </w:num>
  <w:num w:numId="5" w16cid:durableId="605191243">
    <w:abstractNumId w:val="8"/>
  </w:num>
  <w:num w:numId="6" w16cid:durableId="503399012">
    <w:abstractNumId w:val="4"/>
  </w:num>
  <w:num w:numId="7" w16cid:durableId="1625621934">
    <w:abstractNumId w:val="6"/>
  </w:num>
  <w:num w:numId="8" w16cid:durableId="1020202621">
    <w:abstractNumId w:val="5"/>
  </w:num>
  <w:num w:numId="9" w16cid:durableId="800609431">
    <w:abstractNumId w:val="15"/>
  </w:num>
  <w:num w:numId="10" w16cid:durableId="986975768">
    <w:abstractNumId w:val="13"/>
  </w:num>
  <w:num w:numId="11" w16cid:durableId="1050226290">
    <w:abstractNumId w:val="10"/>
  </w:num>
  <w:num w:numId="12" w16cid:durableId="826943442">
    <w:abstractNumId w:val="0"/>
  </w:num>
  <w:num w:numId="13" w16cid:durableId="1887597527">
    <w:abstractNumId w:val="9"/>
  </w:num>
  <w:num w:numId="14" w16cid:durableId="1043214631">
    <w:abstractNumId w:val="11"/>
  </w:num>
  <w:num w:numId="15" w16cid:durableId="1650986110">
    <w:abstractNumId w:val="14"/>
  </w:num>
  <w:num w:numId="16" w16cid:durableId="12245574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366"/>
    <w:rsid w:val="00004A84"/>
    <w:rsid w:val="00075BE7"/>
    <w:rsid w:val="00080B12"/>
    <w:rsid w:val="001640C6"/>
    <w:rsid w:val="00183F70"/>
    <w:rsid w:val="00217F71"/>
    <w:rsid w:val="002D3BAD"/>
    <w:rsid w:val="003631C1"/>
    <w:rsid w:val="00366D57"/>
    <w:rsid w:val="003A0B3E"/>
    <w:rsid w:val="003F0F52"/>
    <w:rsid w:val="00440427"/>
    <w:rsid w:val="004545EB"/>
    <w:rsid w:val="0046240B"/>
    <w:rsid w:val="005531C3"/>
    <w:rsid w:val="00584DB0"/>
    <w:rsid w:val="005910FB"/>
    <w:rsid w:val="005D4F6E"/>
    <w:rsid w:val="006621CB"/>
    <w:rsid w:val="006630B1"/>
    <w:rsid w:val="006C01BC"/>
    <w:rsid w:val="00763365"/>
    <w:rsid w:val="00766DE8"/>
    <w:rsid w:val="008A2E2B"/>
    <w:rsid w:val="008A480C"/>
    <w:rsid w:val="008D1681"/>
    <w:rsid w:val="00911C4F"/>
    <w:rsid w:val="0098148D"/>
    <w:rsid w:val="00993706"/>
    <w:rsid w:val="00A05366"/>
    <w:rsid w:val="00A307F5"/>
    <w:rsid w:val="00A43CBA"/>
    <w:rsid w:val="00A80B34"/>
    <w:rsid w:val="00B04F59"/>
    <w:rsid w:val="00B6240A"/>
    <w:rsid w:val="00CB4B22"/>
    <w:rsid w:val="00DD75E2"/>
    <w:rsid w:val="00DF26DA"/>
    <w:rsid w:val="00E31C1A"/>
    <w:rsid w:val="00E622A6"/>
    <w:rsid w:val="00E74E57"/>
    <w:rsid w:val="00EB4AEC"/>
    <w:rsid w:val="00EC53B9"/>
    <w:rsid w:val="00ED39EF"/>
    <w:rsid w:val="00F049D8"/>
    <w:rsid w:val="00F25C68"/>
    <w:rsid w:val="00F32C31"/>
    <w:rsid w:val="00FD7BF3"/>
    <w:rsid w:val="00FE5936"/>
    <w:rsid w:val="04F8CD2B"/>
    <w:rsid w:val="072895DA"/>
    <w:rsid w:val="07D37714"/>
    <w:rsid w:val="08229EB5"/>
    <w:rsid w:val="09F5FC2B"/>
    <w:rsid w:val="0D18AFD5"/>
    <w:rsid w:val="0DD4A9A0"/>
    <w:rsid w:val="1052DEF7"/>
    <w:rsid w:val="105F8A98"/>
    <w:rsid w:val="11E89978"/>
    <w:rsid w:val="1300E161"/>
    <w:rsid w:val="14AA3375"/>
    <w:rsid w:val="152FEA7A"/>
    <w:rsid w:val="15528DBE"/>
    <w:rsid w:val="15E414E7"/>
    <w:rsid w:val="1606A3EC"/>
    <w:rsid w:val="17C7C263"/>
    <w:rsid w:val="18458B56"/>
    <w:rsid w:val="18E0A669"/>
    <w:rsid w:val="19407596"/>
    <w:rsid w:val="1B5C78F8"/>
    <w:rsid w:val="1D513FCF"/>
    <w:rsid w:val="1D882405"/>
    <w:rsid w:val="1F039F7C"/>
    <w:rsid w:val="202E92CA"/>
    <w:rsid w:val="20673626"/>
    <w:rsid w:val="250BA50F"/>
    <w:rsid w:val="255F130F"/>
    <w:rsid w:val="25F4B4D0"/>
    <w:rsid w:val="26C44E01"/>
    <w:rsid w:val="27245DD0"/>
    <w:rsid w:val="2858212A"/>
    <w:rsid w:val="29B73EA2"/>
    <w:rsid w:val="29D60689"/>
    <w:rsid w:val="2BD52E1E"/>
    <w:rsid w:val="2C3B7420"/>
    <w:rsid w:val="2C719E5D"/>
    <w:rsid w:val="2EE91D84"/>
    <w:rsid w:val="30E94B8B"/>
    <w:rsid w:val="313387A4"/>
    <w:rsid w:val="317C4A45"/>
    <w:rsid w:val="31BFD2AD"/>
    <w:rsid w:val="33333C37"/>
    <w:rsid w:val="37420054"/>
    <w:rsid w:val="393ADE16"/>
    <w:rsid w:val="3A889499"/>
    <w:rsid w:val="3A8F1098"/>
    <w:rsid w:val="3C158D21"/>
    <w:rsid w:val="3C5FC321"/>
    <w:rsid w:val="40ED2426"/>
    <w:rsid w:val="420A028B"/>
    <w:rsid w:val="42782F32"/>
    <w:rsid w:val="42D9102E"/>
    <w:rsid w:val="442019F3"/>
    <w:rsid w:val="4840A804"/>
    <w:rsid w:val="486B6D51"/>
    <w:rsid w:val="48BD7EB5"/>
    <w:rsid w:val="49ACC49D"/>
    <w:rsid w:val="4CD60516"/>
    <w:rsid w:val="4FB4BB96"/>
    <w:rsid w:val="5049055B"/>
    <w:rsid w:val="50F601B5"/>
    <w:rsid w:val="51FC2480"/>
    <w:rsid w:val="539081FA"/>
    <w:rsid w:val="53E46F21"/>
    <w:rsid w:val="55FD4C5D"/>
    <w:rsid w:val="57348A1A"/>
    <w:rsid w:val="578EF96E"/>
    <w:rsid w:val="58FC8068"/>
    <w:rsid w:val="59DE3742"/>
    <w:rsid w:val="5B3AF9DB"/>
    <w:rsid w:val="5EE9E773"/>
    <w:rsid w:val="6012FE8D"/>
    <w:rsid w:val="6021AE2D"/>
    <w:rsid w:val="63D30AAB"/>
    <w:rsid w:val="647ED874"/>
    <w:rsid w:val="65A46F55"/>
    <w:rsid w:val="660DCE52"/>
    <w:rsid w:val="69C9AA60"/>
    <w:rsid w:val="6A5FAE70"/>
    <w:rsid w:val="6BC2ACC7"/>
    <w:rsid w:val="7077D861"/>
    <w:rsid w:val="70D0CA2A"/>
    <w:rsid w:val="714830E5"/>
    <w:rsid w:val="729E85E4"/>
    <w:rsid w:val="749E40EC"/>
    <w:rsid w:val="760522CA"/>
    <w:rsid w:val="781A23EF"/>
    <w:rsid w:val="783B993A"/>
    <w:rsid w:val="796E7221"/>
    <w:rsid w:val="7BA5F989"/>
    <w:rsid w:val="7D19CC17"/>
    <w:rsid w:val="7D62448C"/>
    <w:rsid w:val="7F98DA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36D7"/>
  <w15:chartTrackingRefBased/>
  <w15:docId w15:val="{DF09A10C-E327-47F2-B15A-203540812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3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53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53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53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53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53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3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3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3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3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53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53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53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53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53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3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3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366"/>
    <w:rPr>
      <w:rFonts w:eastAsiaTheme="majorEastAsia" w:cstheme="majorBidi"/>
      <w:color w:val="272727" w:themeColor="text1" w:themeTint="D8"/>
    </w:rPr>
  </w:style>
  <w:style w:type="paragraph" w:styleId="Title">
    <w:name w:val="Title"/>
    <w:basedOn w:val="Normal"/>
    <w:next w:val="Normal"/>
    <w:link w:val="TitleChar"/>
    <w:uiPriority w:val="10"/>
    <w:qFormat/>
    <w:rsid w:val="00A05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3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3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3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366"/>
    <w:pPr>
      <w:spacing w:before="160"/>
      <w:jc w:val="center"/>
    </w:pPr>
    <w:rPr>
      <w:i/>
      <w:iCs/>
      <w:color w:val="404040" w:themeColor="text1" w:themeTint="BF"/>
    </w:rPr>
  </w:style>
  <w:style w:type="character" w:customStyle="1" w:styleId="QuoteChar">
    <w:name w:val="Quote Char"/>
    <w:basedOn w:val="DefaultParagraphFont"/>
    <w:link w:val="Quote"/>
    <w:uiPriority w:val="29"/>
    <w:rsid w:val="00A05366"/>
    <w:rPr>
      <w:i/>
      <w:iCs/>
      <w:color w:val="404040" w:themeColor="text1" w:themeTint="BF"/>
    </w:rPr>
  </w:style>
  <w:style w:type="paragraph" w:styleId="ListParagraph">
    <w:name w:val="List Paragraph"/>
    <w:basedOn w:val="Normal"/>
    <w:uiPriority w:val="34"/>
    <w:qFormat/>
    <w:rsid w:val="00A05366"/>
    <w:pPr>
      <w:ind w:left="720"/>
      <w:contextualSpacing/>
    </w:pPr>
  </w:style>
  <w:style w:type="character" w:styleId="IntenseEmphasis">
    <w:name w:val="Intense Emphasis"/>
    <w:basedOn w:val="DefaultParagraphFont"/>
    <w:uiPriority w:val="21"/>
    <w:qFormat/>
    <w:rsid w:val="00A05366"/>
    <w:rPr>
      <w:i/>
      <w:iCs/>
      <w:color w:val="0F4761" w:themeColor="accent1" w:themeShade="BF"/>
    </w:rPr>
  </w:style>
  <w:style w:type="paragraph" w:styleId="IntenseQuote">
    <w:name w:val="Intense Quote"/>
    <w:basedOn w:val="Normal"/>
    <w:next w:val="Normal"/>
    <w:link w:val="IntenseQuoteChar"/>
    <w:uiPriority w:val="30"/>
    <w:qFormat/>
    <w:rsid w:val="00A053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5366"/>
    <w:rPr>
      <w:i/>
      <w:iCs/>
      <w:color w:val="0F4761" w:themeColor="accent1" w:themeShade="BF"/>
    </w:rPr>
  </w:style>
  <w:style w:type="character" w:styleId="IntenseReference">
    <w:name w:val="Intense Reference"/>
    <w:basedOn w:val="DefaultParagraphFont"/>
    <w:uiPriority w:val="32"/>
    <w:qFormat/>
    <w:rsid w:val="00A05366"/>
    <w:rPr>
      <w:b/>
      <w:bCs/>
      <w:smallCaps/>
      <w:color w:val="0F4761" w:themeColor="accent1" w:themeShade="BF"/>
      <w:spacing w:val="5"/>
    </w:rPr>
  </w:style>
  <w:style w:type="paragraph" w:styleId="TOCHeading">
    <w:name w:val="TOC Heading"/>
    <w:basedOn w:val="Heading1"/>
    <w:next w:val="Normal"/>
    <w:uiPriority w:val="39"/>
    <w:unhideWhenUsed/>
    <w:qFormat/>
    <w:rsid w:val="001640C6"/>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640C6"/>
    <w:pPr>
      <w:spacing w:after="100"/>
    </w:pPr>
  </w:style>
  <w:style w:type="character" w:styleId="Hyperlink">
    <w:name w:val="Hyperlink"/>
    <w:basedOn w:val="DefaultParagraphFont"/>
    <w:uiPriority w:val="99"/>
    <w:unhideWhenUsed/>
    <w:rsid w:val="001640C6"/>
    <w:rPr>
      <w:color w:val="467886" w:themeColor="hyperlink"/>
      <w:u w:val="single"/>
    </w:rPr>
  </w:style>
  <w:style w:type="character" w:styleId="UnresolvedMention">
    <w:name w:val="Unresolved Mention"/>
    <w:basedOn w:val="DefaultParagraphFont"/>
    <w:uiPriority w:val="99"/>
    <w:semiHidden/>
    <w:unhideWhenUsed/>
    <w:rsid w:val="00A43CBA"/>
    <w:rPr>
      <w:color w:val="605E5C"/>
      <w:shd w:val="clear" w:color="auto" w:fill="E1DFDD"/>
    </w:rPr>
  </w:style>
  <w:style w:type="paragraph" w:styleId="Header">
    <w:name w:val="header"/>
    <w:basedOn w:val="Normal"/>
    <w:link w:val="HeaderChar"/>
    <w:uiPriority w:val="99"/>
    <w:unhideWhenUsed/>
    <w:rsid w:val="00B624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40A"/>
  </w:style>
  <w:style w:type="paragraph" w:styleId="Footer">
    <w:name w:val="footer"/>
    <w:basedOn w:val="Normal"/>
    <w:link w:val="FooterChar"/>
    <w:uiPriority w:val="99"/>
    <w:unhideWhenUsed/>
    <w:rsid w:val="00B624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40A"/>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440427"/>
    <w:rPr>
      <w:sz w:val="16"/>
      <w:szCs w:val="16"/>
    </w:rPr>
  </w:style>
  <w:style w:type="paragraph" w:styleId="CommentText">
    <w:name w:val="annotation text"/>
    <w:basedOn w:val="Normal"/>
    <w:link w:val="CommentTextChar"/>
    <w:uiPriority w:val="99"/>
    <w:unhideWhenUsed/>
    <w:rsid w:val="00440427"/>
    <w:pPr>
      <w:spacing w:line="240" w:lineRule="auto"/>
    </w:pPr>
    <w:rPr>
      <w:sz w:val="20"/>
      <w:szCs w:val="20"/>
    </w:rPr>
  </w:style>
  <w:style w:type="character" w:customStyle="1" w:styleId="CommentTextChar">
    <w:name w:val="Comment Text Char"/>
    <w:basedOn w:val="DefaultParagraphFont"/>
    <w:link w:val="CommentText"/>
    <w:uiPriority w:val="99"/>
    <w:rsid w:val="00440427"/>
    <w:rPr>
      <w:sz w:val="20"/>
      <w:szCs w:val="20"/>
    </w:rPr>
  </w:style>
  <w:style w:type="paragraph" w:styleId="CommentSubject">
    <w:name w:val="annotation subject"/>
    <w:basedOn w:val="CommentText"/>
    <w:next w:val="CommentText"/>
    <w:link w:val="CommentSubjectChar"/>
    <w:uiPriority w:val="99"/>
    <w:semiHidden/>
    <w:unhideWhenUsed/>
    <w:rsid w:val="00440427"/>
    <w:rPr>
      <w:b/>
      <w:bCs/>
    </w:rPr>
  </w:style>
  <w:style w:type="character" w:customStyle="1" w:styleId="CommentSubjectChar">
    <w:name w:val="Comment Subject Char"/>
    <w:basedOn w:val="CommentTextChar"/>
    <w:link w:val="CommentSubject"/>
    <w:uiPriority w:val="99"/>
    <w:semiHidden/>
    <w:rsid w:val="004404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assets.publishing.service.gov.uk/government/uploads/system/uploads/attachment_data/file/117682/appropriate-adults-guide.pdf" TargetMode="External"/><Relationship Id="rId26" Type="http://schemas.openxmlformats.org/officeDocument/2006/relationships/hyperlink" Target="https://assets.publishing.service.gov.uk/government/uploads/system/uploads/attachment_data/file/352911/A_Review_of_Techniques_for_Effective_Engagement_and_Participation__1_.pdf" TargetMode="External"/><Relationship Id="rId3" Type="http://schemas.openxmlformats.org/officeDocument/2006/relationships/customXml" Target="../customXml/item3.xml"/><Relationship Id="rId21" Type="http://schemas.openxmlformats.org/officeDocument/2006/relationships/hyperlink" Target="https://doi.org/10.1192/bjp.bp.113.136200"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multi-agency-responses-to-serious-youth-violence-working-together-to-support-and-protect-children/multi-agency-responses-to-serious-youth-violence-working-together-to-support-and-protect-children?utm_source=chatgpt.com" TargetMode="External"/><Relationship Id="rId25" Type="http://schemas.openxmlformats.org/officeDocument/2006/relationships/hyperlink" Target="https://assets.publishing.service.gov.uk/government/uploads/system/uploads/attachment_data/file/966200/YJB_Strategic_Plan_2021_-_2024.pdf" TargetMode="External"/><Relationship Id="rId2" Type="http://schemas.openxmlformats.org/officeDocument/2006/relationships/customXml" Target="../customXml/item2.xml"/><Relationship Id="rId16" Type="http://schemas.openxmlformats.org/officeDocument/2006/relationships/hyperlink" Target="https://www.gloucestershire.gov.uk/media/2104016/unconcious-bias.pdf" TargetMode="External"/><Relationship Id="rId20" Type="http://schemas.openxmlformats.org/officeDocument/2006/relationships/hyperlink" Target="https://www.appropriateadult.org.uk/index.php/national-standard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statswales.gov.wales/Catalogue/Education-and-Skills/Youth-Service/Finance/incomesummary-by-localauthority" TargetMode="External"/><Relationship Id="rId5" Type="http://schemas.openxmlformats.org/officeDocument/2006/relationships/numbering" Target="numbering.xml"/><Relationship Id="rId15" Type="http://schemas.openxmlformats.org/officeDocument/2006/relationships/hyperlink" Target="https://howardleague.org/wp-content/uploads/2016/06/Investigating-young-people%E2%80%99s-awareness-and-understanding-of-the-criminal-justice-system.pdf" TargetMode="External"/><Relationship Id="rId23" Type="http://schemas.openxmlformats.org/officeDocument/2006/relationships/hyperlink" Target="https://gov.wales/sites/default/files/statistics-and-research/2020-05/summary-statistics-mid-wales-region-2020-108.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093/bjsw/bcad14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g"/><Relationship Id="rId22" Type="http://schemas.openxmlformats.org/officeDocument/2006/relationships/hyperlink" Target="https://www.theguardian.com/society/2025/feb/22/new-laws-england-wales-children-exploited-gangs-county-lines?utm_source=chatgpt.com" TargetMode="External"/><Relationship Id="rId27" Type="http://schemas.openxmlformats.org/officeDocument/2006/relationships/header" Target="header3.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A35F65E1BB4E4A9E4D99BBCA23562E" ma:contentTypeVersion="10" ma:contentTypeDescription="Create a new document." ma:contentTypeScope="" ma:versionID="ee3634a1291f79e856bb41e923ace8c6">
  <xsd:schema xmlns:xsd="http://www.w3.org/2001/XMLSchema" xmlns:xs="http://www.w3.org/2001/XMLSchema" xmlns:p="http://schemas.microsoft.com/office/2006/metadata/properties" xmlns:ns2="588eec32-6c1f-4222-b0db-7a2311f40316" xmlns:ns3="4f4b2e42-f0f4-43b4-92fd-d6e49845968d" targetNamespace="http://schemas.microsoft.com/office/2006/metadata/properties" ma:root="true" ma:fieldsID="531c735a80508cc088b3aa49c123e1e5" ns2:_="" ns3:_="">
    <xsd:import namespace="588eec32-6c1f-4222-b0db-7a2311f40316"/>
    <xsd:import namespace="4f4b2e42-f0f4-43b4-92fd-d6e4984596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8eec32-6c1f-4222-b0db-7a2311f403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4b2e42-f0f4-43b4-92fd-d6e49845968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0ea4a27-1cb9-423d-80de-2d29c3f73ff4}" ma:internalName="TaxCatchAll" ma:showField="CatchAllData" ma:web="4f4b2e42-f0f4-43b4-92fd-d6e4984596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8eec32-6c1f-4222-b0db-7a2311f40316">
      <Terms xmlns="http://schemas.microsoft.com/office/infopath/2007/PartnerControls"/>
    </lcf76f155ced4ddcb4097134ff3c332f>
    <TaxCatchAll xmlns="4f4b2e42-f0f4-43b4-92fd-d6e49845968d" xsi:nil="true"/>
  </documentManagement>
</p:properties>
</file>

<file path=customXml/itemProps1.xml><?xml version="1.0" encoding="utf-8"?>
<ds:datastoreItem xmlns:ds="http://schemas.openxmlformats.org/officeDocument/2006/customXml" ds:itemID="{7F1B2B6C-488D-4594-95A8-A85FE1D58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8eec32-6c1f-4222-b0db-7a2311f40316"/>
    <ds:schemaRef ds:uri="4f4b2e42-f0f4-43b4-92fd-d6e4984596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B67190-62F4-4828-B9D7-768A8586CBED}">
  <ds:schemaRefs>
    <ds:schemaRef ds:uri="http://schemas.openxmlformats.org/officeDocument/2006/bibliography"/>
  </ds:schemaRefs>
</ds:datastoreItem>
</file>

<file path=customXml/itemProps3.xml><?xml version="1.0" encoding="utf-8"?>
<ds:datastoreItem xmlns:ds="http://schemas.openxmlformats.org/officeDocument/2006/customXml" ds:itemID="{6ED717B7-85B9-4EE1-9B70-DD840F3B4E3F}">
  <ds:schemaRefs>
    <ds:schemaRef ds:uri="http://schemas.microsoft.com/sharepoint/v3/contenttype/forms"/>
  </ds:schemaRefs>
</ds:datastoreItem>
</file>

<file path=customXml/itemProps4.xml><?xml version="1.0" encoding="utf-8"?>
<ds:datastoreItem xmlns:ds="http://schemas.openxmlformats.org/officeDocument/2006/customXml" ds:itemID="{A980D001-B980-4D0F-83C7-20E564EC6A0C}">
  <ds:schemaRefs>
    <ds:schemaRef ds:uri="http://schemas.microsoft.com/office/2006/metadata/properties"/>
    <ds:schemaRef ds:uri="http://schemas.microsoft.com/office/infopath/2007/PartnerControls"/>
    <ds:schemaRef ds:uri="588eec32-6c1f-4222-b0db-7a2311f40316"/>
    <ds:schemaRef ds:uri="4f4b2e42-f0f4-43b4-92fd-d6e49845968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6007</Words>
  <Characters>40014</Characters>
  <Application>Microsoft Office Word</Application>
  <DocSecurity>0</DocSecurity>
  <Lines>909</Lines>
  <Paragraphs>272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Colyn Pugh</dc:creator>
  <cp:keywords/>
  <dc:description/>
  <cp:lastModifiedBy>Colyn Pugh</cp:lastModifiedBy>
  <cp:revision>2</cp:revision>
  <dcterms:created xsi:type="dcterms:W3CDTF">2026-01-20T12:20:00Z</dcterms:created>
  <dcterms:modified xsi:type="dcterms:W3CDTF">2026-01-20T12:20:00Z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0x0101007FA35F65E1BB4E4A9E4D99BBCA23562E</vt:lpwstr>
  </property>
  <property fmtid="{D5CDD505-2E9C-101B-9397-08002B2CF9AE}" pid="3" name="MediaServiceImageTags">
    <vt:lpwstr/>
  </property>
</Properties>
</file>