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337ADD32" w:rsidR="00743F8E" w:rsidRDefault="4F08D48E" w:rsidP="4F08D48E">
      <w:pPr>
        <w:rPr>
          <w:rFonts w:ascii="Arial" w:eastAsia="Arial" w:hAnsi="Arial" w:cs="Arial"/>
          <w:sz w:val="24"/>
          <w:szCs w:val="24"/>
        </w:rPr>
      </w:pPr>
      <w:bookmarkStart w:id="0" w:name="_GoBack"/>
      <w:bookmarkEnd w:id="0"/>
      <w:r w:rsidRPr="4F08D48E">
        <w:rPr>
          <w:rFonts w:ascii="Arial" w:eastAsia="Arial" w:hAnsi="Arial" w:cs="Arial"/>
          <w:sz w:val="24"/>
          <w:szCs w:val="24"/>
        </w:rPr>
        <w:t>Paula Galvin/1805795</w:t>
      </w:r>
    </w:p>
    <w:p w14:paraId="1956DE40" w14:textId="4329064F" w:rsidR="4F08D48E" w:rsidRDefault="4F08D48E" w:rsidP="4F08D48E">
      <w:pPr>
        <w:rPr>
          <w:rFonts w:ascii="Arial" w:eastAsia="Arial" w:hAnsi="Arial" w:cs="Arial"/>
          <w:sz w:val="24"/>
          <w:szCs w:val="24"/>
        </w:rPr>
      </w:pPr>
      <w:r w:rsidRPr="4F08D48E">
        <w:rPr>
          <w:rFonts w:ascii="Arial" w:eastAsia="Arial" w:hAnsi="Arial" w:cs="Arial"/>
          <w:sz w:val="24"/>
          <w:szCs w:val="24"/>
        </w:rPr>
        <w:t>ECGE4001 – Portfolio of Study Skills</w:t>
      </w:r>
    </w:p>
    <w:p w14:paraId="0E7DC9F7" w14:textId="288CD2AA" w:rsidR="4F08D48E" w:rsidRDefault="4F08D48E" w:rsidP="4F08D48E">
      <w:pPr>
        <w:rPr>
          <w:rFonts w:ascii="Arial" w:eastAsia="Arial" w:hAnsi="Arial" w:cs="Arial"/>
          <w:sz w:val="24"/>
          <w:szCs w:val="24"/>
        </w:rPr>
      </w:pPr>
      <w:r w:rsidRPr="4F08D48E">
        <w:rPr>
          <w:rFonts w:ascii="Arial" w:eastAsia="Arial" w:hAnsi="Arial" w:cs="Arial"/>
          <w:sz w:val="24"/>
          <w:szCs w:val="24"/>
        </w:rPr>
        <w:t>Assessment Task</w:t>
      </w:r>
    </w:p>
    <w:p w14:paraId="76DBF224" w14:textId="6A5E2902" w:rsidR="4F08D48E" w:rsidRDefault="4F08D48E" w:rsidP="4F08D48E">
      <w:pPr>
        <w:rPr>
          <w:rFonts w:ascii="Arial" w:eastAsia="Arial" w:hAnsi="Arial" w:cs="Arial"/>
          <w:sz w:val="24"/>
          <w:szCs w:val="24"/>
        </w:rPr>
      </w:pPr>
      <w:r w:rsidRPr="4F08D48E">
        <w:rPr>
          <w:rFonts w:ascii="Arial" w:eastAsia="Arial" w:hAnsi="Arial" w:cs="Arial"/>
          <w:sz w:val="24"/>
          <w:szCs w:val="24"/>
        </w:rPr>
        <w:t>Part 1</w:t>
      </w:r>
    </w:p>
    <w:p w14:paraId="28E1F487" w14:textId="3E4FF78D" w:rsidR="4F08D48E" w:rsidRDefault="4F08D48E" w:rsidP="4F08D48E">
      <w:pPr>
        <w:rPr>
          <w:rFonts w:ascii="Arial" w:eastAsia="Arial" w:hAnsi="Arial" w:cs="Arial"/>
          <w:sz w:val="24"/>
          <w:szCs w:val="24"/>
        </w:rPr>
      </w:pPr>
    </w:p>
    <w:p w14:paraId="794D2F29" w14:textId="5357336C" w:rsidR="4F08D48E" w:rsidRDefault="4F08D48E" w:rsidP="4F08D48E">
      <w:pPr>
        <w:spacing w:line="360" w:lineRule="auto"/>
        <w:rPr>
          <w:rFonts w:ascii="Arial" w:eastAsia="Arial" w:hAnsi="Arial" w:cs="Arial"/>
          <w:sz w:val="24"/>
          <w:szCs w:val="24"/>
        </w:rPr>
      </w:pPr>
      <w:r w:rsidRPr="4F08D48E">
        <w:rPr>
          <w:rFonts w:ascii="Arial" w:eastAsia="Arial" w:hAnsi="Arial" w:cs="Arial"/>
          <w:sz w:val="24"/>
          <w:szCs w:val="24"/>
        </w:rPr>
        <w:t>In Iceland and other similar countries, there is a great importance for all children to have opportunities to experience play and learning in the outdoors.  There are articles written about government guidelines of the benefits of this.</w:t>
      </w:r>
    </w:p>
    <w:p w14:paraId="7A4E8A65" w14:textId="5BC8B5A4" w:rsidR="4F08D48E" w:rsidRDefault="4F08D48E" w:rsidP="4F08D48E">
      <w:pPr>
        <w:spacing w:line="360" w:lineRule="auto"/>
        <w:rPr>
          <w:rFonts w:ascii="Arial" w:eastAsia="Arial" w:hAnsi="Arial" w:cs="Arial"/>
          <w:sz w:val="24"/>
          <w:szCs w:val="24"/>
        </w:rPr>
      </w:pPr>
    </w:p>
    <w:p w14:paraId="0CC5F6C5" w14:textId="601DE4BB" w:rsidR="4F08D48E" w:rsidRDefault="4F08D48E" w:rsidP="4F08D48E">
      <w:pPr>
        <w:spacing w:line="360" w:lineRule="auto"/>
        <w:rPr>
          <w:rFonts w:ascii="Arial" w:eastAsia="Arial" w:hAnsi="Arial" w:cs="Arial"/>
          <w:sz w:val="24"/>
          <w:szCs w:val="24"/>
        </w:rPr>
      </w:pPr>
      <w:r w:rsidRPr="4F08D48E">
        <w:rPr>
          <w:rFonts w:ascii="Arial" w:eastAsia="Arial" w:hAnsi="Arial" w:cs="Arial"/>
          <w:sz w:val="24"/>
          <w:szCs w:val="24"/>
        </w:rPr>
        <w:t xml:space="preserve">The curriculum guidelines state, that utilising the outside area as a learning environment for children, will benefit their concept of the natural world and the importance of exercise and a healthy attitude to life, according to the article written by </w:t>
      </w:r>
      <w:proofErr w:type="spellStart"/>
      <w:r w:rsidRPr="4F08D48E">
        <w:rPr>
          <w:rFonts w:ascii="Arial" w:eastAsia="Arial" w:hAnsi="Arial" w:cs="Arial"/>
          <w:sz w:val="24"/>
          <w:szCs w:val="24"/>
        </w:rPr>
        <w:t>Norodahl</w:t>
      </w:r>
      <w:proofErr w:type="spellEnd"/>
      <w:r w:rsidRPr="4F08D48E">
        <w:rPr>
          <w:rFonts w:ascii="Arial" w:eastAsia="Arial" w:hAnsi="Arial" w:cs="Arial"/>
          <w:sz w:val="24"/>
          <w:szCs w:val="24"/>
        </w:rPr>
        <w:t xml:space="preserve"> and </w:t>
      </w:r>
      <w:proofErr w:type="spellStart"/>
      <w:r w:rsidRPr="4F08D48E">
        <w:rPr>
          <w:rFonts w:ascii="Arial" w:eastAsia="Arial" w:hAnsi="Arial" w:cs="Arial"/>
          <w:sz w:val="24"/>
          <w:szCs w:val="24"/>
        </w:rPr>
        <w:t>Johannesson</w:t>
      </w:r>
      <w:proofErr w:type="spellEnd"/>
      <w:r w:rsidRPr="4F08D48E">
        <w:rPr>
          <w:rFonts w:ascii="Arial" w:eastAsia="Arial" w:hAnsi="Arial" w:cs="Arial"/>
          <w:sz w:val="24"/>
          <w:szCs w:val="24"/>
        </w:rPr>
        <w:t xml:space="preserve"> (2013).</w:t>
      </w:r>
    </w:p>
    <w:p w14:paraId="753AE422" w14:textId="6FB87A4E" w:rsidR="4F08D48E" w:rsidRDefault="4F08D48E" w:rsidP="4F08D48E">
      <w:pPr>
        <w:spacing w:line="360" w:lineRule="auto"/>
        <w:rPr>
          <w:rFonts w:ascii="Arial" w:eastAsia="Arial" w:hAnsi="Arial" w:cs="Arial"/>
          <w:sz w:val="24"/>
          <w:szCs w:val="24"/>
        </w:rPr>
      </w:pPr>
    </w:p>
    <w:p w14:paraId="3140C9BF" w14:textId="04FFFB32" w:rsidR="4F08D48E" w:rsidRDefault="4F08D48E" w:rsidP="4F08D48E">
      <w:pPr>
        <w:spacing w:line="360" w:lineRule="auto"/>
        <w:rPr>
          <w:rFonts w:ascii="Arial" w:eastAsia="Arial" w:hAnsi="Arial" w:cs="Arial"/>
          <w:sz w:val="24"/>
          <w:szCs w:val="24"/>
        </w:rPr>
      </w:pPr>
      <w:r w:rsidRPr="4F08D48E">
        <w:rPr>
          <w:rFonts w:ascii="Arial" w:eastAsia="Arial" w:hAnsi="Arial" w:cs="Arial"/>
          <w:sz w:val="24"/>
          <w:szCs w:val="24"/>
        </w:rPr>
        <w:t xml:space="preserve">For many years in Iceland, the emphasis on outdoor learning for children between the ages of one to six is that they have outdoor play every day in school, for children </w:t>
      </w:r>
      <w:proofErr w:type="gramStart"/>
      <w:r w:rsidRPr="4F08D48E">
        <w:rPr>
          <w:rFonts w:ascii="Arial" w:eastAsia="Arial" w:hAnsi="Arial" w:cs="Arial"/>
          <w:sz w:val="24"/>
          <w:szCs w:val="24"/>
        </w:rPr>
        <w:t>aged</w:t>
      </w:r>
      <w:proofErr w:type="gramEnd"/>
      <w:r w:rsidRPr="4F08D48E">
        <w:rPr>
          <w:rFonts w:ascii="Arial" w:eastAsia="Arial" w:hAnsi="Arial" w:cs="Arial"/>
          <w:sz w:val="24"/>
          <w:szCs w:val="24"/>
        </w:rPr>
        <w:t xml:space="preserve"> between six and sixteen, they only have outdoor play together during playtime.</w:t>
      </w:r>
    </w:p>
    <w:p w14:paraId="0E3E2686" w14:textId="6B4ED750" w:rsidR="4F08D48E" w:rsidRDefault="4F08D48E" w:rsidP="4F08D48E">
      <w:pPr>
        <w:spacing w:line="360" w:lineRule="auto"/>
        <w:rPr>
          <w:rFonts w:ascii="Arial" w:eastAsia="Arial" w:hAnsi="Arial" w:cs="Arial"/>
          <w:sz w:val="24"/>
          <w:szCs w:val="24"/>
        </w:rPr>
      </w:pPr>
    </w:p>
    <w:p w14:paraId="1F6233BF" w14:textId="0C212FA7" w:rsidR="4F08D48E" w:rsidRDefault="4F08D48E" w:rsidP="4F08D48E">
      <w:pPr>
        <w:spacing w:line="360" w:lineRule="auto"/>
        <w:rPr>
          <w:rFonts w:ascii="Arial" w:eastAsia="Arial" w:hAnsi="Arial" w:cs="Arial"/>
          <w:sz w:val="24"/>
          <w:szCs w:val="24"/>
        </w:rPr>
      </w:pPr>
      <w:r w:rsidRPr="4F08D48E">
        <w:rPr>
          <w:rFonts w:ascii="Arial" w:eastAsia="Arial" w:hAnsi="Arial" w:cs="Arial"/>
          <w:sz w:val="24"/>
          <w:szCs w:val="24"/>
        </w:rPr>
        <w:t xml:space="preserve">It is not known how and what teachers have planned for the outdoor learning, however each school and teacher will deliver their </w:t>
      </w:r>
      <w:proofErr w:type="gramStart"/>
      <w:r w:rsidRPr="4F08D48E">
        <w:rPr>
          <w:rFonts w:ascii="Arial" w:eastAsia="Arial" w:hAnsi="Arial" w:cs="Arial"/>
          <w:sz w:val="24"/>
          <w:szCs w:val="24"/>
        </w:rPr>
        <w:t>lessons  differently</w:t>
      </w:r>
      <w:proofErr w:type="gramEnd"/>
      <w:r w:rsidRPr="4F08D48E">
        <w:rPr>
          <w:rFonts w:ascii="Arial" w:eastAsia="Arial" w:hAnsi="Arial" w:cs="Arial"/>
          <w:sz w:val="24"/>
          <w:szCs w:val="24"/>
        </w:rPr>
        <w:t>.</w:t>
      </w:r>
    </w:p>
    <w:p w14:paraId="6ADB43F0" w14:textId="79EBCF2A" w:rsidR="4F08D48E" w:rsidRDefault="4F08D48E" w:rsidP="4F08D48E">
      <w:pPr>
        <w:spacing w:line="360" w:lineRule="auto"/>
        <w:rPr>
          <w:rFonts w:ascii="Arial" w:eastAsia="Arial" w:hAnsi="Arial" w:cs="Arial"/>
          <w:sz w:val="24"/>
          <w:szCs w:val="24"/>
        </w:rPr>
      </w:pPr>
    </w:p>
    <w:p w14:paraId="564CBF66" w14:textId="3093CAB1" w:rsidR="4F08D48E" w:rsidRDefault="4F08D48E" w:rsidP="4F08D48E">
      <w:pPr>
        <w:spacing w:line="360" w:lineRule="auto"/>
        <w:rPr>
          <w:rFonts w:ascii="Arial" w:eastAsia="Arial" w:hAnsi="Arial" w:cs="Arial"/>
          <w:sz w:val="24"/>
          <w:szCs w:val="24"/>
        </w:rPr>
      </w:pPr>
      <w:r w:rsidRPr="4F08D48E">
        <w:rPr>
          <w:rFonts w:ascii="Arial" w:eastAsia="Arial" w:hAnsi="Arial" w:cs="Arial"/>
          <w:sz w:val="24"/>
          <w:szCs w:val="24"/>
        </w:rPr>
        <w:t xml:space="preserve">There is evidence that schools in Iceland use the outdoor for teaching more than it had before.  In the capital </w:t>
      </w:r>
      <w:proofErr w:type="spellStart"/>
      <w:r w:rsidRPr="4F08D48E">
        <w:rPr>
          <w:rFonts w:ascii="Arial" w:eastAsia="Arial" w:hAnsi="Arial" w:cs="Arial"/>
          <w:sz w:val="24"/>
          <w:szCs w:val="24"/>
        </w:rPr>
        <w:t>Reyjkavik</w:t>
      </w:r>
      <w:proofErr w:type="spellEnd"/>
      <w:r w:rsidRPr="4F08D48E">
        <w:rPr>
          <w:rFonts w:ascii="Arial" w:eastAsia="Arial" w:hAnsi="Arial" w:cs="Arial"/>
          <w:sz w:val="24"/>
          <w:szCs w:val="24"/>
        </w:rPr>
        <w:t>, according to (</w:t>
      </w:r>
      <w:proofErr w:type="spellStart"/>
      <w:r w:rsidRPr="4F08D48E">
        <w:rPr>
          <w:rFonts w:ascii="Arial" w:eastAsia="Arial" w:hAnsi="Arial" w:cs="Arial"/>
          <w:sz w:val="24"/>
          <w:szCs w:val="24"/>
        </w:rPr>
        <w:t>Oladottir</w:t>
      </w:r>
      <w:proofErr w:type="spellEnd"/>
      <w:r w:rsidRPr="4F08D48E">
        <w:rPr>
          <w:rFonts w:ascii="Arial" w:eastAsia="Arial" w:hAnsi="Arial" w:cs="Arial"/>
          <w:sz w:val="24"/>
          <w:szCs w:val="24"/>
        </w:rPr>
        <w:t xml:space="preserve"> 2008) 70% of schools use outdoor education on a regular basis.</w:t>
      </w:r>
    </w:p>
    <w:p w14:paraId="2D807D5B" w14:textId="7DA482BB" w:rsidR="4F08D48E" w:rsidRDefault="4F08D48E" w:rsidP="4F08D48E">
      <w:pPr>
        <w:spacing w:line="360" w:lineRule="auto"/>
        <w:rPr>
          <w:rFonts w:ascii="Arial" w:eastAsia="Arial" w:hAnsi="Arial" w:cs="Arial"/>
          <w:sz w:val="24"/>
          <w:szCs w:val="24"/>
        </w:rPr>
      </w:pPr>
    </w:p>
    <w:p w14:paraId="275483D0" w14:textId="01538412" w:rsidR="4F08D48E" w:rsidRDefault="4F08D48E" w:rsidP="4F08D48E">
      <w:pPr>
        <w:spacing w:line="360" w:lineRule="auto"/>
        <w:rPr>
          <w:rFonts w:ascii="Arial" w:eastAsia="Arial" w:hAnsi="Arial" w:cs="Arial"/>
          <w:sz w:val="24"/>
          <w:szCs w:val="24"/>
        </w:rPr>
      </w:pPr>
    </w:p>
    <w:p w14:paraId="101D6999" w14:textId="4B91FC5F" w:rsidR="4F08D48E" w:rsidRDefault="4F08D48E" w:rsidP="4F08D48E">
      <w:pPr>
        <w:spacing w:line="360" w:lineRule="auto"/>
        <w:rPr>
          <w:rFonts w:ascii="Arial" w:eastAsia="Arial" w:hAnsi="Arial" w:cs="Arial"/>
          <w:sz w:val="24"/>
          <w:szCs w:val="24"/>
        </w:rPr>
      </w:pPr>
    </w:p>
    <w:p w14:paraId="2F6D82BB" w14:textId="30F0C71D" w:rsidR="4F08D48E" w:rsidRDefault="4F08D48E" w:rsidP="4F08D48E">
      <w:pPr>
        <w:spacing w:line="360" w:lineRule="auto"/>
        <w:rPr>
          <w:rFonts w:ascii="Arial" w:eastAsia="Arial" w:hAnsi="Arial" w:cs="Arial"/>
          <w:sz w:val="24"/>
          <w:szCs w:val="24"/>
        </w:rPr>
      </w:pPr>
    </w:p>
    <w:p w14:paraId="355A56E9" w14:textId="2B08C941" w:rsidR="4F08D48E" w:rsidRDefault="4F08D48E" w:rsidP="4F08D48E">
      <w:pPr>
        <w:spacing w:line="360" w:lineRule="auto"/>
        <w:rPr>
          <w:rFonts w:ascii="Arial" w:eastAsia="Arial" w:hAnsi="Arial" w:cs="Arial"/>
          <w:sz w:val="24"/>
          <w:szCs w:val="24"/>
        </w:rPr>
      </w:pPr>
      <w:r w:rsidRPr="4F08D48E">
        <w:rPr>
          <w:rFonts w:ascii="Arial" w:eastAsia="Arial" w:hAnsi="Arial" w:cs="Arial"/>
          <w:sz w:val="24"/>
          <w:szCs w:val="24"/>
        </w:rPr>
        <w:lastRenderedPageBreak/>
        <w:t>Adapted from:</w:t>
      </w:r>
    </w:p>
    <w:p w14:paraId="423C231B" w14:textId="58C627CF" w:rsidR="4F08D48E" w:rsidRDefault="4F08D48E" w:rsidP="4F08D48E">
      <w:pPr>
        <w:spacing w:line="360" w:lineRule="auto"/>
        <w:rPr>
          <w:rFonts w:ascii="Arial" w:eastAsia="Arial" w:hAnsi="Arial" w:cs="Arial"/>
          <w:sz w:val="24"/>
          <w:szCs w:val="24"/>
        </w:rPr>
      </w:pPr>
    </w:p>
    <w:p w14:paraId="7E575A1F" w14:textId="2E769E55" w:rsidR="4F08D48E" w:rsidRDefault="6DA950ED" w:rsidP="6DA950ED">
      <w:pPr>
        <w:spacing w:line="360" w:lineRule="auto"/>
        <w:rPr>
          <w:rFonts w:ascii="Arial" w:eastAsia="Arial" w:hAnsi="Arial" w:cs="Arial"/>
          <w:sz w:val="24"/>
          <w:szCs w:val="24"/>
        </w:rPr>
      </w:pPr>
      <w:proofErr w:type="spellStart"/>
      <w:r w:rsidRPr="6DA950ED">
        <w:rPr>
          <w:rFonts w:ascii="Arial" w:eastAsia="Arial" w:hAnsi="Arial" w:cs="Arial"/>
          <w:sz w:val="24"/>
          <w:szCs w:val="24"/>
        </w:rPr>
        <w:t>Noradahl</w:t>
      </w:r>
      <w:proofErr w:type="spellEnd"/>
      <w:r w:rsidRPr="6DA950ED">
        <w:rPr>
          <w:rFonts w:ascii="Arial" w:eastAsia="Arial" w:hAnsi="Arial" w:cs="Arial"/>
          <w:sz w:val="24"/>
          <w:szCs w:val="24"/>
        </w:rPr>
        <w:t xml:space="preserve">, K. and </w:t>
      </w:r>
      <w:proofErr w:type="spellStart"/>
      <w:r w:rsidRPr="6DA950ED">
        <w:rPr>
          <w:rFonts w:ascii="Arial" w:eastAsia="Arial" w:hAnsi="Arial" w:cs="Arial"/>
          <w:sz w:val="24"/>
          <w:szCs w:val="24"/>
        </w:rPr>
        <w:t>Johannesson</w:t>
      </w:r>
      <w:proofErr w:type="spellEnd"/>
      <w:r w:rsidRPr="6DA950ED">
        <w:rPr>
          <w:rFonts w:ascii="Arial" w:eastAsia="Arial" w:hAnsi="Arial" w:cs="Arial"/>
          <w:sz w:val="24"/>
          <w:szCs w:val="24"/>
        </w:rPr>
        <w:t>, I. (2014) ‘Icelandic teachers’ views of using the outdoors’ Education 3-13: International Journal of Primary, Elementary and Early Years Education.  Vol 44, No.4, September 2014, 391-406.</w:t>
      </w:r>
    </w:p>
    <w:p w14:paraId="2E249E10" w14:textId="1D856009" w:rsidR="6DA950ED" w:rsidRDefault="6DA950ED" w:rsidP="6DA950ED">
      <w:pPr>
        <w:spacing w:line="360" w:lineRule="auto"/>
        <w:rPr>
          <w:rFonts w:ascii="Arial" w:eastAsia="Arial" w:hAnsi="Arial" w:cs="Arial"/>
          <w:sz w:val="24"/>
          <w:szCs w:val="24"/>
        </w:rPr>
      </w:pPr>
    </w:p>
    <w:p w14:paraId="27ACB293" w14:textId="6277EDC2" w:rsidR="6DA950ED" w:rsidRDefault="6DA950ED" w:rsidP="6DA950ED">
      <w:pPr>
        <w:spacing w:line="360" w:lineRule="auto"/>
        <w:rPr>
          <w:rFonts w:ascii="Arial" w:eastAsia="Arial" w:hAnsi="Arial" w:cs="Arial"/>
          <w:sz w:val="24"/>
          <w:szCs w:val="24"/>
        </w:rPr>
      </w:pPr>
    </w:p>
    <w:p w14:paraId="73F998AD" w14:textId="316EDFA7" w:rsidR="6DA950ED" w:rsidRDefault="6DA950ED" w:rsidP="6DA950ED">
      <w:pPr>
        <w:spacing w:after="120"/>
        <w:rPr>
          <w:rFonts w:ascii="Arial" w:eastAsia="Arial" w:hAnsi="Arial" w:cs="Arial"/>
          <w:sz w:val="24"/>
          <w:szCs w:val="24"/>
        </w:rPr>
      </w:pPr>
      <w:r w:rsidRPr="6DA950ED">
        <w:rPr>
          <w:rFonts w:ascii="Arial" w:eastAsia="Arial" w:hAnsi="Arial" w:cs="Arial"/>
          <w:color w:val="595959" w:themeColor="text1" w:themeTint="A6"/>
          <w:sz w:val="24"/>
          <w:szCs w:val="24"/>
          <w:lang w:val="en-US"/>
        </w:rPr>
        <w:t>Paula Galvin/1805795</w:t>
      </w:r>
    </w:p>
    <w:p w14:paraId="567B0453" w14:textId="263FC642" w:rsidR="6DA950ED" w:rsidRDefault="6DA950ED" w:rsidP="6DA950ED">
      <w:pPr>
        <w:spacing w:after="120"/>
        <w:rPr>
          <w:rFonts w:ascii="Arial" w:eastAsia="Arial" w:hAnsi="Arial" w:cs="Arial"/>
          <w:sz w:val="24"/>
          <w:szCs w:val="24"/>
        </w:rPr>
      </w:pPr>
      <w:r w:rsidRPr="6DA950ED">
        <w:rPr>
          <w:rFonts w:ascii="Arial" w:eastAsia="Arial" w:hAnsi="Arial" w:cs="Arial"/>
          <w:color w:val="595959" w:themeColor="text1" w:themeTint="A6"/>
          <w:sz w:val="24"/>
          <w:szCs w:val="24"/>
          <w:lang w:val="en-US"/>
        </w:rPr>
        <w:t>ECGE4001 – Portfolio of Study Skills</w:t>
      </w:r>
    </w:p>
    <w:p w14:paraId="30EAF14C" w14:textId="2E2253CC" w:rsidR="6DA950ED" w:rsidRDefault="6DA950ED" w:rsidP="6DA950ED">
      <w:pPr>
        <w:spacing w:after="120"/>
        <w:rPr>
          <w:rFonts w:ascii="Arial" w:eastAsia="Arial" w:hAnsi="Arial" w:cs="Arial"/>
          <w:sz w:val="24"/>
          <w:szCs w:val="24"/>
        </w:rPr>
      </w:pPr>
      <w:r w:rsidRPr="6DA950ED">
        <w:rPr>
          <w:rFonts w:ascii="Arial" w:eastAsia="Arial" w:hAnsi="Arial" w:cs="Arial"/>
          <w:color w:val="595959" w:themeColor="text1" w:themeTint="A6"/>
          <w:sz w:val="24"/>
          <w:szCs w:val="24"/>
          <w:lang w:val="en-US"/>
        </w:rPr>
        <w:t>Part 2a</w:t>
      </w:r>
    </w:p>
    <w:p w14:paraId="5610BBA5" w14:textId="71A27FFD" w:rsidR="6DA950ED" w:rsidRDefault="6DA950ED" w:rsidP="6DA950ED">
      <w:pPr>
        <w:spacing w:after="120"/>
        <w:rPr>
          <w:rFonts w:ascii="Arial" w:eastAsia="Arial" w:hAnsi="Arial" w:cs="Arial"/>
          <w:sz w:val="24"/>
          <w:szCs w:val="24"/>
        </w:rPr>
      </w:pPr>
    </w:p>
    <w:p w14:paraId="45CD010B" w14:textId="6C90A996" w:rsidR="6DA950ED" w:rsidRDefault="6DA950ED" w:rsidP="6DA950ED">
      <w:pPr>
        <w:spacing w:after="120"/>
        <w:rPr>
          <w:rFonts w:ascii="Arial" w:eastAsia="Arial" w:hAnsi="Arial" w:cs="Arial"/>
          <w:sz w:val="24"/>
          <w:szCs w:val="24"/>
        </w:rPr>
      </w:pPr>
      <w:r w:rsidRPr="6DA950ED">
        <w:rPr>
          <w:rFonts w:ascii="Arial" w:eastAsia="Arial" w:hAnsi="Arial" w:cs="Arial"/>
          <w:color w:val="595959" w:themeColor="text1" w:themeTint="A6"/>
          <w:sz w:val="24"/>
          <w:szCs w:val="24"/>
          <w:lang w:val="en-US"/>
        </w:rPr>
        <w:t>Forest Schools</w:t>
      </w:r>
    </w:p>
    <w:p w14:paraId="1965BAFD" w14:textId="62DF5209" w:rsidR="6DA950ED" w:rsidRDefault="6DA950ED" w:rsidP="6DA950ED">
      <w:pPr>
        <w:spacing w:after="120" w:line="360" w:lineRule="auto"/>
        <w:rPr>
          <w:rFonts w:ascii="Arial" w:eastAsia="Arial" w:hAnsi="Arial" w:cs="Arial"/>
          <w:sz w:val="24"/>
          <w:szCs w:val="24"/>
        </w:rPr>
      </w:pPr>
    </w:p>
    <w:p w14:paraId="38C7597B" w14:textId="34C1CC76" w:rsidR="6DA950ED" w:rsidRDefault="6DA950ED" w:rsidP="6DA950ED">
      <w:pPr>
        <w:spacing w:after="120" w:line="360" w:lineRule="auto"/>
        <w:rPr>
          <w:rFonts w:ascii="Arial" w:eastAsia="Arial" w:hAnsi="Arial" w:cs="Arial"/>
          <w:sz w:val="24"/>
          <w:szCs w:val="24"/>
        </w:rPr>
      </w:pPr>
      <w:r w:rsidRPr="6DA950ED">
        <w:rPr>
          <w:rFonts w:ascii="Arial" w:eastAsia="Arial" w:hAnsi="Arial" w:cs="Arial"/>
          <w:color w:val="595959" w:themeColor="text1" w:themeTint="A6"/>
          <w:sz w:val="24"/>
          <w:szCs w:val="24"/>
          <w:lang w:val="en-US"/>
        </w:rPr>
        <w:t xml:space="preserve">A definition of “Forest School” has been made by the Forest School Network.  It says that “it is an inspirational process that offers children, young people and </w:t>
      </w:r>
      <w:proofErr w:type="gramStart"/>
      <w:r w:rsidRPr="6DA950ED">
        <w:rPr>
          <w:rFonts w:ascii="Arial" w:eastAsia="Arial" w:hAnsi="Arial" w:cs="Arial"/>
          <w:color w:val="595959" w:themeColor="text1" w:themeTint="A6"/>
          <w:sz w:val="24"/>
          <w:szCs w:val="24"/>
          <w:lang w:val="en-US"/>
        </w:rPr>
        <w:t>adults</w:t>
      </w:r>
      <w:proofErr w:type="gramEnd"/>
      <w:r w:rsidRPr="6DA950ED">
        <w:rPr>
          <w:rFonts w:ascii="Arial" w:eastAsia="Arial" w:hAnsi="Arial" w:cs="Arial"/>
          <w:color w:val="595959" w:themeColor="text1" w:themeTint="A6"/>
          <w:sz w:val="24"/>
          <w:szCs w:val="24"/>
          <w:lang w:val="en-US"/>
        </w:rPr>
        <w:t xml:space="preserve"> regular opportunities to achieve and develop confidence and self-esteem through hands on learning experiences in a woodland environment”. (Murray and O’Brien 2006).</w:t>
      </w:r>
    </w:p>
    <w:p w14:paraId="49412F19" w14:textId="47F1168A" w:rsidR="6DA950ED" w:rsidRDefault="6DA950ED" w:rsidP="6DA950ED">
      <w:pPr>
        <w:spacing w:after="120" w:line="360" w:lineRule="auto"/>
        <w:rPr>
          <w:rFonts w:ascii="Arial" w:eastAsia="Arial" w:hAnsi="Arial" w:cs="Arial"/>
          <w:sz w:val="24"/>
          <w:szCs w:val="24"/>
        </w:rPr>
      </w:pPr>
    </w:p>
    <w:p w14:paraId="0F14AEB2" w14:textId="4CF3590D" w:rsidR="6DA950ED" w:rsidRDefault="6DA950ED" w:rsidP="6DA950ED">
      <w:pPr>
        <w:spacing w:after="120" w:line="360" w:lineRule="auto"/>
        <w:rPr>
          <w:rFonts w:ascii="Arial" w:eastAsia="Arial" w:hAnsi="Arial" w:cs="Arial"/>
          <w:sz w:val="24"/>
          <w:szCs w:val="24"/>
        </w:rPr>
      </w:pPr>
      <w:r w:rsidRPr="6DA950ED">
        <w:rPr>
          <w:rFonts w:ascii="Arial" w:eastAsia="Arial" w:hAnsi="Arial" w:cs="Arial"/>
          <w:color w:val="595959" w:themeColor="text1" w:themeTint="A6"/>
          <w:sz w:val="24"/>
          <w:szCs w:val="24"/>
          <w:lang w:val="en-US"/>
        </w:rPr>
        <w:t>According to Murray and O’Brien 2006, there are concerns that school children today do not have enough experiences learning in a green, woodland environment.  This is mainly due to the fear of the child being injured or harmed.  It is said that children can do more indoors now than when their parents were young.</w:t>
      </w:r>
    </w:p>
    <w:p w14:paraId="33484DAA" w14:textId="1205A761" w:rsidR="6DA950ED" w:rsidRDefault="6DA950ED" w:rsidP="6DA950ED">
      <w:pPr>
        <w:spacing w:after="120" w:line="360" w:lineRule="auto"/>
        <w:rPr>
          <w:rFonts w:ascii="Arial" w:eastAsia="Arial" w:hAnsi="Arial" w:cs="Arial"/>
          <w:sz w:val="24"/>
          <w:szCs w:val="24"/>
        </w:rPr>
      </w:pPr>
    </w:p>
    <w:p w14:paraId="56F4AA68" w14:textId="0195D4D2" w:rsidR="6DA950ED" w:rsidRDefault="6DA950ED" w:rsidP="6DA950ED">
      <w:pPr>
        <w:spacing w:after="120" w:line="360" w:lineRule="auto"/>
        <w:rPr>
          <w:rFonts w:ascii="Arial" w:eastAsia="Arial" w:hAnsi="Arial" w:cs="Arial"/>
          <w:sz w:val="24"/>
          <w:szCs w:val="24"/>
        </w:rPr>
      </w:pPr>
      <w:r w:rsidRPr="6DA950ED">
        <w:rPr>
          <w:rFonts w:ascii="Arial" w:eastAsia="Arial" w:hAnsi="Arial" w:cs="Arial"/>
          <w:color w:val="595959" w:themeColor="text1" w:themeTint="A6"/>
          <w:sz w:val="24"/>
          <w:szCs w:val="24"/>
          <w:lang w:val="en-US"/>
        </w:rPr>
        <w:t xml:space="preserve">Research also tells us that if a child does not experience woodland learning when young, then probably will not experience it growing up either.  This can result in the person missing out on the physical and emotional benefits of access to nature. (Ward Thompson, C., </w:t>
      </w:r>
      <w:proofErr w:type="spellStart"/>
      <w:r w:rsidRPr="6DA950ED">
        <w:rPr>
          <w:rFonts w:ascii="Arial" w:eastAsia="Arial" w:hAnsi="Arial" w:cs="Arial"/>
          <w:color w:val="595959" w:themeColor="text1" w:themeTint="A6"/>
          <w:sz w:val="24"/>
          <w:szCs w:val="24"/>
          <w:lang w:val="en-US"/>
        </w:rPr>
        <w:t>Aspinall</w:t>
      </w:r>
      <w:proofErr w:type="spellEnd"/>
      <w:r w:rsidRPr="6DA950ED">
        <w:rPr>
          <w:rFonts w:ascii="Arial" w:eastAsia="Arial" w:hAnsi="Arial" w:cs="Arial"/>
          <w:color w:val="595959" w:themeColor="text1" w:themeTint="A6"/>
          <w:sz w:val="24"/>
          <w:szCs w:val="24"/>
          <w:lang w:val="en-US"/>
        </w:rPr>
        <w:t xml:space="preserve">, </w:t>
      </w:r>
      <w:proofErr w:type="spellStart"/>
      <w:r w:rsidRPr="6DA950ED">
        <w:rPr>
          <w:rFonts w:ascii="Arial" w:eastAsia="Arial" w:hAnsi="Arial" w:cs="Arial"/>
          <w:color w:val="595959" w:themeColor="text1" w:themeTint="A6"/>
          <w:sz w:val="24"/>
          <w:szCs w:val="24"/>
          <w:lang w:val="en-US"/>
        </w:rPr>
        <w:t>P.</w:t>
      </w:r>
      <w:proofErr w:type="gramStart"/>
      <w:r w:rsidRPr="6DA950ED">
        <w:rPr>
          <w:rFonts w:ascii="Arial" w:eastAsia="Arial" w:hAnsi="Arial" w:cs="Arial"/>
          <w:color w:val="595959" w:themeColor="text1" w:themeTint="A6"/>
          <w:sz w:val="24"/>
          <w:szCs w:val="24"/>
          <w:lang w:val="en-US"/>
        </w:rPr>
        <w:t>,Bell</w:t>
      </w:r>
      <w:proofErr w:type="spellEnd"/>
      <w:proofErr w:type="gramEnd"/>
      <w:r w:rsidRPr="6DA950ED">
        <w:rPr>
          <w:rFonts w:ascii="Arial" w:eastAsia="Arial" w:hAnsi="Arial" w:cs="Arial"/>
          <w:color w:val="595959" w:themeColor="text1" w:themeTint="A6"/>
          <w:sz w:val="24"/>
          <w:szCs w:val="24"/>
          <w:lang w:val="en-US"/>
        </w:rPr>
        <w:t>, S., Finlay, C.,</w:t>
      </w:r>
      <w:proofErr w:type="spellStart"/>
      <w:r w:rsidRPr="6DA950ED">
        <w:rPr>
          <w:rFonts w:ascii="Arial" w:eastAsia="Arial" w:hAnsi="Arial" w:cs="Arial"/>
          <w:color w:val="595959" w:themeColor="text1" w:themeTint="A6"/>
          <w:sz w:val="24"/>
          <w:szCs w:val="24"/>
          <w:lang w:val="en-US"/>
        </w:rPr>
        <w:t>Wherrett</w:t>
      </w:r>
      <w:proofErr w:type="spellEnd"/>
      <w:r w:rsidRPr="6DA950ED">
        <w:rPr>
          <w:rFonts w:ascii="Arial" w:eastAsia="Arial" w:hAnsi="Arial" w:cs="Arial"/>
          <w:color w:val="595959" w:themeColor="text1" w:themeTint="A6"/>
          <w:sz w:val="24"/>
          <w:szCs w:val="24"/>
          <w:lang w:val="en-US"/>
        </w:rPr>
        <w:t xml:space="preserve">, J and </w:t>
      </w:r>
      <w:proofErr w:type="spellStart"/>
      <w:r w:rsidRPr="6DA950ED">
        <w:rPr>
          <w:rFonts w:ascii="Arial" w:eastAsia="Arial" w:hAnsi="Arial" w:cs="Arial"/>
          <w:color w:val="595959" w:themeColor="text1" w:themeTint="A6"/>
          <w:sz w:val="24"/>
          <w:szCs w:val="24"/>
          <w:lang w:val="en-US"/>
        </w:rPr>
        <w:t>Travlou</w:t>
      </w:r>
      <w:proofErr w:type="spellEnd"/>
      <w:r w:rsidRPr="6DA950ED">
        <w:rPr>
          <w:rFonts w:ascii="Arial" w:eastAsia="Arial" w:hAnsi="Arial" w:cs="Arial"/>
          <w:color w:val="595959" w:themeColor="text1" w:themeTint="A6"/>
          <w:sz w:val="24"/>
          <w:szCs w:val="24"/>
          <w:lang w:val="en-US"/>
        </w:rPr>
        <w:t xml:space="preserve">,) 2004.  This is because learning outdoors is very different to learning in a classroom environment.  </w:t>
      </w:r>
    </w:p>
    <w:p w14:paraId="2856FFB2" w14:textId="3FA46D9F" w:rsidR="6DA950ED" w:rsidRDefault="6DA950ED" w:rsidP="6DA950ED">
      <w:pPr>
        <w:spacing w:after="120" w:line="360" w:lineRule="auto"/>
        <w:rPr>
          <w:rFonts w:ascii="Arial" w:eastAsia="Arial" w:hAnsi="Arial" w:cs="Arial"/>
          <w:sz w:val="24"/>
          <w:szCs w:val="24"/>
        </w:rPr>
      </w:pPr>
    </w:p>
    <w:p w14:paraId="6DC1B236" w14:textId="0101217B" w:rsidR="6DA950ED" w:rsidRDefault="6DA950ED" w:rsidP="6DA950ED">
      <w:pPr>
        <w:spacing w:after="120" w:line="360" w:lineRule="auto"/>
        <w:rPr>
          <w:rFonts w:ascii="Arial" w:eastAsia="Arial" w:hAnsi="Arial" w:cs="Arial"/>
          <w:sz w:val="24"/>
          <w:szCs w:val="24"/>
        </w:rPr>
      </w:pPr>
      <w:r w:rsidRPr="6DA950ED">
        <w:rPr>
          <w:rFonts w:ascii="Arial" w:eastAsia="Arial" w:hAnsi="Arial" w:cs="Arial"/>
          <w:color w:val="595959" w:themeColor="text1" w:themeTint="A6"/>
          <w:sz w:val="24"/>
          <w:szCs w:val="24"/>
          <w:lang w:val="en-US"/>
        </w:rPr>
        <w:t>The Welsh Government are now encouraging teachers to use Forest School in their own setting, especially in the Foundation Phase.</w:t>
      </w:r>
    </w:p>
    <w:p w14:paraId="1B830AF9" w14:textId="2489A6DD" w:rsidR="6DA950ED" w:rsidRDefault="6DA950ED" w:rsidP="6DA950ED">
      <w:pPr>
        <w:spacing w:after="120" w:line="360" w:lineRule="auto"/>
        <w:rPr>
          <w:rFonts w:ascii="Arial" w:eastAsia="Arial" w:hAnsi="Arial" w:cs="Arial"/>
          <w:sz w:val="24"/>
          <w:szCs w:val="24"/>
        </w:rPr>
      </w:pPr>
    </w:p>
    <w:p w14:paraId="746B599E" w14:textId="25E0DBD9" w:rsidR="6DA950ED" w:rsidRDefault="6DA950ED" w:rsidP="6DA950ED">
      <w:pPr>
        <w:spacing w:after="120" w:line="360" w:lineRule="auto"/>
        <w:rPr>
          <w:rFonts w:ascii="Arial" w:eastAsia="Arial" w:hAnsi="Arial" w:cs="Arial"/>
          <w:sz w:val="24"/>
          <w:szCs w:val="24"/>
        </w:rPr>
      </w:pPr>
    </w:p>
    <w:p w14:paraId="0ECA5805" w14:textId="231FE447" w:rsidR="6DA950ED" w:rsidRDefault="6DA950ED" w:rsidP="6DA950ED">
      <w:pPr>
        <w:spacing w:after="120" w:line="360" w:lineRule="auto"/>
        <w:rPr>
          <w:rFonts w:ascii="Arial" w:eastAsia="Arial" w:hAnsi="Arial" w:cs="Arial"/>
          <w:sz w:val="24"/>
          <w:szCs w:val="24"/>
        </w:rPr>
      </w:pPr>
    </w:p>
    <w:p w14:paraId="445972A2" w14:textId="0E860B84" w:rsidR="6DA950ED" w:rsidRDefault="6DA950ED" w:rsidP="6DA950ED">
      <w:pPr>
        <w:spacing w:after="120" w:line="360" w:lineRule="auto"/>
        <w:rPr>
          <w:rFonts w:ascii="Arial" w:eastAsia="Arial" w:hAnsi="Arial" w:cs="Arial"/>
          <w:sz w:val="24"/>
          <w:szCs w:val="24"/>
        </w:rPr>
      </w:pPr>
    </w:p>
    <w:p w14:paraId="42B963D7" w14:textId="20CCDFF0" w:rsidR="6DA950ED" w:rsidRDefault="6DA950ED" w:rsidP="6DA950ED">
      <w:pPr>
        <w:spacing w:after="120" w:line="360" w:lineRule="auto"/>
        <w:rPr>
          <w:rFonts w:ascii="Arial" w:eastAsia="Arial" w:hAnsi="Arial" w:cs="Arial"/>
          <w:sz w:val="24"/>
          <w:szCs w:val="24"/>
        </w:rPr>
      </w:pPr>
    </w:p>
    <w:p w14:paraId="516FC7DF" w14:textId="595E6EEA" w:rsidR="6DA950ED" w:rsidRDefault="6DA950ED" w:rsidP="6DA950ED">
      <w:pPr>
        <w:spacing w:after="120" w:line="360" w:lineRule="auto"/>
        <w:rPr>
          <w:rFonts w:ascii="Arial" w:eastAsia="Arial" w:hAnsi="Arial" w:cs="Arial"/>
          <w:sz w:val="24"/>
          <w:szCs w:val="24"/>
        </w:rPr>
      </w:pPr>
      <w:r w:rsidRPr="6DA950ED">
        <w:rPr>
          <w:rFonts w:ascii="Arial" w:eastAsia="Arial" w:hAnsi="Arial" w:cs="Arial"/>
          <w:color w:val="595959" w:themeColor="text1" w:themeTint="A6"/>
          <w:sz w:val="24"/>
          <w:szCs w:val="24"/>
          <w:lang w:val="en-US"/>
        </w:rPr>
        <w:t>Reference List:</w:t>
      </w:r>
    </w:p>
    <w:p w14:paraId="1B994CF6" w14:textId="36205A1A" w:rsidR="6DA950ED" w:rsidRDefault="6DA950ED" w:rsidP="6DA950ED">
      <w:pPr>
        <w:spacing w:after="120" w:line="360" w:lineRule="auto"/>
        <w:rPr>
          <w:rFonts w:ascii="Arial" w:eastAsia="Arial" w:hAnsi="Arial" w:cs="Arial"/>
          <w:sz w:val="24"/>
          <w:szCs w:val="24"/>
        </w:rPr>
      </w:pPr>
    </w:p>
    <w:p w14:paraId="143B287E" w14:textId="1F1BEFEC" w:rsidR="6DA950ED" w:rsidRDefault="6DA950ED" w:rsidP="6DA950ED">
      <w:pPr>
        <w:spacing w:after="120" w:line="360" w:lineRule="auto"/>
        <w:rPr>
          <w:rFonts w:ascii="Arial" w:eastAsia="Arial" w:hAnsi="Arial" w:cs="Arial"/>
          <w:sz w:val="24"/>
          <w:szCs w:val="24"/>
        </w:rPr>
      </w:pPr>
      <w:r w:rsidRPr="6DA950ED">
        <w:rPr>
          <w:rFonts w:ascii="Arial" w:eastAsia="Arial" w:hAnsi="Arial" w:cs="Arial"/>
          <w:color w:val="595959" w:themeColor="text1" w:themeTint="A6"/>
          <w:sz w:val="24"/>
          <w:szCs w:val="24"/>
          <w:lang w:val="en-US"/>
        </w:rPr>
        <w:t>Welsh Assembly Government.  Outdoor Learning Handbook.  Cardiff: 2009.WAG.</w:t>
      </w:r>
    </w:p>
    <w:p w14:paraId="08134F11" w14:textId="0BEEABB5" w:rsidR="6DA950ED" w:rsidRDefault="6DA950ED" w:rsidP="6DA950ED">
      <w:pPr>
        <w:spacing w:after="120" w:line="360" w:lineRule="auto"/>
        <w:rPr>
          <w:rFonts w:ascii="Arial" w:eastAsia="Arial" w:hAnsi="Arial" w:cs="Arial"/>
          <w:sz w:val="24"/>
          <w:szCs w:val="24"/>
        </w:rPr>
      </w:pPr>
    </w:p>
    <w:p w14:paraId="23F15498" w14:textId="58E49B01" w:rsidR="6DA950ED" w:rsidRDefault="6DA950ED" w:rsidP="6DA950ED">
      <w:pPr>
        <w:spacing w:after="120" w:line="360" w:lineRule="auto"/>
        <w:rPr>
          <w:rFonts w:ascii="Arial" w:eastAsia="Arial" w:hAnsi="Arial" w:cs="Arial"/>
          <w:sz w:val="24"/>
          <w:szCs w:val="24"/>
        </w:rPr>
      </w:pPr>
      <w:r w:rsidRPr="6DA950ED">
        <w:rPr>
          <w:rFonts w:ascii="Arial" w:eastAsia="Arial" w:hAnsi="Arial" w:cs="Arial"/>
          <w:color w:val="595959" w:themeColor="text1" w:themeTint="A6"/>
          <w:sz w:val="24"/>
          <w:szCs w:val="24"/>
          <w:lang w:val="en-US"/>
        </w:rPr>
        <w:t xml:space="preserve">Ward Thompson, C., </w:t>
      </w:r>
      <w:proofErr w:type="spellStart"/>
      <w:r w:rsidRPr="6DA950ED">
        <w:rPr>
          <w:rFonts w:ascii="Arial" w:eastAsia="Arial" w:hAnsi="Arial" w:cs="Arial"/>
          <w:color w:val="595959" w:themeColor="text1" w:themeTint="A6"/>
          <w:sz w:val="24"/>
          <w:szCs w:val="24"/>
          <w:lang w:val="en-US"/>
        </w:rPr>
        <w:t>Aspinall</w:t>
      </w:r>
      <w:proofErr w:type="spellEnd"/>
      <w:r w:rsidRPr="6DA950ED">
        <w:rPr>
          <w:rFonts w:ascii="Arial" w:eastAsia="Arial" w:hAnsi="Arial" w:cs="Arial"/>
          <w:color w:val="595959" w:themeColor="text1" w:themeTint="A6"/>
          <w:sz w:val="24"/>
          <w:szCs w:val="24"/>
          <w:lang w:val="en-US"/>
        </w:rPr>
        <w:t>, P., Bell, S., Finlay, C.</w:t>
      </w:r>
      <w:proofErr w:type="gramStart"/>
      <w:r w:rsidRPr="6DA950ED">
        <w:rPr>
          <w:rFonts w:ascii="Arial" w:eastAsia="Arial" w:hAnsi="Arial" w:cs="Arial"/>
          <w:color w:val="595959" w:themeColor="text1" w:themeTint="A6"/>
          <w:sz w:val="24"/>
          <w:szCs w:val="24"/>
          <w:lang w:val="en-US"/>
        </w:rPr>
        <w:t>,</w:t>
      </w:r>
      <w:proofErr w:type="spellStart"/>
      <w:r w:rsidRPr="6DA950ED">
        <w:rPr>
          <w:rFonts w:ascii="Arial" w:eastAsia="Arial" w:hAnsi="Arial" w:cs="Arial"/>
          <w:color w:val="595959" w:themeColor="text1" w:themeTint="A6"/>
          <w:sz w:val="24"/>
          <w:szCs w:val="24"/>
          <w:lang w:val="en-US"/>
        </w:rPr>
        <w:t>Wherrett</w:t>
      </w:r>
      <w:proofErr w:type="spellEnd"/>
      <w:proofErr w:type="gramEnd"/>
      <w:r w:rsidRPr="6DA950ED">
        <w:rPr>
          <w:rFonts w:ascii="Arial" w:eastAsia="Arial" w:hAnsi="Arial" w:cs="Arial"/>
          <w:color w:val="595959" w:themeColor="text1" w:themeTint="A6"/>
          <w:sz w:val="24"/>
          <w:szCs w:val="24"/>
          <w:lang w:val="en-US"/>
        </w:rPr>
        <w:t xml:space="preserve">, J&gt; and </w:t>
      </w:r>
      <w:proofErr w:type="spellStart"/>
      <w:r w:rsidRPr="6DA950ED">
        <w:rPr>
          <w:rFonts w:ascii="Arial" w:eastAsia="Arial" w:hAnsi="Arial" w:cs="Arial"/>
          <w:color w:val="595959" w:themeColor="text1" w:themeTint="A6"/>
          <w:sz w:val="24"/>
          <w:szCs w:val="24"/>
          <w:lang w:val="en-US"/>
        </w:rPr>
        <w:t>Travlou</w:t>
      </w:r>
      <w:proofErr w:type="spellEnd"/>
      <w:r w:rsidRPr="6DA950ED">
        <w:rPr>
          <w:rFonts w:ascii="Arial" w:eastAsia="Arial" w:hAnsi="Arial" w:cs="Arial"/>
          <w:color w:val="595959" w:themeColor="text1" w:themeTint="A6"/>
          <w:sz w:val="24"/>
          <w:szCs w:val="24"/>
          <w:lang w:val="en-US"/>
        </w:rPr>
        <w:t>, P.  Open space and social inclusion:  Local woodland use in central Scotland.  Report to the Forestry Commission, Edinburgh, 2004.</w:t>
      </w:r>
    </w:p>
    <w:p w14:paraId="6A96F26F" w14:textId="5E045758" w:rsidR="6DA950ED" w:rsidRDefault="6DA950ED" w:rsidP="6DA950ED">
      <w:pPr>
        <w:spacing w:after="120" w:line="360" w:lineRule="auto"/>
        <w:rPr>
          <w:rFonts w:ascii="Arial" w:eastAsia="Arial" w:hAnsi="Arial" w:cs="Arial"/>
          <w:sz w:val="24"/>
          <w:szCs w:val="24"/>
        </w:rPr>
      </w:pPr>
    </w:p>
    <w:p w14:paraId="6AB5C156" w14:textId="09101CB5" w:rsidR="6DA950ED" w:rsidRDefault="6DA950ED" w:rsidP="6DA950ED">
      <w:pPr>
        <w:spacing w:after="120" w:line="360" w:lineRule="auto"/>
        <w:rPr>
          <w:rFonts w:ascii="Arial" w:eastAsia="Arial" w:hAnsi="Arial" w:cs="Arial"/>
          <w:sz w:val="24"/>
          <w:szCs w:val="24"/>
        </w:rPr>
      </w:pPr>
      <w:r w:rsidRPr="6DA950ED">
        <w:rPr>
          <w:rFonts w:ascii="Arial" w:eastAsia="Arial" w:hAnsi="Arial" w:cs="Arial"/>
          <w:color w:val="595959" w:themeColor="text1" w:themeTint="A6"/>
          <w:sz w:val="24"/>
          <w:szCs w:val="24"/>
          <w:lang w:val="en-US"/>
        </w:rPr>
        <w:t xml:space="preserve">2006. E&gt; O’Brien and R. Murray, </w:t>
      </w:r>
      <w:r w:rsidRPr="6DA950ED">
        <w:rPr>
          <w:rFonts w:ascii="Arial" w:eastAsia="Arial" w:hAnsi="Arial" w:cs="Arial"/>
          <w:color w:val="595959" w:themeColor="text1" w:themeTint="A6"/>
          <w:sz w:val="24"/>
          <w:szCs w:val="24"/>
          <w:u w:val="single"/>
          <w:lang w:val="en-US"/>
        </w:rPr>
        <w:t xml:space="preserve">A </w:t>
      </w:r>
      <w:proofErr w:type="spellStart"/>
      <w:r w:rsidRPr="6DA950ED">
        <w:rPr>
          <w:rFonts w:ascii="Arial" w:eastAsia="Arial" w:hAnsi="Arial" w:cs="Arial"/>
          <w:color w:val="595959" w:themeColor="text1" w:themeTint="A6"/>
          <w:sz w:val="24"/>
          <w:szCs w:val="24"/>
          <w:u w:val="single"/>
          <w:lang w:val="en-US"/>
        </w:rPr>
        <w:t>marvellous</w:t>
      </w:r>
      <w:proofErr w:type="spellEnd"/>
      <w:r w:rsidRPr="6DA950ED">
        <w:rPr>
          <w:rFonts w:ascii="Arial" w:eastAsia="Arial" w:hAnsi="Arial" w:cs="Arial"/>
          <w:color w:val="595959" w:themeColor="text1" w:themeTint="A6"/>
          <w:sz w:val="24"/>
          <w:szCs w:val="24"/>
          <w:u w:val="single"/>
          <w:lang w:val="en-US"/>
        </w:rPr>
        <w:t xml:space="preserve"> opportunity for children to learn:  A participatory evaluation of Forest School in England and Wales,</w:t>
      </w:r>
      <w:r w:rsidRPr="6DA950ED">
        <w:rPr>
          <w:rFonts w:ascii="Arial" w:eastAsia="Arial" w:hAnsi="Arial" w:cs="Arial"/>
          <w:color w:val="595959" w:themeColor="text1" w:themeTint="A6"/>
          <w:sz w:val="24"/>
          <w:szCs w:val="24"/>
          <w:lang w:val="en-US"/>
        </w:rPr>
        <w:t xml:space="preserve"> </w:t>
      </w:r>
      <w:proofErr w:type="spellStart"/>
      <w:r w:rsidRPr="6DA950ED">
        <w:rPr>
          <w:rFonts w:ascii="Arial" w:eastAsia="Arial" w:hAnsi="Arial" w:cs="Arial"/>
          <w:color w:val="595959" w:themeColor="text1" w:themeTint="A6"/>
          <w:sz w:val="24"/>
          <w:szCs w:val="24"/>
          <w:lang w:val="en-US"/>
        </w:rPr>
        <w:t>Farnham</w:t>
      </w:r>
      <w:proofErr w:type="spellEnd"/>
      <w:r w:rsidRPr="6DA950ED">
        <w:rPr>
          <w:rFonts w:ascii="Arial" w:eastAsia="Arial" w:hAnsi="Arial" w:cs="Arial"/>
          <w:color w:val="595959" w:themeColor="text1" w:themeTint="A6"/>
          <w:sz w:val="24"/>
          <w:szCs w:val="24"/>
          <w:lang w:val="en-US"/>
        </w:rPr>
        <w:t>: Forest Research.</w:t>
      </w:r>
    </w:p>
    <w:p w14:paraId="4E8F9D2C" w14:textId="4C16FB56" w:rsidR="6DA950ED" w:rsidRDefault="6DA950ED" w:rsidP="6DA950ED">
      <w:pPr>
        <w:spacing w:after="120" w:line="360" w:lineRule="auto"/>
        <w:rPr>
          <w:rFonts w:ascii="Arial" w:eastAsia="Arial" w:hAnsi="Arial" w:cs="Arial"/>
          <w:color w:val="595959" w:themeColor="text1" w:themeTint="A6"/>
          <w:sz w:val="24"/>
          <w:szCs w:val="24"/>
          <w:lang w:val="en-US"/>
        </w:rPr>
      </w:pPr>
    </w:p>
    <w:p w14:paraId="2F04B825" w14:textId="26CC296A" w:rsidR="6DA950ED" w:rsidRDefault="6DA950ED" w:rsidP="6DA950ED">
      <w:pPr>
        <w:spacing w:after="120" w:line="360" w:lineRule="auto"/>
        <w:rPr>
          <w:rFonts w:ascii="Arial" w:eastAsia="Arial" w:hAnsi="Arial" w:cs="Arial"/>
          <w:color w:val="595959" w:themeColor="text1" w:themeTint="A6"/>
          <w:sz w:val="24"/>
          <w:szCs w:val="24"/>
          <w:lang w:val="en-US"/>
        </w:rPr>
      </w:pPr>
    </w:p>
    <w:p w14:paraId="5CBBBA5E" w14:textId="3B56874B" w:rsidR="6DA950ED" w:rsidRDefault="6DA950ED" w:rsidP="6DA950ED">
      <w:pPr>
        <w:rPr>
          <w:rFonts w:ascii="Arial" w:eastAsia="Arial" w:hAnsi="Arial" w:cs="Arial"/>
          <w:sz w:val="24"/>
          <w:szCs w:val="24"/>
          <w:lang w:val="en-US"/>
        </w:rPr>
      </w:pPr>
      <w:r w:rsidRPr="6DA950ED">
        <w:rPr>
          <w:rFonts w:ascii="Arial" w:eastAsia="Arial" w:hAnsi="Arial" w:cs="Arial"/>
          <w:sz w:val="24"/>
          <w:szCs w:val="24"/>
        </w:rPr>
        <w:t>Paula Galvin/1805795</w:t>
      </w:r>
    </w:p>
    <w:p w14:paraId="067B5593" w14:textId="37F123D8" w:rsidR="6DA950ED" w:rsidRDefault="6DA950ED" w:rsidP="6DA950ED">
      <w:pPr>
        <w:rPr>
          <w:rFonts w:ascii="Arial" w:eastAsia="Arial" w:hAnsi="Arial" w:cs="Arial"/>
          <w:sz w:val="24"/>
          <w:szCs w:val="24"/>
          <w:lang w:val="en-US"/>
        </w:rPr>
      </w:pPr>
    </w:p>
    <w:p w14:paraId="522BDA6B" w14:textId="6B9D06D7" w:rsidR="6DA950ED" w:rsidRDefault="6DA950ED" w:rsidP="6DA950ED">
      <w:pPr>
        <w:rPr>
          <w:rFonts w:ascii="Arial" w:eastAsia="Arial" w:hAnsi="Arial" w:cs="Arial"/>
          <w:sz w:val="24"/>
          <w:szCs w:val="24"/>
          <w:lang w:val="en-US"/>
        </w:rPr>
      </w:pPr>
      <w:r w:rsidRPr="6DA950ED">
        <w:rPr>
          <w:rFonts w:ascii="Arial" w:eastAsia="Arial" w:hAnsi="Arial" w:cs="Arial"/>
          <w:sz w:val="24"/>
          <w:szCs w:val="24"/>
        </w:rPr>
        <w:t>ECGE4001 – Portfolio of Study Skills</w:t>
      </w:r>
    </w:p>
    <w:p w14:paraId="66D99DF0" w14:textId="616FD470" w:rsidR="6DA950ED" w:rsidRDefault="6DA950ED" w:rsidP="6DA950ED">
      <w:pPr>
        <w:rPr>
          <w:rFonts w:ascii="Arial" w:eastAsia="Arial" w:hAnsi="Arial" w:cs="Arial"/>
          <w:sz w:val="24"/>
          <w:szCs w:val="24"/>
          <w:lang w:val="en-US"/>
        </w:rPr>
      </w:pPr>
    </w:p>
    <w:p w14:paraId="4D0B5D63" w14:textId="3A2D1FD8" w:rsidR="6DA950ED" w:rsidRDefault="6DA950ED" w:rsidP="6DA950ED">
      <w:pPr>
        <w:rPr>
          <w:rFonts w:ascii="Arial" w:eastAsia="Arial" w:hAnsi="Arial" w:cs="Arial"/>
          <w:sz w:val="24"/>
          <w:szCs w:val="24"/>
          <w:lang w:val="en-US"/>
        </w:rPr>
      </w:pPr>
      <w:r w:rsidRPr="6DA950ED">
        <w:rPr>
          <w:rFonts w:ascii="Arial" w:eastAsia="Arial" w:hAnsi="Arial" w:cs="Arial"/>
          <w:sz w:val="24"/>
          <w:szCs w:val="24"/>
        </w:rPr>
        <w:t>Part 2b</w:t>
      </w:r>
    </w:p>
    <w:p w14:paraId="591A6390" w14:textId="2D9B05F4" w:rsidR="6DA950ED" w:rsidRDefault="6DA950ED" w:rsidP="6DA950ED">
      <w:pPr>
        <w:spacing w:line="360" w:lineRule="auto"/>
        <w:rPr>
          <w:rFonts w:ascii="Arial" w:eastAsia="Arial" w:hAnsi="Arial" w:cs="Arial"/>
          <w:sz w:val="24"/>
          <w:szCs w:val="24"/>
          <w:lang w:val="en-US"/>
        </w:rPr>
      </w:pPr>
    </w:p>
    <w:p w14:paraId="5F64F388" w14:textId="70EC1B37" w:rsidR="6DA950ED" w:rsidRDefault="6DA950ED" w:rsidP="6DA950ED">
      <w:pPr>
        <w:spacing w:line="360" w:lineRule="auto"/>
        <w:rPr>
          <w:rFonts w:ascii="Arial" w:eastAsia="Arial" w:hAnsi="Arial" w:cs="Arial"/>
          <w:sz w:val="24"/>
          <w:szCs w:val="24"/>
          <w:lang w:val="en-US"/>
        </w:rPr>
      </w:pPr>
      <w:r w:rsidRPr="6DA950ED">
        <w:rPr>
          <w:rFonts w:ascii="Arial" w:eastAsia="Arial" w:hAnsi="Arial" w:cs="Arial"/>
          <w:sz w:val="24"/>
          <w:szCs w:val="24"/>
        </w:rPr>
        <w:lastRenderedPageBreak/>
        <w:t>Plagiarism – is presenting someone else’s work or ideas as your own, with or without their consent, by including it into your work without full acknowledgement.</w:t>
      </w:r>
    </w:p>
    <w:p w14:paraId="373D843A" w14:textId="7BC236E8" w:rsidR="6DA950ED" w:rsidRDefault="6DA950ED" w:rsidP="6DA950ED">
      <w:pPr>
        <w:spacing w:line="360" w:lineRule="auto"/>
        <w:rPr>
          <w:rFonts w:ascii="Arial" w:eastAsia="Arial" w:hAnsi="Arial" w:cs="Arial"/>
          <w:sz w:val="24"/>
          <w:szCs w:val="24"/>
          <w:lang w:val="en-US"/>
        </w:rPr>
      </w:pPr>
    </w:p>
    <w:p w14:paraId="78E4E584" w14:textId="09B79C3E" w:rsidR="6DA950ED" w:rsidRDefault="6DA950ED" w:rsidP="6DA950ED">
      <w:pPr>
        <w:spacing w:line="360" w:lineRule="auto"/>
        <w:rPr>
          <w:rFonts w:ascii="Arial" w:eastAsia="Arial" w:hAnsi="Arial" w:cs="Arial"/>
          <w:sz w:val="24"/>
          <w:szCs w:val="24"/>
          <w:lang w:val="en-US"/>
        </w:rPr>
      </w:pPr>
      <w:r w:rsidRPr="6DA950ED">
        <w:rPr>
          <w:rFonts w:ascii="Arial" w:eastAsia="Arial" w:hAnsi="Arial" w:cs="Arial"/>
          <w:sz w:val="24"/>
          <w:szCs w:val="24"/>
        </w:rPr>
        <w:t>No, references must be used not only when using direct quotation, but when writing long and short quotation, paraphrasing and summarising.</w:t>
      </w:r>
    </w:p>
    <w:p w14:paraId="12367739" w14:textId="6D66819B" w:rsidR="6DA950ED" w:rsidRDefault="6DA950ED" w:rsidP="6DA950ED">
      <w:pPr>
        <w:spacing w:line="360" w:lineRule="auto"/>
        <w:rPr>
          <w:rFonts w:ascii="Arial" w:eastAsia="Arial" w:hAnsi="Arial" w:cs="Arial"/>
          <w:sz w:val="24"/>
          <w:szCs w:val="24"/>
          <w:lang w:val="en-US"/>
        </w:rPr>
      </w:pPr>
    </w:p>
    <w:p w14:paraId="4DDF1E6B" w14:textId="080136AC" w:rsidR="6DA950ED" w:rsidRDefault="6DA950ED" w:rsidP="6DA950ED">
      <w:pPr>
        <w:spacing w:line="360" w:lineRule="auto"/>
        <w:rPr>
          <w:rFonts w:ascii="Arial" w:eastAsia="Arial" w:hAnsi="Arial" w:cs="Arial"/>
          <w:sz w:val="24"/>
          <w:szCs w:val="24"/>
          <w:lang w:val="en-US"/>
        </w:rPr>
      </w:pPr>
      <w:r w:rsidRPr="6DA950ED">
        <w:rPr>
          <w:rFonts w:ascii="Arial" w:eastAsia="Arial" w:hAnsi="Arial" w:cs="Arial"/>
          <w:sz w:val="24"/>
          <w:szCs w:val="24"/>
        </w:rPr>
        <w:t xml:space="preserve">False – Wikipedia can be unreliable because almost anyone can go in and modify information.  It is hard to tell that information written is the truth or something that has been modified by someone that is not creditable.  Although Wikipedia can seem useful, double checking information is a must with a reliable source. </w:t>
      </w:r>
    </w:p>
    <w:p w14:paraId="032AB913" w14:textId="188718AB" w:rsidR="6DA950ED" w:rsidRDefault="6DA950ED" w:rsidP="6DA950ED">
      <w:pPr>
        <w:spacing w:line="360" w:lineRule="auto"/>
        <w:rPr>
          <w:rFonts w:ascii="Arial" w:eastAsia="Arial" w:hAnsi="Arial" w:cs="Arial"/>
          <w:sz w:val="24"/>
          <w:szCs w:val="24"/>
          <w:lang w:val="en-US"/>
        </w:rPr>
      </w:pPr>
    </w:p>
    <w:p w14:paraId="215F9D4A" w14:textId="7C867980" w:rsidR="6DA950ED" w:rsidRDefault="6DA950ED" w:rsidP="6DA950ED">
      <w:pPr>
        <w:spacing w:line="360" w:lineRule="auto"/>
        <w:rPr>
          <w:rFonts w:ascii="Arial" w:eastAsia="Arial" w:hAnsi="Arial" w:cs="Arial"/>
          <w:sz w:val="24"/>
          <w:szCs w:val="24"/>
          <w:lang w:val="en-US"/>
        </w:rPr>
      </w:pPr>
      <w:r w:rsidRPr="6DA950ED">
        <w:rPr>
          <w:rFonts w:ascii="Arial" w:eastAsia="Arial" w:hAnsi="Arial" w:cs="Arial"/>
          <w:sz w:val="24"/>
          <w:szCs w:val="24"/>
        </w:rPr>
        <w:t xml:space="preserve">Longer quotations should be indented from the main text as a separate </w:t>
      </w:r>
      <w:proofErr w:type="spellStart"/>
      <w:r w:rsidRPr="6DA950ED">
        <w:rPr>
          <w:rFonts w:ascii="Arial" w:eastAsia="Arial" w:hAnsi="Arial" w:cs="Arial"/>
          <w:sz w:val="24"/>
          <w:szCs w:val="24"/>
        </w:rPr>
        <w:t>paragragh</w:t>
      </w:r>
      <w:proofErr w:type="spellEnd"/>
      <w:r w:rsidRPr="6DA950ED">
        <w:rPr>
          <w:rFonts w:ascii="Arial" w:eastAsia="Arial" w:hAnsi="Arial" w:cs="Arial"/>
          <w:sz w:val="24"/>
          <w:szCs w:val="24"/>
        </w:rPr>
        <w:t>.  Quotation marks are not required.</w:t>
      </w:r>
    </w:p>
    <w:p w14:paraId="4F64CCE8" w14:textId="10D3468B" w:rsidR="6DA950ED" w:rsidRDefault="6DA950ED" w:rsidP="6DA950ED">
      <w:pPr>
        <w:pStyle w:val="ListParagraph"/>
        <w:numPr>
          <w:ilvl w:val="0"/>
          <w:numId w:val="3"/>
        </w:numPr>
        <w:spacing w:line="360" w:lineRule="auto"/>
        <w:rPr>
          <w:lang w:val="en-US"/>
        </w:rPr>
      </w:pPr>
      <w:r w:rsidRPr="6DA950ED">
        <w:rPr>
          <w:rFonts w:ascii="Arial" w:eastAsia="Arial" w:hAnsi="Arial" w:cs="Arial"/>
          <w:sz w:val="24"/>
          <w:szCs w:val="24"/>
        </w:rPr>
        <w:t xml:space="preserve">The quoted text must begin on a separate line after a colon: and be inset from the rest of the essay.  </w:t>
      </w:r>
    </w:p>
    <w:p w14:paraId="5A75BDD0" w14:textId="13D4F3E2" w:rsidR="6DA950ED" w:rsidRDefault="6DA950ED" w:rsidP="6DA950ED">
      <w:pPr>
        <w:pStyle w:val="ListParagraph"/>
        <w:numPr>
          <w:ilvl w:val="0"/>
          <w:numId w:val="3"/>
        </w:numPr>
        <w:spacing w:line="360" w:lineRule="auto"/>
        <w:rPr>
          <w:lang w:val="en-US"/>
        </w:rPr>
      </w:pPr>
      <w:r w:rsidRPr="6DA950ED">
        <w:rPr>
          <w:rFonts w:ascii="Arial" w:eastAsia="Arial" w:hAnsi="Arial" w:cs="Arial"/>
          <w:sz w:val="24"/>
          <w:szCs w:val="24"/>
        </w:rPr>
        <w:t>After the final full stop, give your reference. (Irons,1948,p4)</w:t>
      </w:r>
    </w:p>
    <w:p w14:paraId="61271631" w14:textId="7AA715D6" w:rsidR="6DA950ED" w:rsidRDefault="6DA950ED" w:rsidP="6DA950ED">
      <w:pPr>
        <w:pStyle w:val="ListParagraph"/>
        <w:numPr>
          <w:ilvl w:val="0"/>
          <w:numId w:val="3"/>
        </w:numPr>
        <w:spacing w:line="360" w:lineRule="auto"/>
        <w:rPr>
          <w:lang w:val="en-US"/>
        </w:rPr>
      </w:pPr>
      <w:r w:rsidRPr="6DA950ED">
        <w:rPr>
          <w:rFonts w:ascii="Arial" w:eastAsia="Arial" w:hAnsi="Arial" w:cs="Arial"/>
          <w:sz w:val="24"/>
          <w:szCs w:val="24"/>
        </w:rPr>
        <w:t>Use a longer quotation for passages of 40-50 words (</w:t>
      </w:r>
      <w:proofErr w:type="spellStart"/>
      <w:r w:rsidRPr="6DA950ED">
        <w:rPr>
          <w:rFonts w:ascii="Arial" w:eastAsia="Arial" w:hAnsi="Arial" w:cs="Arial"/>
          <w:sz w:val="24"/>
          <w:szCs w:val="24"/>
        </w:rPr>
        <w:t>approx</w:t>
      </w:r>
      <w:proofErr w:type="spellEnd"/>
      <w:r w:rsidRPr="6DA950ED">
        <w:rPr>
          <w:rFonts w:ascii="Arial" w:eastAsia="Arial" w:hAnsi="Arial" w:cs="Arial"/>
          <w:sz w:val="24"/>
          <w:szCs w:val="24"/>
        </w:rPr>
        <w:t xml:space="preserve"> four lines).</w:t>
      </w:r>
    </w:p>
    <w:p w14:paraId="2FCA55C4" w14:textId="7A9E84D1" w:rsidR="6DA950ED" w:rsidRDefault="6DA950ED" w:rsidP="6DA950ED">
      <w:pPr>
        <w:pStyle w:val="ListParagraph"/>
        <w:numPr>
          <w:ilvl w:val="0"/>
          <w:numId w:val="3"/>
        </w:numPr>
        <w:spacing w:line="360" w:lineRule="auto"/>
        <w:rPr>
          <w:lang w:val="en-US"/>
        </w:rPr>
      </w:pPr>
      <w:r w:rsidRPr="6DA950ED">
        <w:rPr>
          <w:rFonts w:ascii="Arial" w:eastAsia="Arial" w:hAnsi="Arial" w:cs="Arial"/>
          <w:sz w:val="24"/>
          <w:szCs w:val="24"/>
        </w:rPr>
        <w:t>Indenting the quote will set the work apart from the main body of essay, so quotation marks are not needed.</w:t>
      </w:r>
    </w:p>
    <w:p w14:paraId="170AC730" w14:textId="4BD48C0E" w:rsidR="6DA950ED" w:rsidRDefault="6DA950ED" w:rsidP="6DA950ED">
      <w:pPr>
        <w:spacing w:line="360" w:lineRule="auto"/>
        <w:rPr>
          <w:rFonts w:ascii="Arial" w:eastAsia="Arial" w:hAnsi="Arial" w:cs="Arial"/>
          <w:sz w:val="24"/>
          <w:szCs w:val="24"/>
          <w:lang w:val="en-US"/>
        </w:rPr>
      </w:pPr>
    </w:p>
    <w:p w14:paraId="6A29C356" w14:textId="1CDDAA06" w:rsidR="6DA950ED" w:rsidRDefault="6DA950ED" w:rsidP="6DA950ED">
      <w:pPr>
        <w:spacing w:line="360" w:lineRule="auto"/>
        <w:rPr>
          <w:rFonts w:ascii="Arial" w:eastAsia="Arial" w:hAnsi="Arial" w:cs="Arial"/>
          <w:sz w:val="24"/>
          <w:szCs w:val="24"/>
          <w:lang w:val="en-US"/>
        </w:rPr>
      </w:pPr>
      <w:r w:rsidRPr="6DA950ED">
        <w:rPr>
          <w:rFonts w:ascii="Arial" w:eastAsia="Arial" w:hAnsi="Arial" w:cs="Arial"/>
          <w:sz w:val="24"/>
          <w:szCs w:val="24"/>
        </w:rPr>
        <w:t>Steps to follow to conduct research for an academic assignment</w:t>
      </w:r>
    </w:p>
    <w:p w14:paraId="250AC28B" w14:textId="2C042338" w:rsidR="6DA950ED" w:rsidRDefault="6DA950ED" w:rsidP="6DA950ED">
      <w:pPr>
        <w:pStyle w:val="ListParagraph"/>
        <w:numPr>
          <w:ilvl w:val="0"/>
          <w:numId w:val="2"/>
        </w:numPr>
        <w:spacing w:line="360" w:lineRule="auto"/>
        <w:rPr>
          <w:lang w:val="en-US"/>
        </w:rPr>
      </w:pPr>
      <w:r w:rsidRPr="6DA950ED">
        <w:rPr>
          <w:rFonts w:ascii="Arial" w:eastAsia="Arial" w:hAnsi="Arial" w:cs="Arial"/>
          <w:sz w:val="24"/>
          <w:szCs w:val="24"/>
        </w:rPr>
        <w:t>Plan – start library search early.</w:t>
      </w:r>
    </w:p>
    <w:p w14:paraId="357F8135" w14:textId="281C25D3" w:rsidR="6DA950ED" w:rsidRDefault="6DA950ED" w:rsidP="6DA950ED">
      <w:pPr>
        <w:pStyle w:val="ListParagraph"/>
        <w:numPr>
          <w:ilvl w:val="0"/>
          <w:numId w:val="2"/>
        </w:numPr>
        <w:spacing w:line="360" w:lineRule="auto"/>
        <w:rPr>
          <w:lang w:val="en-US"/>
        </w:rPr>
      </w:pPr>
      <w:r w:rsidRPr="6DA950ED">
        <w:rPr>
          <w:rFonts w:ascii="Arial" w:eastAsia="Arial" w:hAnsi="Arial" w:cs="Arial"/>
          <w:sz w:val="24"/>
          <w:szCs w:val="24"/>
        </w:rPr>
        <w:t>Analyse – Make sure to know what the question is asking you.  Does is require a particular type of material or resource?</w:t>
      </w:r>
    </w:p>
    <w:p w14:paraId="0F98CBC1" w14:textId="7DDD1BD0" w:rsidR="6DA950ED" w:rsidRDefault="6DA950ED" w:rsidP="6DA950ED">
      <w:pPr>
        <w:pStyle w:val="ListParagraph"/>
        <w:numPr>
          <w:ilvl w:val="0"/>
          <w:numId w:val="2"/>
        </w:numPr>
        <w:spacing w:line="360" w:lineRule="auto"/>
        <w:rPr>
          <w:lang w:val="en-US"/>
        </w:rPr>
      </w:pPr>
      <w:r w:rsidRPr="6DA950ED">
        <w:rPr>
          <w:rFonts w:ascii="Arial" w:eastAsia="Arial" w:hAnsi="Arial" w:cs="Arial"/>
          <w:sz w:val="24"/>
          <w:szCs w:val="24"/>
        </w:rPr>
        <w:t>Develop – Use books to get an overview of the topic area and then search for journal articles that are more specific and up to date.</w:t>
      </w:r>
    </w:p>
    <w:p w14:paraId="7545E182" w14:textId="218D67A8" w:rsidR="6DA950ED" w:rsidRDefault="6DA950ED" w:rsidP="6DA950ED">
      <w:pPr>
        <w:pStyle w:val="ListParagraph"/>
        <w:numPr>
          <w:ilvl w:val="0"/>
          <w:numId w:val="2"/>
        </w:numPr>
        <w:spacing w:line="360" w:lineRule="auto"/>
        <w:rPr>
          <w:lang w:val="en-US"/>
        </w:rPr>
      </w:pPr>
      <w:r w:rsidRPr="6DA950ED">
        <w:rPr>
          <w:rFonts w:ascii="Arial" w:eastAsia="Arial" w:hAnsi="Arial" w:cs="Arial"/>
          <w:sz w:val="24"/>
          <w:szCs w:val="24"/>
        </w:rPr>
        <w:t>Evaluate – Do you need more research to fully answer the assignment question?</w:t>
      </w:r>
    </w:p>
    <w:p w14:paraId="5ED3E2DD" w14:textId="18C9A91C" w:rsidR="6DA950ED" w:rsidRDefault="6DA950ED" w:rsidP="6DA950ED">
      <w:pPr>
        <w:pStyle w:val="ListParagraph"/>
        <w:numPr>
          <w:ilvl w:val="0"/>
          <w:numId w:val="2"/>
        </w:numPr>
        <w:spacing w:line="360" w:lineRule="auto"/>
        <w:rPr>
          <w:lang w:val="en-US"/>
        </w:rPr>
      </w:pPr>
      <w:r w:rsidRPr="6DA950ED">
        <w:rPr>
          <w:rFonts w:ascii="Arial" w:eastAsia="Arial" w:hAnsi="Arial" w:cs="Arial"/>
          <w:sz w:val="24"/>
          <w:szCs w:val="24"/>
        </w:rPr>
        <w:t>Reference – Use correct citation style.</w:t>
      </w:r>
    </w:p>
    <w:p w14:paraId="1981999B" w14:textId="3165BCE2" w:rsidR="6DA950ED" w:rsidRDefault="6DA950ED" w:rsidP="6DA950ED">
      <w:pPr>
        <w:spacing w:line="360" w:lineRule="auto"/>
        <w:rPr>
          <w:rFonts w:ascii="Arial" w:eastAsia="Arial" w:hAnsi="Arial" w:cs="Arial"/>
          <w:sz w:val="24"/>
          <w:szCs w:val="24"/>
          <w:lang w:val="en-US"/>
        </w:rPr>
      </w:pPr>
    </w:p>
    <w:p w14:paraId="5057DB35" w14:textId="2B9098A8" w:rsidR="6DA950ED" w:rsidRDefault="6DA950ED" w:rsidP="6DA950ED">
      <w:pPr>
        <w:spacing w:line="360" w:lineRule="auto"/>
        <w:rPr>
          <w:rFonts w:ascii="Arial" w:eastAsia="Arial" w:hAnsi="Arial" w:cs="Arial"/>
          <w:sz w:val="24"/>
          <w:szCs w:val="24"/>
          <w:lang w:val="en-US"/>
        </w:rPr>
      </w:pPr>
    </w:p>
    <w:p w14:paraId="4385D986" w14:textId="46157C9C" w:rsidR="6DA950ED" w:rsidRDefault="6DA950ED" w:rsidP="6DA950ED">
      <w:pPr>
        <w:spacing w:line="360" w:lineRule="auto"/>
        <w:rPr>
          <w:rFonts w:ascii="Arial" w:eastAsia="Arial" w:hAnsi="Arial" w:cs="Arial"/>
          <w:sz w:val="24"/>
          <w:szCs w:val="24"/>
          <w:lang w:val="en-US"/>
        </w:rPr>
      </w:pPr>
      <w:r w:rsidRPr="6DA950ED">
        <w:rPr>
          <w:rFonts w:ascii="Arial" w:eastAsia="Arial" w:hAnsi="Arial" w:cs="Arial"/>
          <w:sz w:val="24"/>
          <w:szCs w:val="24"/>
        </w:rPr>
        <w:t xml:space="preserve">  </w:t>
      </w:r>
    </w:p>
    <w:p w14:paraId="09C12EC5" w14:textId="40D85F1E" w:rsidR="6DA950ED" w:rsidRDefault="6DA950ED" w:rsidP="6DA950ED">
      <w:pPr>
        <w:spacing w:line="360" w:lineRule="auto"/>
        <w:rPr>
          <w:rFonts w:ascii="Arial" w:eastAsia="Arial" w:hAnsi="Arial" w:cs="Arial"/>
          <w:sz w:val="24"/>
          <w:szCs w:val="24"/>
          <w:lang w:val="en-US"/>
        </w:rPr>
      </w:pPr>
    </w:p>
    <w:p w14:paraId="7FB03897" w14:textId="589A9ABF" w:rsidR="6DA950ED" w:rsidRDefault="6DA950ED" w:rsidP="6DA950ED">
      <w:pPr>
        <w:spacing w:line="360" w:lineRule="auto"/>
        <w:rPr>
          <w:rFonts w:ascii="Arial" w:eastAsia="Arial" w:hAnsi="Arial" w:cs="Arial"/>
          <w:sz w:val="24"/>
          <w:szCs w:val="24"/>
          <w:lang w:val="en-US"/>
        </w:rPr>
      </w:pPr>
      <w:r w:rsidRPr="6DA950ED">
        <w:rPr>
          <w:rFonts w:ascii="Arial" w:eastAsia="Arial" w:hAnsi="Arial" w:cs="Arial"/>
          <w:sz w:val="24"/>
          <w:szCs w:val="24"/>
        </w:rPr>
        <w:t>Five sources acceptable for academic study</w:t>
      </w:r>
    </w:p>
    <w:p w14:paraId="28E58728" w14:textId="1D7833A0" w:rsidR="6DA950ED" w:rsidRDefault="6DA950ED" w:rsidP="6DA950ED">
      <w:pPr>
        <w:spacing w:line="360" w:lineRule="auto"/>
        <w:rPr>
          <w:rFonts w:ascii="Arial" w:eastAsia="Arial" w:hAnsi="Arial" w:cs="Arial"/>
          <w:sz w:val="24"/>
          <w:szCs w:val="24"/>
          <w:lang w:val="en-US"/>
        </w:rPr>
      </w:pPr>
    </w:p>
    <w:p w14:paraId="74FB2B54" w14:textId="49CDF0D8" w:rsidR="6DA950ED" w:rsidRDefault="6DA950ED" w:rsidP="6DA950ED">
      <w:pPr>
        <w:pStyle w:val="ListParagraph"/>
        <w:numPr>
          <w:ilvl w:val="0"/>
          <w:numId w:val="1"/>
        </w:numPr>
        <w:spacing w:line="360" w:lineRule="auto"/>
        <w:rPr>
          <w:lang w:val="en-US"/>
        </w:rPr>
      </w:pPr>
      <w:r w:rsidRPr="6DA950ED">
        <w:rPr>
          <w:rFonts w:ascii="Arial" w:eastAsia="Arial" w:hAnsi="Arial" w:cs="Arial"/>
          <w:sz w:val="24"/>
          <w:szCs w:val="24"/>
        </w:rPr>
        <w:t xml:space="preserve"> Book</w:t>
      </w:r>
    </w:p>
    <w:p w14:paraId="28B45592" w14:textId="7F5A684D" w:rsidR="6DA950ED" w:rsidRDefault="6DA950ED" w:rsidP="6DA950ED">
      <w:pPr>
        <w:pStyle w:val="ListParagraph"/>
        <w:numPr>
          <w:ilvl w:val="0"/>
          <w:numId w:val="1"/>
        </w:numPr>
        <w:spacing w:line="360" w:lineRule="auto"/>
        <w:rPr>
          <w:lang w:val="en-US"/>
        </w:rPr>
      </w:pPr>
      <w:r w:rsidRPr="6DA950ED">
        <w:rPr>
          <w:rFonts w:ascii="Arial" w:eastAsia="Arial" w:hAnsi="Arial" w:cs="Arial"/>
          <w:sz w:val="24"/>
          <w:szCs w:val="24"/>
        </w:rPr>
        <w:t>EBook</w:t>
      </w:r>
    </w:p>
    <w:p w14:paraId="6AD4F102" w14:textId="08146F45" w:rsidR="6DA950ED" w:rsidRDefault="6DA950ED" w:rsidP="6DA950ED">
      <w:pPr>
        <w:pStyle w:val="ListParagraph"/>
        <w:numPr>
          <w:ilvl w:val="0"/>
          <w:numId w:val="1"/>
        </w:numPr>
        <w:spacing w:line="360" w:lineRule="auto"/>
        <w:rPr>
          <w:lang w:val="en-US"/>
        </w:rPr>
      </w:pPr>
      <w:r w:rsidRPr="6DA950ED">
        <w:rPr>
          <w:rFonts w:ascii="Arial" w:eastAsia="Arial" w:hAnsi="Arial" w:cs="Arial"/>
          <w:sz w:val="24"/>
          <w:szCs w:val="24"/>
        </w:rPr>
        <w:t>Academic journal articles</w:t>
      </w:r>
    </w:p>
    <w:p w14:paraId="27BD6E26" w14:textId="75CC6C1F" w:rsidR="6DA950ED" w:rsidRDefault="6DA950ED" w:rsidP="6DA950ED">
      <w:pPr>
        <w:pStyle w:val="ListParagraph"/>
        <w:numPr>
          <w:ilvl w:val="0"/>
          <w:numId w:val="1"/>
        </w:numPr>
        <w:spacing w:line="360" w:lineRule="auto"/>
        <w:rPr>
          <w:lang w:val="en-US"/>
        </w:rPr>
      </w:pPr>
      <w:r w:rsidRPr="6DA950ED">
        <w:rPr>
          <w:rFonts w:ascii="Arial" w:eastAsia="Arial" w:hAnsi="Arial" w:cs="Arial"/>
          <w:sz w:val="24"/>
          <w:szCs w:val="24"/>
        </w:rPr>
        <w:t>Published expert reports</w:t>
      </w:r>
    </w:p>
    <w:p w14:paraId="62FBC42E" w14:textId="7201CF19" w:rsidR="6DA950ED" w:rsidRDefault="6DA950ED" w:rsidP="6DA950ED">
      <w:pPr>
        <w:pStyle w:val="ListParagraph"/>
        <w:numPr>
          <w:ilvl w:val="0"/>
          <w:numId w:val="1"/>
        </w:numPr>
        <w:spacing w:line="360" w:lineRule="auto"/>
        <w:rPr>
          <w:lang w:val="en-US"/>
        </w:rPr>
      </w:pPr>
      <w:r w:rsidRPr="6DA950ED">
        <w:rPr>
          <w:rFonts w:ascii="Arial" w:eastAsia="Arial" w:hAnsi="Arial" w:cs="Arial"/>
          <w:sz w:val="24"/>
          <w:szCs w:val="24"/>
        </w:rPr>
        <w:t>Policies</w:t>
      </w:r>
    </w:p>
    <w:p w14:paraId="1BE1A656" w14:textId="464AE727" w:rsidR="6DA950ED" w:rsidRDefault="6DA950ED" w:rsidP="6DA950ED">
      <w:pPr>
        <w:spacing w:line="360" w:lineRule="auto"/>
        <w:rPr>
          <w:rFonts w:ascii="Arial" w:eastAsia="Arial" w:hAnsi="Arial" w:cs="Arial"/>
          <w:sz w:val="24"/>
          <w:szCs w:val="24"/>
        </w:rPr>
      </w:pPr>
    </w:p>
    <w:p w14:paraId="19BC0389" w14:textId="2C42B7F5" w:rsidR="1CB1F360" w:rsidRDefault="1CB1F360" w:rsidP="1CB1F360">
      <w:pPr>
        <w:spacing w:line="360" w:lineRule="auto"/>
        <w:jc w:val="both"/>
        <w:rPr>
          <w:rFonts w:ascii="Arial" w:eastAsia="Arial" w:hAnsi="Arial" w:cs="Arial"/>
          <w:sz w:val="24"/>
          <w:szCs w:val="24"/>
        </w:rPr>
      </w:pPr>
      <w:r w:rsidRPr="1CB1F360">
        <w:rPr>
          <w:rFonts w:ascii="Arial" w:eastAsia="Arial" w:hAnsi="Arial" w:cs="Arial"/>
          <w:color w:val="595959" w:themeColor="text1" w:themeTint="A6"/>
          <w:sz w:val="24"/>
          <w:szCs w:val="24"/>
        </w:rPr>
        <w:t>Paula Galvin/1805795</w:t>
      </w:r>
    </w:p>
    <w:p w14:paraId="15110CD2" w14:textId="4AE77337" w:rsidR="1CB1F360" w:rsidRDefault="1CB1F360" w:rsidP="1CB1F360">
      <w:pPr>
        <w:spacing w:line="360" w:lineRule="auto"/>
        <w:jc w:val="both"/>
        <w:rPr>
          <w:rFonts w:ascii="Arial" w:eastAsia="Arial" w:hAnsi="Arial" w:cs="Arial"/>
          <w:sz w:val="24"/>
          <w:szCs w:val="24"/>
        </w:rPr>
      </w:pPr>
    </w:p>
    <w:p w14:paraId="053BB024" w14:textId="509CA779" w:rsidR="1CB1F360" w:rsidRDefault="1CB1F360" w:rsidP="1CB1F360">
      <w:pPr>
        <w:spacing w:line="360" w:lineRule="auto"/>
        <w:rPr>
          <w:rFonts w:ascii="Arial" w:eastAsia="Arial" w:hAnsi="Arial" w:cs="Arial"/>
          <w:sz w:val="24"/>
          <w:szCs w:val="24"/>
        </w:rPr>
      </w:pPr>
      <w:r w:rsidRPr="1CB1F360">
        <w:rPr>
          <w:rFonts w:ascii="Arial" w:eastAsia="Arial" w:hAnsi="Arial" w:cs="Arial"/>
          <w:b/>
          <w:bCs/>
          <w:i/>
          <w:iCs/>
          <w:color w:val="595959" w:themeColor="text1" w:themeTint="A6"/>
          <w:sz w:val="24"/>
          <w:szCs w:val="24"/>
        </w:rPr>
        <w:t>Critical Response to an article – ‘Yes, but … ‘: rhetoric, reality and resistance in teaching assistants’ experiences of inclusive education written by (Mackenzie 2011).</w:t>
      </w:r>
    </w:p>
    <w:p w14:paraId="0EDAEB8D" w14:textId="5AC92A75" w:rsidR="1CB1F360" w:rsidRDefault="1CB1F360" w:rsidP="1CB1F360">
      <w:pPr>
        <w:spacing w:line="360" w:lineRule="auto"/>
        <w:rPr>
          <w:rFonts w:ascii="Arial" w:eastAsia="Arial" w:hAnsi="Arial" w:cs="Arial"/>
          <w:sz w:val="24"/>
          <w:szCs w:val="24"/>
        </w:rPr>
      </w:pPr>
    </w:p>
    <w:p w14:paraId="192C376B" w14:textId="143219CF" w:rsidR="1CB1F360" w:rsidRDefault="1CB1F360" w:rsidP="1CB1F360">
      <w:pPr>
        <w:spacing w:line="360" w:lineRule="auto"/>
        <w:rPr>
          <w:rFonts w:ascii="Arial" w:eastAsia="Arial" w:hAnsi="Arial" w:cs="Arial"/>
          <w:sz w:val="24"/>
          <w:szCs w:val="24"/>
        </w:rPr>
      </w:pPr>
      <w:r w:rsidRPr="1CB1F360">
        <w:rPr>
          <w:rFonts w:ascii="Arial" w:eastAsia="Arial" w:hAnsi="Arial" w:cs="Arial"/>
          <w:color w:val="595959" w:themeColor="text1" w:themeTint="A6"/>
          <w:sz w:val="24"/>
          <w:szCs w:val="24"/>
        </w:rPr>
        <w:t>Mackenzie’s article points out the growing unrest and tensions felt by several teaching assistants working with special educational needs children in inclusive education.  It highlights the feelings and the problems that TA’s have to overcome in their day to day role.  One of the findings that stood out was Blatchford et al</w:t>
      </w:r>
      <w:proofErr w:type="gramStart"/>
      <w:r w:rsidRPr="1CB1F360">
        <w:rPr>
          <w:rFonts w:ascii="Arial" w:eastAsia="Arial" w:hAnsi="Arial" w:cs="Arial"/>
          <w:color w:val="595959" w:themeColor="text1" w:themeTint="A6"/>
          <w:sz w:val="24"/>
          <w:szCs w:val="24"/>
        </w:rPr>
        <w:t>.(</w:t>
      </w:r>
      <w:proofErr w:type="gramEnd"/>
      <w:r w:rsidRPr="1CB1F360">
        <w:rPr>
          <w:rFonts w:ascii="Arial" w:eastAsia="Arial" w:hAnsi="Arial" w:cs="Arial"/>
          <w:color w:val="595959" w:themeColor="text1" w:themeTint="A6"/>
          <w:sz w:val="24"/>
          <w:szCs w:val="24"/>
        </w:rPr>
        <w:t>2009) stated “ that there were no findings of the impact of TAs on the academic achievements of pupils with special educational needs”,  even though the research did find other benefits for pupils.</w:t>
      </w:r>
    </w:p>
    <w:p w14:paraId="4FC3CE11" w14:textId="6CBF6FE7" w:rsidR="1CB1F360" w:rsidRDefault="1CB1F360" w:rsidP="1CB1F360">
      <w:pPr>
        <w:spacing w:line="360" w:lineRule="auto"/>
        <w:rPr>
          <w:rFonts w:ascii="Arial" w:eastAsia="Arial" w:hAnsi="Arial" w:cs="Arial"/>
          <w:sz w:val="24"/>
          <w:szCs w:val="24"/>
        </w:rPr>
      </w:pPr>
    </w:p>
    <w:p w14:paraId="7BA0672B" w14:textId="7137F083" w:rsidR="1CB1F360" w:rsidRDefault="1CB1F360" w:rsidP="1CB1F360">
      <w:pPr>
        <w:spacing w:line="360" w:lineRule="auto"/>
        <w:rPr>
          <w:rFonts w:ascii="Arial" w:eastAsia="Arial" w:hAnsi="Arial" w:cs="Arial"/>
          <w:sz w:val="24"/>
          <w:szCs w:val="24"/>
        </w:rPr>
      </w:pPr>
    </w:p>
    <w:p w14:paraId="163F5893" w14:textId="35F8518D" w:rsidR="1CB1F360" w:rsidRDefault="1CB1F360" w:rsidP="1CB1F360">
      <w:pPr>
        <w:spacing w:line="360" w:lineRule="auto"/>
        <w:rPr>
          <w:rFonts w:ascii="Arial" w:eastAsia="Arial" w:hAnsi="Arial" w:cs="Arial"/>
          <w:sz w:val="24"/>
          <w:szCs w:val="24"/>
        </w:rPr>
      </w:pPr>
    </w:p>
    <w:p w14:paraId="44D05930" w14:textId="54A2DA2B" w:rsidR="1CB1F360" w:rsidRDefault="1CB1F360" w:rsidP="1CB1F360">
      <w:pPr>
        <w:spacing w:line="360" w:lineRule="auto"/>
        <w:rPr>
          <w:rFonts w:ascii="Arial" w:eastAsia="Arial" w:hAnsi="Arial" w:cs="Arial"/>
          <w:sz w:val="24"/>
          <w:szCs w:val="24"/>
        </w:rPr>
      </w:pPr>
    </w:p>
    <w:p w14:paraId="5C889269" w14:textId="3E8AB9E9" w:rsidR="1CB1F360" w:rsidRDefault="1CB1F360" w:rsidP="1CB1F360">
      <w:pPr>
        <w:spacing w:line="360" w:lineRule="auto"/>
        <w:rPr>
          <w:rFonts w:ascii="Arial" w:eastAsia="Arial" w:hAnsi="Arial" w:cs="Arial"/>
          <w:sz w:val="24"/>
          <w:szCs w:val="24"/>
        </w:rPr>
      </w:pPr>
    </w:p>
    <w:p w14:paraId="4D94E0E1" w14:textId="04E72E11" w:rsidR="1CB1F360" w:rsidRDefault="1CB1F360" w:rsidP="1CB1F360">
      <w:pPr>
        <w:spacing w:line="360" w:lineRule="auto"/>
        <w:rPr>
          <w:rFonts w:ascii="Arial" w:eastAsia="Arial" w:hAnsi="Arial" w:cs="Arial"/>
          <w:sz w:val="24"/>
          <w:szCs w:val="24"/>
        </w:rPr>
      </w:pPr>
      <w:r w:rsidRPr="1CB1F360">
        <w:rPr>
          <w:rFonts w:ascii="Arial" w:eastAsia="Arial" w:hAnsi="Arial" w:cs="Arial"/>
          <w:color w:val="595959" w:themeColor="text1" w:themeTint="A6"/>
          <w:sz w:val="24"/>
          <w:szCs w:val="24"/>
        </w:rPr>
        <w:t>O’Brien and Garner (2001) raises their concerns about the poor uncertainty of contracts for teaching assistants and the poor pay that is offered to such hardworking staff.  It brings into question the dedication that the TAs bring to the role of providing support and education for very complex and challenging needs.</w:t>
      </w:r>
    </w:p>
    <w:p w14:paraId="2D70CDD5" w14:textId="2D96FA88" w:rsidR="1CB1F360" w:rsidRDefault="1CB1F360" w:rsidP="1CB1F360">
      <w:pPr>
        <w:spacing w:line="360" w:lineRule="auto"/>
        <w:rPr>
          <w:rFonts w:ascii="Arial" w:eastAsia="Arial" w:hAnsi="Arial" w:cs="Arial"/>
          <w:sz w:val="24"/>
          <w:szCs w:val="24"/>
        </w:rPr>
      </w:pPr>
    </w:p>
    <w:p w14:paraId="38A9EF3B" w14:textId="405E7217" w:rsidR="1CB1F360" w:rsidRDefault="1CB1F360" w:rsidP="1CB1F360">
      <w:pPr>
        <w:spacing w:line="360" w:lineRule="auto"/>
        <w:rPr>
          <w:rFonts w:ascii="Arial" w:eastAsia="Arial" w:hAnsi="Arial" w:cs="Arial"/>
          <w:sz w:val="24"/>
          <w:szCs w:val="24"/>
        </w:rPr>
      </w:pPr>
      <w:r w:rsidRPr="1CB1F360">
        <w:rPr>
          <w:rFonts w:ascii="Arial" w:eastAsia="Arial" w:hAnsi="Arial" w:cs="Arial"/>
          <w:color w:val="595959" w:themeColor="text1" w:themeTint="A6"/>
          <w:sz w:val="24"/>
          <w:szCs w:val="24"/>
        </w:rPr>
        <w:t>It is refreshing to get a clear down to earth version of what it is really like to work as a TA.   In the article, Mackenzie writes about the hugely important part that the teaching assistant brings to the role and the importance to the children.</w:t>
      </w:r>
    </w:p>
    <w:p w14:paraId="55109384" w14:textId="32CB7E42" w:rsidR="1CB1F360" w:rsidRDefault="1CB1F360" w:rsidP="1CB1F360">
      <w:pPr>
        <w:spacing w:line="360" w:lineRule="auto"/>
        <w:rPr>
          <w:rFonts w:ascii="Arial" w:eastAsia="Arial" w:hAnsi="Arial" w:cs="Arial"/>
          <w:sz w:val="24"/>
          <w:szCs w:val="24"/>
        </w:rPr>
      </w:pPr>
      <w:r w:rsidRPr="1CB1F360">
        <w:rPr>
          <w:rFonts w:ascii="Arial" w:eastAsia="Arial" w:hAnsi="Arial" w:cs="Arial"/>
          <w:i/>
          <w:iCs/>
          <w:color w:val="595959" w:themeColor="text1" w:themeTint="A6"/>
          <w:sz w:val="24"/>
          <w:szCs w:val="24"/>
        </w:rPr>
        <w:t xml:space="preserve"> </w:t>
      </w:r>
    </w:p>
    <w:p w14:paraId="38DE5387" w14:textId="007F1069" w:rsidR="1CB1F360" w:rsidRDefault="1CB1F360" w:rsidP="1CB1F360">
      <w:pPr>
        <w:spacing w:line="360" w:lineRule="auto"/>
        <w:rPr>
          <w:rFonts w:ascii="Arial" w:eastAsia="Arial" w:hAnsi="Arial" w:cs="Arial"/>
          <w:sz w:val="24"/>
          <w:szCs w:val="24"/>
        </w:rPr>
      </w:pPr>
      <w:r w:rsidRPr="1CB1F360">
        <w:rPr>
          <w:rFonts w:ascii="Arial" w:eastAsia="Arial" w:hAnsi="Arial" w:cs="Arial"/>
          <w:i/>
          <w:iCs/>
          <w:color w:val="595959" w:themeColor="text1" w:themeTint="A6"/>
          <w:sz w:val="24"/>
          <w:szCs w:val="24"/>
        </w:rPr>
        <w:t xml:space="preserve"> </w:t>
      </w:r>
      <w:r w:rsidRPr="1CB1F360">
        <w:rPr>
          <w:rFonts w:ascii="Arial" w:eastAsia="Arial" w:hAnsi="Arial" w:cs="Arial"/>
          <w:color w:val="595959" w:themeColor="text1" w:themeTint="A6"/>
          <w:sz w:val="24"/>
          <w:szCs w:val="24"/>
        </w:rPr>
        <w:t>According to (O’Brien and Garner, 2001</w:t>
      </w:r>
      <w:proofErr w:type="gramStart"/>
      <w:r w:rsidRPr="1CB1F360">
        <w:rPr>
          <w:rFonts w:ascii="Arial" w:eastAsia="Arial" w:hAnsi="Arial" w:cs="Arial"/>
          <w:color w:val="595959" w:themeColor="text1" w:themeTint="A6"/>
          <w:sz w:val="24"/>
          <w:szCs w:val="24"/>
        </w:rPr>
        <w:t>,p.4</w:t>
      </w:r>
      <w:proofErr w:type="gramEnd"/>
      <w:r w:rsidRPr="1CB1F360">
        <w:rPr>
          <w:rFonts w:ascii="Arial" w:eastAsia="Arial" w:hAnsi="Arial" w:cs="Arial"/>
          <w:color w:val="595959" w:themeColor="text1" w:themeTint="A6"/>
          <w:sz w:val="24"/>
          <w:szCs w:val="24"/>
        </w:rPr>
        <w:t>) it states that the teaching assistants felt undervalued and often forgotten about when there are discussions about the inclusion of the child.  At best, the teaching assistant knows the child more than the teacher/</w:t>
      </w:r>
      <w:proofErr w:type="spellStart"/>
      <w:r w:rsidRPr="1CB1F360">
        <w:rPr>
          <w:rFonts w:ascii="Arial" w:eastAsia="Arial" w:hAnsi="Arial" w:cs="Arial"/>
          <w:color w:val="595959" w:themeColor="text1" w:themeTint="A6"/>
          <w:sz w:val="24"/>
          <w:szCs w:val="24"/>
        </w:rPr>
        <w:t>Senco</w:t>
      </w:r>
      <w:proofErr w:type="spellEnd"/>
      <w:r w:rsidRPr="1CB1F360">
        <w:rPr>
          <w:rFonts w:ascii="Arial" w:eastAsia="Arial" w:hAnsi="Arial" w:cs="Arial"/>
          <w:color w:val="595959" w:themeColor="text1" w:themeTint="A6"/>
          <w:sz w:val="24"/>
          <w:szCs w:val="24"/>
        </w:rPr>
        <w:t xml:space="preserve"> and should therefore be more involved in the planning (Hammett and Burton, 2005).</w:t>
      </w:r>
    </w:p>
    <w:p w14:paraId="4B7E7606" w14:textId="71BCAC95" w:rsidR="1CB1F360" w:rsidRDefault="1CB1F360" w:rsidP="1CB1F360">
      <w:pPr>
        <w:spacing w:line="360" w:lineRule="auto"/>
        <w:rPr>
          <w:rFonts w:ascii="Arial" w:eastAsia="Arial" w:hAnsi="Arial" w:cs="Arial"/>
          <w:sz w:val="24"/>
          <w:szCs w:val="24"/>
        </w:rPr>
      </w:pPr>
    </w:p>
    <w:p w14:paraId="4099B4C3" w14:textId="2C73AFD8" w:rsidR="1CB1F360" w:rsidRDefault="1CB1F360" w:rsidP="1CB1F360">
      <w:pPr>
        <w:spacing w:line="360" w:lineRule="auto"/>
        <w:rPr>
          <w:rFonts w:ascii="Arial" w:eastAsia="Arial" w:hAnsi="Arial" w:cs="Arial"/>
          <w:sz w:val="24"/>
          <w:szCs w:val="24"/>
        </w:rPr>
      </w:pPr>
      <w:r w:rsidRPr="1CB1F360">
        <w:rPr>
          <w:rFonts w:ascii="Arial" w:eastAsia="Arial" w:hAnsi="Arial" w:cs="Arial"/>
          <w:color w:val="595959" w:themeColor="text1" w:themeTint="A6"/>
          <w:sz w:val="24"/>
          <w:szCs w:val="24"/>
        </w:rPr>
        <w:t xml:space="preserve">All the TAs interviewed in the article are very similar in that they are all studying or have studied.  Some of the TAs started in special education due to family members having a SEN need, so were wiser and more experienced to what the role entailed.  Also, the TAs mostly felt that the teacher often didn’t have a good understanding of inclusion for children with additional learning needs.  The TAs were on times very negative about their job, often referring to the teacher not actually including the child.  Although it was very clear that all the TAs enjoyed working with the children even though they did not necessarily agree with some of the decisions made by the teachers.  </w:t>
      </w:r>
    </w:p>
    <w:p w14:paraId="4787FBFB" w14:textId="3359C85B" w:rsidR="1CB1F360" w:rsidRDefault="1CB1F360" w:rsidP="1CB1F360">
      <w:pPr>
        <w:spacing w:line="360" w:lineRule="auto"/>
        <w:rPr>
          <w:rFonts w:ascii="Arial" w:eastAsia="Arial" w:hAnsi="Arial" w:cs="Arial"/>
          <w:sz w:val="24"/>
          <w:szCs w:val="24"/>
        </w:rPr>
      </w:pPr>
    </w:p>
    <w:p w14:paraId="019A3737" w14:textId="70EDB3E4" w:rsidR="1CB1F360" w:rsidRDefault="1CB1F360" w:rsidP="1CB1F360">
      <w:pPr>
        <w:spacing w:line="360" w:lineRule="auto"/>
        <w:rPr>
          <w:rFonts w:ascii="Arial" w:eastAsia="Arial" w:hAnsi="Arial" w:cs="Arial"/>
          <w:sz w:val="24"/>
          <w:szCs w:val="24"/>
        </w:rPr>
      </w:pPr>
      <w:r w:rsidRPr="1CB1F360">
        <w:rPr>
          <w:rFonts w:ascii="Arial" w:eastAsia="Arial" w:hAnsi="Arial" w:cs="Arial"/>
          <w:color w:val="595959" w:themeColor="text1" w:themeTint="A6"/>
          <w:sz w:val="24"/>
          <w:szCs w:val="24"/>
        </w:rPr>
        <w:t xml:space="preserve">The TAs all talked about the lack of training that they and the teachers had with working inclusively with the children in mainstream education.  Jill stated that the </w:t>
      </w:r>
      <w:proofErr w:type="spellStart"/>
      <w:r w:rsidRPr="1CB1F360">
        <w:rPr>
          <w:rFonts w:ascii="Arial" w:eastAsia="Arial" w:hAnsi="Arial" w:cs="Arial"/>
          <w:color w:val="595959" w:themeColor="text1" w:themeTint="A6"/>
          <w:sz w:val="24"/>
          <w:szCs w:val="24"/>
        </w:rPr>
        <w:t>Senco</w:t>
      </w:r>
      <w:proofErr w:type="spellEnd"/>
      <w:r w:rsidRPr="1CB1F360">
        <w:rPr>
          <w:rFonts w:ascii="Arial" w:eastAsia="Arial" w:hAnsi="Arial" w:cs="Arial"/>
          <w:color w:val="595959" w:themeColor="text1" w:themeTint="A6"/>
          <w:sz w:val="24"/>
          <w:szCs w:val="24"/>
        </w:rPr>
        <w:t xml:space="preserve"> role was seen as just </w:t>
      </w:r>
      <w:proofErr w:type="gramStart"/>
      <w:r w:rsidRPr="1CB1F360">
        <w:rPr>
          <w:rFonts w:ascii="Arial" w:eastAsia="Arial" w:hAnsi="Arial" w:cs="Arial"/>
          <w:color w:val="595959" w:themeColor="text1" w:themeTint="A6"/>
          <w:sz w:val="24"/>
          <w:szCs w:val="24"/>
        </w:rPr>
        <w:t>‘ a</w:t>
      </w:r>
      <w:proofErr w:type="gramEnd"/>
      <w:r w:rsidRPr="1CB1F360">
        <w:rPr>
          <w:rFonts w:ascii="Arial" w:eastAsia="Arial" w:hAnsi="Arial" w:cs="Arial"/>
          <w:color w:val="595959" w:themeColor="text1" w:themeTint="A6"/>
          <w:sz w:val="24"/>
          <w:szCs w:val="24"/>
        </w:rPr>
        <w:t xml:space="preserve"> label … a bit of a badge’ and was carried out  without </w:t>
      </w:r>
      <w:r w:rsidRPr="1CB1F360">
        <w:rPr>
          <w:rFonts w:ascii="Arial" w:eastAsia="Arial" w:hAnsi="Arial" w:cs="Arial"/>
          <w:color w:val="595959" w:themeColor="text1" w:themeTint="A6"/>
          <w:sz w:val="24"/>
          <w:szCs w:val="24"/>
        </w:rPr>
        <w:lastRenderedPageBreak/>
        <w:t>the required knowledge and training needed for the role.  She highlights that because of the league tables that need to be reached, children with educational needs suffer because of the lack of time given to support these children.  Jill also implied that young, inexperienced SENCO’s were often pushed into the role, without really knowing how to carry out the role as it should be, also she stated that male TA’s were in the minority and that female TA’s were more approachable especially around young children.</w:t>
      </w:r>
    </w:p>
    <w:p w14:paraId="57B48980" w14:textId="69529DC0" w:rsidR="1CB1F360" w:rsidRDefault="1CB1F360" w:rsidP="1CB1F360">
      <w:pPr>
        <w:spacing w:line="360" w:lineRule="auto"/>
        <w:rPr>
          <w:rFonts w:ascii="Arial" w:eastAsia="Arial" w:hAnsi="Arial" w:cs="Arial"/>
          <w:sz w:val="24"/>
          <w:szCs w:val="24"/>
        </w:rPr>
      </w:pPr>
    </w:p>
    <w:p w14:paraId="52D759C4" w14:textId="1CCBF17F" w:rsidR="1CB1F360" w:rsidRDefault="1CB1F360" w:rsidP="1CB1F360">
      <w:pPr>
        <w:spacing w:line="360" w:lineRule="auto"/>
        <w:jc w:val="both"/>
        <w:rPr>
          <w:rFonts w:ascii="Arial" w:eastAsia="Arial" w:hAnsi="Arial" w:cs="Arial"/>
          <w:sz w:val="24"/>
          <w:szCs w:val="24"/>
        </w:rPr>
      </w:pPr>
      <w:r w:rsidRPr="1CB1F360">
        <w:rPr>
          <w:rFonts w:ascii="Arial" w:eastAsia="Arial" w:hAnsi="Arial" w:cs="Arial"/>
          <w:color w:val="595959" w:themeColor="text1" w:themeTint="A6"/>
          <w:sz w:val="24"/>
          <w:szCs w:val="24"/>
        </w:rPr>
        <w:t>According to Jane Davidson AM for the Welsh Assembly Government and Minister for Education and Lifelong Learning, she states that the SEN Code of Practice for Wales will assist in improving the educational experience of children who have special educational needs, whether they have a statement or not.   This Code is all about removing barriers to participation and learning. The key principle is that children with special educational needs should have their needs met. Providing effective support for children with special educational needs is an essential feature of effective schools’</w:t>
      </w:r>
      <w:proofErr w:type="gramStart"/>
      <w:r w:rsidRPr="1CB1F360">
        <w:rPr>
          <w:rFonts w:ascii="Arial" w:eastAsia="Arial" w:hAnsi="Arial" w:cs="Arial"/>
          <w:color w:val="595959" w:themeColor="text1" w:themeTint="A6"/>
          <w:sz w:val="24"/>
          <w:szCs w:val="24"/>
        </w:rPr>
        <w:t>.(</w:t>
      </w:r>
      <w:proofErr w:type="gramEnd"/>
      <w:r w:rsidRPr="1CB1F360">
        <w:rPr>
          <w:rFonts w:ascii="Arial" w:eastAsia="Arial" w:hAnsi="Arial" w:cs="Arial"/>
          <w:color w:val="595959" w:themeColor="text1" w:themeTint="A6"/>
          <w:sz w:val="24"/>
          <w:szCs w:val="24"/>
        </w:rPr>
        <w:t>Special Educational Needs Code of Practice Wales pdf/2018).</w:t>
      </w:r>
    </w:p>
    <w:p w14:paraId="2352F157" w14:textId="70A31DCE" w:rsidR="1CB1F360" w:rsidRDefault="1CB1F360" w:rsidP="1CB1F360">
      <w:pPr>
        <w:spacing w:line="360" w:lineRule="auto"/>
        <w:jc w:val="both"/>
        <w:rPr>
          <w:rFonts w:ascii="Arial" w:eastAsia="Arial" w:hAnsi="Arial" w:cs="Arial"/>
          <w:sz w:val="24"/>
          <w:szCs w:val="24"/>
        </w:rPr>
      </w:pPr>
    </w:p>
    <w:p w14:paraId="60FA6C47" w14:textId="102EB064" w:rsidR="1CB1F360" w:rsidRDefault="1CB1F360" w:rsidP="1CB1F360">
      <w:pPr>
        <w:spacing w:line="360" w:lineRule="auto"/>
        <w:jc w:val="both"/>
        <w:rPr>
          <w:rFonts w:ascii="Arial" w:eastAsia="Arial" w:hAnsi="Arial" w:cs="Arial"/>
          <w:sz w:val="24"/>
          <w:szCs w:val="24"/>
        </w:rPr>
      </w:pPr>
      <w:r w:rsidRPr="1CB1F360">
        <w:rPr>
          <w:rFonts w:ascii="Arial" w:eastAsia="Arial" w:hAnsi="Arial" w:cs="Arial"/>
          <w:color w:val="595959" w:themeColor="text1" w:themeTint="A6"/>
          <w:sz w:val="24"/>
          <w:szCs w:val="24"/>
        </w:rPr>
        <w:t>Another TA, Jane, stated that there was a great lack of communication between herself (the TA) and the teacher, she also complained of the lack of lesson planning for her and she often had to “think on your feet”, she was also grieved about often not being in the classroom during an introduction due to a peripatetic way of working.  She also highlighted the tensions often felt with the hierarchies of TA’s, often working in catty environments being female led.  Despite these problems, Jane loved her job and the difference her input made to the children.</w:t>
      </w:r>
    </w:p>
    <w:p w14:paraId="05D9EA6F" w14:textId="02EE9410" w:rsidR="1CB1F360" w:rsidRDefault="1CB1F360" w:rsidP="1CB1F360">
      <w:pPr>
        <w:spacing w:line="360" w:lineRule="auto"/>
        <w:jc w:val="both"/>
        <w:rPr>
          <w:rFonts w:ascii="Arial" w:eastAsia="Arial" w:hAnsi="Arial" w:cs="Arial"/>
          <w:sz w:val="24"/>
          <w:szCs w:val="24"/>
        </w:rPr>
      </w:pPr>
    </w:p>
    <w:p w14:paraId="716BED82" w14:textId="2F094F65" w:rsidR="1CB1F360" w:rsidRDefault="1CB1F360" w:rsidP="1CB1F360">
      <w:pPr>
        <w:spacing w:line="360" w:lineRule="auto"/>
        <w:jc w:val="both"/>
        <w:rPr>
          <w:rFonts w:ascii="Arial" w:eastAsia="Arial" w:hAnsi="Arial" w:cs="Arial"/>
          <w:sz w:val="24"/>
          <w:szCs w:val="24"/>
        </w:rPr>
      </w:pPr>
      <w:r w:rsidRPr="1CB1F360">
        <w:rPr>
          <w:rFonts w:ascii="Arial" w:eastAsia="Arial" w:hAnsi="Arial" w:cs="Arial"/>
          <w:color w:val="595959" w:themeColor="text1" w:themeTint="A6"/>
          <w:sz w:val="24"/>
          <w:szCs w:val="24"/>
        </w:rPr>
        <w:t>Angela, a TA with children with emotional and behaviour needs, states that she is often seen as an “extra pair of hands”, she also complains that teachers could not meet the needs of children with emotional and behavioural problems and just put behaviour down to just naughtiness!  As did Jill, Angela states that SENCOs are just mainly working their way up the ladder, often hiding away from the classroom and being unavailable when needed for guidance and advice.</w:t>
      </w:r>
    </w:p>
    <w:p w14:paraId="03D84CB4" w14:textId="13D742E1" w:rsidR="1CB1F360" w:rsidRDefault="1CB1F360" w:rsidP="1CB1F360">
      <w:pPr>
        <w:spacing w:line="360" w:lineRule="auto"/>
        <w:jc w:val="both"/>
        <w:rPr>
          <w:rFonts w:ascii="Arial" w:eastAsia="Arial" w:hAnsi="Arial" w:cs="Arial"/>
          <w:sz w:val="24"/>
          <w:szCs w:val="24"/>
        </w:rPr>
      </w:pPr>
    </w:p>
    <w:p w14:paraId="6863F6B4" w14:textId="1A6460F7" w:rsidR="1CB1F360" w:rsidRDefault="1CB1F360" w:rsidP="1CB1F360">
      <w:pPr>
        <w:spacing w:line="360" w:lineRule="auto"/>
        <w:jc w:val="both"/>
        <w:rPr>
          <w:rFonts w:ascii="Arial" w:eastAsia="Arial" w:hAnsi="Arial" w:cs="Arial"/>
          <w:sz w:val="24"/>
          <w:szCs w:val="24"/>
        </w:rPr>
      </w:pPr>
    </w:p>
    <w:p w14:paraId="5B33D3BB" w14:textId="28A46363" w:rsidR="1CB1F360" w:rsidRDefault="1CB1F360" w:rsidP="1CB1F360">
      <w:pPr>
        <w:spacing w:line="360" w:lineRule="auto"/>
        <w:jc w:val="both"/>
        <w:rPr>
          <w:rFonts w:ascii="Arial" w:eastAsia="Arial" w:hAnsi="Arial" w:cs="Arial"/>
          <w:sz w:val="24"/>
          <w:szCs w:val="24"/>
        </w:rPr>
      </w:pPr>
    </w:p>
    <w:p w14:paraId="63CBF946" w14:textId="250A8BA0" w:rsidR="1CB1F360" w:rsidRDefault="1CB1F360" w:rsidP="1CB1F360">
      <w:pPr>
        <w:spacing w:line="360" w:lineRule="auto"/>
        <w:jc w:val="both"/>
        <w:rPr>
          <w:rFonts w:ascii="Arial" w:eastAsia="Arial" w:hAnsi="Arial" w:cs="Arial"/>
          <w:sz w:val="24"/>
          <w:szCs w:val="24"/>
        </w:rPr>
      </w:pPr>
      <w:r w:rsidRPr="1CB1F360">
        <w:rPr>
          <w:rFonts w:ascii="Arial" w:eastAsia="Arial" w:hAnsi="Arial" w:cs="Arial"/>
          <w:color w:val="595959" w:themeColor="text1" w:themeTint="A6"/>
          <w:sz w:val="24"/>
          <w:szCs w:val="24"/>
        </w:rPr>
        <w:t xml:space="preserve">According to the Welsh Government the role of the </w:t>
      </w:r>
      <w:proofErr w:type="spellStart"/>
      <w:r w:rsidRPr="1CB1F360">
        <w:rPr>
          <w:rFonts w:ascii="Arial" w:eastAsia="Arial" w:hAnsi="Arial" w:cs="Arial"/>
          <w:color w:val="595959" w:themeColor="text1" w:themeTint="A6"/>
          <w:sz w:val="24"/>
          <w:szCs w:val="24"/>
        </w:rPr>
        <w:t>Senco</w:t>
      </w:r>
      <w:proofErr w:type="spellEnd"/>
      <w:r w:rsidRPr="1CB1F360">
        <w:rPr>
          <w:rFonts w:ascii="Arial" w:eastAsia="Arial" w:hAnsi="Arial" w:cs="Arial"/>
          <w:color w:val="595959" w:themeColor="text1" w:themeTint="A6"/>
          <w:sz w:val="24"/>
          <w:szCs w:val="24"/>
        </w:rPr>
        <w:t xml:space="preserve"> is:</w:t>
      </w:r>
    </w:p>
    <w:p w14:paraId="22600354" w14:textId="71204DC0" w:rsidR="1CB1F360" w:rsidRDefault="1CB1F360" w:rsidP="1CB1F360">
      <w:pPr>
        <w:spacing w:line="360" w:lineRule="auto"/>
        <w:jc w:val="both"/>
        <w:rPr>
          <w:rFonts w:ascii="Arial" w:eastAsia="Arial" w:hAnsi="Arial" w:cs="Arial"/>
          <w:sz w:val="24"/>
          <w:szCs w:val="24"/>
        </w:rPr>
      </w:pPr>
      <w:r w:rsidRPr="1CB1F360">
        <w:rPr>
          <w:rFonts w:ascii="Arial" w:eastAsia="Arial" w:hAnsi="Arial" w:cs="Arial"/>
          <w:color w:val="595959" w:themeColor="text1" w:themeTint="A6"/>
          <w:sz w:val="24"/>
          <w:szCs w:val="24"/>
        </w:rPr>
        <w:t xml:space="preserve"> The SENCO is the individual with overall responsibility for ensuring the coordination of provision for all learners with SEN within the school is undertaken. The role should be viewed in the same light as other strategic roles undertaken within the school. The SENCO, working closely with the </w:t>
      </w:r>
      <w:proofErr w:type="spellStart"/>
      <w:r w:rsidRPr="1CB1F360">
        <w:rPr>
          <w:rFonts w:ascii="Arial" w:eastAsia="Arial" w:hAnsi="Arial" w:cs="Arial"/>
          <w:color w:val="595959" w:themeColor="text1" w:themeTint="A6"/>
          <w:sz w:val="24"/>
          <w:szCs w:val="24"/>
        </w:rPr>
        <w:t>headteacher</w:t>
      </w:r>
      <w:proofErr w:type="spellEnd"/>
      <w:r w:rsidRPr="1CB1F360">
        <w:rPr>
          <w:rFonts w:ascii="Arial" w:eastAsia="Arial" w:hAnsi="Arial" w:cs="Arial"/>
          <w:color w:val="595959" w:themeColor="text1" w:themeTint="A6"/>
          <w:sz w:val="24"/>
          <w:szCs w:val="24"/>
        </w:rPr>
        <w:t>, senior management and fellow teachers, should be closely involved in the strategic development of SEN policy and provision. The SENCO has responsibility for day-to-day operation of the education setting’s SEN policy and for coordinating provision for learners with SEN, particularly through School Action and School Action Plus. (Welsh Government 2018).</w:t>
      </w:r>
    </w:p>
    <w:p w14:paraId="393037D5" w14:textId="396FB18E" w:rsidR="1CB1F360" w:rsidRDefault="1CB1F360" w:rsidP="1CB1F360">
      <w:pPr>
        <w:spacing w:line="360" w:lineRule="auto"/>
        <w:jc w:val="both"/>
        <w:rPr>
          <w:rFonts w:ascii="Arial" w:eastAsia="Arial" w:hAnsi="Arial" w:cs="Arial"/>
          <w:sz w:val="24"/>
          <w:szCs w:val="24"/>
        </w:rPr>
      </w:pPr>
    </w:p>
    <w:p w14:paraId="6ED3394A" w14:textId="307778C9" w:rsidR="1CB1F360" w:rsidRDefault="1CB1F360" w:rsidP="1CB1F360">
      <w:pPr>
        <w:spacing w:line="360" w:lineRule="auto"/>
        <w:jc w:val="both"/>
        <w:rPr>
          <w:rFonts w:ascii="Arial" w:eastAsia="Arial" w:hAnsi="Arial" w:cs="Arial"/>
          <w:sz w:val="24"/>
          <w:szCs w:val="24"/>
        </w:rPr>
      </w:pPr>
      <w:r w:rsidRPr="1CB1F360">
        <w:rPr>
          <w:rFonts w:ascii="Arial" w:eastAsia="Arial" w:hAnsi="Arial" w:cs="Arial"/>
          <w:color w:val="595959" w:themeColor="text1" w:themeTint="A6"/>
          <w:sz w:val="24"/>
          <w:szCs w:val="24"/>
        </w:rPr>
        <w:t>According to (Article 23) UNCRC, it states that all children has a right to special education and care if you have a disability in order to live a full life</w:t>
      </w:r>
    </w:p>
    <w:p w14:paraId="3CDFCBAE" w14:textId="3414E5C7" w:rsidR="1CB1F360" w:rsidRDefault="1CB1F360" w:rsidP="1CB1F360">
      <w:pPr>
        <w:spacing w:line="360" w:lineRule="auto"/>
        <w:jc w:val="both"/>
        <w:rPr>
          <w:rFonts w:ascii="Arial" w:eastAsia="Arial" w:hAnsi="Arial" w:cs="Arial"/>
          <w:sz w:val="24"/>
          <w:szCs w:val="24"/>
        </w:rPr>
      </w:pPr>
    </w:p>
    <w:p w14:paraId="102FCF69" w14:textId="2846DC33" w:rsidR="1CB1F360" w:rsidRDefault="1CB1F360" w:rsidP="1CB1F360">
      <w:pPr>
        <w:spacing w:line="360" w:lineRule="auto"/>
        <w:jc w:val="both"/>
        <w:rPr>
          <w:rFonts w:ascii="Arial" w:eastAsia="Arial" w:hAnsi="Arial" w:cs="Arial"/>
          <w:sz w:val="24"/>
          <w:szCs w:val="24"/>
        </w:rPr>
      </w:pPr>
      <w:r w:rsidRPr="1CB1F360">
        <w:rPr>
          <w:rFonts w:ascii="Arial" w:eastAsia="Arial" w:hAnsi="Arial" w:cs="Arial"/>
          <w:color w:val="595959" w:themeColor="text1" w:themeTint="A6"/>
          <w:sz w:val="24"/>
          <w:szCs w:val="24"/>
        </w:rPr>
        <w:t>In conclusion to the various statements and comments above, I think that most of the TA’s although having some grievances about their roles, were very happy in their job supporting the children with additional learning needs and found their job rewarding and fulfilling. However, even though they supported inclusive education in mainstream school, they did not feel it was always implemented fully.</w:t>
      </w:r>
    </w:p>
    <w:p w14:paraId="1FCA01C9" w14:textId="389F6E17" w:rsidR="1CB1F360" w:rsidRDefault="1CB1F360" w:rsidP="1CB1F360">
      <w:pPr>
        <w:spacing w:line="360" w:lineRule="auto"/>
        <w:jc w:val="both"/>
        <w:rPr>
          <w:rFonts w:ascii="Arial" w:eastAsia="Arial" w:hAnsi="Arial" w:cs="Arial"/>
          <w:sz w:val="24"/>
          <w:szCs w:val="24"/>
        </w:rPr>
      </w:pPr>
    </w:p>
    <w:p w14:paraId="4BF8C208" w14:textId="28F82428" w:rsidR="1CB1F360" w:rsidRDefault="1CB1F360" w:rsidP="1CB1F360">
      <w:pPr>
        <w:spacing w:line="360" w:lineRule="auto"/>
        <w:jc w:val="both"/>
        <w:rPr>
          <w:rFonts w:ascii="Arial" w:eastAsia="Arial" w:hAnsi="Arial" w:cs="Arial"/>
          <w:sz w:val="24"/>
          <w:szCs w:val="24"/>
        </w:rPr>
      </w:pPr>
    </w:p>
    <w:p w14:paraId="2F6C1521" w14:textId="041BDF32" w:rsidR="1CB1F360" w:rsidRDefault="1CB1F360" w:rsidP="1CB1F360">
      <w:pPr>
        <w:spacing w:line="360" w:lineRule="auto"/>
        <w:jc w:val="both"/>
        <w:rPr>
          <w:rFonts w:ascii="Arial" w:eastAsia="Arial" w:hAnsi="Arial" w:cs="Arial"/>
          <w:sz w:val="24"/>
          <w:szCs w:val="24"/>
        </w:rPr>
      </w:pPr>
    </w:p>
    <w:p w14:paraId="75F33ECC" w14:textId="157378C8" w:rsidR="1CB1F360" w:rsidRDefault="1CB1F360" w:rsidP="1CB1F360">
      <w:pPr>
        <w:spacing w:line="360" w:lineRule="auto"/>
        <w:jc w:val="both"/>
        <w:rPr>
          <w:rFonts w:ascii="Arial" w:eastAsia="Arial" w:hAnsi="Arial" w:cs="Arial"/>
          <w:sz w:val="24"/>
          <w:szCs w:val="24"/>
        </w:rPr>
      </w:pPr>
    </w:p>
    <w:p w14:paraId="6FFE41B1" w14:textId="026C9F5D" w:rsidR="1CB1F360" w:rsidRDefault="1CB1F360" w:rsidP="1CB1F360">
      <w:pPr>
        <w:spacing w:line="360" w:lineRule="auto"/>
        <w:jc w:val="both"/>
        <w:rPr>
          <w:rFonts w:ascii="Arial" w:eastAsia="Arial" w:hAnsi="Arial" w:cs="Arial"/>
          <w:sz w:val="24"/>
          <w:szCs w:val="24"/>
        </w:rPr>
      </w:pPr>
    </w:p>
    <w:p w14:paraId="1D823978" w14:textId="6D8E62BA" w:rsidR="1CB1F360" w:rsidRDefault="1CB1F360" w:rsidP="1CB1F360">
      <w:pPr>
        <w:spacing w:line="360" w:lineRule="auto"/>
        <w:jc w:val="both"/>
        <w:rPr>
          <w:rFonts w:ascii="Arial" w:eastAsia="Arial" w:hAnsi="Arial" w:cs="Arial"/>
          <w:sz w:val="24"/>
          <w:szCs w:val="24"/>
        </w:rPr>
      </w:pPr>
    </w:p>
    <w:p w14:paraId="759BF991" w14:textId="511101A6" w:rsidR="1CB1F360" w:rsidRDefault="1CB1F360" w:rsidP="1CB1F360">
      <w:pPr>
        <w:spacing w:line="360" w:lineRule="auto"/>
        <w:jc w:val="both"/>
        <w:rPr>
          <w:rFonts w:ascii="Arial" w:eastAsia="Arial" w:hAnsi="Arial" w:cs="Arial"/>
          <w:sz w:val="24"/>
          <w:szCs w:val="24"/>
        </w:rPr>
      </w:pPr>
    </w:p>
    <w:p w14:paraId="138E1629" w14:textId="2160FED5" w:rsidR="1CB1F360" w:rsidRDefault="1CB1F360" w:rsidP="1CB1F360">
      <w:pPr>
        <w:spacing w:line="360" w:lineRule="auto"/>
        <w:jc w:val="both"/>
        <w:rPr>
          <w:rFonts w:ascii="Arial" w:eastAsia="Arial" w:hAnsi="Arial" w:cs="Arial"/>
          <w:sz w:val="24"/>
          <w:szCs w:val="24"/>
        </w:rPr>
      </w:pPr>
    </w:p>
    <w:p w14:paraId="75932782" w14:textId="17D2ABD4" w:rsidR="1CB1F360" w:rsidRDefault="1CB1F360" w:rsidP="1CB1F360">
      <w:pPr>
        <w:spacing w:line="360" w:lineRule="auto"/>
        <w:jc w:val="both"/>
        <w:rPr>
          <w:rFonts w:ascii="Arial" w:eastAsia="Arial" w:hAnsi="Arial" w:cs="Arial"/>
          <w:sz w:val="24"/>
          <w:szCs w:val="24"/>
        </w:rPr>
      </w:pPr>
    </w:p>
    <w:p w14:paraId="4665E9CC" w14:textId="404BB3AE" w:rsidR="1CB1F360" w:rsidRDefault="1CB1F360" w:rsidP="1CB1F360">
      <w:pPr>
        <w:spacing w:line="360" w:lineRule="auto"/>
        <w:jc w:val="both"/>
        <w:rPr>
          <w:rFonts w:ascii="Arial" w:eastAsia="Arial" w:hAnsi="Arial" w:cs="Arial"/>
          <w:sz w:val="24"/>
          <w:szCs w:val="24"/>
        </w:rPr>
      </w:pPr>
      <w:r w:rsidRPr="1CB1F360">
        <w:rPr>
          <w:rFonts w:ascii="Arial" w:eastAsia="Arial" w:hAnsi="Arial" w:cs="Arial"/>
          <w:color w:val="595959" w:themeColor="text1" w:themeTint="A6"/>
          <w:sz w:val="24"/>
          <w:szCs w:val="24"/>
        </w:rPr>
        <w:t>References</w:t>
      </w:r>
    </w:p>
    <w:p w14:paraId="0502A37F" w14:textId="044BE493" w:rsidR="1CB1F360" w:rsidRDefault="1CB1F360" w:rsidP="1CB1F360">
      <w:pPr>
        <w:spacing w:line="360" w:lineRule="auto"/>
        <w:jc w:val="both"/>
        <w:rPr>
          <w:rFonts w:ascii="Arial" w:eastAsia="Arial" w:hAnsi="Arial" w:cs="Arial"/>
          <w:sz w:val="24"/>
          <w:szCs w:val="24"/>
        </w:rPr>
      </w:pPr>
    </w:p>
    <w:p w14:paraId="23AB2D2A" w14:textId="412851F9" w:rsidR="1CB1F360" w:rsidRDefault="1CB1F360" w:rsidP="1CB1F360">
      <w:pPr>
        <w:spacing w:line="360" w:lineRule="auto"/>
        <w:jc w:val="both"/>
        <w:rPr>
          <w:rFonts w:ascii="Arial" w:eastAsia="Arial" w:hAnsi="Arial" w:cs="Arial"/>
          <w:sz w:val="24"/>
          <w:szCs w:val="24"/>
        </w:rPr>
      </w:pPr>
      <w:r w:rsidRPr="1CB1F360">
        <w:rPr>
          <w:rFonts w:ascii="Arial" w:eastAsia="Arial" w:hAnsi="Arial" w:cs="Arial"/>
          <w:color w:val="595959" w:themeColor="text1" w:themeTint="A6"/>
          <w:sz w:val="24"/>
          <w:szCs w:val="24"/>
        </w:rPr>
        <w:t xml:space="preserve">Blatchford et al (2009), Hammett and Burton, (2005), June Davidson AM Welsh Assembly Government (2018), O’Brien and Garner (2001), </w:t>
      </w:r>
      <w:proofErr w:type="spellStart"/>
      <w:r w:rsidRPr="1CB1F360">
        <w:rPr>
          <w:rFonts w:ascii="Arial" w:eastAsia="Arial" w:hAnsi="Arial" w:cs="Arial"/>
          <w:color w:val="595959" w:themeColor="text1" w:themeTint="A6"/>
          <w:sz w:val="24"/>
          <w:szCs w:val="24"/>
        </w:rPr>
        <w:t>SENCo</w:t>
      </w:r>
      <w:proofErr w:type="spellEnd"/>
      <w:r w:rsidRPr="1CB1F360">
        <w:rPr>
          <w:rFonts w:ascii="Arial" w:eastAsia="Arial" w:hAnsi="Arial" w:cs="Arial"/>
          <w:color w:val="595959" w:themeColor="text1" w:themeTint="A6"/>
          <w:sz w:val="24"/>
          <w:szCs w:val="24"/>
        </w:rPr>
        <w:t xml:space="preserve"> Code of Practice pdf/Welsh Government 2018, UN Convention on the Rights of the Child 1992.</w:t>
      </w:r>
    </w:p>
    <w:p w14:paraId="42FAA77C" w14:textId="55E5DCF0" w:rsidR="1CB1F360" w:rsidRDefault="1CB1F360" w:rsidP="1CB1F360">
      <w:pPr>
        <w:spacing w:line="360" w:lineRule="auto"/>
        <w:jc w:val="both"/>
        <w:rPr>
          <w:rFonts w:ascii="Arial" w:eastAsia="Arial" w:hAnsi="Arial" w:cs="Arial"/>
          <w:sz w:val="24"/>
          <w:szCs w:val="24"/>
        </w:rPr>
      </w:pPr>
    </w:p>
    <w:p w14:paraId="66E33DFD" w14:textId="7CBF0EBB" w:rsidR="1CB1F360" w:rsidRDefault="1CB1F360" w:rsidP="1CB1F360">
      <w:pPr>
        <w:spacing w:line="360" w:lineRule="auto"/>
        <w:jc w:val="both"/>
        <w:rPr>
          <w:rFonts w:ascii="Arial" w:eastAsia="Arial" w:hAnsi="Arial" w:cs="Arial"/>
          <w:sz w:val="24"/>
          <w:szCs w:val="24"/>
        </w:rPr>
      </w:pPr>
    </w:p>
    <w:p w14:paraId="2D2C6B87" w14:textId="54B5354C" w:rsidR="1CB1F360" w:rsidRDefault="1CB1F360" w:rsidP="1CB1F360">
      <w:pPr>
        <w:spacing w:line="360" w:lineRule="auto"/>
        <w:jc w:val="both"/>
        <w:rPr>
          <w:rFonts w:ascii="Arial" w:eastAsia="Arial" w:hAnsi="Arial" w:cs="Arial"/>
          <w:sz w:val="24"/>
          <w:szCs w:val="24"/>
        </w:rPr>
      </w:pPr>
    </w:p>
    <w:p w14:paraId="58E97012" w14:textId="78B70B21" w:rsidR="1CB1F360" w:rsidRDefault="1CB1F360" w:rsidP="1CB1F360">
      <w:pPr>
        <w:spacing w:line="360" w:lineRule="auto"/>
        <w:rPr>
          <w:rFonts w:ascii="Arial" w:eastAsia="Arial" w:hAnsi="Arial" w:cs="Arial"/>
          <w:sz w:val="24"/>
          <w:szCs w:val="24"/>
        </w:rPr>
      </w:pPr>
    </w:p>
    <w:p w14:paraId="75888DCD" w14:textId="1C97D566" w:rsidR="1CB1F360" w:rsidRDefault="1CB1F360" w:rsidP="1CB1F360">
      <w:pPr>
        <w:spacing w:line="360" w:lineRule="auto"/>
        <w:rPr>
          <w:rFonts w:ascii="Arial" w:eastAsia="Arial" w:hAnsi="Arial" w:cs="Arial"/>
          <w:sz w:val="24"/>
          <w:szCs w:val="24"/>
        </w:rPr>
      </w:pPr>
    </w:p>
    <w:p w14:paraId="25A02C62" w14:textId="2E4CFB61" w:rsidR="1CB1F360" w:rsidRDefault="1CB1F360" w:rsidP="1CB1F360">
      <w:pPr>
        <w:spacing w:line="360" w:lineRule="auto"/>
        <w:rPr>
          <w:rFonts w:ascii="Arial" w:eastAsia="Arial" w:hAnsi="Arial" w:cs="Arial"/>
          <w:sz w:val="24"/>
          <w:szCs w:val="24"/>
        </w:rPr>
      </w:pPr>
    </w:p>
    <w:p w14:paraId="67875FE3" w14:textId="4D720211" w:rsidR="1CB1F360" w:rsidRDefault="1CB1F360" w:rsidP="1CB1F360">
      <w:pPr>
        <w:spacing w:line="360" w:lineRule="auto"/>
        <w:rPr>
          <w:rFonts w:ascii="Arial" w:eastAsia="Arial" w:hAnsi="Arial" w:cs="Arial"/>
          <w:sz w:val="24"/>
          <w:szCs w:val="24"/>
        </w:rPr>
      </w:pPr>
    </w:p>
    <w:p w14:paraId="6F173EA3" w14:textId="6520A43D" w:rsidR="1CB1F360" w:rsidRDefault="1CB1F360" w:rsidP="1CB1F360">
      <w:pPr>
        <w:spacing w:line="360" w:lineRule="auto"/>
        <w:rPr>
          <w:rFonts w:ascii="Arial" w:eastAsia="Arial" w:hAnsi="Arial" w:cs="Arial"/>
          <w:sz w:val="24"/>
          <w:szCs w:val="24"/>
        </w:rPr>
      </w:pPr>
    </w:p>
    <w:p w14:paraId="4575F8D2" w14:textId="3C5DBA1D" w:rsidR="1CB1F360" w:rsidRDefault="1CB1F360" w:rsidP="1CB1F360">
      <w:pPr>
        <w:spacing w:line="360" w:lineRule="auto"/>
        <w:rPr>
          <w:rFonts w:ascii="Arial" w:eastAsia="Arial" w:hAnsi="Arial" w:cs="Arial"/>
          <w:sz w:val="24"/>
          <w:szCs w:val="24"/>
        </w:rPr>
      </w:pPr>
    </w:p>
    <w:p w14:paraId="39CB0E3A" w14:textId="7FEF4EAE" w:rsidR="1CB1F360" w:rsidRDefault="1CB1F360" w:rsidP="1CB1F360">
      <w:pPr>
        <w:spacing w:line="360" w:lineRule="auto"/>
        <w:rPr>
          <w:rFonts w:ascii="Arial" w:eastAsia="Arial" w:hAnsi="Arial" w:cs="Arial"/>
          <w:sz w:val="24"/>
          <w:szCs w:val="24"/>
        </w:rPr>
      </w:pPr>
    </w:p>
    <w:p w14:paraId="36F183ED" w14:textId="72F5C51D" w:rsidR="1CB1F360" w:rsidRDefault="1CB1F360" w:rsidP="1CB1F360">
      <w:pPr>
        <w:spacing w:line="360" w:lineRule="auto"/>
        <w:rPr>
          <w:rFonts w:ascii="Arial" w:eastAsia="Arial" w:hAnsi="Arial" w:cs="Arial"/>
          <w:sz w:val="24"/>
          <w:szCs w:val="24"/>
        </w:rPr>
      </w:pPr>
    </w:p>
    <w:p w14:paraId="7F402D60" w14:textId="75A49BFA" w:rsidR="1CB1F360" w:rsidRDefault="1CB1F360" w:rsidP="1CB1F360">
      <w:pPr>
        <w:spacing w:line="360" w:lineRule="auto"/>
        <w:rPr>
          <w:rFonts w:ascii="Arial" w:eastAsia="Arial" w:hAnsi="Arial" w:cs="Arial"/>
          <w:sz w:val="24"/>
          <w:szCs w:val="24"/>
        </w:rPr>
      </w:pPr>
    </w:p>
    <w:p w14:paraId="1508C288" w14:textId="71AE7563" w:rsidR="1CB1F360" w:rsidRDefault="1CB1F360" w:rsidP="1CB1F360">
      <w:pPr>
        <w:spacing w:line="360" w:lineRule="auto"/>
        <w:rPr>
          <w:rFonts w:ascii="Arial" w:eastAsia="Arial" w:hAnsi="Arial" w:cs="Arial"/>
          <w:sz w:val="24"/>
          <w:szCs w:val="24"/>
        </w:rPr>
      </w:pPr>
    </w:p>
    <w:p w14:paraId="396FB966" w14:textId="553C054B" w:rsidR="6DA950ED" w:rsidRDefault="6DA950ED" w:rsidP="6DA950ED">
      <w:pPr>
        <w:spacing w:after="120" w:line="360" w:lineRule="auto"/>
        <w:rPr>
          <w:rFonts w:ascii="Arial" w:eastAsia="Arial" w:hAnsi="Arial" w:cs="Arial"/>
          <w:sz w:val="24"/>
          <w:szCs w:val="24"/>
        </w:rPr>
      </w:pPr>
    </w:p>
    <w:p w14:paraId="12173DDB" w14:textId="39253479" w:rsidR="6DA950ED" w:rsidRDefault="6DA950ED" w:rsidP="1CB1F360">
      <w:pPr>
        <w:spacing w:line="360" w:lineRule="auto"/>
        <w:rPr>
          <w:rFonts w:ascii="Arial" w:eastAsia="Arial" w:hAnsi="Arial" w:cs="Arial"/>
          <w:sz w:val="24"/>
          <w:szCs w:val="24"/>
        </w:rPr>
      </w:pPr>
    </w:p>
    <w:p w14:paraId="71EE0516" w14:textId="51B69755" w:rsidR="1CB1F360" w:rsidRDefault="1CB1F360" w:rsidP="1CB1F360">
      <w:pPr>
        <w:spacing w:line="360" w:lineRule="auto"/>
        <w:rPr>
          <w:rFonts w:ascii="Arial" w:eastAsia="Arial" w:hAnsi="Arial" w:cs="Arial"/>
          <w:sz w:val="24"/>
          <w:szCs w:val="24"/>
        </w:rPr>
      </w:pPr>
    </w:p>
    <w:p w14:paraId="39F627A1" w14:textId="7FA456AD" w:rsidR="1CB1F360" w:rsidRDefault="1CB1F360" w:rsidP="1CB1F360">
      <w:pPr>
        <w:spacing w:line="360" w:lineRule="auto"/>
        <w:rPr>
          <w:rFonts w:ascii="Arial" w:eastAsia="Arial" w:hAnsi="Arial" w:cs="Arial"/>
          <w:sz w:val="24"/>
          <w:szCs w:val="24"/>
        </w:rPr>
      </w:pPr>
    </w:p>
    <w:p w14:paraId="7A022596" w14:textId="43E3E7F8" w:rsidR="1CB1F360" w:rsidRDefault="1CB1F360" w:rsidP="1CB1F360">
      <w:pPr>
        <w:spacing w:line="360" w:lineRule="auto"/>
        <w:rPr>
          <w:rFonts w:ascii="Arial" w:eastAsia="Arial" w:hAnsi="Arial" w:cs="Arial"/>
          <w:sz w:val="24"/>
          <w:szCs w:val="24"/>
        </w:rPr>
      </w:pPr>
    </w:p>
    <w:p w14:paraId="6B44941D" w14:textId="5716CDB2" w:rsidR="1CB1F360" w:rsidRDefault="1CB1F360" w:rsidP="1CB1F360">
      <w:pPr>
        <w:spacing w:line="360" w:lineRule="auto"/>
        <w:rPr>
          <w:rFonts w:ascii="Arial" w:eastAsia="Arial" w:hAnsi="Arial" w:cs="Arial"/>
          <w:sz w:val="24"/>
          <w:szCs w:val="24"/>
        </w:rPr>
      </w:pPr>
    </w:p>
    <w:p w14:paraId="151E2ABA" w14:textId="7A9E9DB4" w:rsidR="1CB1F360" w:rsidRDefault="1CB1F360" w:rsidP="1CB1F360">
      <w:pPr>
        <w:spacing w:line="360" w:lineRule="auto"/>
        <w:rPr>
          <w:rFonts w:ascii="Arial" w:eastAsia="Arial" w:hAnsi="Arial" w:cs="Arial"/>
          <w:sz w:val="24"/>
          <w:szCs w:val="24"/>
        </w:rPr>
      </w:pPr>
    </w:p>
    <w:sectPr w:rsidR="1CB1F36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20964"/>
    <w:multiLevelType w:val="hybridMultilevel"/>
    <w:tmpl w:val="CBA64FC4"/>
    <w:lvl w:ilvl="0" w:tplc="A0CC5818">
      <w:start w:val="1"/>
      <w:numFmt w:val="decimal"/>
      <w:lvlText w:val="%1."/>
      <w:lvlJc w:val="left"/>
      <w:pPr>
        <w:ind w:left="720" w:hanging="360"/>
      </w:pPr>
    </w:lvl>
    <w:lvl w:ilvl="1" w:tplc="267CC7B4">
      <w:start w:val="1"/>
      <w:numFmt w:val="lowerLetter"/>
      <w:lvlText w:val="%2."/>
      <w:lvlJc w:val="left"/>
      <w:pPr>
        <w:ind w:left="1440" w:hanging="360"/>
      </w:pPr>
    </w:lvl>
    <w:lvl w:ilvl="2" w:tplc="C76C2754">
      <w:start w:val="1"/>
      <w:numFmt w:val="lowerRoman"/>
      <w:lvlText w:val="%3."/>
      <w:lvlJc w:val="right"/>
      <w:pPr>
        <w:ind w:left="2160" w:hanging="180"/>
      </w:pPr>
    </w:lvl>
    <w:lvl w:ilvl="3" w:tplc="48F2DD5C">
      <w:start w:val="1"/>
      <w:numFmt w:val="decimal"/>
      <w:lvlText w:val="%4."/>
      <w:lvlJc w:val="left"/>
      <w:pPr>
        <w:ind w:left="2880" w:hanging="360"/>
      </w:pPr>
    </w:lvl>
    <w:lvl w:ilvl="4" w:tplc="B532B8FC">
      <w:start w:val="1"/>
      <w:numFmt w:val="lowerLetter"/>
      <w:lvlText w:val="%5."/>
      <w:lvlJc w:val="left"/>
      <w:pPr>
        <w:ind w:left="3600" w:hanging="360"/>
      </w:pPr>
    </w:lvl>
    <w:lvl w:ilvl="5" w:tplc="1DF83380">
      <w:start w:val="1"/>
      <w:numFmt w:val="lowerRoman"/>
      <w:lvlText w:val="%6."/>
      <w:lvlJc w:val="right"/>
      <w:pPr>
        <w:ind w:left="4320" w:hanging="180"/>
      </w:pPr>
    </w:lvl>
    <w:lvl w:ilvl="6" w:tplc="0400ED08">
      <w:start w:val="1"/>
      <w:numFmt w:val="decimal"/>
      <w:lvlText w:val="%7."/>
      <w:lvlJc w:val="left"/>
      <w:pPr>
        <w:ind w:left="5040" w:hanging="360"/>
      </w:pPr>
    </w:lvl>
    <w:lvl w:ilvl="7" w:tplc="DDF817D6">
      <w:start w:val="1"/>
      <w:numFmt w:val="lowerLetter"/>
      <w:lvlText w:val="%8."/>
      <w:lvlJc w:val="left"/>
      <w:pPr>
        <w:ind w:left="5760" w:hanging="360"/>
      </w:pPr>
    </w:lvl>
    <w:lvl w:ilvl="8" w:tplc="D49050C0">
      <w:start w:val="1"/>
      <w:numFmt w:val="lowerRoman"/>
      <w:lvlText w:val="%9."/>
      <w:lvlJc w:val="right"/>
      <w:pPr>
        <w:ind w:left="6480" w:hanging="180"/>
      </w:pPr>
    </w:lvl>
  </w:abstractNum>
  <w:abstractNum w:abstractNumId="1" w15:restartNumberingAfterBreak="0">
    <w:nsid w:val="20A62EC0"/>
    <w:multiLevelType w:val="hybridMultilevel"/>
    <w:tmpl w:val="8A24EA64"/>
    <w:lvl w:ilvl="0" w:tplc="7BDE79FC">
      <w:start w:val="1"/>
      <w:numFmt w:val="decimal"/>
      <w:lvlText w:val="%1."/>
      <w:lvlJc w:val="left"/>
      <w:pPr>
        <w:ind w:left="720" w:hanging="360"/>
      </w:pPr>
    </w:lvl>
    <w:lvl w:ilvl="1" w:tplc="2C90D972">
      <w:start w:val="1"/>
      <w:numFmt w:val="lowerLetter"/>
      <w:lvlText w:val="%2."/>
      <w:lvlJc w:val="left"/>
      <w:pPr>
        <w:ind w:left="1440" w:hanging="360"/>
      </w:pPr>
    </w:lvl>
    <w:lvl w:ilvl="2" w:tplc="84005826">
      <w:start w:val="1"/>
      <w:numFmt w:val="lowerRoman"/>
      <w:lvlText w:val="%3."/>
      <w:lvlJc w:val="right"/>
      <w:pPr>
        <w:ind w:left="2160" w:hanging="180"/>
      </w:pPr>
    </w:lvl>
    <w:lvl w:ilvl="3" w:tplc="3668C224">
      <w:start w:val="1"/>
      <w:numFmt w:val="decimal"/>
      <w:lvlText w:val="%4."/>
      <w:lvlJc w:val="left"/>
      <w:pPr>
        <w:ind w:left="2880" w:hanging="360"/>
      </w:pPr>
    </w:lvl>
    <w:lvl w:ilvl="4" w:tplc="8ABA697E">
      <w:start w:val="1"/>
      <w:numFmt w:val="lowerLetter"/>
      <w:lvlText w:val="%5."/>
      <w:lvlJc w:val="left"/>
      <w:pPr>
        <w:ind w:left="3600" w:hanging="360"/>
      </w:pPr>
    </w:lvl>
    <w:lvl w:ilvl="5" w:tplc="8CC615BE">
      <w:start w:val="1"/>
      <w:numFmt w:val="lowerRoman"/>
      <w:lvlText w:val="%6."/>
      <w:lvlJc w:val="right"/>
      <w:pPr>
        <w:ind w:left="4320" w:hanging="180"/>
      </w:pPr>
    </w:lvl>
    <w:lvl w:ilvl="6" w:tplc="774C0CE2">
      <w:start w:val="1"/>
      <w:numFmt w:val="decimal"/>
      <w:lvlText w:val="%7."/>
      <w:lvlJc w:val="left"/>
      <w:pPr>
        <w:ind w:left="5040" w:hanging="360"/>
      </w:pPr>
    </w:lvl>
    <w:lvl w:ilvl="7" w:tplc="9CFAB4EC">
      <w:start w:val="1"/>
      <w:numFmt w:val="lowerLetter"/>
      <w:lvlText w:val="%8."/>
      <w:lvlJc w:val="left"/>
      <w:pPr>
        <w:ind w:left="5760" w:hanging="360"/>
      </w:pPr>
    </w:lvl>
    <w:lvl w:ilvl="8" w:tplc="43B6134A">
      <w:start w:val="1"/>
      <w:numFmt w:val="lowerRoman"/>
      <w:lvlText w:val="%9."/>
      <w:lvlJc w:val="right"/>
      <w:pPr>
        <w:ind w:left="6480" w:hanging="180"/>
      </w:pPr>
    </w:lvl>
  </w:abstractNum>
  <w:abstractNum w:abstractNumId="2" w15:restartNumberingAfterBreak="0">
    <w:nsid w:val="20E64281"/>
    <w:multiLevelType w:val="hybridMultilevel"/>
    <w:tmpl w:val="1DB0641C"/>
    <w:lvl w:ilvl="0" w:tplc="FF585BE0">
      <w:start w:val="1"/>
      <w:numFmt w:val="decimal"/>
      <w:lvlText w:val="%1."/>
      <w:lvlJc w:val="left"/>
      <w:pPr>
        <w:ind w:left="720" w:hanging="360"/>
      </w:pPr>
    </w:lvl>
    <w:lvl w:ilvl="1" w:tplc="32F0A0D6">
      <w:start w:val="1"/>
      <w:numFmt w:val="lowerLetter"/>
      <w:lvlText w:val="%2."/>
      <w:lvlJc w:val="left"/>
      <w:pPr>
        <w:ind w:left="1440" w:hanging="360"/>
      </w:pPr>
    </w:lvl>
    <w:lvl w:ilvl="2" w:tplc="DF08F512">
      <w:start w:val="1"/>
      <w:numFmt w:val="lowerRoman"/>
      <w:lvlText w:val="%3."/>
      <w:lvlJc w:val="right"/>
      <w:pPr>
        <w:ind w:left="2160" w:hanging="180"/>
      </w:pPr>
    </w:lvl>
    <w:lvl w:ilvl="3" w:tplc="4926A4C2">
      <w:start w:val="1"/>
      <w:numFmt w:val="decimal"/>
      <w:lvlText w:val="%4."/>
      <w:lvlJc w:val="left"/>
      <w:pPr>
        <w:ind w:left="2880" w:hanging="360"/>
      </w:pPr>
    </w:lvl>
    <w:lvl w:ilvl="4" w:tplc="2E32C16E">
      <w:start w:val="1"/>
      <w:numFmt w:val="lowerLetter"/>
      <w:lvlText w:val="%5."/>
      <w:lvlJc w:val="left"/>
      <w:pPr>
        <w:ind w:left="3600" w:hanging="360"/>
      </w:pPr>
    </w:lvl>
    <w:lvl w:ilvl="5" w:tplc="33188A34">
      <w:start w:val="1"/>
      <w:numFmt w:val="lowerRoman"/>
      <w:lvlText w:val="%6."/>
      <w:lvlJc w:val="right"/>
      <w:pPr>
        <w:ind w:left="4320" w:hanging="180"/>
      </w:pPr>
    </w:lvl>
    <w:lvl w:ilvl="6" w:tplc="560A26D2">
      <w:start w:val="1"/>
      <w:numFmt w:val="decimal"/>
      <w:lvlText w:val="%7."/>
      <w:lvlJc w:val="left"/>
      <w:pPr>
        <w:ind w:left="5040" w:hanging="360"/>
      </w:pPr>
    </w:lvl>
    <w:lvl w:ilvl="7" w:tplc="9DC650F2">
      <w:start w:val="1"/>
      <w:numFmt w:val="lowerLetter"/>
      <w:lvlText w:val="%8."/>
      <w:lvlJc w:val="left"/>
      <w:pPr>
        <w:ind w:left="5760" w:hanging="360"/>
      </w:pPr>
    </w:lvl>
    <w:lvl w:ilvl="8" w:tplc="B1B05EA8">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2001B6"/>
    <w:rsid w:val="0021000B"/>
    <w:rsid w:val="00743F8E"/>
    <w:rsid w:val="1CB1F360"/>
    <w:rsid w:val="4F08D48E"/>
    <w:rsid w:val="57C9C366"/>
    <w:rsid w:val="6A2001B6"/>
    <w:rsid w:val="6DA95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D546F"/>
  <w15:chartTrackingRefBased/>
  <w15:docId w15:val="{1A65D869-CF48-4333-A977-5576038E6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1688</Words>
  <Characters>9623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Galvin (1805795)</dc:creator>
  <cp:keywords/>
  <dc:description/>
  <cp:lastModifiedBy>Heike Griffiths</cp:lastModifiedBy>
  <cp:revision>2</cp:revision>
  <dcterms:created xsi:type="dcterms:W3CDTF">2018-11-20T14:37:00Z</dcterms:created>
  <dcterms:modified xsi:type="dcterms:W3CDTF">2018-11-20T14:37:00Z</dcterms:modified>
</cp:coreProperties>
</file>