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outlineLvl w:val="9"/>
        <w:rPr>
          <w:rFonts w:hint="default" w:ascii="Times New Roman" w:hAnsi="Times New Roman" w:cs="Times New Roman"/>
          <w:b/>
          <w:sz w:val="48"/>
          <w:szCs w:val="48"/>
        </w:rPr>
      </w:pPr>
      <w:bookmarkStart w:id="0" w:name="_Toc5989"/>
      <w:bookmarkStart w:id="1" w:name="_Toc8374"/>
      <w:bookmarkStart w:id="2" w:name="_Toc29472"/>
      <w:bookmarkStart w:id="3" w:name="_Toc29218"/>
      <w:bookmarkStart w:id="4" w:name="_Toc14501"/>
      <w:bookmarkStart w:id="5" w:name="_Toc5882"/>
    </w:p>
    <w:p>
      <w:pPr>
        <w:jc w:val="center"/>
        <w:outlineLvl w:val="9"/>
        <w:rPr>
          <w:rFonts w:hint="default" w:ascii="Times New Roman" w:hAnsi="Times New Roman" w:cs="Times New Roman"/>
          <w:b/>
          <w:sz w:val="48"/>
          <w:szCs w:val="48"/>
        </w:rPr>
      </w:pPr>
    </w:p>
    <w:p>
      <w:pPr>
        <w:jc w:val="center"/>
        <w:outlineLvl w:val="9"/>
        <w:rPr>
          <w:rFonts w:hint="default" w:ascii="Times New Roman" w:hAnsi="Times New Roman" w:cs="Times New Roman"/>
          <w:b/>
          <w:sz w:val="48"/>
          <w:szCs w:val="48"/>
        </w:rPr>
      </w:pPr>
    </w:p>
    <w:p>
      <w:pPr>
        <w:jc w:val="center"/>
        <w:outlineLvl w:val="9"/>
        <w:rPr>
          <w:rFonts w:hint="default" w:ascii="Times New Roman" w:hAnsi="Times New Roman" w:cs="Times New Roman"/>
          <w:b/>
          <w:sz w:val="48"/>
          <w:szCs w:val="48"/>
        </w:rPr>
      </w:pPr>
    </w:p>
    <w:p>
      <w:pPr>
        <w:jc w:val="center"/>
        <w:outlineLvl w:val="9"/>
        <w:rPr>
          <w:rFonts w:hint="default" w:ascii="Times New Roman" w:hAnsi="Times New Roman" w:cs="Times New Roman"/>
          <w:b/>
          <w:sz w:val="48"/>
          <w:szCs w:val="48"/>
        </w:rPr>
      </w:pPr>
    </w:p>
    <w:p>
      <w:pPr>
        <w:jc w:val="center"/>
        <w:outlineLvl w:val="9"/>
        <w:rPr>
          <w:rFonts w:hint="default" w:ascii="Times New Roman" w:hAnsi="Times New Roman" w:cs="Times New Roman"/>
          <w:b/>
          <w:sz w:val="48"/>
          <w:szCs w:val="48"/>
        </w:rPr>
      </w:pPr>
    </w:p>
    <w:p>
      <w:pPr>
        <w:jc w:val="center"/>
        <w:outlineLvl w:val="9"/>
        <w:rPr>
          <w:rFonts w:hint="default" w:ascii="Times New Roman" w:hAnsi="Times New Roman" w:cs="Times New Roman"/>
          <w:b/>
          <w:sz w:val="48"/>
          <w:szCs w:val="48"/>
        </w:rPr>
      </w:pPr>
    </w:p>
    <w:p>
      <w:pPr>
        <w:jc w:val="center"/>
        <w:outlineLvl w:val="9"/>
        <w:rPr>
          <w:rFonts w:hint="default" w:ascii="Times New Roman" w:hAnsi="Times New Roman" w:cs="Times New Roman"/>
          <w:b/>
          <w:sz w:val="48"/>
          <w:szCs w:val="48"/>
        </w:rPr>
      </w:pPr>
      <w:bookmarkStart w:id="6" w:name="_Toc2594"/>
      <w:r>
        <w:rPr>
          <w:rFonts w:hint="default" w:ascii="Times New Roman" w:hAnsi="Times New Roman" w:cs="Times New Roman"/>
          <w:b/>
          <w:sz w:val="48"/>
          <w:szCs w:val="48"/>
        </w:rPr>
        <w:t>Improving Supply chain Performance</w:t>
      </w:r>
      <w:bookmarkEnd w:id="0"/>
      <w:bookmarkEnd w:id="1"/>
      <w:bookmarkEnd w:id="2"/>
      <w:bookmarkEnd w:id="3"/>
      <w:bookmarkEnd w:id="4"/>
      <w:bookmarkEnd w:id="5"/>
      <w:bookmarkEnd w:id="6"/>
    </w:p>
    <w:p>
      <w:pPr>
        <w:jc w:val="center"/>
        <w:outlineLvl w:val="9"/>
        <w:rPr>
          <w:rFonts w:hint="default" w:ascii="Times New Roman" w:hAnsi="Times New Roman" w:cs="Times New Roman"/>
          <w:b/>
          <w:sz w:val="48"/>
          <w:szCs w:val="48"/>
        </w:rPr>
      </w:pPr>
    </w:p>
    <w:p>
      <w:pPr>
        <w:jc w:val="center"/>
        <w:outlineLvl w:val="9"/>
        <w:rPr>
          <w:rFonts w:hint="default" w:ascii="Times New Roman" w:hAnsi="Times New Roman" w:cs="Times New Roman" w:eastAsiaTheme="minorEastAsia"/>
          <w:b/>
          <w:sz w:val="48"/>
          <w:szCs w:val="48"/>
          <w:lang w:val="en-US" w:eastAsia="zh-CN"/>
        </w:rPr>
      </w:pPr>
      <w:r>
        <w:rPr>
          <w:rFonts w:hint="default" w:ascii="Times New Roman" w:hAnsi="Times New Roman" w:cs="Times New Roman"/>
          <w:b/>
          <w:sz w:val="48"/>
          <w:szCs w:val="48"/>
          <w:lang w:val="en-US"/>
        </w:rPr>
        <w:t xml:space="preserve">Name: </w:t>
      </w:r>
      <w:r>
        <w:rPr>
          <w:rFonts w:hint="eastAsia" w:ascii="Times New Roman" w:hAnsi="Times New Roman" w:cs="Times New Roman"/>
          <w:b/>
          <w:sz w:val="48"/>
          <w:szCs w:val="48"/>
          <w:lang w:val="en-US" w:eastAsia="zh-CN"/>
        </w:rPr>
        <w:t>Xun Cheng</w:t>
      </w:r>
    </w:p>
    <w:p>
      <w:pPr>
        <w:jc w:val="center"/>
        <w:outlineLvl w:val="9"/>
        <w:rPr>
          <w:rFonts w:hint="default" w:ascii="Times New Roman" w:hAnsi="Times New Roman" w:cs="Times New Roman" w:eastAsiaTheme="minorEastAsia"/>
          <w:b/>
          <w:bCs/>
          <w:sz w:val="32"/>
          <w:szCs w:val="32"/>
          <w:lang w:val="en-US" w:eastAsia="zh-CN"/>
        </w:rPr>
        <w:sectPr>
          <w:footerReference r:id="rId3" w:type="default"/>
          <w:pgSz w:w="11906" w:h="16838"/>
          <w:pgMar w:top="1440" w:right="1800" w:bottom="1440" w:left="1800" w:header="851" w:footer="992" w:gutter="0"/>
          <w:cols w:space="425" w:num="1"/>
          <w:docGrid w:type="lines" w:linePitch="312" w:charSpace="0"/>
        </w:sectPr>
      </w:pPr>
      <w:r>
        <w:rPr>
          <w:rFonts w:hint="default" w:ascii="Times New Roman" w:hAnsi="Times New Roman" w:cs="Times New Roman"/>
          <w:b/>
          <w:sz w:val="48"/>
          <w:szCs w:val="48"/>
          <w:lang w:val="en-US"/>
        </w:rPr>
        <w:t>Student Number: 2</w:t>
      </w:r>
      <w:r>
        <w:rPr>
          <w:rFonts w:hint="eastAsia" w:ascii="Times New Roman" w:hAnsi="Times New Roman" w:cs="Times New Roman"/>
          <w:b/>
          <w:sz w:val="48"/>
          <w:szCs w:val="48"/>
          <w:lang w:val="en-US" w:eastAsia="zh-CN"/>
        </w:rPr>
        <w:t>206582</w:t>
      </w:r>
    </w:p>
    <w:sdt>
      <w:sdtPr>
        <w:rPr>
          <w:rFonts w:ascii="宋体" w:hAnsi="宋体" w:eastAsia="宋体" w:cstheme="minorBidi"/>
          <w:kern w:val="2"/>
          <w:sz w:val="21"/>
          <w:szCs w:val="24"/>
          <w:lang w:val="en-US" w:eastAsia="zh-CN" w:bidi="ar-SA"/>
        </w:rPr>
        <w:id w:val="147476793"/>
        <w15:color w:val="DBDBDB"/>
        <w:docPartObj>
          <w:docPartGallery w:val="Table of Contents"/>
          <w:docPartUnique/>
        </w:docPartObj>
      </w:sdtPr>
      <w:sdtEndPr>
        <w:rPr>
          <w:rFonts w:ascii="宋体" w:hAnsi="宋体" w:eastAsia="宋体" w:cstheme="minorBidi"/>
          <w:b/>
          <w:kern w:val="2"/>
          <w:sz w:val="21"/>
          <w:szCs w:val="24"/>
          <w:lang w:val="en-US" w:eastAsia="zh-CN" w:bidi="ar-SA"/>
        </w:rPr>
      </w:sdtEndPr>
      <w:sdtContent>
        <w:p>
          <w:pPr>
            <w:spacing w:before="0" w:beforeLines="0" w:after="0" w:afterLines="0" w:line="240" w:lineRule="auto"/>
            <w:ind w:left="0" w:leftChars="0" w:right="0" w:rightChars="0" w:firstLine="0" w:firstLineChars="0"/>
            <w:jc w:val="center"/>
          </w:pPr>
          <w:bookmarkStart w:id="7" w:name="_Toc28743"/>
          <w:r>
            <w:rPr>
              <w:rFonts w:hint="default" w:ascii="Times New Roman" w:hAnsi="Times New Roman" w:eastAsia="宋体" w:cs="Times New Roman"/>
              <w:kern w:val="2"/>
              <w:sz w:val="28"/>
              <w:szCs w:val="28"/>
              <w:lang w:val="en-US" w:eastAsia="zh-CN" w:bidi="ar-SA"/>
            </w:rPr>
            <w:t>Contents</w:t>
          </w:r>
        </w:p>
        <w:p>
          <w:pPr>
            <w:pStyle w:val="7"/>
            <w:tabs>
              <w:tab w:val="right" w:leader="dot" w:pos="8306"/>
            </w:tabs>
            <w:rPr>
              <w:b w:val="0"/>
              <w:bCs/>
              <w:sz w:val="28"/>
              <w:szCs w:val="28"/>
            </w:rPr>
          </w:pPr>
          <w:r>
            <w:fldChar w:fldCharType="begin"/>
          </w:r>
          <w:r>
            <w:instrText xml:space="preserve">TOC \o "1-2" \h \u </w:instrText>
          </w:r>
          <w:r>
            <w:fldChar w:fldCharType="separate"/>
          </w:r>
          <w:r>
            <w:rPr>
              <w:b w:val="0"/>
              <w:bCs/>
              <w:sz w:val="28"/>
              <w:szCs w:val="28"/>
            </w:rPr>
            <w:fldChar w:fldCharType="begin"/>
          </w:r>
          <w:r>
            <w:rPr>
              <w:b w:val="0"/>
              <w:bCs/>
              <w:sz w:val="28"/>
              <w:szCs w:val="28"/>
            </w:rPr>
            <w:instrText xml:space="preserve"> HYPERLINK \l _Toc11725 </w:instrText>
          </w:r>
          <w:r>
            <w:rPr>
              <w:b w:val="0"/>
              <w:bCs/>
              <w:sz w:val="28"/>
              <w:szCs w:val="28"/>
            </w:rPr>
            <w:fldChar w:fldCharType="separate"/>
          </w:r>
          <w:r>
            <w:rPr>
              <w:rFonts w:hint="default" w:ascii="Times New Roman" w:hAnsi="Times New Roman" w:cs="Times New Roman"/>
              <w:b w:val="0"/>
              <w:bCs/>
              <w:sz w:val="28"/>
              <w:szCs w:val="28"/>
              <w:lang w:val="en-US" w:eastAsia="zh-CN"/>
            </w:rPr>
            <w:t>1 Introduction</w:t>
          </w:r>
          <w:r>
            <w:rPr>
              <w:b w:val="0"/>
              <w:bCs/>
              <w:sz w:val="28"/>
              <w:szCs w:val="28"/>
            </w:rPr>
            <w:tab/>
          </w:r>
          <w:r>
            <w:rPr>
              <w:b w:val="0"/>
              <w:bCs/>
              <w:sz w:val="28"/>
              <w:szCs w:val="28"/>
            </w:rPr>
            <w:fldChar w:fldCharType="begin"/>
          </w:r>
          <w:r>
            <w:rPr>
              <w:b w:val="0"/>
              <w:bCs/>
              <w:sz w:val="28"/>
              <w:szCs w:val="28"/>
            </w:rPr>
            <w:instrText xml:space="preserve"> PAGEREF _Toc11725 \h </w:instrText>
          </w:r>
          <w:r>
            <w:rPr>
              <w:b w:val="0"/>
              <w:bCs/>
              <w:sz w:val="28"/>
              <w:szCs w:val="28"/>
            </w:rPr>
            <w:fldChar w:fldCharType="separate"/>
          </w:r>
          <w:r>
            <w:rPr>
              <w:b w:val="0"/>
              <w:bCs/>
              <w:sz w:val="28"/>
              <w:szCs w:val="28"/>
            </w:rPr>
            <w:t>1</w:t>
          </w:r>
          <w:r>
            <w:rPr>
              <w:b w:val="0"/>
              <w:bCs/>
              <w:sz w:val="28"/>
              <w:szCs w:val="28"/>
            </w:rPr>
            <w:fldChar w:fldCharType="end"/>
          </w:r>
          <w:r>
            <w:rPr>
              <w:b w:val="0"/>
              <w:bCs/>
              <w:sz w:val="28"/>
              <w:szCs w:val="28"/>
            </w:rPr>
            <w:fldChar w:fldCharType="end"/>
          </w:r>
        </w:p>
        <w:p>
          <w:pPr>
            <w:pStyle w:val="7"/>
            <w:tabs>
              <w:tab w:val="right" w:leader="dot" w:pos="8306"/>
            </w:tabs>
            <w:rPr>
              <w:b w:val="0"/>
              <w:bCs/>
              <w:sz w:val="28"/>
              <w:szCs w:val="28"/>
            </w:rPr>
          </w:pPr>
          <w:r>
            <w:rPr>
              <w:b w:val="0"/>
              <w:bCs/>
              <w:sz w:val="28"/>
              <w:szCs w:val="28"/>
            </w:rPr>
            <w:fldChar w:fldCharType="begin"/>
          </w:r>
          <w:r>
            <w:rPr>
              <w:b w:val="0"/>
              <w:bCs/>
              <w:sz w:val="28"/>
              <w:szCs w:val="28"/>
            </w:rPr>
            <w:instrText xml:space="preserve"> HYPERLINK \l _Toc29451 </w:instrText>
          </w:r>
          <w:r>
            <w:rPr>
              <w:b w:val="0"/>
              <w:bCs/>
              <w:sz w:val="28"/>
              <w:szCs w:val="28"/>
            </w:rPr>
            <w:fldChar w:fldCharType="separate"/>
          </w:r>
          <w:r>
            <w:rPr>
              <w:rFonts w:hint="eastAsia" w:ascii="Times New Roman" w:hAnsi="Times New Roman" w:cs="Times New Roman"/>
              <w:b w:val="0"/>
              <w:bCs/>
              <w:sz w:val="28"/>
              <w:szCs w:val="28"/>
              <w:lang w:val="en-US" w:eastAsia="zh-CN"/>
            </w:rPr>
            <w:t>2 Supply Chain Risk Management</w:t>
          </w:r>
          <w:r>
            <w:rPr>
              <w:b w:val="0"/>
              <w:bCs/>
              <w:sz w:val="28"/>
              <w:szCs w:val="28"/>
            </w:rPr>
            <w:tab/>
          </w:r>
          <w:r>
            <w:rPr>
              <w:b w:val="0"/>
              <w:bCs/>
              <w:sz w:val="28"/>
              <w:szCs w:val="28"/>
            </w:rPr>
            <w:fldChar w:fldCharType="begin"/>
          </w:r>
          <w:r>
            <w:rPr>
              <w:b w:val="0"/>
              <w:bCs/>
              <w:sz w:val="28"/>
              <w:szCs w:val="28"/>
            </w:rPr>
            <w:instrText xml:space="preserve"> PAGEREF _Toc29451 \h </w:instrText>
          </w:r>
          <w:r>
            <w:rPr>
              <w:b w:val="0"/>
              <w:bCs/>
              <w:sz w:val="28"/>
              <w:szCs w:val="28"/>
            </w:rPr>
            <w:fldChar w:fldCharType="separate"/>
          </w:r>
          <w:r>
            <w:rPr>
              <w:b w:val="0"/>
              <w:bCs/>
              <w:sz w:val="28"/>
              <w:szCs w:val="28"/>
            </w:rPr>
            <w:t>2</w:t>
          </w:r>
          <w:r>
            <w:rPr>
              <w:b w:val="0"/>
              <w:bCs/>
              <w:sz w:val="28"/>
              <w:szCs w:val="28"/>
            </w:rPr>
            <w:fldChar w:fldCharType="end"/>
          </w:r>
          <w:r>
            <w:rPr>
              <w:b w:val="0"/>
              <w:bCs/>
              <w:sz w:val="28"/>
              <w:szCs w:val="28"/>
            </w:rPr>
            <w:fldChar w:fldCharType="end"/>
          </w:r>
        </w:p>
        <w:p>
          <w:pPr>
            <w:pStyle w:val="8"/>
            <w:tabs>
              <w:tab w:val="right" w:leader="dot" w:pos="8306"/>
            </w:tabs>
            <w:rPr>
              <w:b w:val="0"/>
              <w:bCs/>
              <w:sz w:val="28"/>
              <w:szCs w:val="28"/>
            </w:rPr>
          </w:pPr>
          <w:r>
            <w:rPr>
              <w:b w:val="0"/>
              <w:bCs/>
              <w:sz w:val="28"/>
              <w:szCs w:val="28"/>
            </w:rPr>
            <w:fldChar w:fldCharType="begin"/>
          </w:r>
          <w:r>
            <w:rPr>
              <w:b w:val="0"/>
              <w:bCs/>
              <w:sz w:val="28"/>
              <w:szCs w:val="28"/>
            </w:rPr>
            <w:instrText xml:space="preserve"> HYPERLINK \l _Toc5508 </w:instrText>
          </w:r>
          <w:r>
            <w:rPr>
              <w:b w:val="0"/>
              <w:bCs/>
              <w:sz w:val="28"/>
              <w:szCs w:val="28"/>
            </w:rPr>
            <w:fldChar w:fldCharType="separate"/>
          </w:r>
          <w:r>
            <w:rPr>
              <w:rFonts w:hint="eastAsia" w:ascii="Times New Roman" w:hAnsi="Times New Roman" w:cs="Times New Roman"/>
              <w:b w:val="0"/>
              <w:bCs/>
              <w:sz w:val="28"/>
              <w:szCs w:val="28"/>
              <w:lang w:val="en-US" w:eastAsia="zh-CN"/>
            </w:rPr>
            <w:t>2.1 FMEA analysis</w:t>
          </w:r>
          <w:r>
            <w:rPr>
              <w:b w:val="0"/>
              <w:bCs/>
              <w:sz w:val="28"/>
              <w:szCs w:val="28"/>
            </w:rPr>
            <w:tab/>
          </w:r>
          <w:r>
            <w:rPr>
              <w:b w:val="0"/>
              <w:bCs/>
              <w:sz w:val="28"/>
              <w:szCs w:val="28"/>
            </w:rPr>
            <w:fldChar w:fldCharType="begin"/>
          </w:r>
          <w:r>
            <w:rPr>
              <w:b w:val="0"/>
              <w:bCs/>
              <w:sz w:val="28"/>
              <w:szCs w:val="28"/>
            </w:rPr>
            <w:instrText xml:space="preserve"> PAGEREF _Toc5508 \h </w:instrText>
          </w:r>
          <w:r>
            <w:rPr>
              <w:b w:val="0"/>
              <w:bCs/>
              <w:sz w:val="28"/>
              <w:szCs w:val="28"/>
            </w:rPr>
            <w:fldChar w:fldCharType="separate"/>
          </w:r>
          <w:r>
            <w:rPr>
              <w:b w:val="0"/>
              <w:bCs/>
              <w:sz w:val="28"/>
              <w:szCs w:val="28"/>
            </w:rPr>
            <w:t>3</w:t>
          </w:r>
          <w:r>
            <w:rPr>
              <w:b w:val="0"/>
              <w:bCs/>
              <w:sz w:val="28"/>
              <w:szCs w:val="28"/>
            </w:rPr>
            <w:fldChar w:fldCharType="end"/>
          </w:r>
          <w:r>
            <w:rPr>
              <w:b w:val="0"/>
              <w:bCs/>
              <w:sz w:val="28"/>
              <w:szCs w:val="28"/>
            </w:rPr>
            <w:fldChar w:fldCharType="end"/>
          </w:r>
        </w:p>
        <w:p>
          <w:pPr>
            <w:pStyle w:val="7"/>
            <w:tabs>
              <w:tab w:val="right" w:leader="dot" w:pos="8306"/>
            </w:tabs>
            <w:rPr>
              <w:b w:val="0"/>
              <w:bCs/>
              <w:sz w:val="28"/>
              <w:szCs w:val="28"/>
            </w:rPr>
          </w:pPr>
          <w:r>
            <w:rPr>
              <w:b w:val="0"/>
              <w:bCs/>
              <w:sz w:val="28"/>
              <w:szCs w:val="28"/>
            </w:rPr>
            <w:fldChar w:fldCharType="begin"/>
          </w:r>
          <w:r>
            <w:rPr>
              <w:b w:val="0"/>
              <w:bCs/>
              <w:sz w:val="28"/>
              <w:szCs w:val="28"/>
            </w:rPr>
            <w:instrText xml:space="preserve"> HYPERLINK \l _Toc28143 </w:instrText>
          </w:r>
          <w:r>
            <w:rPr>
              <w:b w:val="0"/>
              <w:bCs/>
              <w:sz w:val="28"/>
              <w:szCs w:val="28"/>
            </w:rPr>
            <w:fldChar w:fldCharType="separate"/>
          </w:r>
          <w:r>
            <w:rPr>
              <w:rFonts w:hint="eastAsia" w:ascii="Times New Roman" w:hAnsi="Times New Roman" w:cs="Times New Roman"/>
              <w:b w:val="0"/>
              <w:bCs/>
              <w:sz w:val="28"/>
              <w:szCs w:val="28"/>
              <w:lang w:val="en-US" w:eastAsia="zh-CN"/>
            </w:rPr>
            <w:t xml:space="preserve">3 </w:t>
          </w:r>
          <w:r>
            <w:rPr>
              <w:rFonts w:hint="default" w:ascii="Times New Roman" w:hAnsi="Times New Roman" w:cs="Times New Roman"/>
              <w:b w:val="0"/>
              <w:bCs/>
              <w:sz w:val="28"/>
              <w:szCs w:val="28"/>
              <w:lang w:val="en-US" w:eastAsia="zh-CN"/>
            </w:rPr>
            <w:t>Steps to make the supply chain more resilient</w:t>
          </w:r>
          <w:r>
            <w:rPr>
              <w:b w:val="0"/>
              <w:bCs/>
              <w:sz w:val="28"/>
              <w:szCs w:val="28"/>
            </w:rPr>
            <w:tab/>
          </w:r>
          <w:r>
            <w:rPr>
              <w:b w:val="0"/>
              <w:bCs/>
              <w:sz w:val="28"/>
              <w:szCs w:val="28"/>
            </w:rPr>
            <w:fldChar w:fldCharType="begin"/>
          </w:r>
          <w:r>
            <w:rPr>
              <w:b w:val="0"/>
              <w:bCs/>
              <w:sz w:val="28"/>
              <w:szCs w:val="28"/>
            </w:rPr>
            <w:instrText xml:space="preserve"> PAGEREF _Toc28143 \h </w:instrText>
          </w:r>
          <w:r>
            <w:rPr>
              <w:b w:val="0"/>
              <w:bCs/>
              <w:sz w:val="28"/>
              <w:szCs w:val="28"/>
            </w:rPr>
            <w:fldChar w:fldCharType="separate"/>
          </w:r>
          <w:r>
            <w:rPr>
              <w:b w:val="0"/>
              <w:bCs/>
              <w:sz w:val="28"/>
              <w:szCs w:val="28"/>
            </w:rPr>
            <w:t>6</w:t>
          </w:r>
          <w:r>
            <w:rPr>
              <w:b w:val="0"/>
              <w:bCs/>
              <w:sz w:val="28"/>
              <w:szCs w:val="28"/>
            </w:rPr>
            <w:fldChar w:fldCharType="end"/>
          </w:r>
          <w:r>
            <w:rPr>
              <w:b w:val="0"/>
              <w:bCs/>
              <w:sz w:val="28"/>
              <w:szCs w:val="28"/>
            </w:rPr>
            <w:fldChar w:fldCharType="end"/>
          </w:r>
        </w:p>
        <w:p>
          <w:pPr>
            <w:pStyle w:val="8"/>
            <w:tabs>
              <w:tab w:val="right" w:leader="dot" w:pos="8306"/>
            </w:tabs>
            <w:rPr>
              <w:b w:val="0"/>
              <w:bCs/>
              <w:sz w:val="28"/>
              <w:szCs w:val="28"/>
            </w:rPr>
          </w:pPr>
          <w:r>
            <w:rPr>
              <w:b w:val="0"/>
              <w:bCs/>
              <w:sz w:val="28"/>
              <w:szCs w:val="28"/>
            </w:rPr>
            <w:fldChar w:fldCharType="begin"/>
          </w:r>
          <w:r>
            <w:rPr>
              <w:b w:val="0"/>
              <w:bCs/>
              <w:sz w:val="28"/>
              <w:szCs w:val="28"/>
            </w:rPr>
            <w:instrText xml:space="preserve"> HYPERLINK \l _Toc8663 </w:instrText>
          </w:r>
          <w:r>
            <w:rPr>
              <w:b w:val="0"/>
              <w:bCs/>
              <w:sz w:val="28"/>
              <w:szCs w:val="28"/>
            </w:rPr>
            <w:fldChar w:fldCharType="separate"/>
          </w:r>
          <w:r>
            <w:rPr>
              <w:rFonts w:hint="eastAsia" w:ascii="Times New Roman" w:hAnsi="Times New Roman" w:cs="Times New Roman"/>
              <w:b w:val="0"/>
              <w:bCs/>
              <w:sz w:val="28"/>
              <w:szCs w:val="28"/>
              <w:lang w:val="en-US" w:eastAsia="zh-CN"/>
            </w:rPr>
            <w:t>3.1 Enhance agility across the supply chain</w:t>
          </w:r>
          <w:r>
            <w:rPr>
              <w:b w:val="0"/>
              <w:bCs/>
              <w:sz w:val="28"/>
              <w:szCs w:val="28"/>
            </w:rPr>
            <w:tab/>
          </w:r>
          <w:r>
            <w:rPr>
              <w:rFonts w:hint="eastAsia"/>
              <w:b w:val="0"/>
              <w:bCs/>
              <w:sz w:val="28"/>
              <w:szCs w:val="28"/>
              <w:lang w:val="en-US" w:eastAsia="zh-CN"/>
            </w:rPr>
            <w:t>6</w:t>
          </w:r>
          <w:r>
            <w:rPr>
              <w:b w:val="0"/>
              <w:bCs/>
              <w:sz w:val="28"/>
              <w:szCs w:val="28"/>
            </w:rPr>
            <w:fldChar w:fldCharType="end"/>
          </w:r>
        </w:p>
        <w:p>
          <w:pPr>
            <w:pStyle w:val="8"/>
            <w:tabs>
              <w:tab w:val="right" w:leader="dot" w:pos="8306"/>
            </w:tabs>
            <w:rPr>
              <w:b w:val="0"/>
              <w:bCs/>
              <w:sz w:val="28"/>
              <w:szCs w:val="28"/>
            </w:rPr>
          </w:pPr>
          <w:r>
            <w:rPr>
              <w:b w:val="0"/>
              <w:bCs/>
              <w:sz w:val="28"/>
              <w:szCs w:val="28"/>
            </w:rPr>
            <w:fldChar w:fldCharType="begin"/>
          </w:r>
          <w:r>
            <w:rPr>
              <w:b w:val="0"/>
              <w:bCs/>
              <w:sz w:val="28"/>
              <w:szCs w:val="28"/>
            </w:rPr>
            <w:instrText xml:space="preserve"> HYPERLINK \l _Toc6291 </w:instrText>
          </w:r>
          <w:r>
            <w:rPr>
              <w:b w:val="0"/>
              <w:bCs/>
              <w:sz w:val="28"/>
              <w:szCs w:val="28"/>
            </w:rPr>
            <w:fldChar w:fldCharType="separate"/>
          </w:r>
          <w:r>
            <w:rPr>
              <w:rFonts w:hint="eastAsia" w:ascii="Times New Roman" w:hAnsi="Times New Roman" w:cs="Times New Roman"/>
              <w:b w:val="0"/>
              <w:bCs/>
              <w:sz w:val="28"/>
              <w:szCs w:val="28"/>
              <w:lang w:val="en-US" w:eastAsia="zh-CN"/>
            </w:rPr>
            <w:t>3.2 Diversify supplier base</w:t>
          </w:r>
          <w:r>
            <w:rPr>
              <w:b w:val="0"/>
              <w:bCs/>
              <w:sz w:val="28"/>
              <w:szCs w:val="28"/>
            </w:rPr>
            <w:tab/>
          </w:r>
          <w:r>
            <w:rPr>
              <w:b w:val="0"/>
              <w:bCs/>
              <w:sz w:val="28"/>
              <w:szCs w:val="28"/>
            </w:rPr>
            <w:fldChar w:fldCharType="begin"/>
          </w:r>
          <w:r>
            <w:rPr>
              <w:b w:val="0"/>
              <w:bCs/>
              <w:sz w:val="28"/>
              <w:szCs w:val="28"/>
            </w:rPr>
            <w:instrText xml:space="preserve"> PAGEREF _Toc6291 \h </w:instrText>
          </w:r>
          <w:r>
            <w:rPr>
              <w:b w:val="0"/>
              <w:bCs/>
              <w:sz w:val="28"/>
              <w:szCs w:val="28"/>
            </w:rPr>
            <w:fldChar w:fldCharType="separate"/>
          </w:r>
          <w:r>
            <w:rPr>
              <w:b w:val="0"/>
              <w:bCs/>
              <w:sz w:val="28"/>
              <w:szCs w:val="28"/>
            </w:rPr>
            <w:t>7</w:t>
          </w:r>
          <w:r>
            <w:rPr>
              <w:b w:val="0"/>
              <w:bCs/>
              <w:sz w:val="28"/>
              <w:szCs w:val="28"/>
            </w:rPr>
            <w:fldChar w:fldCharType="end"/>
          </w:r>
          <w:r>
            <w:rPr>
              <w:b w:val="0"/>
              <w:bCs/>
              <w:sz w:val="28"/>
              <w:szCs w:val="28"/>
            </w:rPr>
            <w:fldChar w:fldCharType="end"/>
          </w:r>
        </w:p>
        <w:p>
          <w:pPr>
            <w:pStyle w:val="8"/>
            <w:tabs>
              <w:tab w:val="right" w:leader="dot" w:pos="8306"/>
            </w:tabs>
            <w:rPr>
              <w:b w:val="0"/>
              <w:bCs/>
              <w:sz w:val="28"/>
              <w:szCs w:val="28"/>
            </w:rPr>
          </w:pPr>
          <w:r>
            <w:rPr>
              <w:b w:val="0"/>
              <w:bCs/>
              <w:sz w:val="28"/>
              <w:szCs w:val="28"/>
            </w:rPr>
            <w:fldChar w:fldCharType="begin"/>
          </w:r>
          <w:r>
            <w:rPr>
              <w:b w:val="0"/>
              <w:bCs/>
              <w:sz w:val="28"/>
              <w:szCs w:val="28"/>
            </w:rPr>
            <w:instrText xml:space="preserve"> HYPERLINK \l _Toc24374 </w:instrText>
          </w:r>
          <w:r>
            <w:rPr>
              <w:b w:val="0"/>
              <w:bCs/>
              <w:sz w:val="28"/>
              <w:szCs w:val="28"/>
            </w:rPr>
            <w:fldChar w:fldCharType="separate"/>
          </w:r>
          <w:r>
            <w:rPr>
              <w:rFonts w:hint="eastAsia" w:ascii="Times New Roman" w:hAnsi="Times New Roman" w:cs="Times New Roman"/>
              <w:b w:val="0"/>
              <w:bCs/>
              <w:sz w:val="28"/>
              <w:szCs w:val="28"/>
              <w:lang w:val="en-US" w:eastAsia="zh-CN"/>
            </w:rPr>
            <w:t>3.3 Regionalize manufacturing</w:t>
          </w:r>
          <w:r>
            <w:rPr>
              <w:b w:val="0"/>
              <w:bCs/>
              <w:sz w:val="28"/>
              <w:szCs w:val="28"/>
            </w:rPr>
            <w:tab/>
          </w:r>
          <w:r>
            <w:rPr>
              <w:b w:val="0"/>
              <w:bCs/>
              <w:sz w:val="28"/>
              <w:szCs w:val="28"/>
            </w:rPr>
            <w:fldChar w:fldCharType="begin"/>
          </w:r>
          <w:r>
            <w:rPr>
              <w:b w:val="0"/>
              <w:bCs/>
              <w:sz w:val="28"/>
              <w:szCs w:val="28"/>
            </w:rPr>
            <w:instrText xml:space="preserve"> PAGEREF _Toc24374 \h </w:instrText>
          </w:r>
          <w:r>
            <w:rPr>
              <w:b w:val="0"/>
              <w:bCs/>
              <w:sz w:val="28"/>
              <w:szCs w:val="28"/>
            </w:rPr>
            <w:fldChar w:fldCharType="separate"/>
          </w:r>
          <w:r>
            <w:rPr>
              <w:b w:val="0"/>
              <w:bCs/>
              <w:sz w:val="28"/>
              <w:szCs w:val="28"/>
            </w:rPr>
            <w:t>8</w:t>
          </w:r>
          <w:r>
            <w:rPr>
              <w:b w:val="0"/>
              <w:bCs/>
              <w:sz w:val="28"/>
              <w:szCs w:val="28"/>
            </w:rPr>
            <w:fldChar w:fldCharType="end"/>
          </w:r>
          <w:r>
            <w:rPr>
              <w:b w:val="0"/>
              <w:bCs/>
              <w:sz w:val="28"/>
              <w:szCs w:val="28"/>
            </w:rPr>
            <w:fldChar w:fldCharType="end"/>
          </w:r>
        </w:p>
        <w:p>
          <w:pPr>
            <w:pStyle w:val="8"/>
            <w:tabs>
              <w:tab w:val="right" w:leader="dot" w:pos="8306"/>
            </w:tabs>
            <w:rPr>
              <w:b w:val="0"/>
              <w:bCs/>
              <w:sz w:val="28"/>
              <w:szCs w:val="28"/>
            </w:rPr>
          </w:pPr>
          <w:r>
            <w:rPr>
              <w:b w:val="0"/>
              <w:bCs/>
              <w:sz w:val="28"/>
              <w:szCs w:val="28"/>
            </w:rPr>
            <w:fldChar w:fldCharType="begin"/>
          </w:r>
          <w:r>
            <w:rPr>
              <w:b w:val="0"/>
              <w:bCs/>
              <w:sz w:val="28"/>
              <w:szCs w:val="28"/>
            </w:rPr>
            <w:instrText xml:space="preserve"> HYPERLINK \l _Toc9270 </w:instrText>
          </w:r>
          <w:r>
            <w:rPr>
              <w:b w:val="0"/>
              <w:bCs/>
              <w:sz w:val="28"/>
              <w:szCs w:val="28"/>
            </w:rPr>
            <w:fldChar w:fldCharType="separate"/>
          </w:r>
          <w:r>
            <w:rPr>
              <w:rFonts w:hint="eastAsia" w:ascii="Times New Roman" w:hAnsi="Times New Roman" w:cs="Times New Roman"/>
              <w:b w:val="0"/>
              <w:bCs/>
              <w:sz w:val="28"/>
              <w:szCs w:val="28"/>
              <w:lang w:val="en-US" w:eastAsia="zh-CN"/>
            </w:rPr>
            <w:t>3.4 Invest in supply chain risk management</w:t>
          </w:r>
          <w:r>
            <w:rPr>
              <w:b w:val="0"/>
              <w:bCs/>
              <w:sz w:val="28"/>
              <w:szCs w:val="28"/>
            </w:rPr>
            <w:tab/>
          </w:r>
          <w:r>
            <w:rPr>
              <w:b w:val="0"/>
              <w:bCs/>
              <w:sz w:val="28"/>
              <w:szCs w:val="28"/>
            </w:rPr>
            <w:fldChar w:fldCharType="begin"/>
          </w:r>
          <w:r>
            <w:rPr>
              <w:b w:val="0"/>
              <w:bCs/>
              <w:sz w:val="28"/>
              <w:szCs w:val="28"/>
            </w:rPr>
            <w:instrText xml:space="preserve"> PAGEREF _Toc9270 \h </w:instrText>
          </w:r>
          <w:r>
            <w:rPr>
              <w:b w:val="0"/>
              <w:bCs/>
              <w:sz w:val="28"/>
              <w:szCs w:val="28"/>
            </w:rPr>
            <w:fldChar w:fldCharType="separate"/>
          </w:r>
          <w:r>
            <w:rPr>
              <w:b w:val="0"/>
              <w:bCs/>
              <w:sz w:val="28"/>
              <w:szCs w:val="28"/>
            </w:rPr>
            <w:t>8</w:t>
          </w:r>
          <w:r>
            <w:rPr>
              <w:b w:val="0"/>
              <w:bCs/>
              <w:sz w:val="28"/>
              <w:szCs w:val="28"/>
            </w:rPr>
            <w:fldChar w:fldCharType="end"/>
          </w:r>
          <w:r>
            <w:rPr>
              <w:b w:val="0"/>
              <w:bCs/>
              <w:sz w:val="28"/>
              <w:szCs w:val="28"/>
            </w:rPr>
            <w:fldChar w:fldCharType="end"/>
          </w:r>
        </w:p>
        <w:p>
          <w:pPr>
            <w:pStyle w:val="8"/>
            <w:tabs>
              <w:tab w:val="right" w:leader="dot" w:pos="8306"/>
            </w:tabs>
            <w:rPr>
              <w:b w:val="0"/>
              <w:bCs/>
              <w:sz w:val="28"/>
              <w:szCs w:val="28"/>
            </w:rPr>
          </w:pPr>
          <w:r>
            <w:rPr>
              <w:b w:val="0"/>
              <w:bCs/>
              <w:sz w:val="28"/>
              <w:szCs w:val="28"/>
            </w:rPr>
            <w:fldChar w:fldCharType="begin"/>
          </w:r>
          <w:r>
            <w:rPr>
              <w:b w:val="0"/>
              <w:bCs/>
              <w:sz w:val="28"/>
              <w:szCs w:val="28"/>
            </w:rPr>
            <w:instrText xml:space="preserve"> HYPERLINK \l _Toc32298 </w:instrText>
          </w:r>
          <w:r>
            <w:rPr>
              <w:b w:val="0"/>
              <w:bCs/>
              <w:sz w:val="28"/>
              <w:szCs w:val="28"/>
            </w:rPr>
            <w:fldChar w:fldCharType="separate"/>
          </w:r>
          <w:r>
            <w:rPr>
              <w:rFonts w:hint="eastAsia" w:ascii="Times New Roman" w:hAnsi="Times New Roman" w:cs="Times New Roman"/>
              <w:b w:val="0"/>
              <w:bCs/>
              <w:sz w:val="28"/>
              <w:szCs w:val="28"/>
              <w:lang w:val="en-US" w:eastAsia="zh-CN"/>
            </w:rPr>
            <w:t>3.5 Foster collaboration with suppliers and partners</w:t>
          </w:r>
          <w:r>
            <w:rPr>
              <w:b w:val="0"/>
              <w:bCs/>
              <w:sz w:val="28"/>
              <w:szCs w:val="28"/>
            </w:rPr>
            <w:tab/>
          </w:r>
          <w:r>
            <w:rPr>
              <w:rFonts w:hint="eastAsia"/>
              <w:b w:val="0"/>
              <w:bCs/>
              <w:sz w:val="28"/>
              <w:szCs w:val="28"/>
              <w:lang w:val="en-US" w:eastAsia="zh-CN"/>
            </w:rPr>
            <w:t>8</w:t>
          </w:r>
          <w:r>
            <w:rPr>
              <w:b w:val="0"/>
              <w:bCs/>
              <w:sz w:val="28"/>
              <w:szCs w:val="28"/>
            </w:rPr>
            <w:fldChar w:fldCharType="end"/>
          </w:r>
        </w:p>
        <w:p>
          <w:pPr>
            <w:pStyle w:val="8"/>
            <w:tabs>
              <w:tab w:val="right" w:leader="dot" w:pos="8306"/>
            </w:tabs>
            <w:rPr>
              <w:b w:val="0"/>
              <w:bCs/>
              <w:sz w:val="28"/>
              <w:szCs w:val="28"/>
            </w:rPr>
          </w:pPr>
          <w:r>
            <w:rPr>
              <w:b w:val="0"/>
              <w:bCs/>
              <w:sz w:val="28"/>
              <w:szCs w:val="28"/>
            </w:rPr>
            <w:fldChar w:fldCharType="begin"/>
          </w:r>
          <w:r>
            <w:rPr>
              <w:b w:val="0"/>
              <w:bCs/>
              <w:sz w:val="28"/>
              <w:szCs w:val="28"/>
            </w:rPr>
            <w:instrText xml:space="preserve"> HYPERLINK \l _Toc23138 </w:instrText>
          </w:r>
          <w:r>
            <w:rPr>
              <w:b w:val="0"/>
              <w:bCs/>
              <w:sz w:val="28"/>
              <w:szCs w:val="28"/>
            </w:rPr>
            <w:fldChar w:fldCharType="separate"/>
          </w:r>
          <w:r>
            <w:rPr>
              <w:rFonts w:hint="eastAsia" w:ascii="Times New Roman" w:hAnsi="Times New Roman" w:cs="Times New Roman"/>
              <w:b w:val="0"/>
              <w:bCs/>
              <w:sz w:val="28"/>
              <w:szCs w:val="28"/>
              <w:lang w:val="en-US" w:eastAsia="zh-CN"/>
            </w:rPr>
            <w:t>3.6 Adopt digital transformation and automation</w:t>
          </w:r>
          <w:r>
            <w:rPr>
              <w:b w:val="0"/>
              <w:bCs/>
              <w:sz w:val="28"/>
              <w:szCs w:val="28"/>
            </w:rPr>
            <w:tab/>
          </w:r>
          <w:r>
            <w:rPr>
              <w:rFonts w:hint="eastAsia"/>
              <w:b w:val="0"/>
              <w:bCs/>
              <w:sz w:val="28"/>
              <w:szCs w:val="28"/>
              <w:lang w:val="en-US" w:eastAsia="zh-CN"/>
            </w:rPr>
            <w:t>8</w:t>
          </w:r>
          <w:r>
            <w:rPr>
              <w:b w:val="0"/>
              <w:bCs/>
              <w:sz w:val="28"/>
              <w:szCs w:val="28"/>
            </w:rPr>
            <w:fldChar w:fldCharType="end"/>
          </w:r>
        </w:p>
        <w:p>
          <w:pPr>
            <w:pStyle w:val="7"/>
            <w:tabs>
              <w:tab w:val="right" w:leader="dot" w:pos="8306"/>
            </w:tabs>
            <w:rPr>
              <w:b w:val="0"/>
              <w:bCs/>
              <w:sz w:val="28"/>
              <w:szCs w:val="28"/>
            </w:rPr>
          </w:pPr>
          <w:r>
            <w:rPr>
              <w:b w:val="0"/>
              <w:bCs/>
              <w:sz w:val="28"/>
              <w:szCs w:val="28"/>
            </w:rPr>
            <w:fldChar w:fldCharType="begin"/>
          </w:r>
          <w:r>
            <w:rPr>
              <w:b w:val="0"/>
              <w:bCs/>
              <w:sz w:val="28"/>
              <w:szCs w:val="28"/>
            </w:rPr>
            <w:instrText xml:space="preserve"> HYPERLINK \l _Toc6322 </w:instrText>
          </w:r>
          <w:r>
            <w:rPr>
              <w:b w:val="0"/>
              <w:bCs/>
              <w:sz w:val="28"/>
              <w:szCs w:val="28"/>
            </w:rPr>
            <w:fldChar w:fldCharType="separate"/>
          </w:r>
          <w:r>
            <w:rPr>
              <w:rFonts w:hint="default" w:ascii="Times New Roman" w:hAnsi="Times New Roman" w:cs="Times New Roman"/>
              <w:b w:val="0"/>
              <w:bCs/>
              <w:sz w:val="28"/>
              <w:szCs w:val="28"/>
              <w:lang w:val="en-US" w:eastAsia="zh-CN"/>
            </w:rPr>
            <w:t>4 Recommendations</w:t>
          </w:r>
          <w:r>
            <w:rPr>
              <w:b w:val="0"/>
              <w:bCs/>
              <w:sz w:val="28"/>
              <w:szCs w:val="28"/>
            </w:rPr>
            <w:tab/>
          </w:r>
          <w:r>
            <w:rPr>
              <w:b w:val="0"/>
              <w:bCs/>
              <w:sz w:val="28"/>
              <w:szCs w:val="28"/>
            </w:rPr>
            <w:fldChar w:fldCharType="begin"/>
          </w:r>
          <w:r>
            <w:rPr>
              <w:b w:val="0"/>
              <w:bCs/>
              <w:sz w:val="28"/>
              <w:szCs w:val="28"/>
            </w:rPr>
            <w:instrText xml:space="preserve"> PAGEREF _Toc6322 \h </w:instrText>
          </w:r>
          <w:r>
            <w:rPr>
              <w:b w:val="0"/>
              <w:bCs/>
              <w:sz w:val="28"/>
              <w:szCs w:val="28"/>
            </w:rPr>
            <w:fldChar w:fldCharType="separate"/>
          </w:r>
          <w:r>
            <w:rPr>
              <w:b w:val="0"/>
              <w:bCs/>
              <w:sz w:val="28"/>
              <w:szCs w:val="28"/>
            </w:rPr>
            <w:t>10</w:t>
          </w:r>
          <w:r>
            <w:rPr>
              <w:b w:val="0"/>
              <w:bCs/>
              <w:sz w:val="28"/>
              <w:szCs w:val="28"/>
            </w:rPr>
            <w:fldChar w:fldCharType="end"/>
          </w:r>
          <w:r>
            <w:rPr>
              <w:b w:val="0"/>
              <w:bCs/>
              <w:sz w:val="28"/>
              <w:szCs w:val="28"/>
            </w:rPr>
            <w:fldChar w:fldCharType="end"/>
          </w:r>
        </w:p>
        <w:p>
          <w:pPr>
            <w:pStyle w:val="7"/>
            <w:tabs>
              <w:tab w:val="right" w:leader="dot" w:pos="8306"/>
            </w:tabs>
            <w:rPr>
              <w:b/>
            </w:rPr>
          </w:pPr>
          <w:r>
            <w:rPr>
              <w:b w:val="0"/>
              <w:bCs/>
              <w:sz w:val="28"/>
              <w:szCs w:val="28"/>
            </w:rPr>
            <w:fldChar w:fldCharType="begin"/>
          </w:r>
          <w:r>
            <w:rPr>
              <w:b w:val="0"/>
              <w:bCs/>
              <w:sz w:val="28"/>
              <w:szCs w:val="28"/>
            </w:rPr>
            <w:instrText xml:space="preserve"> HYPERLINK \l _Toc29002 </w:instrText>
          </w:r>
          <w:r>
            <w:rPr>
              <w:b w:val="0"/>
              <w:bCs/>
              <w:sz w:val="28"/>
              <w:szCs w:val="28"/>
            </w:rPr>
            <w:fldChar w:fldCharType="separate"/>
          </w:r>
          <w:r>
            <w:rPr>
              <w:rFonts w:hint="default" w:ascii="Times New Roman" w:hAnsi="Times New Roman" w:eastAsia="宋体" w:cs="Times New Roman"/>
              <w:b w:val="0"/>
              <w:bCs/>
              <w:i w:val="0"/>
              <w:iCs w:val="0"/>
              <w:sz w:val="28"/>
              <w:szCs w:val="28"/>
              <w:vertAlign w:val="baseline"/>
              <w:lang w:val="en-US" w:eastAsia="zh-CN"/>
            </w:rPr>
            <w:t>References</w:t>
          </w:r>
          <w:r>
            <w:rPr>
              <w:b w:val="0"/>
              <w:bCs/>
              <w:sz w:val="28"/>
              <w:szCs w:val="28"/>
            </w:rPr>
            <w:tab/>
          </w:r>
          <w:r>
            <w:rPr>
              <w:b w:val="0"/>
              <w:bCs/>
              <w:sz w:val="28"/>
              <w:szCs w:val="28"/>
            </w:rPr>
            <w:fldChar w:fldCharType="begin"/>
          </w:r>
          <w:r>
            <w:rPr>
              <w:b w:val="0"/>
              <w:bCs/>
              <w:sz w:val="28"/>
              <w:szCs w:val="28"/>
            </w:rPr>
            <w:instrText xml:space="preserve"> PAGEREF _Toc29002 \h </w:instrText>
          </w:r>
          <w:r>
            <w:rPr>
              <w:b w:val="0"/>
              <w:bCs/>
              <w:sz w:val="28"/>
              <w:szCs w:val="28"/>
            </w:rPr>
            <w:fldChar w:fldCharType="separate"/>
          </w:r>
          <w:r>
            <w:rPr>
              <w:b w:val="0"/>
              <w:bCs/>
              <w:sz w:val="28"/>
              <w:szCs w:val="28"/>
            </w:rPr>
            <w:t>1</w:t>
          </w:r>
          <w:r>
            <w:rPr>
              <w:rFonts w:hint="eastAsia"/>
              <w:b w:val="0"/>
              <w:bCs/>
              <w:sz w:val="28"/>
              <w:szCs w:val="28"/>
              <w:lang w:val="en-US" w:eastAsia="zh-CN"/>
            </w:rPr>
            <w:t>1</w:t>
          </w:r>
          <w:r>
            <w:rPr>
              <w:b w:val="0"/>
              <w:bCs/>
              <w:sz w:val="28"/>
              <w:szCs w:val="28"/>
            </w:rPr>
            <w:fldChar w:fldCharType="end"/>
          </w:r>
          <w:r>
            <w:rPr>
              <w:b w:val="0"/>
              <w:bCs/>
              <w:sz w:val="28"/>
              <w:szCs w:val="28"/>
            </w:rPr>
            <w:fldChar w:fldCharType="end"/>
          </w:r>
        </w:p>
        <w:p>
          <w:pPr>
            <w:rPr>
              <w:b/>
            </w:rPr>
          </w:pPr>
          <w:r>
            <w:rPr>
              <w:b/>
            </w:rPr>
            <w:fldChar w:fldCharType="end"/>
          </w:r>
        </w:p>
      </w:sdtContent>
    </w:sdt>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outlineLvl w:val="0"/>
        <w:rPr>
          <w:rFonts w:hint="default" w:ascii="Times New Roman" w:hAnsi="Times New Roman" w:cs="Times New Roman"/>
          <w:b/>
          <w:bCs/>
          <w:sz w:val="32"/>
          <w:szCs w:val="32"/>
          <w:lang w:val="en-US" w:eastAsia="zh-CN"/>
        </w:rPr>
        <w:sectPr>
          <w:footerReference r:id="rId4" w:type="default"/>
          <w:pgSz w:w="11906" w:h="16838"/>
          <w:pgMar w:top="1440" w:right="1800" w:bottom="1440" w:left="1800" w:header="851" w:footer="992" w:gutter="0"/>
          <w:pgNumType w:fmt="decimal" w:start="1"/>
          <w:cols w:space="425" w:num="1"/>
          <w:docGrid w:type="lines" w:linePitch="312" w:charSpace="0"/>
        </w:sectPr>
      </w:pPr>
      <w:bookmarkStart w:id="8" w:name="_Toc11725"/>
    </w:p>
    <w:p>
      <w:pPr>
        <w:outlineLvl w:val="0"/>
        <w:rPr>
          <w:rFonts w:hint="default" w:ascii="Times New Roman" w:hAnsi="Times New Roman" w:cs="Times New Roman"/>
          <w:b/>
          <w:bCs/>
          <w:sz w:val="32"/>
          <w:szCs w:val="32"/>
          <w:lang w:val="en-US" w:eastAsia="zh-CN"/>
        </w:rPr>
      </w:pPr>
      <w:r>
        <w:rPr>
          <w:rFonts w:hint="default" w:ascii="Times New Roman" w:hAnsi="Times New Roman" w:cs="Times New Roman"/>
          <w:b/>
          <w:bCs/>
          <w:sz w:val="32"/>
          <w:szCs w:val="32"/>
          <w:lang w:val="en-US" w:eastAsia="zh-CN"/>
        </w:rPr>
        <w:t>1 Introduction</w:t>
      </w:r>
      <w:bookmarkEnd w:id="7"/>
      <w:bookmarkEnd w:id="8"/>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the twenty-first century, the smartphone market has expanded dramatically. As the pace of global economic integration quickens, multinational corporations confront increasingly complex supply chain management issues. A complex network of suppliers, manufacturers, distributors, and retailers collaborates to distribute products and services to customers throughout the globe. The efficacy and efficiency of a company's supply networks can have a significant impact on its capacity to satisfy consumer demands and attain its corporate objectives. However, a variety of risks, such as political unrest, natural disasters, transportation delays, and low quality suppliers, can impact global supply chains. The international supply chain section of this report is devoted to Apple Inc</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Apple Inc., one of the largest technology companies in the world, is well-known for its iPhone products. Since the release of Apple's first smartphone in 2007, the company's expanding global sales and success have been propelled by its robust supply chain. As a consequence of its extensive global supply chain system, Apple has been exposed to numerous risks. This article uses FMEA to examine the risks Apple confronts in its global supply chain, as well as the supply chain's weaknesses and six initiatives that can be implemented to strengthen it.</w:t>
      </w:r>
    </w:p>
    <w:p>
      <w:pPr>
        <w:rPr>
          <w:rFonts w:hint="default" w:ascii="Times New Roman" w:hAnsi="Times New Roman" w:cs="Times New Roman"/>
          <w:b/>
          <w:bCs/>
          <w:sz w:val="32"/>
          <w:szCs w:val="32"/>
          <w:lang w:val="en-US" w:eastAsia="zh-CN"/>
        </w:rPr>
      </w:pPr>
    </w:p>
    <w:p>
      <w:pPr>
        <w:rPr>
          <w:rFonts w:hint="default" w:ascii="Times New Roman" w:hAnsi="Times New Roman" w:cs="Times New Roman"/>
          <w:b/>
          <w:bCs/>
          <w:sz w:val="32"/>
          <w:szCs w:val="32"/>
          <w:lang w:val="en-US" w:eastAsia="zh-CN"/>
        </w:rPr>
      </w:pPr>
    </w:p>
    <w:p>
      <w:pPr>
        <w:rPr>
          <w:rFonts w:hint="default" w:ascii="Times New Roman" w:hAnsi="Times New Roman" w:cs="Times New Roman"/>
          <w:b/>
          <w:bCs/>
          <w:sz w:val="32"/>
          <w:szCs w:val="32"/>
          <w:lang w:val="en-US" w:eastAsia="zh-CN"/>
        </w:rPr>
      </w:pPr>
    </w:p>
    <w:p>
      <w:pPr>
        <w:rPr>
          <w:rFonts w:hint="default" w:ascii="Times New Roman" w:hAnsi="Times New Roman" w:cs="Times New Roman"/>
          <w:b/>
          <w:bCs/>
          <w:sz w:val="32"/>
          <w:szCs w:val="32"/>
          <w:lang w:val="en-US" w:eastAsia="zh-CN"/>
        </w:rPr>
      </w:pPr>
    </w:p>
    <w:p>
      <w:pPr>
        <w:rPr>
          <w:rFonts w:hint="default" w:ascii="Times New Roman" w:hAnsi="Times New Roman" w:cs="Times New Roman"/>
          <w:b/>
          <w:bCs/>
          <w:sz w:val="32"/>
          <w:szCs w:val="32"/>
          <w:lang w:val="en-US" w:eastAsia="zh-CN"/>
        </w:rPr>
      </w:pPr>
    </w:p>
    <w:p>
      <w:pPr>
        <w:rPr>
          <w:rFonts w:hint="default" w:ascii="Times New Roman" w:hAnsi="Times New Roman" w:cs="Times New Roman"/>
          <w:b/>
          <w:bCs/>
          <w:sz w:val="32"/>
          <w:szCs w:val="32"/>
          <w:lang w:val="en-US" w:eastAsia="zh-CN"/>
        </w:rPr>
      </w:pPr>
    </w:p>
    <w:p>
      <w:pPr>
        <w:rPr>
          <w:rFonts w:hint="default" w:ascii="Times New Roman" w:hAnsi="Times New Roman" w:cs="Times New Roman"/>
          <w:b/>
          <w:bCs/>
          <w:sz w:val="32"/>
          <w:szCs w:val="32"/>
          <w:lang w:val="en-US" w:eastAsia="zh-CN"/>
        </w:rPr>
      </w:pPr>
    </w:p>
    <w:p>
      <w:pPr>
        <w:rPr>
          <w:rFonts w:hint="default" w:ascii="Times New Roman" w:hAnsi="Times New Roman" w:cs="Times New Roman"/>
          <w:b/>
          <w:bCs/>
          <w:sz w:val="32"/>
          <w:szCs w:val="32"/>
          <w:lang w:val="en-US" w:eastAsia="zh-CN"/>
        </w:rPr>
      </w:pPr>
    </w:p>
    <w:p>
      <w:pPr>
        <w:rPr>
          <w:rFonts w:hint="default" w:ascii="Times New Roman" w:hAnsi="Times New Roman" w:cs="Times New Roman"/>
          <w:b/>
          <w:bCs/>
          <w:sz w:val="32"/>
          <w:szCs w:val="32"/>
          <w:lang w:val="en-US" w:eastAsia="zh-CN"/>
        </w:rPr>
      </w:pPr>
    </w:p>
    <w:p>
      <w:pPr>
        <w:rPr>
          <w:rFonts w:hint="default" w:ascii="Times New Roman" w:hAnsi="Times New Roman" w:cs="Times New Roman"/>
          <w:b/>
          <w:bCs/>
          <w:sz w:val="32"/>
          <w:szCs w:val="32"/>
          <w:lang w:val="en-US" w:eastAsia="zh-CN"/>
        </w:rPr>
      </w:pPr>
    </w:p>
    <w:p>
      <w:pPr>
        <w:rPr>
          <w:rFonts w:hint="default" w:ascii="Times New Roman" w:hAnsi="Times New Roman" w:cs="Times New Roman"/>
          <w:b/>
          <w:bCs/>
          <w:sz w:val="32"/>
          <w:szCs w:val="32"/>
          <w:lang w:val="en-US" w:eastAsia="zh-CN"/>
        </w:rPr>
      </w:pPr>
    </w:p>
    <w:p>
      <w:pPr>
        <w:rPr>
          <w:rFonts w:hint="default" w:ascii="Times New Roman" w:hAnsi="Times New Roman" w:cs="Times New Roman"/>
          <w:b/>
          <w:bCs/>
          <w:sz w:val="32"/>
          <w:szCs w:val="32"/>
          <w:lang w:val="en-US" w:eastAsia="zh-CN"/>
        </w:rPr>
      </w:pPr>
    </w:p>
    <w:p>
      <w:pPr>
        <w:rPr>
          <w:rFonts w:hint="default" w:ascii="Times New Roman" w:hAnsi="Times New Roman" w:cs="Times New Roman"/>
          <w:b/>
          <w:bCs/>
          <w:sz w:val="32"/>
          <w:szCs w:val="32"/>
          <w:lang w:val="en-US" w:eastAsia="zh-CN"/>
        </w:rPr>
      </w:pPr>
    </w:p>
    <w:p>
      <w:pPr>
        <w:outlineLvl w:val="0"/>
        <w:rPr>
          <w:rFonts w:hint="eastAsia" w:ascii="Times New Roman" w:hAnsi="Times New Roman" w:cs="Times New Roman"/>
          <w:b/>
          <w:bCs/>
          <w:sz w:val="32"/>
          <w:szCs w:val="32"/>
          <w:lang w:val="en-US" w:eastAsia="zh-CN"/>
        </w:rPr>
      </w:pPr>
      <w:bookmarkStart w:id="9" w:name="_Toc2236"/>
      <w:bookmarkStart w:id="10" w:name="_Toc29451"/>
      <w:r>
        <w:rPr>
          <w:rFonts w:hint="eastAsia" w:ascii="Times New Roman" w:hAnsi="Times New Roman" w:cs="Times New Roman"/>
          <w:b/>
          <w:bCs/>
          <w:sz w:val="32"/>
          <w:szCs w:val="32"/>
          <w:lang w:val="en-US" w:eastAsia="zh-CN"/>
        </w:rPr>
        <w:t>2 Supply Chain Risk Management</w:t>
      </w:r>
      <w:bookmarkEnd w:id="9"/>
      <w:bookmarkEnd w:id="10"/>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According to Mentzer </w:t>
      </w:r>
      <w:r>
        <w:rPr>
          <w:rFonts w:hint="default" w:ascii="Times New Roman" w:hAnsi="Times New Roman" w:cs="Times New Roman"/>
          <w:b w:val="0"/>
          <w:bCs w:val="0"/>
          <w:i/>
          <w:iCs/>
          <w:sz w:val="24"/>
          <w:szCs w:val="24"/>
          <w:lang w:val="en-US" w:eastAsia="zh-CN"/>
        </w:rPr>
        <w:t>et al</w:t>
      </w:r>
      <w:r>
        <w:rPr>
          <w:rFonts w:hint="default" w:ascii="Times New Roman" w:hAnsi="Times New Roman" w:cs="Times New Roman"/>
          <w:b w:val="0"/>
          <w:bCs w:val="0"/>
          <w:sz w:val="24"/>
          <w:szCs w:val="24"/>
          <w:lang w:val="en-US" w:eastAsia="zh-CN"/>
        </w:rPr>
        <w:t>. (2001), Supply chain management is the systematic organisation, administration, strategic planning, and coordination of supply chain planning and execution to achieve and improve long-term performance of an organisation and its supply chain. Thus, supply chain management is the efficient integration of upstream and downstream resources to achieve internal and external market competitiveness and quality customer service. Businesses can enhance operational efficiency, cut costs, shorten the supply cycle, and benefit customers. Effective supply chain management can also improve supplier relations, streamline procurement, give products unique characteristics and technical advantages, and give customers access to better products than competitors.</w:t>
      </w:r>
    </w:p>
    <w:p>
      <w:pPr>
        <w:rPr>
          <w:rFonts w:hint="default" w:ascii="Times New Roman" w:hAnsi="Times New Roman" w:cs="Times New Roman"/>
          <w:b w:val="0"/>
          <w:bCs w:val="0"/>
          <w:sz w:val="24"/>
          <w:szCs w:val="24"/>
          <w:lang w:val="en-US" w:eastAsia="zh-CN"/>
        </w:rPr>
      </w:pPr>
    </w:p>
    <w:p>
      <w:pPr>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Paulsson (2004) asserts that supply chain risk management is the application of scientific risk management tools to eliminate supply chain risks and uncertainties through the collaboration of all members of the supply chain or their own effective operation in order to reduce risks associated with supply chain logistics and other activities within the related supply chain. As a result, supply chain risk management's primary objective is to help businesses increase profit margins and minimise hazards throughout the supply chain management process. Hendricks et al. (2009) classify supply chain risks into two categories: internal risks, which are more likely to occur, such as changes in customer demand, supplier uncertainty, and uncertainty in their own operations; and external risks, which include natural disasters and political and terrorist events.</w:t>
      </w:r>
    </w:p>
    <w:p>
      <w:pPr>
        <w:rPr>
          <w:rFonts w:hint="eastAsia" w:ascii="Times New Roman" w:hAnsi="Times New Roman" w:cs="Times New Roman"/>
          <w:b w:val="0"/>
          <w:bCs w:val="0"/>
          <w:sz w:val="24"/>
          <w:szCs w:val="24"/>
          <w:lang w:val="en-US" w:eastAsia="zh-CN"/>
        </w:rPr>
      </w:pPr>
    </w:p>
    <w:p>
      <w:pPr>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According to Hallikas et al. (2004), a typical supply chain risk management method consists of the following four steps: The first four phases of risk management are identification, assessment, monitoring, and control, followed by decision-making and action.</w:t>
      </w:r>
    </w:p>
    <w:p>
      <w:pPr>
        <w:rPr>
          <w:rFonts w:hint="eastAsia"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International supply chain risks are the unknowns, interruptions, and losses that could occur in global supply networks and have an effect on the production, logistics, and sales of an organisation. As a consequence of global economic integration, businesses must manage the risks posed by global supply chains while simultaneously expanding their markets, reducing their costs, and becoming more competitive. The following are some of the most significant threats to the global supply chain: Political risk, Exchange rate risk, Logistics risks, Supplier risk, Market demand risk Technical risks.</w:t>
      </w:r>
    </w:p>
    <w:p>
      <w:pPr>
        <w:rPr>
          <w:rFonts w:hint="eastAsia"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Companies can reduce the risks associated with their global supply chains by creating risk management plans, establishing fallback plans, reviewing their suppliers, and strengthening their partnerships, among other measures. Effective international supply chain risk management is crucial to a company's performance in a globalised environment.</w:t>
      </w:r>
    </w:p>
    <w:p>
      <w:pPr>
        <w:rPr>
          <w:rFonts w:hint="default" w:ascii="Times New Roman" w:hAnsi="Times New Roman" w:cs="Times New Roman"/>
          <w:b w:val="0"/>
          <w:bCs w:val="0"/>
          <w:sz w:val="24"/>
          <w:szCs w:val="24"/>
          <w:lang w:val="en-US" w:eastAsia="zh-CN"/>
        </w:rPr>
      </w:pPr>
    </w:p>
    <w:p>
      <w:pPr>
        <w:outlineLvl w:val="1"/>
        <w:rPr>
          <w:rFonts w:hint="eastAsia" w:ascii="Times New Roman" w:hAnsi="Times New Roman" w:cs="Times New Roman"/>
          <w:b/>
          <w:bCs/>
          <w:sz w:val="30"/>
          <w:szCs w:val="30"/>
          <w:lang w:val="en-US" w:eastAsia="zh-CN"/>
        </w:rPr>
      </w:pPr>
      <w:bookmarkStart w:id="11" w:name="_Toc5508"/>
      <w:r>
        <w:rPr>
          <w:rFonts w:hint="eastAsia" w:ascii="Times New Roman" w:hAnsi="Times New Roman" w:cs="Times New Roman"/>
          <w:b/>
          <w:bCs/>
          <w:sz w:val="30"/>
          <w:szCs w:val="30"/>
          <w:lang w:val="en-US" w:eastAsia="zh-CN"/>
        </w:rPr>
        <w:t>2.1 FMEA analysis</w:t>
      </w:r>
      <w:bookmarkEnd w:id="11"/>
    </w:p>
    <w:p>
      <w:pPr>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By identifying the failure modes, the causes and effects of each potential failure mode on system service, and defining the appropriate detection processes and corrective actions, Bouti and Kadi (1994) determined whether the FMEA documented singular system failures. After the Criticality Analysis (CA) process was introduced for the classification of failure modes, it became known as a Failure Mode.</w:t>
      </w:r>
    </w:p>
    <w:p>
      <w:pPr>
        <w:rPr>
          <w:rFonts w:hint="eastAsia"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a published journal article, Huang et al. (1999) expanded the use of FMEA in the management sector by identifying the most significant input variables in critical processes and taking steps to enhance them.</w:t>
      </w: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FMEA (Failure Mode and Effect Analysis) is used to evaluate every potential system design procedure or service failure. The failure modes of a given commodity, service, or process are defined and studied in terms of likelihood/probability of occurrence (OCC Occurrence), severity of impact (SEV Severity), and likelihood of risk factor identification (DET Identification). Using the quantified RPN = Severity x Occurrence x Detection, the system's failure modes are ranked and vulnerable and critical failure modes are prioritised based on severity, occurrence, and detection.</w:t>
      </w:r>
      <w:r>
        <w:rPr>
          <w:rFonts w:hint="eastAsia" w:ascii="Times New Roman" w:hAnsi="Times New Roman" w:cs="Times New Roman"/>
          <w:b w:val="0"/>
          <w:bCs w:val="0"/>
          <w:sz w:val="24"/>
          <w:szCs w:val="24"/>
          <w:lang w:val="en-US" w:eastAsia="zh-CN"/>
        </w:rPr>
        <w:t xml:space="preserve"> The following is the FMEA analysis table for Apple's international supply chain</w:t>
      </w: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p>
    <w:tbl>
      <w:tblPr>
        <w:tblStyle w:val="5"/>
        <w:tblW w:w="11136" w:type="dxa"/>
        <w:tblInd w:w="-121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288"/>
        <w:gridCol w:w="1389"/>
        <w:gridCol w:w="359"/>
        <w:gridCol w:w="1497"/>
        <w:gridCol w:w="352"/>
        <w:gridCol w:w="2156"/>
        <w:gridCol w:w="335"/>
        <w:gridCol w:w="347"/>
        <w:gridCol w:w="241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3677" w:type="dxa"/>
            <w:gridSpan w:val="2"/>
          </w:tcPr>
          <w:p>
            <w:pPr>
              <w:numPr>
                <w:ilvl w:val="0"/>
                <w:numId w:val="0"/>
              </w:numPr>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1"/>
                <w:szCs w:val="21"/>
                <w:vertAlign w:val="baseline"/>
                <w:lang w:val="en-US" w:eastAsia="zh-CN"/>
              </w:rPr>
              <w:t>Potential</w:t>
            </w:r>
          </w:p>
        </w:tc>
        <w:tc>
          <w:tcPr>
            <w:tcW w:w="359" w:type="dxa"/>
            <w:vMerge w:val="restart"/>
          </w:tcPr>
          <w:p>
            <w:pPr>
              <w:numPr>
                <w:ilvl w:val="0"/>
                <w:numId w:val="0"/>
              </w:numPr>
              <w:jc w:val="center"/>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S</w:t>
            </w:r>
          </w:p>
          <w:p>
            <w:pPr>
              <w:numPr>
                <w:ilvl w:val="0"/>
                <w:numId w:val="0"/>
              </w:numPr>
              <w:jc w:val="center"/>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E</w:t>
            </w:r>
          </w:p>
          <w:p>
            <w:pPr>
              <w:numPr>
                <w:ilvl w:val="0"/>
                <w:numId w:val="0"/>
              </w:numPr>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V</w:t>
            </w:r>
          </w:p>
        </w:tc>
        <w:tc>
          <w:tcPr>
            <w:tcW w:w="1497" w:type="dxa"/>
            <w:vMerge w:val="restart"/>
          </w:tcPr>
          <w:p>
            <w:pPr>
              <w:numPr>
                <w:ilvl w:val="0"/>
                <w:numId w:val="0"/>
              </w:numPr>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1"/>
                <w:szCs w:val="21"/>
                <w:vertAlign w:val="baseline"/>
                <w:lang w:val="en-US" w:eastAsia="zh-CN"/>
              </w:rPr>
              <w:t>Potential Cause of Failure</w:t>
            </w:r>
          </w:p>
        </w:tc>
        <w:tc>
          <w:tcPr>
            <w:tcW w:w="352" w:type="dxa"/>
            <w:vMerge w:val="restart"/>
          </w:tcPr>
          <w:p>
            <w:pPr>
              <w:numPr>
                <w:ilvl w:val="0"/>
                <w:numId w:val="0"/>
              </w:numPr>
              <w:jc w:val="center"/>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O</w:t>
            </w:r>
          </w:p>
          <w:p>
            <w:pPr>
              <w:numPr>
                <w:ilvl w:val="0"/>
                <w:numId w:val="0"/>
              </w:numPr>
              <w:jc w:val="center"/>
              <w:rPr>
                <w:rFonts w:hint="eastAsia"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C</w:t>
            </w:r>
          </w:p>
          <w:p>
            <w:pPr>
              <w:numPr>
                <w:ilvl w:val="0"/>
                <w:numId w:val="0"/>
              </w:numPr>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4"/>
                <w:szCs w:val="24"/>
                <w:vertAlign w:val="baseline"/>
                <w:lang w:val="en-US" w:eastAsia="zh-CN"/>
              </w:rPr>
              <w:t>C</w:t>
            </w:r>
          </w:p>
        </w:tc>
        <w:tc>
          <w:tcPr>
            <w:tcW w:w="2156" w:type="dxa"/>
            <w:vMerge w:val="restart"/>
          </w:tcPr>
          <w:p>
            <w:pPr>
              <w:numPr>
                <w:ilvl w:val="0"/>
                <w:numId w:val="0"/>
              </w:numPr>
              <w:jc w:val="center"/>
              <w:rPr>
                <w:rFonts w:hint="eastAsia" w:ascii="Times New Roman" w:hAnsi="Times New Roman" w:eastAsia="宋体" w:cs="Times New Roman"/>
                <w:sz w:val="21"/>
                <w:szCs w:val="21"/>
                <w:vertAlign w:val="baseline"/>
                <w:lang w:val="en-US" w:eastAsia="zh-CN"/>
              </w:rPr>
            </w:pPr>
            <w:r>
              <w:rPr>
                <w:rFonts w:hint="eastAsia" w:ascii="Times New Roman" w:hAnsi="Times New Roman" w:eastAsia="宋体" w:cs="Times New Roman"/>
                <w:sz w:val="21"/>
                <w:szCs w:val="21"/>
                <w:vertAlign w:val="baseline"/>
                <w:lang w:val="en-US" w:eastAsia="zh-CN"/>
              </w:rPr>
              <w:t>Current</w:t>
            </w:r>
          </w:p>
          <w:p>
            <w:pPr>
              <w:numPr>
                <w:ilvl w:val="0"/>
                <w:numId w:val="0"/>
              </w:numPr>
              <w:jc w:val="cente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1"/>
                <w:szCs w:val="21"/>
                <w:vertAlign w:val="baseline"/>
                <w:lang w:val="en-US" w:eastAsia="zh-CN"/>
              </w:rPr>
              <w:t>Controls</w:t>
            </w:r>
          </w:p>
        </w:tc>
        <w:tc>
          <w:tcPr>
            <w:tcW w:w="335" w:type="dxa"/>
            <w:vMerge w:val="restart"/>
          </w:tcPr>
          <w:p>
            <w:pPr>
              <w:numPr>
                <w:ilvl w:val="0"/>
                <w:numId w:val="0"/>
              </w:numPr>
              <w:rPr>
                <w:rFonts w:hint="eastAsia" w:ascii="Times New Roman" w:hAnsi="Times New Roman" w:eastAsia="宋体" w:cs="Times New Roman"/>
                <w:sz w:val="21"/>
                <w:szCs w:val="21"/>
                <w:vertAlign w:val="baseline"/>
                <w:lang w:val="en-US" w:eastAsia="zh-CN"/>
              </w:rPr>
            </w:pPr>
            <w:r>
              <w:rPr>
                <w:rFonts w:hint="eastAsia" w:ascii="Times New Roman" w:hAnsi="Times New Roman" w:eastAsia="宋体" w:cs="Times New Roman"/>
                <w:sz w:val="21"/>
                <w:szCs w:val="21"/>
                <w:vertAlign w:val="baseline"/>
                <w:lang w:val="en-US" w:eastAsia="zh-CN"/>
              </w:rPr>
              <w:t>D</w:t>
            </w:r>
          </w:p>
          <w:p>
            <w:pPr>
              <w:numPr>
                <w:ilvl w:val="0"/>
                <w:numId w:val="0"/>
              </w:numPr>
              <w:rPr>
                <w:rFonts w:hint="eastAsia" w:ascii="Times New Roman" w:hAnsi="Times New Roman" w:eastAsia="宋体" w:cs="Times New Roman"/>
                <w:sz w:val="21"/>
                <w:szCs w:val="21"/>
                <w:vertAlign w:val="baseline"/>
                <w:lang w:val="en-US" w:eastAsia="zh-CN"/>
              </w:rPr>
            </w:pPr>
            <w:r>
              <w:rPr>
                <w:rFonts w:hint="eastAsia" w:ascii="Times New Roman" w:hAnsi="Times New Roman" w:eastAsia="宋体" w:cs="Times New Roman"/>
                <w:sz w:val="21"/>
                <w:szCs w:val="21"/>
                <w:vertAlign w:val="baseline"/>
                <w:lang w:val="en-US" w:eastAsia="zh-CN"/>
              </w:rPr>
              <w:t>E</w:t>
            </w:r>
          </w:p>
          <w:p>
            <w:pPr>
              <w:numPr>
                <w:ilvl w:val="0"/>
                <w:numId w:val="0"/>
              </w:numPr>
              <w:rPr>
                <w:rFonts w:hint="default" w:ascii="Times New Roman" w:hAnsi="Times New Roman" w:eastAsia="宋体" w:cs="Times New Roman"/>
                <w:sz w:val="24"/>
                <w:szCs w:val="24"/>
                <w:vertAlign w:val="baseline"/>
                <w:lang w:val="en-US" w:eastAsia="zh-CN"/>
              </w:rPr>
            </w:pPr>
            <w:r>
              <w:rPr>
                <w:rFonts w:hint="eastAsia" w:ascii="Times New Roman" w:hAnsi="Times New Roman" w:eastAsia="宋体" w:cs="Times New Roman"/>
                <w:sz w:val="21"/>
                <w:szCs w:val="21"/>
                <w:vertAlign w:val="baseline"/>
                <w:lang w:val="en-US" w:eastAsia="zh-CN"/>
              </w:rPr>
              <w:t>T</w:t>
            </w:r>
          </w:p>
        </w:tc>
        <w:tc>
          <w:tcPr>
            <w:tcW w:w="347" w:type="dxa"/>
            <w:vMerge w:val="restart"/>
          </w:tcPr>
          <w:p>
            <w:pPr>
              <w:numPr>
                <w:ilvl w:val="0"/>
                <w:numId w:val="0"/>
              </w:numPr>
              <w:rPr>
                <w:rFonts w:hint="default" w:ascii="Times New Roman" w:hAnsi="Times New Roman" w:eastAsia="宋体" w:cs="Times New Roman"/>
                <w:sz w:val="21"/>
                <w:szCs w:val="21"/>
                <w:vertAlign w:val="baseline"/>
                <w:lang w:val="en-US" w:eastAsia="zh-CN"/>
              </w:rPr>
            </w:pPr>
            <w:r>
              <w:rPr>
                <w:rFonts w:hint="eastAsia" w:ascii="Times New Roman" w:hAnsi="Times New Roman" w:eastAsia="宋体" w:cs="Times New Roman"/>
                <w:sz w:val="21"/>
                <w:szCs w:val="21"/>
                <w:vertAlign w:val="baseline"/>
                <w:lang w:val="en-US" w:eastAsia="zh-CN"/>
              </w:rPr>
              <w:t>RPN</w:t>
            </w:r>
          </w:p>
        </w:tc>
        <w:tc>
          <w:tcPr>
            <w:tcW w:w="2413" w:type="dxa"/>
            <w:vMerge w:val="restart"/>
          </w:tcPr>
          <w:p>
            <w:pPr>
              <w:numPr>
                <w:ilvl w:val="0"/>
                <w:numId w:val="0"/>
              </w:numPr>
              <w:jc w:val="center"/>
              <w:rPr>
                <w:rFonts w:hint="default" w:ascii="Times New Roman" w:hAnsi="Times New Roman" w:eastAsia="宋体" w:cs="Times New Roman"/>
                <w:sz w:val="21"/>
                <w:szCs w:val="21"/>
                <w:vertAlign w:val="baseline"/>
                <w:lang w:val="en-US" w:eastAsia="zh-CN"/>
              </w:rPr>
            </w:pPr>
            <w:r>
              <w:rPr>
                <w:rFonts w:hint="eastAsia" w:ascii="Times New Roman" w:hAnsi="Times New Roman" w:eastAsia="宋体" w:cs="Times New Roman"/>
                <w:sz w:val="21"/>
                <w:szCs w:val="21"/>
                <w:vertAlign w:val="baseline"/>
                <w:lang w:val="en-US" w:eastAsia="zh-CN"/>
              </w:rPr>
              <w:t>Recommended  Action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42" w:hRule="atLeast"/>
        </w:trPr>
        <w:tc>
          <w:tcPr>
            <w:tcW w:w="2288" w:type="dxa"/>
          </w:tcPr>
          <w:p>
            <w:pPr>
              <w:numPr>
                <w:ilvl w:val="0"/>
                <w:numId w:val="0"/>
              </w:numPr>
              <w:jc w:val="center"/>
              <w:rPr>
                <w:rFonts w:hint="default" w:ascii="Segoe UI" w:hAnsi="Segoe UI" w:eastAsia="宋体" w:cs="Segoe UI"/>
                <w:b/>
                <w:bCs/>
                <w:i w:val="0"/>
                <w:iCs w:val="0"/>
                <w:caps w:val="0"/>
                <w:color w:val="111827"/>
                <w:spacing w:val="0"/>
                <w:sz w:val="16"/>
                <w:szCs w:val="16"/>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Failure Mode</w:t>
            </w:r>
          </w:p>
        </w:tc>
        <w:tc>
          <w:tcPr>
            <w:tcW w:w="1389" w:type="dxa"/>
          </w:tcPr>
          <w:p>
            <w:pPr>
              <w:numPr>
                <w:ilvl w:val="0"/>
                <w:numId w:val="0"/>
              </w:numPr>
              <w:jc w:val="center"/>
              <w:rPr>
                <w:rFonts w:hint="eastAsia" w:ascii="Times New Roman" w:hAnsi="Times New Roman" w:eastAsia="宋体" w:cs="Times New Roman"/>
                <w:b w:val="0"/>
                <w:bCs w:val="0"/>
                <w:i w:val="0"/>
                <w:iCs w:val="0"/>
                <w:caps w:val="0"/>
                <w:color w:val="111827"/>
                <w:spacing w:val="0"/>
                <w:sz w:val="21"/>
                <w:szCs w:val="21"/>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Effect</w:t>
            </w:r>
          </w:p>
          <w:p>
            <w:pPr>
              <w:numPr>
                <w:ilvl w:val="0"/>
                <w:numId w:val="0"/>
              </w:numPr>
              <w:jc w:val="center"/>
              <w:rPr>
                <w:rFonts w:hint="default" w:ascii="Segoe UI" w:hAnsi="Segoe UI" w:eastAsia="宋体" w:cs="Segoe UI"/>
                <w:b/>
                <w:bCs/>
                <w:i w:val="0"/>
                <w:iCs w:val="0"/>
                <w:caps w:val="0"/>
                <w:color w:val="111827"/>
                <w:spacing w:val="0"/>
                <w:sz w:val="16"/>
                <w:szCs w:val="16"/>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of Failure</w:t>
            </w:r>
          </w:p>
        </w:tc>
        <w:tc>
          <w:tcPr>
            <w:tcW w:w="359" w:type="dxa"/>
            <w:vMerge w:val="continue"/>
          </w:tcPr>
          <w:p>
            <w:pPr>
              <w:rPr>
                <w:rFonts w:ascii="Segoe UI" w:hAnsi="Segoe UI" w:eastAsia="Segoe UI" w:cs="Segoe UI"/>
                <w:b/>
                <w:bCs/>
                <w:i w:val="0"/>
                <w:iCs w:val="0"/>
                <w:caps w:val="0"/>
                <w:color w:val="111827"/>
                <w:spacing w:val="0"/>
                <w:sz w:val="16"/>
                <w:szCs w:val="16"/>
              </w:rPr>
            </w:pPr>
          </w:p>
        </w:tc>
        <w:tc>
          <w:tcPr>
            <w:tcW w:w="1497" w:type="dxa"/>
            <w:vMerge w:val="continue"/>
          </w:tcPr>
          <w:p>
            <w:pPr>
              <w:rPr>
                <w:rFonts w:ascii="Segoe UI" w:hAnsi="Segoe UI" w:eastAsia="Segoe UI" w:cs="Segoe UI"/>
                <w:b/>
                <w:bCs/>
                <w:i w:val="0"/>
                <w:iCs w:val="0"/>
                <w:caps w:val="0"/>
                <w:color w:val="111827"/>
                <w:spacing w:val="0"/>
                <w:sz w:val="16"/>
                <w:szCs w:val="16"/>
              </w:rPr>
            </w:pPr>
          </w:p>
        </w:tc>
        <w:tc>
          <w:tcPr>
            <w:tcW w:w="352" w:type="dxa"/>
            <w:vMerge w:val="continue"/>
          </w:tcPr>
          <w:p>
            <w:pPr>
              <w:rPr>
                <w:rFonts w:ascii="Segoe UI" w:hAnsi="Segoe UI" w:eastAsia="Segoe UI" w:cs="Segoe UI"/>
                <w:b/>
                <w:bCs/>
                <w:i w:val="0"/>
                <w:iCs w:val="0"/>
                <w:caps w:val="0"/>
                <w:color w:val="111827"/>
                <w:spacing w:val="0"/>
                <w:sz w:val="16"/>
                <w:szCs w:val="16"/>
              </w:rPr>
            </w:pPr>
          </w:p>
        </w:tc>
        <w:tc>
          <w:tcPr>
            <w:tcW w:w="2156" w:type="dxa"/>
            <w:vMerge w:val="continue"/>
          </w:tcPr>
          <w:p>
            <w:pPr>
              <w:rPr>
                <w:rFonts w:ascii="Segoe UI" w:hAnsi="Segoe UI" w:eastAsia="Segoe UI" w:cs="Segoe UI"/>
                <w:b/>
                <w:bCs/>
                <w:i w:val="0"/>
                <w:iCs w:val="0"/>
                <w:caps w:val="0"/>
                <w:color w:val="111827"/>
                <w:spacing w:val="0"/>
                <w:sz w:val="16"/>
                <w:szCs w:val="16"/>
              </w:rPr>
            </w:pPr>
          </w:p>
        </w:tc>
        <w:tc>
          <w:tcPr>
            <w:tcW w:w="335" w:type="dxa"/>
            <w:vMerge w:val="continue"/>
          </w:tcPr>
          <w:p>
            <w:pPr>
              <w:rPr>
                <w:rFonts w:ascii="Segoe UI" w:hAnsi="Segoe UI" w:eastAsia="Segoe UI" w:cs="Segoe UI"/>
                <w:b/>
                <w:bCs/>
                <w:i w:val="0"/>
                <w:iCs w:val="0"/>
                <w:caps w:val="0"/>
                <w:color w:val="111827"/>
                <w:spacing w:val="0"/>
                <w:sz w:val="16"/>
                <w:szCs w:val="16"/>
              </w:rPr>
            </w:pPr>
          </w:p>
        </w:tc>
        <w:tc>
          <w:tcPr>
            <w:tcW w:w="347" w:type="dxa"/>
            <w:vMerge w:val="continue"/>
          </w:tcPr>
          <w:p>
            <w:pPr>
              <w:rPr>
                <w:rFonts w:ascii="Segoe UI" w:hAnsi="Segoe UI" w:eastAsia="Segoe UI" w:cs="Segoe UI"/>
                <w:b/>
                <w:bCs/>
                <w:i w:val="0"/>
                <w:iCs w:val="0"/>
                <w:caps w:val="0"/>
                <w:color w:val="111827"/>
                <w:spacing w:val="0"/>
                <w:sz w:val="16"/>
                <w:szCs w:val="16"/>
              </w:rPr>
            </w:pPr>
          </w:p>
        </w:tc>
        <w:tc>
          <w:tcPr>
            <w:tcW w:w="2413" w:type="dxa"/>
            <w:vMerge w:val="continue"/>
          </w:tcPr>
          <w:p>
            <w:pPr>
              <w:rPr>
                <w:rFonts w:ascii="Segoe UI" w:hAnsi="Segoe UI" w:eastAsia="Segoe UI" w:cs="Segoe UI"/>
                <w:b/>
                <w:bCs/>
                <w:i w:val="0"/>
                <w:iCs w:val="0"/>
                <w:caps w:val="0"/>
                <w:color w:val="111827"/>
                <w:spacing w:val="0"/>
                <w:sz w:val="16"/>
                <w:szCs w:val="16"/>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21" w:hRule="atLeast"/>
        </w:trPr>
        <w:tc>
          <w:tcPr>
            <w:tcW w:w="2288" w:type="dxa"/>
          </w:tcPr>
          <w:p>
            <w:pPr>
              <w:numPr>
                <w:ilvl w:val="0"/>
                <w:numId w:val="0"/>
              </w:numPr>
              <w:jc w:val="left"/>
              <w:rPr>
                <w:rFonts w:hint="default" w:ascii="Times New Roman" w:hAnsi="Times New Roman" w:eastAsia="宋体" w:cs="Times New Roman"/>
                <w:b w:val="0"/>
                <w:bCs w:val="0"/>
                <w:i w:val="0"/>
                <w:iCs w:val="0"/>
                <w:caps w:val="0"/>
                <w:color w:val="111827"/>
                <w:spacing w:val="0"/>
                <w:sz w:val="21"/>
                <w:szCs w:val="21"/>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Insufficient supplier capacity, supplier problems or uncertainty, and problems with the quality of raw materials.</w:t>
            </w:r>
          </w:p>
        </w:tc>
        <w:tc>
          <w:tcPr>
            <w:tcW w:w="1389" w:type="dxa"/>
          </w:tcPr>
          <w:p>
            <w:pPr>
              <w:numPr>
                <w:ilvl w:val="0"/>
                <w:numId w:val="0"/>
              </w:numPr>
              <w:jc w:val="left"/>
              <w:rPr>
                <w:rFonts w:hint="default" w:ascii="Times New Roman" w:hAnsi="Times New Roman" w:eastAsia="宋体" w:cs="Times New Roman"/>
                <w:b w:val="0"/>
                <w:bCs w:val="0"/>
                <w:i w:val="0"/>
                <w:iCs w:val="0"/>
                <w:caps w:val="0"/>
                <w:color w:val="111827"/>
                <w:spacing w:val="0"/>
                <w:sz w:val="21"/>
                <w:szCs w:val="21"/>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Product delays, cost increases, and quality declines</w:t>
            </w:r>
          </w:p>
          <w:p>
            <w:pPr>
              <w:numPr>
                <w:ilvl w:val="0"/>
                <w:numId w:val="0"/>
              </w:numPr>
              <w:jc w:val="center"/>
              <w:rPr>
                <w:rFonts w:hint="default" w:ascii="Times New Roman" w:hAnsi="Times New Roman" w:eastAsia="宋体" w:cs="Times New Roman"/>
                <w:b w:val="0"/>
                <w:bCs w:val="0"/>
                <w:i w:val="0"/>
                <w:iCs w:val="0"/>
                <w:caps w:val="0"/>
                <w:color w:val="111827"/>
                <w:spacing w:val="0"/>
                <w:sz w:val="21"/>
                <w:szCs w:val="21"/>
                <w:lang w:val="en-US" w:eastAsia="zh-CN"/>
              </w:rPr>
            </w:pPr>
          </w:p>
        </w:tc>
        <w:tc>
          <w:tcPr>
            <w:tcW w:w="359" w:type="dxa"/>
          </w:tcPr>
          <w:p>
            <w:pPr>
              <w:rPr>
                <w:rFonts w:hint="default" w:ascii="Segoe UI" w:hAnsi="Segoe UI" w:eastAsia="宋体" w:cs="Segoe UI"/>
                <w:b/>
                <w:bCs/>
                <w:i w:val="0"/>
                <w:iCs w:val="0"/>
                <w:caps w:val="0"/>
                <w:color w:val="111827"/>
                <w:spacing w:val="0"/>
                <w:sz w:val="16"/>
                <w:szCs w:val="16"/>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7</w:t>
            </w:r>
          </w:p>
        </w:tc>
        <w:tc>
          <w:tcPr>
            <w:tcW w:w="1497" w:type="dxa"/>
          </w:tcPr>
          <w:p>
            <w:pPr>
              <w:rPr>
                <w:rFonts w:ascii="Segoe UI" w:hAnsi="Segoe UI" w:eastAsia="Segoe UI" w:cs="Segoe UI"/>
                <w:b/>
                <w:bCs/>
                <w:i w:val="0"/>
                <w:iCs w:val="0"/>
                <w:caps w:val="0"/>
                <w:color w:val="111827"/>
                <w:spacing w:val="0"/>
                <w:sz w:val="16"/>
                <w:szCs w:val="16"/>
              </w:rPr>
            </w:pPr>
            <w:r>
              <w:rPr>
                <w:rFonts w:hint="default" w:ascii="Times New Roman" w:hAnsi="Times New Roman" w:eastAsia="Segoe UI" w:cs="Times New Roman"/>
                <w:b w:val="0"/>
                <w:bCs w:val="0"/>
                <w:i w:val="0"/>
                <w:iCs w:val="0"/>
                <w:caps w:val="0"/>
                <w:color w:val="111827"/>
                <w:spacing w:val="0"/>
                <w:sz w:val="21"/>
                <w:szCs w:val="21"/>
              </w:rPr>
              <w:t>Natural disasters, political unrest, strikes</w:t>
            </w:r>
          </w:p>
        </w:tc>
        <w:tc>
          <w:tcPr>
            <w:tcW w:w="352" w:type="dxa"/>
          </w:tcPr>
          <w:p>
            <w:pPr>
              <w:rPr>
                <w:rFonts w:hint="eastAsia" w:ascii="Segoe UI" w:hAnsi="Segoe UI" w:eastAsia="宋体" w:cs="Segoe UI"/>
                <w:b/>
                <w:bCs/>
                <w:i w:val="0"/>
                <w:iCs w:val="0"/>
                <w:caps w:val="0"/>
                <w:color w:val="111827"/>
                <w:spacing w:val="0"/>
                <w:sz w:val="16"/>
                <w:szCs w:val="16"/>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4</w:t>
            </w:r>
          </w:p>
        </w:tc>
        <w:tc>
          <w:tcPr>
            <w:tcW w:w="2156" w:type="dxa"/>
          </w:tcPr>
          <w:p>
            <w:pPr>
              <w:jc w:val="left"/>
              <w:rPr>
                <w:rFonts w:ascii="Segoe UI" w:hAnsi="Segoe UI" w:eastAsia="Segoe UI" w:cs="Segoe UI"/>
                <w:b/>
                <w:bCs/>
                <w:i w:val="0"/>
                <w:iCs w:val="0"/>
                <w:caps w:val="0"/>
                <w:color w:val="111827"/>
                <w:spacing w:val="0"/>
                <w:sz w:val="16"/>
                <w:szCs w:val="16"/>
              </w:rPr>
            </w:pPr>
            <w:r>
              <w:rPr>
                <w:rFonts w:hint="default" w:ascii="Times New Roman" w:hAnsi="Times New Roman" w:eastAsia="Segoe UI" w:cs="Times New Roman"/>
                <w:b w:val="0"/>
                <w:bCs w:val="0"/>
                <w:i w:val="0"/>
                <w:iCs w:val="0"/>
                <w:caps w:val="0"/>
                <w:color w:val="111827"/>
                <w:spacing w:val="0"/>
                <w:sz w:val="21"/>
                <w:szCs w:val="21"/>
              </w:rPr>
              <w:t>Supplier diversity, alternate suppliers</w:t>
            </w:r>
          </w:p>
        </w:tc>
        <w:tc>
          <w:tcPr>
            <w:tcW w:w="335" w:type="dxa"/>
          </w:tcPr>
          <w:p>
            <w:pPr>
              <w:rPr>
                <w:rFonts w:hint="default" w:ascii="Segoe UI" w:hAnsi="Segoe UI" w:eastAsia="宋体" w:cs="Segoe UI"/>
                <w:b/>
                <w:bCs/>
                <w:i w:val="0"/>
                <w:iCs w:val="0"/>
                <w:caps w:val="0"/>
                <w:color w:val="111827"/>
                <w:spacing w:val="0"/>
                <w:sz w:val="16"/>
                <w:szCs w:val="16"/>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5</w:t>
            </w:r>
          </w:p>
        </w:tc>
        <w:tc>
          <w:tcPr>
            <w:tcW w:w="347" w:type="dxa"/>
          </w:tcPr>
          <w:p>
            <w:pPr>
              <w:rPr>
                <w:rFonts w:hint="default" w:ascii="Times New Roman" w:hAnsi="Times New Roman" w:eastAsia="宋体" w:cs="Times New Roman"/>
                <w:b w:val="0"/>
                <w:bCs w:val="0"/>
                <w:i w:val="0"/>
                <w:iCs w:val="0"/>
                <w:caps w:val="0"/>
                <w:color w:val="111827"/>
                <w:spacing w:val="0"/>
                <w:sz w:val="21"/>
                <w:szCs w:val="21"/>
                <w:lang w:val="en-US" w:eastAsia="zh-CN"/>
              </w:rPr>
            </w:pPr>
            <w:r>
              <w:rPr>
                <w:rFonts w:hint="eastAsia" w:ascii="Times New Roman" w:hAnsi="Times New Roman" w:eastAsia="宋体" w:cs="Times New Roman"/>
                <w:b w:val="0"/>
                <w:bCs w:val="0"/>
                <w:i w:val="0"/>
                <w:iCs w:val="0"/>
                <w:caps w:val="0"/>
                <w:color w:val="111827"/>
                <w:spacing w:val="0"/>
                <w:sz w:val="21"/>
                <w:szCs w:val="21"/>
                <w:lang w:val="en-US" w:eastAsia="zh-CN"/>
              </w:rPr>
              <w:t>140</w:t>
            </w:r>
          </w:p>
        </w:tc>
        <w:tc>
          <w:tcPr>
            <w:tcW w:w="2413" w:type="dxa"/>
          </w:tcPr>
          <w:p>
            <w:pPr>
              <w:jc w:val="left"/>
              <w:rPr>
                <w:rFonts w:hint="default" w:ascii="Times New Roman" w:hAnsi="Times New Roman" w:eastAsia="宋体" w:cs="Times New Roman"/>
                <w:b w:val="0"/>
                <w:bCs w:val="0"/>
                <w:i w:val="0"/>
                <w:iCs w:val="0"/>
                <w:caps w:val="0"/>
                <w:color w:val="111827"/>
                <w:spacing w:val="0"/>
                <w:sz w:val="21"/>
                <w:szCs w:val="21"/>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Regular accounting of supplier quality and stability, and the development of alternative suppliers for contingencies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853" w:hRule="atLeast"/>
        </w:trPr>
        <w:tc>
          <w:tcPr>
            <w:tcW w:w="2288" w:type="dxa"/>
          </w:tcPr>
          <w:p>
            <w:pPr>
              <w:numPr>
                <w:ilvl w:val="0"/>
                <w:numId w:val="0"/>
              </w:numPr>
              <w:jc w:val="left"/>
              <w:rPr>
                <w:rFonts w:hint="default" w:ascii="Times New Roman" w:hAnsi="Times New Roman" w:eastAsia="宋体" w:cs="Times New Roman"/>
                <w:b w:val="0"/>
                <w:bCs w:val="0"/>
                <w:i w:val="0"/>
                <w:iCs w:val="0"/>
                <w:caps w:val="0"/>
                <w:color w:val="111827"/>
                <w:spacing w:val="0"/>
                <w:sz w:val="21"/>
                <w:szCs w:val="21"/>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Transport delays, damage to goods, and high transportation costs</w:t>
            </w:r>
          </w:p>
          <w:p>
            <w:pPr>
              <w:numPr>
                <w:ilvl w:val="0"/>
                <w:numId w:val="0"/>
              </w:numPr>
              <w:jc w:val="both"/>
              <w:rPr>
                <w:rFonts w:hint="default" w:ascii="Times New Roman" w:hAnsi="Times New Roman" w:eastAsia="宋体" w:cs="Times New Roman"/>
                <w:b w:val="0"/>
                <w:bCs w:val="0"/>
                <w:i w:val="0"/>
                <w:iCs w:val="0"/>
                <w:caps w:val="0"/>
                <w:color w:val="111827"/>
                <w:spacing w:val="0"/>
                <w:sz w:val="21"/>
                <w:szCs w:val="21"/>
                <w:lang w:val="en-US" w:eastAsia="zh-CN"/>
              </w:rPr>
            </w:pPr>
          </w:p>
        </w:tc>
        <w:tc>
          <w:tcPr>
            <w:tcW w:w="1389" w:type="dxa"/>
          </w:tcPr>
          <w:p>
            <w:pPr>
              <w:numPr>
                <w:ilvl w:val="0"/>
                <w:numId w:val="0"/>
              </w:numPr>
              <w:jc w:val="left"/>
              <w:rPr>
                <w:rFonts w:hint="default" w:ascii="Times New Roman" w:hAnsi="Times New Roman" w:eastAsia="宋体" w:cs="Times New Roman"/>
                <w:b w:val="0"/>
                <w:bCs w:val="0"/>
                <w:i w:val="0"/>
                <w:iCs w:val="0"/>
                <w:caps w:val="0"/>
                <w:color w:val="111827"/>
                <w:spacing w:val="0"/>
                <w:sz w:val="21"/>
                <w:szCs w:val="21"/>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Transactional delays, increased inventory costs, and diminished customer satisfaction.</w:t>
            </w:r>
          </w:p>
        </w:tc>
        <w:tc>
          <w:tcPr>
            <w:tcW w:w="359" w:type="dxa"/>
          </w:tcPr>
          <w:p>
            <w:pPr>
              <w:rPr>
                <w:rFonts w:hint="eastAsia" w:ascii="Segoe UI" w:hAnsi="Segoe UI" w:eastAsia="宋体" w:cs="Segoe UI"/>
                <w:b/>
                <w:bCs/>
                <w:i w:val="0"/>
                <w:iCs w:val="0"/>
                <w:caps w:val="0"/>
                <w:color w:val="111827"/>
                <w:spacing w:val="0"/>
                <w:sz w:val="16"/>
                <w:szCs w:val="16"/>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7</w:t>
            </w:r>
          </w:p>
        </w:tc>
        <w:tc>
          <w:tcPr>
            <w:tcW w:w="1497" w:type="dxa"/>
          </w:tcPr>
          <w:p>
            <w:pPr>
              <w:rPr>
                <w:rFonts w:hint="default" w:ascii="Times New Roman" w:hAnsi="Times New Roman" w:eastAsia="Segoe UI" w:cs="Times New Roman"/>
                <w:b w:val="0"/>
                <w:bCs w:val="0"/>
                <w:i w:val="0"/>
                <w:iCs w:val="0"/>
                <w:caps w:val="0"/>
                <w:color w:val="111827"/>
                <w:spacing w:val="0"/>
                <w:sz w:val="21"/>
                <w:szCs w:val="21"/>
              </w:rPr>
            </w:pPr>
            <w:r>
              <w:rPr>
                <w:rFonts w:hint="default" w:ascii="Times New Roman" w:hAnsi="Times New Roman" w:eastAsia="Segoe UI" w:cs="Times New Roman"/>
                <w:b w:val="0"/>
                <w:bCs w:val="0"/>
                <w:i w:val="0"/>
                <w:iCs w:val="0"/>
                <w:caps w:val="0"/>
                <w:color w:val="111827"/>
                <w:spacing w:val="0"/>
                <w:sz w:val="21"/>
                <w:szCs w:val="21"/>
              </w:rPr>
              <w:t>Unfortunate events, severe weather, and geopolitical tensions</w:t>
            </w:r>
          </w:p>
          <w:p>
            <w:pPr>
              <w:rPr>
                <w:rFonts w:ascii="Segoe UI" w:hAnsi="Segoe UI" w:eastAsia="Segoe UI" w:cs="Segoe UI"/>
                <w:b/>
                <w:bCs/>
                <w:i w:val="0"/>
                <w:iCs w:val="0"/>
                <w:caps w:val="0"/>
                <w:color w:val="111827"/>
                <w:spacing w:val="0"/>
                <w:sz w:val="16"/>
                <w:szCs w:val="16"/>
              </w:rPr>
            </w:pPr>
          </w:p>
        </w:tc>
        <w:tc>
          <w:tcPr>
            <w:tcW w:w="352" w:type="dxa"/>
          </w:tcPr>
          <w:p>
            <w:pPr>
              <w:rPr>
                <w:rFonts w:hint="eastAsia" w:ascii="Segoe UI" w:hAnsi="Segoe UI" w:eastAsia="宋体" w:cs="Segoe UI"/>
                <w:b/>
                <w:bCs/>
                <w:i w:val="0"/>
                <w:iCs w:val="0"/>
                <w:caps w:val="0"/>
                <w:color w:val="111827"/>
                <w:spacing w:val="0"/>
                <w:sz w:val="16"/>
                <w:szCs w:val="16"/>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5</w:t>
            </w:r>
          </w:p>
        </w:tc>
        <w:tc>
          <w:tcPr>
            <w:tcW w:w="2156" w:type="dxa"/>
          </w:tcPr>
          <w:p>
            <w:pPr>
              <w:jc w:val="left"/>
              <w:rPr>
                <w:rFonts w:ascii="Segoe UI" w:hAnsi="Segoe UI" w:eastAsia="Segoe UI" w:cs="Segoe UI"/>
                <w:b/>
                <w:bCs/>
                <w:i w:val="0"/>
                <w:iCs w:val="0"/>
                <w:caps w:val="0"/>
                <w:color w:val="111827"/>
                <w:spacing w:val="0"/>
                <w:sz w:val="16"/>
                <w:szCs w:val="16"/>
              </w:rPr>
            </w:pPr>
            <w:r>
              <w:rPr>
                <w:rFonts w:hint="default" w:ascii="Times New Roman" w:hAnsi="Times New Roman" w:eastAsia="Segoe UI" w:cs="Times New Roman"/>
                <w:b w:val="0"/>
                <w:bCs w:val="0"/>
                <w:i w:val="0"/>
                <w:iCs w:val="0"/>
                <w:caps w:val="0"/>
                <w:color w:val="111827"/>
                <w:spacing w:val="0"/>
                <w:sz w:val="21"/>
                <w:szCs w:val="21"/>
              </w:rPr>
              <w:t>Select multiple carriers, alternate transport routes</w:t>
            </w:r>
          </w:p>
        </w:tc>
        <w:tc>
          <w:tcPr>
            <w:tcW w:w="335" w:type="dxa"/>
          </w:tcPr>
          <w:p>
            <w:pPr>
              <w:rPr>
                <w:rFonts w:hint="default" w:ascii="Segoe UI" w:hAnsi="Segoe UI" w:eastAsia="宋体" w:cs="Segoe UI"/>
                <w:b/>
                <w:bCs/>
                <w:i w:val="0"/>
                <w:iCs w:val="0"/>
                <w:caps w:val="0"/>
                <w:color w:val="111827"/>
                <w:spacing w:val="0"/>
                <w:sz w:val="16"/>
                <w:szCs w:val="16"/>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6</w:t>
            </w:r>
          </w:p>
        </w:tc>
        <w:tc>
          <w:tcPr>
            <w:tcW w:w="347" w:type="dxa"/>
          </w:tcPr>
          <w:p>
            <w:pPr>
              <w:rPr>
                <w:rFonts w:hint="default" w:ascii="Segoe UI" w:hAnsi="Segoe UI" w:eastAsia="宋体" w:cs="Segoe UI"/>
                <w:b/>
                <w:bCs/>
                <w:i w:val="0"/>
                <w:iCs w:val="0"/>
                <w:caps w:val="0"/>
                <w:color w:val="111827"/>
                <w:spacing w:val="0"/>
                <w:sz w:val="16"/>
                <w:szCs w:val="16"/>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210</w:t>
            </w:r>
          </w:p>
        </w:tc>
        <w:tc>
          <w:tcPr>
            <w:tcW w:w="2413" w:type="dxa"/>
          </w:tcPr>
          <w:p>
            <w:pPr>
              <w:jc w:val="left"/>
              <w:rPr>
                <w:rFonts w:hint="default" w:ascii="Times New Roman" w:hAnsi="Times New Roman" w:eastAsia="Segoe UI" w:cs="Times New Roman"/>
                <w:b w:val="0"/>
                <w:bCs w:val="0"/>
                <w:i w:val="0"/>
                <w:iCs w:val="0"/>
                <w:caps w:val="0"/>
                <w:color w:val="111827"/>
                <w:spacing w:val="0"/>
                <w:sz w:val="21"/>
                <w:szCs w:val="21"/>
              </w:rPr>
            </w:pPr>
            <w:r>
              <w:rPr>
                <w:rFonts w:hint="default" w:ascii="Times New Roman" w:hAnsi="Times New Roman" w:eastAsia="Segoe UI" w:cs="Times New Roman"/>
                <w:b w:val="0"/>
                <w:bCs w:val="0"/>
                <w:i w:val="0"/>
                <w:iCs w:val="0"/>
                <w:caps w:val="0"/>
                <w:color w:val="111827"/>
                <w:spacing w:val="0"/>
                <w:sz w:val="21"/>
                <w:szCs w:val="21"/>
              </w:rPr>
              <w:t>Cooperation with multiple logistics companies to develop emergency logistics plans and diversify transport routes</w:t>
            </w:r>
          </w:p>
          <w:p>
            <w:pPr>
              <w:rPr>
                <w:rFonts w:ascii="Segoe UI" w:hAnsi="Segoe UI" w:eastAsia="Segoe UI" w:cs="Segoe UI"/>
                <w:b/>
                <w:bCs/>
                <w:i w:val="0"/>
                <w:iCs w:val="0"/>
                <w:caps w:val="0"/>
                <w:color w:val="111827"/>
                <w:spacing w:val="0"/>
                <w:sz w:val="16"/>
                <w:szCs w:val="16"/>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90" w:hRule="atLeast"/>
        </w:trPr>
        <w:tc>
          <w:tcPr>
            <w:tcW w:w="2288" w:type="dxa"/>
          </w:tcPr>
          <w:p>
            <w:pPr>
              <w:numPr>
                <w:ilvl w:val="0"/>
                <w:numId w:val="0"/>
              </w:numPr>
              <w:jc w:val="left"/>
              <w:rPr>
                <w:rFonts w:hint="default" w:ascii="Times New Roman" w:hAnsi="Times New Roman" w:eastAsia="宋体" w:cs="Times New Roman"/>
                <w:b w:val="0"/>
                <w:bCs w:val="0"/>
                <w:i w:val="0"/>
                <w:iCs w:val="0"/>
                <w:caps w:val="0"/>
                <w:color w:val="111827"/>
                <w:spacing w:val="0"/>
                <w:sz w:val="21"/>
                <w:szCs w:val="21"/>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Changes in import taxes, limits on environmental regulations, and political conflicts on a global scale</w:t>
            </w:r>
          </w:p>
          <w:p>
            <w:pPr>
              <w:numPr>
                <w:ilvl w:val="0"/>
                <w:numId w:val="0"/>
              </w:numPr>
              <w:jc w:val="both"/>
              <w:rPr>
                <w:rFonts w:hint="default" w:ascii="Times New Roman" w:hAnsi="Times New Roman" w:eastAsia="宋体" w:cs="Times New Roman"/>
                <w:b w:val="0"/>
                <w:bCs w:val="0"/>
                <w:i w:val="0"/>
                <w:iCs w:val="0"/>
                <w:caps w:val="0"/>
                <w:color w:val="111827"/>
                <w:spacing w:val="0"/>
                <w:sz w:val="21"/>
                <w:szCs w:val="21"/>
                <w:lang w:val="en-US" w:eastAsia="zh-CN"/>
              </w:rPr>
            </w:pPr>
          </w:p>
        </w:tc>
        <w:tc>
          <w:tcPr>
            <w:tcW w:w="1389" w:type="dxa"/>
          </w:tcPr>
          <w:p>
            <w:pPr>
              <w:numPr>
                <w:ilvl w:val="0"/>
                <w:numId w:val="0"/>
              </w:numPr>
              <w:jc w:val="left"/>
              <w:rPr>
                <w:rFonts w:hint="default" w:ascii="Times New Roman" w:hAnsi="Times New Roman" w:eastAsia="宋体" w:cs="Times New Roman"/>
                <w:b w:val="0"/>
                <w:bCs w:val="0"/>
                <w:i w:val="0"/>
                <w:iCs w:val="0"/>
                <w:caps w:val="0"/>
                <w:color w:val="111827"/>
                <w:spacing w:val="0"/>
                <w:sz w:val="21"/>
                <w:szCs w:val="21"/>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Cost increases, production constraints, and a decline in market share</w:t>
            </w:r>
          </w:p>
          <w:p>
            <w:pPr>
              <w:numPr>
                <w:ilvl w:val="0"/>
                <w:numId w:val="0"/>
              </w:numPr>
              <w:jc w:val="center"/>
              <w:rPr>
                <w:rFonts w:hint="default" w:ascii="Times New Roman" w:hAnsi="Times New Roman" w:eastAsia="宋体" w:cs="Times New Roman"/>
                <w:b w:val="0"/>
                <w:bCs w:val="0"/>
                <w:i w:val="0"/>
                <w:iCs w:val="0"/>
                <w:caps w:val="0"/>
                <w:color w:val="111827"/>
                <w:spacing w:val="0"/>
                <w:sz w:val="21"/>
                <w:szCs w:val="21"/>
                <w:lang w:val="en-US" w:eastAsia="zh-CN"/>
              </w:rPr>
            </w:pPr>
          </w:p>
        </w:tc>
        <w:tc>
          <w:tcPr>
            <w:tcW w:w="359" w:type="dxa"/>
          </w:tcPr>
          <w:p>
            <w:pPr>
              <w:rPr>
                <w:rFonts w:hint="eastAsia" w:ascii="Segoe UI" w:hAnsi="Segoe UI" w:eastAsia="宋体" w:cs="Segoe UI"/>
                <w:b/>
                <w:bCs/>
                <w:i w:val="0"/>
                <w:iCs w:val="0"/>
                <w:caps w:val="0"/>
                <w:color w:val="111827"/>
                <w:spacing w:val="0"/>
                <w:sz w:val="16"/>
                <w:szCs w:val="16"/>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6</w:t>
            </w:r>
          </w:p>
        </w:tc>
        <w:tc>
          <w:tcPr>
            <w:tcW w:w="1497" w:type="dxa"/>
          </w:tcPr>
          <w:p>
            <w:pPr>
              <w:rPr>
                <w:rFonts w:hint="eastAsia" w:ascii="Segoe UI" w:hAnsi="Segoe UI" w:eastAsia="Segoe UI" w:cs="Segoe UI"/>
                <w:b/>
                <w:bCs/>
                <w:i w:val="0"/>
                <w:iCs w:val="0"/>
                <w:caps w:val="0"/>
                <w:color w:val="111827"/>
                <w:spacing w:val="0"/>
                <w:sz w:val="16"/>
                <w:szCs w:val="16"/>
              </w:rPr>
            </w:pPr>
            <w:r>
              <w:rPr>
                <w:rFonts w:hint="default" w:ascii="Times New Roman" w:hAnsi="Times New Roman" w:eastAsia="Segoe UI" w:cs="Times New Roman"/>
                <w:b w:val="0"/>
                <w:bCs w:val="0"/>
                <w:i w:val="0"/>
                <w:iCs w:val="0"/>
                <w:caps w:val="0"/>
                <w:color w:val="111827"/>
                <w:spacing w:val="0"/>
                <w:sz w:val="21"/>
                <w:szCs w:val="21"/>
              </w:rPr>
              <w:t>Trade conflicts, new legal systems, and export restriction access</w:t>
            </w:r>
          </w:p>
          <w:p>
            <w:pPr>
              <w:rPr>
                <w:rFonts w:ascii="Segoe UI" w:hAnsi="Segoe UI" w:eastAsia="Segoe UI" w:cs="Segoe UI"/>
                <w:b/>
                <w:bCs/>
                <w:i w:val="0"/>
                <w:iCs w:val="0"/>
                <w:caps w:val="0"/>
                <w:color w:val="111827"/>
                <w:spacing w:val="0"/>
                <w:sz w:val="16"/>
                <w:szCs w:val="16"/>
              </w:rPr>
            </w:pPr>
          </w:p>
        </w:tc>
        <w:tc>
          <w:tcPr>
            <w:tcW w:w="352" w:type="dxa"/>
          </w:tcPr>
          <w:p>
            <w:pPr>
              <w:rPr>
                <w:rFonts w:hint="eastAsia" w:ascii="Segoe UI" w:hAnsi="Segoe UI" w:eastAsia="宋体" w:cs="Segoe UI"/>
                <w:b/>
                <w:bCs/>
                <w:i w:val="0"/>
                <w:iCs w:val="0"/>
                <w:caps w:val="0"/>
                <w:color w:val="111827"/>
                <w:spacing w:val="0"/>
                <w:sz w:val="16"/>
                <w:szCs w:val="16"/>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4</w:t>
            </w:r>
          </w:p>
        </w:tc>
        <w:tc>
          <w:tcPr>
            <w:tcW w:w="2156" w:type="dxa"/>
          </w:tcPr>
          <w:p>
            <w:pPr>
              <w:jc w:val="left"/>
              <w:rPr>
                <w:rFonts w:hint="eastAsia" w:ascii="Segoe UI" w:hAnsi="Segoe UI" w:eastAsia="宋体" w:cs="Segoe UI"/>
                <w:b/>
                <w:bCs/>
                <w:i w:val="0"/>
                <w:iCs w:val="0"/>
                <w:caps w:val="0"/>
                <w:color w:val="111827"/>
                <w:spacing w:val="0"/>
                <w:sz w:val="16"/>
                <w:szCs w:val="16"/>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Establishment of production facilities in various nations and regions, participation in policy formulation, a professional regulatory compliance team, and compliance monitoring</w:t>
            </w:r>
          </w:p>
        </w:tc>
        <w:tc>
          <w:tcPr>
            <w:tcW w:w="335" w:type="dxa"/>
          </w:tcPr>
          <w:p>
            <w:pPr>
              <w:rPr>
                <w:rFonts w:hint="eastAsia" w:ascii="Segoe UI" w:hAnsi="Segoe UI" w:eastAsia="宋体" w:cs="Segoe UI"/>
                <w:b/>
                <w:bCs/>
                <w:i w:val="0"/>
                <w:iCs w:val="0"/>
                <w:caps w:val="0"/>
                <w:color w:val="111827"/>
                <w:spacing w:val="0"/>
                <w:sz w:val="16"/>
                <w:szCs w:val="16"/>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4</w:t>
            </w:r>
          </w:p>
        </w:tc>
        <w:tc>
          <w:tcPr>
            <w:tcW w:w="347" w:type="dxa"/>
          </w:tcPr>
          <w:p>
            <w:pPr>
              <w:rPr>
                <w:rFonts w:hint="default" w:ascii="Segoe UI" w:hAnsi="Segoe UI" w:eastAsia="宋体" w:cs="Segoe UI"/>
                <w:b/>
                <w:bCs/>
                <w:i w:val="0"/>
                <w:iCs w:val="0"/>
                <w:caps w:val="0"/>
                <w:color w:val="111827"/>
                <w:spacing w:val="0"/>
                <w:sz w:val="16"/>
                <w:szCs w:val="16"/>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96</w:t>
            </w:r>
          </w:p>
        </w:tc>
        <w:tc>
          <w:tcPr>
            <w:tcW w:w="2413" w:type="dxa"/>
          </w:tcPr>
          <w:p>
            <w:pPr>
              <w:jc w:val="left"/>
              <w:rPr>
                <w:rFonts w:hint="default" w:ascii="Times New Roman" w:hAnsi="Times New Roman" w:eastAsia="Segoe UI" w:cs="Times New Roman"/>
                <w:b w:val="0"/>
                <w:bCs w:val="0"/>
                <w:i w:val="0"/>
                <w:iCs w:val="0"/>
                <w:caps w:val="0"/>
                <w:color w:val="111827"/>
                <w:spacing w:val="0"/>
                <w:sz w:val="21"/>
                <w:szCs w:val="21"/>
              </w:rPr>
            </w:pPr>
            <w:r>
              <w:rPr>
                <w:rFonts w:hint="default" w:ascii="Times New Roman" w:hAnsi="Times New Roman" w:eastAsia="Segoe UI" w:cs="Times New Roman"/>
                <w:b w:val="0"/>
                <w:bCs w:val="0"/>
                <w:i w:val="0"/>
                <w:iCs w:val="0"/>
                <w:caps w:val="0"/>
                <w:color w:val="111827"/>
                <w:spacing w:val="0"/>
                <w:sz w:val="21"/>
                <w:szCs w:val="21"/>
              </w:rPr>
              <w:t>Pay close attention to policy shifts, improve production layouts, and cultivate positive relationships with local authorities.</w:t>
            </w:r>
          </w:p>
          <w:p>
            <w:pPr>
              <w:rPr>
                <w:rFonts w:ascii="Segoe UI" w:hAnsi="Segoe UI" w:eastAsia="Segoe UI" w:cs="Segoe UI"/>
                <w:b/>
                <w:bCs/>
                <w:i w:val="0"/>
                <w:iCs w:val="0"/>
                <w:caps w:val="0"/>
                <w:color w:val="111827"/>
                <w:spacing w:val="0"/>
                <w:sz w:val="16"/>
                <w:szCs w:val="16"/>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62" w:hRule="atLeast"/>
        </w:trPr>
        <w:tc>
          <w:tcPr>
            <w:tcW w:w="2288" w:type="dxa"/>
          </w:tcPr>
          <w:p>
            <w:pPr>
              <w:numPr>
                <w:ilvl w:val="0"/>
                <w:numId w:val="0"/>
              </w:numPr>
              <w:jc w:val="left"/>
              <w:rPr>
                <w:rFonts w:hint="default" w:ascii="Times New Roman" w:hAnsi="Times New Roman" w:eastAsia="宋体" w:cs="Times New Roman"/>
                <w:b w:val="0"/>
                <w:bCs w:val="0"/>
                <w:i w:val="0"/>
                <w:iCs w:val="0"/>
                <w:caps w:val="0"/>
                <w:color w:val="111827"/>
                <w:spacing w:val="0"/>
                <w:sz w:val="21"/>
                <w:szCs w:val="21"/>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Changes in currency exchange rates</w:t>
            </w:r>
          </w:p>
          <w:p>
            <w:pPr>
              <w:numPr>
                <w:ilvl w:val="0"/>
                <w:numId w:val="0"/>
              </w:numPr>
              <w:jc w:val="both"/>
              <w:rPr>
                <w:rFonts w:hint="default" w:ascii="Times New Roman" w:hAnsi="Times New Roman" w:eastAsia="宋体" w:cs="Times New Roman"/>
                <w:b w:val="0"/>
                <w:bCs w:val="0"/>
                <w:i w:val="0"/>
                <w:iCs w:val="0"/>
                <w:caps w:val="0"/>
                <w:color w:val="111827"/>
                <w:spacing w:val="0"/>
                <w:sz w:val="21"/>
                <w:szCs w:val="21"/>
                <w:lang w:val="en-US" w:eastAsia="zh-CN"/>
              </w:rPr>
            </w:pPr>
          </w:p>
        </w:tc>
        <w:tc>
          <w:tcPr>
            <w:tcW w:w="1389" w:type="dxa"/>
          </w:tcPr>
          <w:p>
            <w:pPr>
              <w:numPr>
                <w:ilvl w:val="0"/>
                <w:numId w:val="0"/>
              </w:numPr>
              <w:jc w:val="left"/>
              <w:rPr>
                <w:rFonts w:hint="default" w:ascii="Times New Roman" w:hAnsi="Times New Roman" w:eastAsia="宋体" w:cs="Times New Roman"/>
                <w:b w:val="0"/>
                <w:bCs w:val="0"/>
                <w:i w:val="0"/>
                <w:iCs w:val="0"/>
                <w:caps w:val="0"/>
                <w:color w:val="111827"/>
                <w:spacing w:val="0"/>
                <w:sz w:val="21"/>
                <w:szCs w:val="21"/>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Revenue and cost fluctuations result in fluctuating profits.</w:t>
            </w:r>
          </w:p>
          <w:p>
            <w:pPr>
              <w:numPr>
                <w:ilvl w:val="0"/>
                <w:numId w:val="0"/>
              </w:numPr>
              <w:jc w:val="center"/>
              <w:rPr>
                <w:rFonts w:hint="default" w:ascii="Times New Roman" w:hAnsi="Times New Roman" w:eastAsia="宋体" w:cs="Times New Roman"/>
                <w:b w:val="0"/>
                <w:bCs w:val="0"/>
                <w:i w:val="0"/>
                <w:iCs w:val="0"/>
                <w:caps w:val="0"/>
                <w:color w:val="111827"/>
                <w:spacing w:val="0"/>
                <w:sz w:val="21"/>
                <w:szCs w:val="21"/>
                <w:lang w:val="en-US" w:eastAsia="zh-CN"/>
              </w:rPr>
            </w:pPr>
          </w:p>
        </w:tc>
        <w:tc>
          <w:tcPr>
            <w:tcW w:w="359" w:type="dxa"/>
          </w:tcPr>
          <w:p>
            <w:pPr>
              <w:rPr>
                <w:rFonts w:hint="default" w:ascii="Segoe UI" w:hAnsi="Segoe UI" w:eastAsia="宋体" w:cs="Segoe UI"/>
                <w:b/>
                <w:bCs/>
                <w:i w:val="0"/>
                <w:iCs w:val="0"/>
                <w:caps w:val="0"/>
                <w:color w:val="111827"/>
                <w:spacing w:val="0"/>
                <w:sz w:val="16"/>
                <w:szCs w:val="16"/>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6</w:t>
            </w:r>
          </w:p>
        </w:tc>
        <w:tc>
          <w:tcPr>
            <w:tcW w:w="1497" w:type="dxa"/>
          </w:tcPr>
          <w:p>
            <w:pPr>
              <w:rPr>
                <w:rFonts w:ascii="Segoe UI" w:hAnsi="Segoe UI" w:eastAsia="Segoe UI" w:cs="Segoe UI"/>
                <w:b/>
                <w:bCs/>
                <w:i w:val="0"/>
                <w:iCs w:val="0"/>
                <w:caps w:val="0"/>
                <w:color w:val="111827"/>
                <w:spacing w:val="0"/>
                <w:sz w:val="16"/>
                <w:szCs w:val="16"/>
              </w:rPr>
            </w:pPr>
            <w:r>
              <w:rPr>
                <w:rFonts w:hint="default" w:ascii="Times New Roman" w:hAnsi="Times New Roman" w:eastAsia="Segoe UI" w:cs="Times New Roman"/>
                <w:b w:val="0"/>
                <w:bCs w:val="0"/>
                <w:i w:val="0"/>
                <w:iCs w:val="0"/>
                <w:caps w:val="0"/>
                <w:color w:val="111827"/>
                <w:spacing w:val="0"/>
                <w:sz w:val="21"/>
                <w:szCs w:val="21"/>
              </w:rPr>
              <w:t>Economic expansion, inflation, political stability, and policy shifts in numerous nations</w:t>
            </w:r>
          </w:p>
        </w:tc>
        <w:tc>
          <w:tcPr>
            <w:tcW w:w="352" w:type="dxa"/>
          </w:tcPr>
          <w:p>
            <w:pPr>
              <w:rPr>
                <w:rFonts w:hint="default" w:ascii="Times New Roman" w:hAnsi="Times New Roman" w:eastAsia="宋体" w:cs="Times New Roman"/>
                <w:b/>
                <w:bCs/>
                <w:i w:val="0"/>
                <w:iCs w:val="0"/>
                <w:caps w:val="0"/>
                <w:color w:val="111827"/>
                <w:spacing w:val="0"/>
                <w:sz w:val="21"/>
                <w:szCs w:val="21"/>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6</w:t>
            </w:r>
          </w:p>
        </w:tc>
        <w:tc>
          <w:tcPr>
            <w:tcW w:w="2156" w:type="dxa"/>
          </w:tcPr>
          <w:p>
            <w:pPr>
              <w:jc w:val="left"/>
              <w:rPr>
                <w:rFonts w:hint="default" w:ascii="Times New Roman" w:hAnsi="Times New Roman" w:eastAsia="宋体" w:cs="Times New Roman"/>
                <w:i w:val="0"/>
                <w:iCs w:val="0"/>
                <w:caps w:val="0"/>
                <w:color w:val="374151"/>
                <w:spacing w:val="0"/>
                <w:sz w:val="21"/>
                <w:szCs w:val="21"/>
                <w:shd w:val="clear" w:fill="F7F7F8"/>
                <w:lang w:val="en-US" w:eastAsia="zh-CN"/>
              </w:rPr>
            </w:pPr>
            <w:r>
              <w:rPr>
                <w:rFonts w:hint="default" w:ascii="Times New Roman" w:hAnsi="Times New Roman" w:eastAsia="Segoe UI" w:cs="Times New Roman"/>
                <w:i w:val="0"/>
                <w:iCs w:val="0"/>
                <w:caps w:val="0"/>
                <w:color w:val="374151"/>
                <w:spacing w:val="0"/>
                <w:sz w:val="21"/>
                <w:szCs w:val="21"/>
                <w:shd w:val="clear" w:fill="F7F7F8"/>
              </w:rPr>
              <w:t>Natural</w:t>
            </w:r>
            <w:r>
              <w:rPr>
                <w:rFonts w:hint="default" w:ascii="Times New Roman" w:hAnsi="Times New Roman" w:eastAsia="宋体" w:cs="Times New Roman"/>
                <w:i w:val="0"/>
                <w:iCs w:val="0"/>
                <w:caps w:val="0"/>
                <w:color w:val="374151"/>
                <w:spacing w:val="0"/>
                <w:sz w:val="21"/>
                <w:szCs w:val="21"/>
                <w:shd w:val="clear" w:fill="F7F7F8"/>
                <w:lang w:val="en-US" w:eastAsia="zh-CN"/>
              </w:rPr>
              <w:t xml:space="preserve"> </w:t>
            </w:r>
            <w:r>
              <w:rPr>
                <w:rFonts w:hint="default" w:ascii="Times New Roman" w:hAnsi="Times New Roman" w:eastAsia="Segoe UI" w:cs="Times New Roman"/>
                <w:i w:val="0"/>
                <w:iCs w:val="0"/>
                <w:caps w:val="0"/>
                <w:color w:val="374151"/>
                <w:spacing w:val="0"/>
                <w:sz w:val="21"/>
                <w:szCs w:val="21"/>
                <w:shd w:val="clear" w:fill="F7F7F8"/>
              </w:rPr>
              <w:t>Hedging</w:t>
            </w:r>
            <w:r>
              <w:rPr>
                <w:rFonts w:hint="default" w:ascii="Times New Roman" w:hAnsi="Times New Roman" w:eastAsia="宋体" w:cs="Times New Roman"/>
                <w:i w:val="0"/>
                <w:iCs w:val="0"/>
                <w:caps w:val="0"/>
                <w:color w:val="374151"/>
                <w:spacing w:val="0"/>
                <w:sz w:val="21"/>
                <w:szCs w:val="21"/>
                <w:shd w:val="clear" w:fill="F7F7F8"/>
                <w:lang w:val="en-US" w:eastAsia="zh-CN"/>
              </w:rPr>
              <w:t>,</w:t>
            </w:r>
            <w:r>
              <w:rPr>
                <w:rFonts w:hint="default" w:ascii="Times New Roman" w:hAnsi="Times New Roman" w:eastAsia="Segoe UI" w:cs="Times New Roman"/>
                <w:i w:val="0"/>
                <w:iCs w:val="0"/>
                <w:caps w:val="0"/>
                <w:color w:val="374151"/>
                <w:spacing w:val="0"/>
                <w:sz w:val="21"/>
                <w:szCs w:val="21"/>
                <w:shd w:val="clear" w:fill="F7F7F8"/>
              </w:rPr>
              <w:t>Financial Hedging</w:t>
            </w:r>
            <w:r>
              <w:rPr>
                <w:rFonts w:hint="default" w:ascii="Times New Roman" w:hAnsi="Times New Roman" w:eastAsia="宋体" w:cs="Times New Roman"/>
                <w:i w:val="0"/>
                <w:iCs w:val="0"/>
                <w:caps w:val="0"/>
                <w:color w:val="374151"/>
                <w:spacing w:val="0"/>
                <w:sz w:val="21"/>
                <w:szCs w:val="21"/>
                <w:shd w:val="clear" w:fill="F7F7F8"/>
                <w:lang w:val="en-US" w:eastAsia="zh-CN"/>
              </w:rPr>
              <w:t>,</w:t>
            </w:r>
            <w:r>
              <w:rPr>
                <w:rFonts w:hint="default" w:ascii="Times New Roman" w:hAnsi="Times New Roman" w:eastAsia="Segoe UI" w:cs="Times New Roman"/>
                <w:i w:val="0"/>
                <w:iCs w:val="0"/>
                <w:caps w:val="0"/>
                <w:color w:val="374151"/>
                <w:spacing w:val="0"/>
                <w:sz w:val="21"/>
                <w:szCs w:val="21"/>
                <w:shd w:val="clear" w:fill="F7F7F8"/>
              </w:rPr>
              <w:t>Long-term Contracts</w:t>
            </w:r>
            <w:r>
              <w:rPr>
                <w:rFonts w:hint="default" w:ascii="Times New Roman" w:hAnsi="Times New Roman" w:eastAsia="宋体" w:cs="Times New Roman"/>
                <w:i w:val="0"/>
                <w:iCs w:val="0"/>
                <w:caps w:val="0"/>
                <w:color w:val="374151"/>
                <w:spacing w:val="0"/>
                <w:sz w:val="21"/>
                <w:szCs w:val="21"/>
                <w:shd w:val="clear" w:fill="F7F7F8"/>
                <w:lang w:val="en-US" w:eastAsia="zh-CN"/>
              </w:rPr>
              <w:t>,Decentralising international operations</w:t>
            </w:r>
          </w:p>
          <w:p>
            <w:pPr>
              <w:rPr>
                <w:rFonts w:hint="eastAsia" w:ascii="Segoe UI" w:hAnsi="Segoe UI" w:eastAsia="宋体" w:cs="Segoe UI"/>
                <w:b/>
                <w:bCs/>
                <w:i w:val="0"/>
                <w:iCs w:val="0"/>
                <w:caps w:val="0"/>
                <w:color w:val="111827"/>
                <w:spacing w:val="0"/>
                <w:sz w:val="16"/>
                <w:szCs w:val="16"/>
                <w:lang w:val="en-US" w:eastAsia="zh-CN"/>
              </w:rPr>
            </w:pPr>
          </w:p>
        </w:tc>
        <w:tc>
          <w:tcPr>
            <w:tcW w:w="335" w:type="dxa"/>
          </w:tcPr>
          <w:p>
            <w:pPr>
              <w:rPr>
                <w:rFonts w:hint="eastAsia" w:ascii="Segoe UI" w:hAnsi="Segoe UI" w:eastAsia="宋体" w:cs="Segoe UI"/>
                <w:b/>
                <w:bCs/>
                <w:i w:val="0"/>
                <w:iCs w:val="0"/>
                <w:caps w:val="0"/>
                <w:color w:val="111827"/>
                <w:spacing w:val="0"/>
                <w:sz w:val="16"/>
                <w:szCs w:val="16"/>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8</w:t>
            </w:r>
          </w:p>
        </w:tc>
        <w:tc>
          <w:tcPr>
            <w:tcW w:w="347" w:type="dxa"/>
          </w:tcPr>
          <w:p>
            <w:pPr>
              <w:rPr>
                <w:rFonts w:hint="default" w:ascii="Segoe UI" w:hAnsi="Segoe UI" w:eastAsia="宋体" w:cs="Segoe UI"/>
                <w:b/>
                <w:bCs/>
                <w:i w:val="0"/>
                <w:iCs w:val="0"/>
                <w:caps w:val="0"/>
                <w:color w:val="111827"/>
                <w:spacing w:val="0"/>
                <w:sz w:val="16"/>
                <w:szCs w:val="16"/>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288</w:t>
            </w:r>
          </w:p>
        </w:tc>
        <w:tc>
          <w:tcPr>
            <w:tcW w:w="2413" w:type="dxa"/>
          </w:tcPr>
          <w:p>
            <w:pPr>
              <w:jc w:val="left"/>
              <w:rPr>
                <w:rFonts w:hint="default" w:ascii="Times New Roman" w:hAnsi="Times New Roman" w:eastAsia="Segoe UI" w:cs="Times New Roman"/>
                <w:b w:val="0"/>
                <w:bCs w:val="0"/>
                <w:i w:val="0"/>
                <w:iCs w:val="0"/>
                <w:caps w:val="0"/>
                <w:color w:val="111827"/>
                <w:spacing w:val="0"/>
                <w:sz w:val="21"/>
                <w:szCs w:val="21"/>
              </w:rPr>
            </w:pPr>
            <w:r>
              <w:rPr>
                <w:rFonts w:hint="default" w:ascii="Times New Roman" w:hAnsi="Times New Roman" w:eastAsia="Segoe UI" w:cs="Times New Roman"/>
                <w:b w:val="0"/>
                <w:bCs w:val="0"/>
                <w:i w:val="0"/>
                <w:iCs w:val="0"/>
                <w:caps w:val="0"/>
                <w:color w:val="111827"/>
                <w:spacing w:val="0"/>
                <w:sz w:val="21"/>
                <w:szCs w:val="21"/>
              </w:rPr>
              <w:t>Utilisation of financial instruments for exchange rate risk management and currency settlement diversification.</w:t>
            </w:r>
          </w:p>
          <w:p>
            <w:pPr>
              <w:rPr>
                <w:rFonts w:ascii="Segoe UI" w:hAnsi="Segoe UI" w:eastAsia="Segoe UI" w:cs="Segoe UI"/>
                <w:b/>
                <w:bCs/>
                <w:i w:val="0"/>
                <w:iCs w:val="0"/>
                <w:caps w:val="0"/>
                <w:color w:val="111827"/>
                <w:spacing w:val="0"/>
                <w:sz w:val="16"/>
                <w:szCs w:val="16"/>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770" w:hRule="atLeast"/>
        </w:trPr>
        <w:tc>
          <w:tcPr>
            <w:tcW w:w="2288" w:type="dxa"/>
          </w:tcPr>
          <w:p>
            <w:pPr>
              <w:numPr>
                <w:ilvl w:val="0"/>
                <w:numId w:val="0"/>
              </w:numPr>
              <w:jc w:val="left"/>
              <w:rPr>
                <w:rFonts w:hint="default" w:ascii="Times New Roman" w:hAnsi="Times New Roman" w:eastAsia="宋体" w:cs="Times New Roman"/>
                <w:b w:val="0"/>
                <w:bCs w:val="0"/>
                <w:i w:val="0"/>
                <w:iCs w:val="0"/>
                <w:caps w:val="0"/>
                <w:color w:val="111827"/>
                <w:spacing w:val="0"/>
                <w:sz w:val="21"/>
                <w:szCs w:val="21"/>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Data leaks, cyber attacks, and system breakdowns are all on the rise.</w:t>
            </w:r>
          </w:p>
          <w:p>
            <w:pPr>
              <w:numPr>
                <w:ilvl w:val="0"/>
                <w:numId w:val="0"/>
              </w:numPr>
              <w:jc w:val="both"/>
              <w:rPr>
                <w:rFonts w:hint="default" w:ascii="Times New Roman" w:hAnsi="Times New Roman" w:eastAsia="宋体" w:cs="Times New Roman"/>
                <w:b w:val="0"/>
                <w:bCs w:val="0"/>
                <w:i w:val="0"/>
                <w:iCs w:val="0"/>
                <w:caps w:val="0"/>
                <w:color w:val="111827"/>
                <w:spacing w:val="0"/>
                <w:sz w:val="21"/>
                <w:szCs w:val="21"/>
                <w:lang w:val="en-US" w:eastAsia="zh-CN"/>
              </w:rPr>
            </w:pPr>
          </w:p>
        </w:tc>
        <w:tc>
          <w:tcPr>
            <w:tcW w:w="1389" w:type="dxa"/>
          </w:tcPr>
          <w:p>
            <w:pPr>
              <w:numPr>
                <w:ilvl w:val="0"/>
                <w:numId w:val="0"/>
              </w:numPr>
              <w:jc w:val="center"/>
              <w:rPr>
                <w:rFonts w:hint="default" w:ascii="Times New Roman" w:hAnsi="Times New Roman" w:eastAsia="宋体" w:cs="Times New Roman"/>
                <w:b w:val="0"/>
                <w:bCs w:val="0"/>
                <w:i w:val="0"/>
                <w:iCs w:val="0"/>
                <w:caps w:val="0"/>
                <w:color w:val="111827"/>
                <w:spacing w:val="0"/>
                <w:sz w:val="21"/>
                <w:szCs w:val="21"/>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Information breaches, production interruptions, and brand reputation harm</w:t>
            </w:r>
          </w:p>
        </w:tc>
        <w:tc>
          <w:tcPr>
            <w:tcW w:w="359" w:type="dxa"/>
          </w:tcPr>
          <w:p>
            <w:pPr>
              <w:rPr>
                <w:rFonts w:hint="eastAsia" w:ascii="Segoe UI" w:hAnsi="Segoe UI" w:eastAsia="宋体" w:cs="Segoe UI"/>
                <w:b/>
                <w:bCs/>
                <w:i w:val="0"/>
                <w:iCs w:val="0"/>
                <w:caps w:val="0"/>
                <w:color w:val="111827"/>
                <w:spacing w:val="0"/>
                <w:sz w:val="16"/>
                <w:szCs w:val="16"/>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9</w:t>
            </w:r>
          </w:p>
        </w:tc>
        <w:tc>
          <w:tcPr>
            <w:tcW w:w="1497" w:type="dxa"/>
          </w:tcPr>
          <w:p>
            <w:pPr>
              <w:rPr>
                <w:rFonts w:hint="default" w:ascii="Times New Roman" w:hAnsi="Times New Roman" w:eastAsia="Segoe UI" w:cs="Times New Roman"/>
                <w:b w:val="0"/>
                <w:bCs w:val="0"/>
                <w:i w:val="0"/>
                <w:iCs w:val="0"/>
                <w:caps w:val="0"/>
                <w:color w:val="111827"/>
                <w:spacing w:val="0"/>
                <w:sz w:val="21"/>
                <w:szCs w:val="21"/>
              </w:rPr>
            </w:pPr>
            <w:r>
              <w:rPr>
                <w:rFonts w:hint="default" w:ascii="Times New Roman" w:hAnsi="Times New Roman" w:eastAsia="Segoe UI" w:cs="Times New Roman"/>
                <w:b w:val="0"/>
                <w:bCs w:val="0"/>
                <w:i w:val="0"/>
                <w:iCs w:val="0"/>
                <w:caps w:val="0"/>
                <w:color w:val="111827"/>
                <w:spacing w:val="0"/>
                <w:sz w:val="21"/>
                <w:szCs w:val="21"/>
              </w:rPr>
              <w:t>espionage, cyberattacks, and counterfeiting</w:t>
            </w:r>
          </w:p>
          <w:p>
            <w:pPr>
              <w:rPr>
                <w:rFonts w:ascii="Segoe UI" w:hAnsi="Segoe UI" w:eastAsia="Segoe UI" w:cs="Segoe UI"/>
                <w:b/>
                <w:bCs/>
                <w:i w:val="0"/>
                <w:iCs w:val="0"/>
                <w:caps w:val="0"/>
                <w:color w:val="111827"/>
                <w:spacing w:val="0"/>
                <w:sz w:val="16"/>
                <w:szCs w:val="16"/>
              </w:rPr>
            </w:pPr>
          </w:p>
        </w:tc>
        <w:tc>
          <w:tcPr>
            <w:tcW w:w="352" w:type="dxa"/>
          </w:tcPr>
          <w:p>
            <w:pPr>
              <w:rPr>
                <w:rFonts w:hint="eastAsia" w:ascii="Segoe UI" w:hAnsi="Segoe UI" w:eastAsia="宋体" w:cs="Segoe UI"/>
                <w:b/>
                <w:bCs/>
                <w:i w:val="0"/>
                <w:iCs w:val="0"/>
                <w:caps w:val="0"/>
                <w:color w:val="111827"/>
                <w:spacing w:val="0"/>
                <w:sz w:val="16"/>
                <w:szCs w:val="16"/>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3</w:t>
            </w:r>
          </w:p>
        </w:tc>
        <w:tc>
          <w:tcPr>
            <w:tcW w:w="2156" w:type="dxa"/>
          </w:tcPr>
          <w:p>
            <w:pPr>
              <w:jc w:val="left"/>
              <w:rPr>
                <w:rFonts w:hint="default" w:ascii="Times New Roman" w:hAnsi="Times New Roman" w:eastAsia="宋体" w:cs="Times New Roman"/>
                <w:b w:val="0"/>
                <w:bCs w:val="0"/>
                <w:i w:val="0"/>
                <w:iCs w:val="0"/>
                <w:caps w:val="0"/>
                <w:color w:val="111827"/>
                <w:spacing w:val="0"/>
                <w:sz w:val="21"/>
                <w:szCs w:val="21"/>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Contracts with vendors, legal protection, implementation of stringent cyber security measures, and regular market surveillance</w:t>
            </w:r>
          </w:p>
          <w:p>
            <w:pPr>
              <w:rPr>
                <w:rFonts w:hint="eastAsia" w:ascii="Segoe UI" w:hAnsi="Segoe UI" w:eastAsia="宋体" w:cs="Segoe UI"/>
                <w:b/>
                <w:bCs/>
                <w:i w:val="0"/>
                <w:iCs w:val="0"/>
                <w:caps w:val="0"/>
                <w:color w:val="111827"/>
                <w:spacing w:val="0"/>
                <w:sz w:val="16"/>
                <w:szCs w:val="16"/>
                <w:lang w:val="en-US" w:eastAsia="zh-CN"/>
              </w:rPr>
            </w:pPr>
          </w:p>
        </w:tc>
        <w:tc>
          <w:tcPr>
            <w:tcW w:w="335" w:type="dxa"/>
          </w:tcPr>
          <w:p>
            <w:pPr>
              <w:rPr>
                <w:rFonts w:hint="eastAsia" w:ascii="Segoe UI" w:hAnsi="Segoe UI" w:eastAsia="宋体" w:cs="Segoe UI"/>
                <w:b/>
                <w:bCs/>
                <w:i w:val="0"/>
                <w:iCs w:val="0"/>
                <w:caps w:val="0"/>
                <w:color w:val="111827"/>
                <w:spacing w:val="0"/>
                <w:sz w:val="16"/>
                <w:szCs w:val="16"/>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3</w:t>
            </w:r>
          </w:p>
        </w:tc>
        <w:tc>
          <w:tcPr>
            <w:tcW w:w="347" w:type="dxa"/>
          </w:tcPr>
          <w:p>
            <w:pPr>
              <w:rPr>
                <w:rFonts w:hint="default" w:ascii="Segoe UI" w:hAnsi="Segoe UI" w:eastAsia="宋体" w:cs="Segoe UI"/>
                <w:b/>
                <w:bCs/>
                <w:i w:val="0"/>
                <w:iCs w:val="0"/>
                <w:caps w:val="0"/>
                <w:color w:val="111827"/>
                <w:spacing w:val="0"/>
                <w:sz w:val="16"/>
                <w:szCs w:val="16"/>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81</w:t>
            </w:r>
          </w:p>
        </w:tc>
        <w:tc>
          <w:tcPr>
            <w:tcW w:w="2413" w:type="dxa"/>
          </w:tcPr>
          <w:p>
            <w:pPr>
              <w:jc w:val="left"/>
              <w:rPr>
                <w:rFonts w:hint="default" w:ascii="Times New Roman" w:hAnsi="Times New Roman" w:eastAsia="Segoe UI" w:cs="Times New Roman"/>
                <w:b w:val="0"/>
                <w:bCs w:val="0"/>
                <w:i w:val="0"/>
                <w:iCs w:val="0"/>
                <w:caps w:val="0"/>
                <w:color w:val="111827"/>
                <w:spacing w:val="0"/>
                <w:sz w:val="21"/>
                <w:szCs w:val="21"/>
              </w:rPr>
            </w:pPr>
            <w:r>
              <w:rPr>
                <w:rFonts w:hint="default" w:ascii="Times New Roman" w:hAnsi="Times New Roman" w:eastAsia="Segoe UI" w:cs="Times New Roman"/>
                <w:b w:val="0"/>
                <w:bCs w:val="0"/>
                <w:i w:val="0"/>
                <w:iCs w:val="0"/>
                <w:caps w:val="0"/>
                <w:color w:val="111827"/>
                <w:spacing w:val="0"/>
                <w:sz w:val="21"/>
                <w:szCs w:val="21"/>
              </w:rPr>
              <w:t>Enhance cyber security, perform routine system updates and maintenance, and remind senior personnel of their security expertise.</w:t>
            </w:r>
          </w:p>
          <w:p>
            <w:pPr>
              <w:rPr>
                <w:rFonts w:ascii="Segoe UI" w:hAnsi="Segoe UI" w:eastAsia="Segoe UI" w:cs="Segoe UI"/>
                <w:b/>
                <w:bCs/>
                <w:i w:val="0"/>
                <w:iCs w:val="0"/>
                <w:caps w:val="0"/>
                <w:color w:val="111827"/>
                <w:spacing w:val="0"/>
                <w:sz w:val="16"/>
                <w:szCs w:val="16"/>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576" w:hRule="atLeast"/>
        </w:trPr>
        <w:tc>
          <w:tcPr>
            <w:tcW w:w="2288" w:type="dxa"/>
          </w:tcPr>
          <w:p>
            <w:pPr>
              <w:numPr>
                <w:ilvl w:val="0"/>
                <w:numId w:val="0"/>
              </w:numPr>
              <w:jc w:val="both"/>
              <w:rPr>
                <w:rFonts w:hint="default" w:ascii="Times New Roman" w:hAnsi="Times New Roman" w:eastAsia="宋体" w:cs="Times New Roman"/>
                <w:b w:val="0"/>
                <w:bCs w:val="0"/>
                <w:i w:val="0"/>
                <w:iCs w:val="0"/>
                <w:caps w:val="0"/>
                <w:color w:val="111827"/>
                <w:spacing w:val="0"/>
                <w:sz w:val="21"/>
                <w:szCs w:val="21"/>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Market needs change, and new rivals come in.</w:t>
            </w:r>
          </w:p>
          <w:p>
            <w:pPr>
              <w:numPr>
                <w:ilvl w:val="0"/>
                <w:numId w:val="0"/>
              </w:numPr>
              <w:jc w:val="both"/>
              <w:rPr>
                <w:rFonts w:hint="default" w:ascii="Times New Roman" w:hAnsi="Times New Roman" w:eastAsia="宋体" w:cs="Times New Roman"/>
                <w:b w:val="0"/>
                <w:bCs w:val="0"/>
                <w:i w:val="0"/>
                <w:iCs w:val="0"/>
                <w:caps w:val="0"/>
                <w:color w:val="111827"/>
                <w:spacing w:val="0"/>
                <w:sz w:val="21"/>
                <w:szCs w:val="21"/>
                <w:lang w:val="en-US" w:eastAsia="zh-CN"/>
              </w:rPr>
            </w:pPr>
          </w:p>
        </w:tc>
        <w:tc>
          <w:tcPr>
            <w:tcW w:w="1389" w:type="dxa"/>
          </w:tcPr>
          <w:p>
            <w:pPr>
              <w:numPr>
                <w:ilvl w:val="0"/>
                <w:numId w:val="0"/>
              </w:numPr>
              <w:jc w:val="left"/>
              <w:rPr>
                <w:rFonts w:hint="default" w:ascii="Times New Roman" w:hAnsi="Times New Roman" w:eastAsia="宋体" w:cs="Times New Roman"/>
                <w:b w:val="0"/>
                <w:bCs w:val="0"/>
                <w:i w:val="0"/>
                <w:iCs w:val="0"/>
                <w:caps w:val="0"/>
                <w:color w:val="111827"/>
                <w:spacing w:val="0"/>
                <w:sz w:val="21"/>
                <w:szCs w:val="21"/>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Inventory accumulation, decreased sales revenue, and market share loss.</w:t>
            </w:r>
          </w:p>
          <w:p>
            <w:pPr>
              <w:numPr>
                <w:ilvl w:val="0"/>
                <w:numId w:val="0"/>
              </w:numPr>
              <w:jc w:val="center"/>
              <w:rPr>
                <w:rFonts w:hint="default" w:ascii="Times New Roman" w:hAnsi="Times New Roman" w:eastAsia="宋体" w:cs="Times New Roman"/>
                <w:b w:val="0"/>
                <w:bCs w:val="0"/>
                <w:i w:val="0"/>
                <w:iCs w:val="0"/>
                <w:caps w:val="0"/>
                <w:color w:val="111827"/>
                <w:spacing w:val="0"/>
                <w:sz w:val="21"/>
                <w:szCs w:val="21"/>
                <w:lang w:val="en-US" w:eastAsia="zh-CN"/>
              </w:rPr>
            </w:pPr>
          </w:p>
        </w:tc>
        <w:tc>
          <w:tcPr>
            <w:tcW w:w="359" w:type="dxa"/>
          </w:tcPr>
          <w:p>
            <w:pPr>
              <w:rPr>
                <w:rFonts w:hint="eastAsia" w:ascii="Segoe UI" w:hAnsi="Segoe UI" w:eastAsia="宋体" w:cs="Segoe UI"/>
                <w:b/>
                <w:bCs/>
                <w:i w:val="0"/>
                <w:iCs w:val="0"/>
                <w:caps w:val="0"/>
                <w:color w:val="111827"/>
                <w:spacing w:val="0"/>
                <w:sz w:val="16"/>
                <w:szCs w:val="16"/>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7</w:t>
            </w:r>
          </w:p>
        </w:tc>
        <w:tc>
          <w:tcPr>
            <w:tcW w:w="1497" w:type="dxa"/>
          </w:tcPr>
          <w:p>
            <w:pPr>
              <w:rPr>
                <w:rFonts w:hint="default" w:ascii="Times New Roman" w:hAnsi="Times New Roman" w:eastAsia="宋体" w:cs="Times New Roman"/>
                <w:b w:val="0"/>
                <w:bCs w:val="0"/>
                <w:i w:val="0"/>
                <w:iCs w:val="0"/>
                <w:caps w:val="0"/>
                <w:color w:val="111827"/>
                <w:spacing w:val="0"/>
                <w:sz w:val="21"/>
                <w:szCs w:val="21"/>
                <w:lang w:val="en-US" w:eastAsia="zh-CN"/>
              </w:rPr>
            </w:pPr>
            <w:r>
              <w:rPr>
                <w:rFonts w:hint="default" w:ascii="Segoe UI" w:hAnsi="Segoe UI" w:eastAsia="宋体" w:cs="Segoe UI"/>
                <w:b/>
                <w:bCs/>
                <w:i w:val="0"/>
                <w:iCs w:val="0"/>
                <w:caps w:val="0"/>
                <w:color w:val="111827"/>
                <w:spacing w:val="0"/>
                <w:sz w:val="16"/>
                <w:szCs w:val="16"/>
                <w:lang w:val="en-US" w:eastAsia="zh-CN"/>
              </w:rPr>
              <w:t>I</w:t>
            </w:r>
            <w:r>
              <w:rPr>
                <w:rFonts w:hint="default" w:ascii="Times New Roman" w:hAnsi="Times New Roman" w:eastAsia="宋体" w:cs="Times New Roman"/>
                <w:b w:val="0"/>
                <w:bCs w:val="0"/>
                <w:i w:val="0"/>
                <w:iCs w:val="0"/>
                <w:caps w:val="0"/>
                <w:color w:val="111827"/>
                <w:spacing w:val="0"/>
                <w:sz w:val="21"/>
                <w:szCs w:val="21"/>
                <w:lang w:val="en-US" w:eastAsia="zh-CN"/>
              </w:rPr>
              <w:t>nnovations and advances in technology, alterations in consumer demand and behaviour, and alterations in policy and regulation are factors that influence the economy.</w:t>
            </w:r>
          </w:p>
          <w:p>
            <w:pPr>
              <w:rPr>
                <w:rFonts w:hint="default" w:ascii="Segoe UI" w:hAnsi="Segoe UI" w:eastAsia="宋体" w:cs="Segoe UI"/>
                <w:b/>
                <w:bCs/>
                <w:i w:val="0"/>
                <w:iCs w:val="0"/>
                <w:caps w:val="0"/>
                <w:color w:val="111827"/>
                <w:spacing w:val="0"/>
                <w:sz w:val="16"/>
                <w:szCs w:val="16"/>
                <w:lang w:val="en-US" w:eastAsia="zh-CN"/>
              </w:rPr>
            </w:pPr>
          </w:p>
        </w:tc>
        <w:tc>
          <w:tcPr>
            <w:tcW w:w="352" w:type="dxa"/>
          </w:tcPr>
          <w:p>
            <w:pPr>
              <w:rPr>
                <w:rFonts w:hint="eastAsia" w:ascii="Segoe UI" w:hAnsi="Segoe UI" w:eastAsia="宋体" w:cs="Segoe UI"/>
                <w:b/>
                <w:bCs/>
                <w:i w:val="0"/>
                <w:iCs w:val="0"/>
                <w:caps w:val="0"/>
                <w:color w:val="111827"/>
                <w:spacing w:val="0"/>
                <w:sz w:val="16"/>
                <w:szCs w:val="16"/>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5</w:t>
            </w:r>
          </w:p>
        </w:tc>
        <w:tc>
          <w:tcPr>
            <w:tcW w:w="2156" w:type="dxa"/>
          </w:tcPr>
          <w:p>
            <w:pPr>
              <w:jc w:val="left"/>
              <w:rPr>
                <w:rFonts w:hint="default" w:ascii="Times New Roman" w:hAnsi="Times New Roman" w:eastAsia="宋体" w:cs="Times New Roman"/>
                <w:b w:val="0"/>
                <w:bCs w:val="0"/>
                <w:i w:val="0"/>
                <w:iCs w:val="0"/>
                <w:caps w:val="0"/>
                <w:color w:val="111827"/>
                <w:spacing w:val="0"/>
                <w:sz w:val="21"/>
                <w:szCs w:val="21"/>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Market research and monitoring, product innovation and differentiation, strengthening branding, optimising inventory management, and forming strategic alliances are the pillars of a successful marketing strategy.</w:t>
            </w:r>
          </w:p>
          <w:p>
            <w:pPr>
              <w:rPr>
                <w:rFonts w:hint="eastAsia" w:ascii="Segoe UI" w:hAnsi="Segoe UI" w:eastAsia="宋体" w:cs="Segoe UI"/>
                <w:b/>
                <w:bCs/>
                <w:i w:val="0"/>
                <w:iCs w:val="0"/>
                <w:caps w:val="0"/>
                <w:color w:val="111827"/>
                <w:spacing w:val="0"/>
                <w:sz w:val="16"/>
                <w:szCs w:val="16"/>
                <w:lang w:val="en-US" w:eastAsia="zh-CN"/>
              </w:rPr>
            </w:pPr>
          </w:p>
        </w:tc>
        <w:tc>
          <w:tcPr>
            <w:tcW w:w="335" w:type="dxa"/>
          </w:tcPr>
          <w:p>
            <w:pPr>
              <w:rPr>
                <w:rFonts w:hint="eastAsia" w:ascii="Segoe UI" w:hAnsi="Segoe UI" w:eastAsia="宋体" w:cs="Segoe UI"/>
                <w:b/>
                <w:bCs/>
                <w:i w:val="0"/>
                <w:iCs w:val="0"/>
                <w:caps w:val="0"/>
                <w:color w:val="111827"/>
                <w:spacing w:val="0"/>
                <w:sz w:val="16"/>
                <w:szCs w:val="16"/>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3</w:t>
            </w:r>
          </w:p>
        </w:tc>
        <w:tc>
          <w:tcPr>
            <w:tcW w:w="347" w:type="dxa"/>
          </w:tcPr>
          <w:p>
            <w:pPr>
              <w:rPr>
                <w:rFonts w:hint="default" w:ascii="Segoe UI" w:hAnsi="Segoe UI" w:eastAsia="宋体" w:cs="Segoe UI"/>
                <w:b/>
                <w:bCs/>
                <w:i w:val="0"/>
                <w:iCs w:val="0"/>
                <w:caps w:val="0"/>
                <w:color w:val="111827"/>
                <w:spacing w:val="0"/>
                <w:sz w:val="16"/>
                <w:szCs w:val="16"/>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105</w:t>
            </w:r>
          </w:p>
        </w:tc>
        <w:tc>
          <w:tcPr>
            <w:tcW w:w="2413" w:type="dxa"/>
          </w:tcPr>
          <w:p>
            <w:pPr>
              <w:jc w:val="left"/>
              <w:rPr>
                <w:rFonts w:hint="default" w:ascii="Times New Roman" w:hAnsi="Times New Roman" w:eastAsia="宋体" w:cs="Times New Roman"/>
                <w:b w:val="0"/>
                <w:bCs w:val="0"/>
                <w:i w:val="0"/>
                <w:iCs w:val="0"/>
                <w:caps w:val="0"/>
                <w:color w:val="111827"/>
                <w:spacing w:val="0"/>
                <w:sz w:val="21"/>
                <w:szCs w:val="21"/>
                <w:lang w:val="en-US" w:eastAsia="zh-CN"/>
              </w:rPr>
            </w:pPr>
            <w:r>
              <w:rPr>
                <w:rFonts w:hint="default" w:ascii="Times New Roman" w:hAnsi="Times New Roman" w:eastAsia="宋体" w:cs="Times New Roman"/>
                <w:b w:val="0"/>
                <w:bCs w:val="0"/>
                <w:i w:val="0"/>
                <w:iCs w:val="0"/>
                <w:caps w:val="0"/>
                <w:color w:val="111827"/>
                <w:spacing w:val="0"/>
                <w:sz w:val="21"/>
                <w:szCs w:val="21"/>
                <w:lang w:val="en-US" w:eastAsia="zh-CN"/>
              </w:rPr>
              <w:t>Enhance market research and studies to better comprehend market tendencies, consumer requirements, and potential competitors, online and offline channels, social media, and advertising in order to introduce innovative products with a competitive edge.</w:t>
            </w:r>
          </w:p>
          <w:p>
            <w:pPr>
              <w:rPr>
                <w:rFonts w:hint="eastAsia" w:ascii="Segoe UI" w:hAnsi="Segoe UI" w:eastAsia="宋体" w:cs="Segoe UI"/>
                <w:b/>
                <w:bCs/>
                <w:i w:val="0"/>
                <w:iCs w:val="0"/>
                <w:caps w:val="0"/>
                <w:color w:val="111827"/>
                <w:spacing w:val="0"/>
                <w:sz w:val="16"/>
                <w:szCs w:val="16"/>
                <w:lang w:val="en-US" w:eastAsia="zh-CN"/>
              </w:rPr>
            </w:pPr>
          </w:p>
        </w:tc>
      </w:tr>
    </w:tbl>
    <w:p>
      <w:pPr>
        <w:jc w:val="center"/>
        <w:rPr>
          <w:rFonts w:hint="eastAsia" w:ascii="Times New Roman" w:hAnsi="Times New Roman" w:eastAsia="宋体" w:cs="Times New Roman"/>
          <w:b w:val="0"/>
          <w:bCs/>
          <w:sz w:val="21"/>
          <w:szCs w:val="21"/>
          <w:lang w:val="en-US" w:eastAsia="zh-CN"/>
        </w:rPr>
      </w:pPr>
      <w:r>
        <w:rPr>
          <w:rFonts w:hint="eastAsia" w:ascii="Times New Roman" w:hAnsi="Times New Roman" w:eastAsia="宋体" w:cs="Times New Roman"/>
          <w:b w:val="0"/>
          <w:bCs/>
          <w:sz w:val="21"/>
          <w:szCs w:val="21"/>
          <w:lang w:val="en-US" w:eastAsia="zh-CN"/>
        </w:rPr>
        <w:t>Table 1 FMEA analysis</w:t>
      </w:r>
    </w:p>
    <w:p>
      <w:pPr>
        <w:jc w:val="center"/>
        <w:rPr>
          <w:rFonts w:hint="eastAsia" w:ascii="Times New Roman" w:hAnsi="Times New Roman" w:eastAsia="宋体" w:cs="Times New Roman"/>
          <w:b w:val="0"/>
          <w:bCs/>
          <w:sz w:val="21"/>
          <w:szCs w:val="21"/>
          <w:lang w:val="en-US" w:eastAsia="zh-CN"/>
        </w:rPr>
      </w:pPr>
    </w:p>
    <w:p>
      <w:pPr>
        <w:jc w:val="both"/>
        <w:rPr>
          <w:rFonts w:hint="default" w:ascii="Times New Roman" w:hAnsi="Times New Roman" w:eastAsia="宋体" w:cs="Times New Roman"/>
          <w:b w:val="0"/>
          <w:bCs/>
          <w:sz w:val="21"/>
          <w:szCs w:val="21"/>
          <w:lang w:val="en-US" w:eastAsia="zh-CN"/>
        </w:rPr>
      </w:pPr>
      <w:r>
        <w:rPr>
          <w:rFonts w:hint="default" w:ascii="Times New Roman" w:hAnsi="Times New Roman" w:eastAsia="宋体" w:cs="Times New Roman"/>
          <w:b w:val="0"/>
          <w:bCs/>
          <w:sz w:val="24"/>
          <w:szCs w:val="24"/>
          <w:lang w:val="en-US" w:eastAsia="zh-CN"/>
        </w:rPr>
        <w:t>The table outlines six main threats to Apple's global iPhone supply chain, allowing the company to identify potential problems and take the necessary preventative measures. Calculating the RPN (Risk Priority Number) allows us to prioritise each risk factor. Exchange rate fluctuations have the highest RPN (288) in this instance, indicating they should be the supply chain's highest priority. In addition, the global financial crisis has caused shipping delays (RPN of 210). The table contains the recommended responses for each failure mode. These measures can serve as the basis for programmes designed to reduce risk exposure, mitigate potential effects, and improve problem identification. Using this FMEA study, Apple may gain a better understanding of the potential hazards in its supply chain and develop effective strategies to mitigate them. This will increase the supply chain's stability and resistance to unforeseen events.</w:t>
      </w:r>
    </w:p>
    <w:p>
      <w:pPr>
        <w:jc w:val="both"/>
        <w:outlineLvl w:val="0"/>
        <w:rPr>
          <w:rFonts w:hint="default" w:ascii="Times New Roman" w:hAnsi="Times New Roman" w:cs="Times New Roman"/>
          <w:b/>
          <w:bCs/>
          <w:sz w:val="32"/>
          <w:szCs w:val="32"/>
          <w:lang w:val="en-US" w:eastAsia="zh-CN"/>
        </w:rPr>
      </w:pPr>
      <w:bookmarkStart w:id="12" w:name="_Toc28322"/>
      <w:bookmarkStart w:id="13" w:name="_Toc28143"/>
      <w:r>
        <w:rPr>
          <w:rFonts w:hint="eastAsia" w:ascii="Times New Roman" w:hAnsi="Times New Roman" w:cs="Times New Roman"/>
          <w:b/>
          <w:bCs/>
          <w:sz w:val="32"/>
          <w:szCs w:val="32"/>
          <w:lang w:val="en-US" w:eastAsia="zh-CN"/>
        </w:rPr>
        <w:t xml:space="preserve">3 </w:t>
      </w:r>
      <w:r>
        <w:rPr>
          <w:rFonts w:hint="default" w:ascii="Times New Roman" w:hAnsi="Times New Roman" w:cs="Times New Roman"/>
          <w:b/>
          <w:bCs/>
          <w:sz w:val="32"/>
          <w:szCs w:val="32"/>
          <w:lang w:val="en-US" w:eastAsia="zh-CN"/>
        </w:rPr>
        <w:t>Steps to make the supply chain more resilient</w:t>
      </w:r>
      <w:bookmarkEnd w:id="12"/>
      <w:bookmarkEnd w:id="13"/>
    </w:p>
    <w:p>
      <w:pPr>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Christopher and Peck (2004) define supply chain resilience as the capacity of a supply chain to rapidly resume normal operations. Returning to normal operational performance within a reasonable timeframe. The ability of a supply chain to resume normal operations in a reasonable period of time following a disruption. Ponomarov and Holcomb (2009) state that supply chain resilience is "the adaptability of a supply chain." Having a resilient supply chain can help you be prepared for unanticipated events, manage disruptions, and recover from them. Maintaining the requisite connectivity, level of structure control, and operation continuity for the structure and operations under your control.</w:t>
      </w:r>
    </w:p>
    <w:p>
      <w:pPr>
        <w:jc w:val="both"/>
        <w:rPr>
          <w:rFonts w:hint="eastAsia" w:ascii="Times New Roman" w:hAnsi="Times New Roman" w:cs="Times New Roman"/>
          <w:b w:val="0"/>
          <w:bCs w:val="0"/>
          <w:sz w:val="24"/>
          <w:szCs w:val="24"/>
          <w:lang w:val="en-US" w:eastAsia="zh-CN"/>
        </w:rPr>
      </w:pPr>
    </w:p>
    <w:p>
      <w:pPr>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According to the definition of disruption, it refers to "unplanned and unexpected events that interrupt the flow of materials and products along the supply chain." Insufficient raw materials, delayed supplies, natural disasters, hazardous components, government regulations, equipment malfunctions, and cyber threats can all cause disruptions</w:t>
      </w:r>
      <w:bookmarkStart w:id="24" w:name="_GoBack"/>
      <w:bookmarkEnd w:id="24"/>
      <w:r>
        <w:rPr>
          <w:rFonts w:hint="eastAsia" w:ascii="Times New Roman" w:hAnsi="Times New Roman" w:cs="Times New Roman"/>
          <w:b w:val="0"/>
          <w:bCs w:val="0"/>
          <w:sz w:val="24"/>
          <w:szCs w:val="24"/>
          <w:lang w:val="en-US" w:eastAsia="zh-CN"/>
        </w:rPr>
        <w:t xml:space="preserve"> (Hendricks and Singhal, 2005). </w:t>
      </w:r>
    </w:p>
    <w:p>
      <w:pPr>
        <w:jc w:val="both"/>
        <w:rPr>
          <w:rFonts w:hint="eastAsia" w:ascii="Times New Roman" w:hAnsi="Times New Roman" w:cs="Times New Roman"/>
          <w:b w:val="0"/>
          <w:bCs w:val="0"/>
          <w:sz w:val="24"/>
          <w:szCs w:val="24"/>
          <w:lang w:val="en-US" w:eastAsia="zh-CN"/>
        </w:rPr>
      </w:pPr>
    </w:p>
    <w:p>
      <w:pPr>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Christopher and Peck (2004) published four system-level techniques: reengineering the supply chain, collaborating with other organisations, nurturing a culture of supply chain risk management, and enhancing agility. Other studies have elaborated on human resources (such as training or education) as the primary drivers of resilience (Blackhurst et al., 2011) or on formative elements such as flexibility, velocity, visibility, and collaboration (Jüttner and Maklan, 2011).</w:t>
      </w:r>
    </w:p>
    <w:p>
      <w:pPr>
        <w:jc w:val="both"/>
        <w:rPr>
          <w:rFonts w:hint="eastAsia" w:ascii="Times New Roman" w:hAnsi="Times New Roman" w:cs="Times New Roman"/>
          <w:b w:val="0"/>
          <w:bCs w:val="0"/>
          <w:sz w:val="24"/>
          <w:szCs w:val="24"/>
          <w:lang w:val="en-US" w:eastAsia="zh-CN"/>
        </w:rPr>
      </w:pPr>
    </w:p>
    <w:p>
      <w:pPr>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By reviewing the pertinent literature and relating it to what we've learned, we can generate six steps to make the supply chain more resilient.</w:t>
      </w:r>
    </w:p>
    <w:p>
      <w:pPr>
        <w:jc w:val="both"/>
        <w:rPr>
          <w:rFonts w:hint="eastAsia" w:ascii="Times New Roman" w:hAnsi="Times New Roman" w:cs="Times New Roman"/>
          <w:b w:val="0"/>
          <w:bCs w:val="0"/>
          <w:sz w:val="24"/>
          <w:szCs w:val="24"/>
          <w:lang w:val="en-US" w:eastAsia="zh-CN"/>
        </w:rPr>
      </w:pPr>
    </w:p>
    <w:p>
      <w:pPr>
        <w:jc w:val="both"/>
        <w:outlineLvl w:val="1"/>
        <w:rPr>
          <w:rFonts w:hint="eastAsia" w:ascii="Times New Roman" w:hAnsi="Times New Roman" w:cs="Times New Roman"/>
          <w:b/>
          <w:bCs/>
          <w:sz w:val="30"/>
          <w:szCs w:val="30"/>
          <w:lang w:val="en-US" w:eastAsia="zh-CN"/>
        </w:rPr>
      </w:pPr>
      <w:bookmarkStart w:id="14" w:name="_Toc8663"/>
      <w:r>
        <w:rPr>
          <w:rFonts w:hint="eastAsia" w:ascii="Times New Roman" w:hAnsi="Times New Roman" w:cs="Times New Roman"/>
          <w:b/>
          <w:bCs/>
          <w:sz w:val="30"/>
          <w:szCs w:val="30"/>
          <w:lang w:val="en-US" w:eastAsia="zh-CN"/>
        </w:rPr>
        <w:t>3.1 Enhance agility across the supply chain</w:t>
      </w:r>
      <w:bookmarkEnd w:id="14"/>
    </w:p>
    <w:p>
      <w:pPr>
        <w:jc w:val="both"/>
        <w:rPr>
          <w:rFonts w:hint="eastAsia" w:ascii="Times New Roman" w:hAnsi="Times New Roman" w:eastAsia="宋体" w:cs="Times New Roman"/>
          <w:i w:val="0"/>
          <w:iCs w:val="0"/>
          <w:caps w:val="0"/>
          <w:spacing w:val="0"/>
          <w:sz w:val="24"/>
          <w:szCs w:val="24"/>
          <w:shd w:val="clear" w:fill="FFFFFF"/>
          <w:lang w:val="en-US" w:eastAsia="zh-CN"/>
        </w:rPr>
      </w:pPr>
      <w:r>
        <w:rPr>
          <w:rFonts w:hint="eastAsia" w:ascii="Times New Roman" w:hAnsi="Times New Roman" w:eastAsia="宋体" w:cs="Times New Roman"/>
          <w:i w:val="0"/>
          <w:iCs w:val="0"/>
          <w:caps w:val="0"/>
          <w:spacing w:val="0"/>
          <w:sz w:val="24"/>
          <w:szCs w:val="24"/>
          <w:shd w:val="clear" w:fill="FFFFFF"/>
          <w:lang w:val="en-US" w:eastAsia="zh-CN"/>
        </w:rPr>
        <w:t>In the supply chain, agility is the capacity to respond swiftly to unanticipated changes in supply or demand. The terms 'visibility' and'speed' are essential components of agility. Simply put, visibility throughout the entire supply chain is the ability to observe everything that is occurring. Visibility requires a precise comprehension of, for example, upstream and downstream inventories, supply and demand dynamics, and production and procurement schedules. The second component of supply chain agility is velocity. Time divided by distance means speed. Therefore, time must be compressed in order to increase velocity (Christopher and Peck, 2004).</w:t>
      </w:r>
    </w:p>
    <w:p>
      <w:pPr>
        <w:jc w:val="both"/>
        <w:rPr>
          <w:rFonts w:hint="eastAsia" w:ascii="Times New Roman" w:hAnsi="Times New Roman" w:eastAsia="宋体" w:cs="Times New Roman"/>
          <w:i w:val="0"/>
          <w:iCs w:val="0"/>
          <w:caps w:val="0"/>
          <w:spacing w:val="0"/>
          <w:sz w:val="24"/>
          <w:szCs w:val="24"/>
          <w:shd w:val="clear" w:fill="FFFFFF"/>
          <w:lang w:val="en-US" w:eastAsia="zh-CN"/>
        </w:rPr>
      </w:pPr>
    </w:p>
    <w:p>
      <w:pPr>
        <w:jc w:val="both"/>
        <w:rPr>
          <w:rFonts w:hint="eastAsia" w:ascii="Times New Roman" w:hAnsi="Times New Roman" w:eastAsia="宋体" w:cs="Times New Roman"/>
          <w:i w:val="0"/>
          <w:iCs w:val="0"/>
          <w:caps w:val="0"/>
          <w:spacing w:val="0"/>
          <w:sz w:val="24"/>
          <w:szCs w:val="24"/>
          <w:shd w:val="clear" w:fill="FFFFFF"/>
          <w:lang w:val="en-US" w:eastAsia="zh-CN"/>
        </w:rPr>
      </w:pPr>
      <w:r>
        <w:rPr>
          <w:rFonts w:hint="eastAsia" w:ascii="Times New Roman" w:hAnsi="Times New Roman" w:eastAsia="宋体" w:cs="Times New Roman"/>
          <w:i w:val="0"/>
          <w:iCs w:val="0"/>
          <w:caps w:val="0"/>
          <w:spacing w:val="0"/>
          <w:sz w:val="24"/>
          <w:szCs w:val="24"/>
          <w:shd w:val="clear" w:fill="FFFFFF"/>
          <w:lang w:val="en-US" w:eastAsia="zh-CN"/>
        </w:rPr>
        <w:t>This can aid businesses in monitoring and administering their supply networks, enabling them to anticipate and respond swiftly to disruptions. In addition, despite the fact that there are steps that can be taken to increase supply chain agility, implementing an effective SCM system can make it simpler to monitor inventory, supplier performance, and shipment in real time. Using real-time surveillance and reporting tools, stakeholders in the supply chain can track shipment progress, inventory levels, and supplier performance. Using digital technologies such as the Internet of Things (IoT), blockchain, and artificial intelligence (AI), it is possible to improve the supply chain's agility and data exchange. Using its digital control towers to perpetually monitor their entire global supply chain, Unilever was able to anticipate potential disruptions and modify its operations during the pandemic, for instance.</w:t>
      </w:r>
    </w:p>
    <w:p>
      <w:pPr>
        <w:jc w:val="both"/>
        <w:rPr>
          <w:rFonts w:hint="default" w:ascii="Times New Roman" w:hAnsi="Times New Roman" w:eastAsia="宋体" w:cs="Times New Roman"/>
          <w:i w:val="0"/>
          <w:iCs w:val="0"/>
          <w:caps w:val="0"/>
          <w:spacing w:val="0"/>
          <w:sz w:val="24"/>
          <w:szCs w:val="24"/>
          <w:shd w:val="clear" w:fill="FFFFFF"/>
          <w:lang w:val="en-US" w:eastAsia="zh-CN"/>
        </w:rPr>
      </w:pPr>
    </w:p>
    <w:p>
      <w:pPr>
        <w:jc w:val="both"/>
        <w:outlineLvl w:val="1"/>
        <w:rPr>
          <w:rFonts w:hint="eastAsia" w:ascii="Times New Roman" w:hAnsi="Times New Roman" w:cs="Times New Roman"/>
          <w:b/>
          <w:bCs/>
          <w:sz w:val="30"/>
          <w:szCs w:val="30"/>
          <w:lang w:val="en-US" w:eastAsia="zh-CN"/>
        </w:rPr>
      </w:pPr>
      <w:bookmarkStart w:id="15" w:name="_Toc6291"/>
      <w:r>
        <w:rPr>
          <w:rFonts w:hint="eastAsia" w:ascii="Times New Roman" w:hAnsi="Times New Roman" w:cs="Times New Roman"/>
          <w:b/>
          <w:bCs/>
          <w:sz w:val="30"/>
          <w:szCs w:val="30"/>
          <w:lang w:val="en-US" w:eastAsia="zh-CN"/>
        </w:rPr>
        <w:t>3.2 Diversify supplier base</w:t>
      </w:r>
      <w:bookmarkEnd w:id="15"/>
    </w:p>
    <w:p>
      <w:pPr>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Diversifying the suppliers is a key part of making the supply chain more stable because it reduces the amount of dependence on a single supplier or area. This lowers the risks that could be caused by disruptions. Diversifying your sources can be done with a multi-sourcing method. This lets you work with more than one supplier so you don't have to count on just one for a good or service. Even if one seller has problems, having a lot of suppliers helps make sure that goods and services will always be available. Make long-term connections with many different sources to encourage teamwork, trust, and understanding. People are better able to talk to each other and deal with problems when they have strong ties. Companies may be less likely to be affected by things like natural disasters, political instability, or global health problems if they have a wider range of suppliers and make their supply lines more resilient overall. When the COVID-19 outbreak in China disrupted supply lines, it had less of an effect on companies that worked with sellers in other countries, like Vietnam, India, or Mexico.</w:t>
      </w:r>
    </w:p>
    <w:p>
      <w:pPr>
        <w:jc w:val="both"/>
        <w:rPr>
          <w:rFonts w:hint="default" w:ascii="Times New Roman" w:hAnsi="Times New Roman" w:cs="Times New Roman"/>
          <w:b w:val="0"/>
          <w:bCs w:val="0"/>
          <w:sz w:val="24"/>
          <w:szCs w:val="24"/>
          <w:lang w:val="en-US" w:eastAsia="zh-CN"/>
        </w:rPr>
      </w:pPr>
    </w:p>
    <w:p>
      <w:pPr>
        <w:jc w:val="both"/>
        <w:outlineLvl w:val="1"/>
        <w:rPr>
          <w:rFonts w:hint="eastAsia" w:ascii="Times New Roman" w:hAnsi="Times New Roman" w:cs="Times New Roman"/>
          <w:b/>
          <w:bCs/>
          <w:sz w:val="30"/>
          <w:szCs w:val="30"/>
          <w:lang w:val="en-US" w:eastAsia="zh-CN"/>
        </w:rPr>
      </w:pPr>
      <w:bookmarkStart w:id="16" w:name="_Toc24374"/>
      <w:r>
        <w:rPr>
          <w:rFonts w:hint="eastAsia" w:ascii="Times New Roman" w:hAnsi="Times New Roman" w:cs="Times New Roman"/>
          <w:b/>
          <w:bCs/>
          <w:sz w:val="30"/>
          <w:szCs w:val="30"/>
          <w:lang w:val="en-US" w:eastAsia="zh-CN"/>
        </w:rPr>
        <w:t>3.3 Regionalize manufacturing</w:t>
      </w:r>
      <w:bookmarkEnd w:id="16"/>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Regionalized manufacturing or regional supply chains involve producing items near final markets or in numerous places. This method can lower interruption risks, shorten lead times, and improve supply network resilience. Multiple production sites reduce dependence on one region. This comprehensive plan mitigates natural disasters, geopolitical turmoil, and other disturbances. Connect production facilities to suppliers, distributors, and customers with efficient transportation and logistics networks. This may mean working with regional logistics businesses, investing in cutting-edge transportation infrastructure, or using cutting-edge technologies like artificial intelligence and the Internet of Things for real-time monitoring and optimisation. Strong relationships with suppliers, government agencies, and trade organisations will foster collaboration, information sharing, and local production. To reduce lead times, transportation costs, and international trade hazards, buy primary materials and components locally. Local procurement strengthens the supply chain and fosters supplier trust. Regionalizing production makes supply chains more resilient to disruptions, reduces lead times, and adapts to changing market conditions. This preemptive approach helps decrease business disruptions and improve supply chain performance. Apple reduces geopolitical and logistical risks by building manufacturing in different places. Apple has plants in the US, China, and India.</w:t>
      </w:r>
    </w:p>
    <w:p>
      <w:pPr>
        <w:jc w:val="both"/>
        <w:rPr>
          <w:rFonts w:hint="default" w:ascii="Times New Roman" w:hAnsi="Times New Roman" w:cs="Times New Roman"/>
          <w:b w:val="0"/>
          <w:bCs w:val="0"/>
          <w:sz w:val="24"/>
          <w:szCs w:val="24"/>
          <w:lang w:val="en-US" w:eastAsia="zh-CN"/>
        </w:rPr>
      </w:pPr>
    </w:p>
    <w:p>
      <w:pPr>
        <w:jc w:val="both"/>
        <w:outlineLvl w:val="1"/>
        <w:rPr>
          <w:rFonts w:hint="eastAsia" w:ascii="Times New Roman" w:hAnsi="Times New Roman" w:cs="Times New Roman"/>
          <w:b/>
          <w:bCs/>
          <w:sz w:val="30"/>
          <w:szCs w:val="30"/>
          <w:lang w:val="en-US" w:eastAsia="zh-CN"/>
        </w:rPr>
      </w:pPr>
      <w:bookmarkStart w:id="17" w:name="_Toc9270"/>
      <w:r>
        <w:rPr>
          <w:rFonts w:hint="eastAsia" w:ascii="Times New Roman" w:hAnsi="Times New Roman" w:cs="Times New Roman"/>
          <w:b/>
          <w:bCs/>
          <w:sz w:val="30"/>
          <w:szCs w:val="30"/>
          <w:lang w:val="en-US" w:eastAsia="zh-CN"/>
        </w:rPr>
        <w:t>3.4 Invest in supply chain risk management</w:t>
      </w:r>
      <w:bookmarkEnd w:id="17"/>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Investing in supply chain risk management is essential for a supply chain to become more resilient. By identifying, evaluating, and managing risks, businesses can better prepare for anticipated disruptions and mitigate their effect on operations. It is possible to conduct a comprehensive analysis of all prospective supply chain risks, such as geopolitical, environmental, financial, operational, and legal threats. Evaluate the probability and potential impact of each risk in order to effectively rank mitigation measures and allocate resources. Create a tracking and continuous monitoring system for supply chain risks. To evaluate real-time data, monitor trends, and identify new threats, it may be necessary to employ advanced analytics and data visualisation technologies. Develop contingency plans for a variety of risk scenarios, including supplier disruption, natural disasters, and political unrest. These plans must specify the precise actions and materials required to maintain the supply chain's functionality in the face of disruptions. By investing in supply chain risk management, businesses can construct more robust supply networks that are better able to withstand disruptions and continue the flow of products and services. This proactive strategy can reduce the impact of disruptions on business operations and improve the overall performance of the supply chain.</w:t>
      </w:r>
    </w:p>
    <w:p>
      <w:pPr>
        <w:jc w:val="both"/>
        <w:rPr>
          <w:rFonts w:hint="default" w:ascii="Times New Roman" w:hAnsi="Times New Roman" w:cs="Times New Roman"/>
          <w:b w:val="0"/>
          <w:bCs w:val="0"/>
          <w:sz w:val="24"/>
          <w:szCs w:val="24"/>
          <w:lang w:val="en-US" w:eastAsia="zh-CN"/>
        </w:rPr>
      </w:pPr>
    </w:p>
    <w:p>
      <w:pPr>
        <w:jc w:val="both"/>
        <w:outlineLvl w:val="1"/>
        <w:rPr>
          <w:rFonts w:hint="eastAsia" w:ascii="Times New Roman" w:hAnsi="Times New Roman" w:cs="Times New Roman"/>
          <w:b/>
          <w:bCs/>
          <w:sz w:val="30"/>
          <w:szCs w:val="30"/>
          <w:lang w:val="en-US" w:eastAsia="zh-CN"/>
        </w:rPr>
      </w:pPr>
      <w:bookmarkStart w:id="18" w:name="_Toc32298"/>
      <w:r>
        <w:rPr>
          <w:rFonts w:hint="eastAsia" w:ascii="Times New Roman" w:hAnsi="Times New Roman" w:cs="Times New Roman"/>
          <w:b/>
          <w:bCs/>
          <w:sz w:val="30"/>
          <w:szCs w:val="30"/>
          <w:lang w:val="en-US" w:eastAsia="zh-CN"/>
        </w:rPr>
        <w:t>3.5 Foster collaboration with suppliers and partners</w:t>
      </w:r>
      <w:bookmarkEnd w:id="18"/>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Partner and supplier collaboration builds a more resilient supply chain. Strong supplier and partner relationships improve communication, adaptability, and disruption response. Build trusting partnerships with suppliers and partners. These relationships may increase goal alignment, risk management, and issue solving. To gain partner and supplier cooperation, plan and decide together. Teamwork can improve decision-making, product quality, and market response time. Identify difficulties, provide new solutions, and share best practises with partners and suppliers. Collaborative problem-solving improves supply chain efficiency and reduces risk. Businesses can improve their ability to respond to interruptions and maintain product and service flow by encouraging supplier and partner engagement. This proactive approach helps prevent business disruptions and improve supply chain resilience. Ipone collaborates with suppliers to improve performance and reduce risk. Cooperation improves supply chain interruption management.</w:t>
      </w:r>
    </w:p>
    <w:p>
      <w:pPr>
        <w:jc w:val="both"/>
        <w:rPr>
          <w:rFonts w:hint="default" w:ascii="Times New Roman" w:hAnsi="Times New Roman" w:cs="Times New Roman"/>
          <w:b w:val="0"/>
          <w:bCs w:val="0"/>
          <w:sz w:val="24"/>
          <w:szCs w:val="24"/>
          <w:lang w:val="en-US" w:eastAsia="zh-CN"/>
        </w:rPr>
      </w:pPr>
    </w:p>
    <w:p>
      <w:pPr>
        <w:jc w:val="both"/>
        <w:outlineLvl w:val="1"/>
        <w:rPr>
          <w:rFonts w:hint="eastAsia" w:ascii="Times New Roman" w:hAnsi="Times New Roman" w:cs="Times New Roman"/>
          <w:b/>
          <w:bCs/>
          <w:sz w:val="30"/>
          <w:szCs w:val="30"/>
          <w:lang w:val="en-US" w:eastAsia="zh-CN"/>
        </w:rPr>
      </w:pPr>
      <w:bookmarkStart w:id="19" w:name="_Toc23138"/>
      <w:r>
        <w:rPr>
          <w:rFonts w:hint="eastAsia" w:ascii="Times New Roman" w:hAnsi="Times New Roman" w:cs="Times New Roman"/>
          <w:b/>
          <w:bCs/>
          <w:sz w:val="30"/>
          <w:szCs w:val="30"/>
          <w:lang w:val="en-US" w:eastAsia="zh-CN"/>
        </w:rPr>
        <w:t>3.6 Adopt digital transformation and automation</w:t>
      </w:r>
      <w:bookmarkEnd w:id="19"/>
    </w:p>
    <w:p>
      <w:pPr>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Digital transformation and automation boost supply chain resilience by increasing efficiency, traceability, and adaptability. Technology improves risk management, process optimisation, and disruption response. Businesses can analyse enormous data sets, spot trends, and make data-driven choices using AI and machine learning. They can optimise inventories, analyse hazards, and identify interruptions. RFID tags and sensors can track shipments, inventory, and supplier performance. Businesses can detect restrictions and alter procedures using this information. RPA automates rule-based supply chain processes like order processing, billing, and data input. More time for strategic tasks boosts efficiency and decreases human error. Apply digital technology to ordering, production, delivery, and customer support. End-to-end digitisation improves supply chain visibility and robustness. IBM and Maersk's blockchain-based TradeLens platform allows multinational shipping companies to quickly adjust to disturbances and sustain product flow.</w:t>
      </w:r>
    </w:p>
    <w:p>
      <w:pPr>
        <w:jc w:val="both"/>
        <w:rPr>
          <w:rFonts w:hint="eastAsia" w:ascii="Times New Roman" w:hAnsi="Times New Roman" w:cs="Times New Roman"/>
          <w:b w:val="0"/>
          <w:bCs w:val="0"/>
          <w:sz w:val="24"/>
          <w:szCs w:val="24"/>
          <w:lang w:val="en-US" w:eastAsia="zh-CN"/>
        </w:rPr>
      </w:pPr>
    </w:p>
    <w:p>
      <w:pPr>
        <w:jc w:val="both"/>
        <w:rPr>
          <w:rFonts w:hint="eastAsia" w:ascii="Times New Roman" w:hAnsi="Times New Roman" w:cs="Times New Roman"/>
          <w:b w:val="0"/>
          <w:bCs w:val="0"/>
          <w:sz w:val="24"/>
          <w:szCs w:val="24"/>
          <w:lang w:val="en-US" w:eastAsia="zh-CN"/>
        </w:rPr>
      </w:pPr>
    </w:p>
    <w:p>
      <w:pPr>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Using digital transformation and automation, businesses can create more adaptable and resilient supply chains that are better able to withstand disruptions and continue the flow of products and services. By taking preventative measures, you can mitigate the negative effects of disruptions on your business operations and improve the efficacy of your supply chain.</w:t>
      </w:r>
    </w:p>
    <w:p>
      <w:pPr>
        <w:jc w:val="both"/>
        <w:rPr>
          <w:rFonts w:hint="eastAsia" w:ascii="Times New Roman" w:hAnsi="Times New Roman" w:cs="Times New Roman"/>
          <w:b w:val="0"/>
          <w:bCs w:val="0"/>
          <w:sz w:val="24"/>
          <w:szCs w:val="24"/>
          <w:lang w:val="en-US" w:eastAsia="zh-CN"/>
        </w:rPr>
      </w:pPr>
    </w:p>
    <w:p>
      <w:pPr>
        <w:jc w:val="both"/>
        <w:rPr>
          <w:rFonts w:hint="eastAsia" w:ascii="Times New Roman" w:hAnsi="Times New Roman" w:cs="Times New Roman"/>
          <w:b w:val="0"/>
          <w:bCs w:val="0"/>
          <w:sz w:val="24"/>
          <w:szCs w:val="24"/>
          <w:lang w:val="en-US" w:eastAsia="zh-CN"/>
        </w:rPr>
      </w:pPr>
    </w:p>
    <w:p>
      <w:pPr>
        <w:jc w:val="both"/>
        <w:rPr>
          <w:rFonts w:hint="eastAsia"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pPr>
    </w:p>
    <w:p>
      <w:pPr>
        <w:jc w:val="both"/>
        <w:outlineLvl w:val="0"/>
        <w:rPr>
          <w:rFonts w:hint="default" w:ascii="Times New Roman" w:hAnsi="Times New Roman" w:cs="Times New Roman"/>
          <w:b/>
          <w:bCs/>
          <w:sz w:val="30"/>
          <w:szCs w:val="30"/>
          <w:lang w:val="en-US" w:eastAsia="zh-CN"/>
        </w:rPr>
      </w:pPr>
      <w:bookmarkStart w:id="20" w:name="_Toc16207"/>
      <w:bookmarkStart w:id="21" w:name="_Toc6322"/>
      <w:r>
        <w:rPr>
          <w:rFonts w:hint="default" w:ascii="Times New Roman" w:hAnsi="Times New Roman" w:cs="Times New Roman"/>
          <w:b/>
          <w:bCs/>
          <w:sz w:val="30"/>
          <w:szCs w:val="30"/>
          <w:lang w:val="en-US" w:eastAsia="zh-CN"/>
        </w:rPr>
        <w:t>4 Recommendations</w:t>
      </w:r>
      <w:bookmarkEnd w:id="20"/>
      <w:bookmarkEnd w:id="21"/>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There are a number of threats that could severely disrupt Apple's global supply chain for iPhone products, accrue enormous costs, and damage the company's reputation. By employing a proactive risk management strategy and fostering resiliency, the business may be better able to address these issues and maintain its competitive edge.</w:t>
      </w:r>
    </w:p>
    <w:p>
      <w:pPr>
        <w:jc w:val="both"/>
        <w:rPr>
          <w:rFonts w:hint="default" w:ascii="Times New Roman" w:hAnsi="Times New Roman" w:cs="Times New Roman"/>
          <w:b w:val="0"/>
          <w:bCs w:val="0"/>
          <w:sz w:val="24"/>
          <w:szCs w:val="24"/>
          <w:lang w:val="en-US" w:eastAsia="zh-CN"/>
        </w:rPr>
      </w:pPr>
    </w:p>
    <w:p>
      <w:pPr>
        <w:jc w:val="both"/>
        <w:rPr>
          <w:rFonts w:hint="default" w:ascii="Times New Roman" w:hAnsi="Times New Roman" w:cs="Times New Roman"/>
          <w:b w:val="0"/>
          <w:bCs w:val="0"/>
          <w:sz w:val="24"/>
          <w:szCs w:val="24"/>
          <w:lang w:val="en-US" w:eastAsia="zh-CN"/>
        </w:rPr>
        <w:sectPr>
          <w:footerReference r:id="rId5" w:type="default"/>
          <w:pgSz w:w="11906" w:h="16838"/>
          <w:pgMar w:top="1440" w:right="1800" w:bottom="1440" w:left="1800" w:header="851" w:footer="992" w:gutter="0"/>
          <w:pgNumType w:fmt="decimal" w:start="1"/>
          <w:cols w:space="425" w:num="1"/>
          <w:docGrid w:type="lines" w:linePitch="312" w:charSpace="0"/>
        </w:sectPr>
      </w:pPr>
      <w:r>
        <w:rPr>
          <w:rFonts w:hint="eastAsia" w:ascii="Times New Roman" w:hAnsi="Times New Roman" w:cs="Times New Roman"/>
          <w:b w:val="0"/>
          <w:bCs w:val="0"/>
          <w:sz w:val="24"/>
          <w:szCs w:val="24"/>
          <w:lang w:val="en-US" w:eastAsia="zh-CN"/>
        </w:rPr>
        <w:t>Risk assessment through FMEA and through Enhance agility across the supply chain，Diversify supplier base，Regionalize manufacturing，Invest in supply chain risk management，Foster collaboration with suppliers and partners，Adopt digital transformation and automation these six steps to a more resilient supply chain.</w:t>
      </w:r>
    </w:p>
    <w:p>
      <w:pPr>
        <w:jc w:val="center"/>
        <w:outlineLvl w:val="0"/>
        <w:rPr>
          <w:rFonts w:hint="default" w:ascii="Times New Roman" w:hAnsi="Times New Roman" w:eastAsia="宋体" w:cs="Times New Roman"/>
          <w:b/>
          <w:bCs w:val="0"/>
          <w:i w:val="0"/>
          <w:iCs w:val="0"/>
          <w:sz w:val="32"/>
          <w:szCs w:val="32"/>
          <w:vertAlign w:val="baseline"/>
          <w:lang w:val="en-US" w:eastAsia="zh-CN"/>
        </w:rPr>
      </w:pPr>
      <w:bookmarkStart w:id="22" w:name="_Toc29002"/>
      <w:bookmarkStart w:id="23" w:name="_Toc21920"/>
      <w:r>
        <w:rPr>
          <w:rFonts w:hint="default" w:ascii="Times New Roman" w:hAnsi="Times New Roman" w:eastAsia="宋体" w:cs="Times New Roman"/>
          <w:b/>
          <w:bCs w:val="0"/>
          <w:i w:val="0"/>
          <w:iCs w:val="0"/>
          <w:sz w:val="32"/>
          <w:szCs w:val="32"/>
          <w:vertAlign w:val="baseline"/>
          <w:lang w:val="en-US" w:eastAsia="zh-CN"/>
        </w:rPr>
        <w:t>References</w:t>
      </w:r>
      <w:bookmarkEnd w:id="22"/>
      <w:bookmarkEnd w:id="23"/>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 xml:space="preserve">Bouti, A. and Kadi, D.A., 1994. A state-of-the-art review of FMEA/FMECA. </w:t>
      </w:r>
      <w:r>
        <w:rPr>
          <w:rFonts w:hint="default" w:ascii="Times New Roman" w:hAnsi="Times New Roman" w:eastAsia="宋体" w:cs="Times New Roman"/>
          <w:i/>
          <w:iCs/>
          <w:caps w:val="0"/>
          <w:color w:val="222222"/>
          <w:spacing w:val="0"/>
          <w:sz w:val="24"/>
          <w:szCs w:val="24"/>
          <w:shd w:val="clear" w:fill="FFFFFF"/>
        </w:rPr>
        <w:t>International Journal of reliability, quality and safety engineering</w:t>
      </w:r>
      <w:r>
        <w:rPr>
          <w:rFonts w:hint="default" w:ascii="Times New Roman" w:hAnsi="Times New Roman" w:eastAsia="宋体" w:cs="Times New Roman"/>
          <w:i w:val="0"/>
          <w:iCs w:val="0"/>
          <w:caps w:val="0"/>
          <w:color w:val="222222"/>
          <w:spacing w:val="0"/>
          <w:sz w:val="24"/>
          <w:szCs w:val="24"/>
          <w:shd w:val="clear" w:fill="FFFFFF"/>
        </w:rPr>
        <w:t>, 1(04), pp.515-543.</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Blackhurst, J., Dunn, K.S. and Craighead, C.W., 2011. An empirically derived framework of global supply resiliency. </w:t>
      </w:r>
      <w:r>
        <w:rPr>
          <w:rFonts w:hint="default" w:ascii="Times New Roman" w:hAnsi="Times New Roman" w:eastAsia="宋体" w:cs="Times New Roman"/>
          <w:i/>
          <w:iCs/>
          <w:caps w:val="0"/>
          <w:color w:val="222222"/>
          <w:spacing w:val="0"/>
          <w:sz w:val="24"/>
          <w:szCs w:val="24"/>
          <w:shd w:val="clear" w:fill="FFFFFF"/>
        </w:rPr>
        <w:t>Journal of business logistics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32</w:t>
      </w:r>
      <w:r>
        <w:rPr>
          <w:rFonts w:hint="default" w:ascii="Times New Roman" w:hAnsi="Times New Roman" w:eastAsia="宋体" w:cs="Times New Roman"/>
          <w:i w:val="0"/>
          <w:iCs w:val="0"/>
          <w:caps w:val="0"/>
          <w:color w:val="222222"/>
          <w:spacing w:val="0"/>
          <w:sz w:val="24"/>
          <w:szCs w:val="24"/>
          <w:shd w:val="clear" w:fill="FFFFFF"/>
        </w:rPr>
        <w:t>(4), pp.374-391.</w:t>
      </w:r>
    </w:p>
    <w:p>
      <w:pPr>
        <w:rPr>
          <w:rFonts w:hint="default" w:ascii="Times New Roman" w:hAnsi="Times New Roman" w:eastAsia="宋体" w:cs="Times New Roman"/>
          <w:i w:val="0"/>
          <w:iCs w:val="0"/>
          <w:caps w:val="0"/>
          <w:color w:val="222222"/>
          <w:spacing w:val="0"/>
          <w:sz w:val="24"/>
          <w:szCs w:val="24"/>
          <w:shd w:val="clear" w:fill="FFFFFF"/>
        </w:rPr>
      </w:pPr>
    </w:p>
    <w:p>
      <w:pPr>
        <w:rPr>
          <w:rFonts w:hint="eastAsia" w:ascii="Times New Roman" w:hAnsi="Times New Roman" w:eastAsia="宋体" w:cs="Times New Roman"/>
          <w:i w:val="0"/>
          <w:iCs w:val="0"/>
          <w:caps w:val="0"/>
          <w:color w:val="222222"/>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24"/>
          <w:szCs w:val="24"/>
          <w:shd w:val="clear" w:fill="FFFFFF"/>
        </w:rPr>
        <w:t xml:space="preserve">Christopher, </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M </w:t>
      </w:r>
      <w:r>
        <w:rPr>
          <w:rFonts w:hint="default" w:ascii="Times New Roman" w:hAnsi="Times New Roman" w:eastAsia="宋体" w:cs="Times New Roman"/>
          <w:i w:val="0"/>
          <w:iCs w:val="0"/>
          <w:caps w:val="0"/>
          <w:color w:val="222222"/>
          <w:spacing w:val="0"/>
          <w:sz w:val="24"/>
          <w:szCs w:val="24"/>
          <w:shd w:val="clear" w:fill="FFFFFF"/>
        </w:rPr>
        <w:t>and Peck</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H., 2004. </w:t>
      </w:r>
      <w:r>
        <w:rPr>
          <w:rFonts w:hint="default" w:ascii="Times New Roman" w:hAnsi="Times New Roman" w:eastAsia="宋体" w:cs="Times New Roman"/>
          <w:i w:val="0"/>
          <w:iCs w:val="0"/>
          <w:caps w:val="0"/>
          <w:color w:val="222222"/>
          <w:spacing w:val="0"/>
          <w:sz w:val="24"/>
          <w:szCs w:val="24"/>
          <w:shd w:val="clear" w:fill="FFFFFF"/>
        </w:rPr>
        <w:t>Building the resilient supply chain</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iCs/>
          <w:caps w:val="0"/>
          <w:color w:val="222222"/>
          <w:spacing w:val="0"/>
          <w:sz w:val="24"/>
          <w:szCs w:val="24"/>
          <w:shd w:val="clear" w:fill="FFFFFF"/>
        </w:rPr>
        <w:t>International Journal of Logistics</w:t>
      </w:r>
      <w:r>
        <w:rPr>
          <w:rFonts w:hint="eastAsia" w:ascii="Times New Roman" w:hAnsi="Times New Roman" w:eastAsia="宋体" w:cs="Times New Roman"/>
          <w:i/>
          <w:iCs/>
          <w:caps w:val="0"/>
          <w:color w:val="222222"/>
          <w:spacing w:val="0"/>
          <w:sz w:val="24"/>
          <w:szCs w:val="24"/>
          <w:shd w:val="clear" w:fill="FFFFFF"/>
          <w:lang w:val="en-US" w:eastAsia="zh-CN"/>
        </w:rPr>
        <w:t xml:space="preserve"> </w:t>
      </w:r>
      <w:r>
        <w:rPr>
          <w:rFonts w:hint="default" w:ascii="Times New Roman" w:hAnsi="Times New Roman" w:eastAsia="宋体" w:cs="Times New Roman"/>
          <w:i/>
          <w:iCs/>
          <w:caps w:val="0"/>
          <w:color w:val="222222"/>
          <w:spacing w:val="0"/>
          <w:sz w:val="24"/>
          <w:szCs w:val="24"/>
          <w:shd w:val="clear" w:fill="FFFFFF"/>
        </w:rPr>
        <w:t>Management</w:t>
      </w:r>
      <w:r>
        <w:rPr>
          <w:rFonts w:hint="default" w:ascii="Times New Roman" w:hAnsi="Times New Roman" w:eastAsia="宋体" w:cs="Times New Roman"/>
          <w:i w:val="0"/>
          <w:iCs w:val="0"/>
          <w:caps w:val="0"/>
          <w:color w:val="222222"/>
          <w:spacing w:val="0"/>
          <w:sz w:val="24"/>
          <w:szCs w:val="24"/>
          <w:shd w:val="clear" w:fill="FFFFFF"/>
        </w:rPr>
        <w:t xml:space="preserve">, </w:t>
      </w:r>
      <w:r>
        <w:rPr>
          <w:rFonts w:hint="eastAsia" w:ascii="Times New Roman" w:hAnsi="Times New Roman" w:eastAsia="宋体" w:cs="Times New Roman"/>
          <w:i w:val="0"/>
          <w:iCs w:val="0"/>
          <w:caps w:val="0"/>
          <w:color w:val="222222"/>
          <w:spacing w:val="0"/>
          <w:sz w:val="24"/>
          <w:szCs w:val="24"/>
          <w:shd w:val="clear" w:fill="FFFFFF"/>
          <w:lang w:val="en-US" w:eastAsia="zh-CN"/>
        </w:rPr>
        <w:t>15(2)</w:t>
      </w:r>
      <w:r>
        <w:rPr>
          <w:rFonts w:hint="default" w:ascii="Times New Roman" w:hAnsi="Times New Roman" w:eastAsia="宋体" w:cs="Times New Roman"/>
          <w:i w:val="0"/>
          <w:iCs w:val="0"/>
          <w:caps w:val="0"/>
          <w:color w:val="222222"/>
          <w:spacing w:val="0"/>
          <w:sz w:val="24"/>
          <w:szCs w:val="24"/>
          <w:shd w:val="clear" w:fill="FFFFFF"/>
        </w:rPr>
        <w:t>, pp.1-14</w:t>
      </w:r>
      <w:r>
        <w:rPr>
          <w:rFonts w:hint="eastAsia" w:ascii="Times New Roman" w:hAnsi="Times New Roman" w:eastAsia="宋体" w:cs="Times New Roman"/>
          <w:i w:val="0"/>
          <w:iCs w:val="0"/>
          <w:caps w:val="0"/>
          <w:color w:val="222222"/>
          <w:spacing w:val="0"/>
          <w:sz w:val="24"/>
          <w:szCs w:val="24"/>
          <w:shd w:val="clear" w:fill="FFFFFF"/>
          <w:lang w:val="en-US" w:eastAsia="zh-CN"/>
        </w:rPr>
        <w:t>.</w:t>
      </w:r>
    </w:p>
    <w:p>
      <w:pPr>
        <w:rPr>
          <w:rFonts w:hint="eastAsia" w:ascii="Times New Roman" w:hAnsi="Times New Roman" w:eastAsia="宋体" w:cs="Times New Roman"/>
          <w:i w:val="0"/>
          <w:iCs w:val="0"/>
          <w:caps w:val="0"/>
          <w:color w:val="222222"/>
          <w:spacing w:val="0"/>
          <w:sz w:val="24"/>
          <w:szCs w:val="24"/>
          <w:shd w:val="clear" w:fill="FFFFFF"/>
          <w:lang w:val="en-US" w:eastAsia="zh-CN"/>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Hendricks, K.B., Singhal, V.R. and Zhang, R., 2009. The effect of operational slack, diversification, and vertical relatedness on the stock market reaction to supply chain disruptions. </w:t>
      </w:r>
      <w:r>
        <w:rPr>
          <w:rFonts w:hint="default" w:ascii="Times New Roman" w:hAnsi="Times New Roman" w:eastAsia="宋体" w:cs="Times New Roman"/>
          <w:i/>
          <w:iCs/>
          <w:caps w:val="0"/>
          <w:color w:val="222222"/>
          <w:spacing w:val="0"/>
          <w:sz w:val="24"/>
          <w:szCs w:val="24"/>
          <w:shd w:val="clear" w:fill="FFFFFF"/>
        </w:rPr>
        <w:t>Journal of operations management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27</w:t>
      </w:r>
      <w:r>
        <w:rPr>
          <w:rFonts w:hint="default" w:ascii="Times New Roman" w:hAnsi="Times New Roman" w:eastAsia="宋体" w:cs="Times New Roman"/>
          <w:i w:val="0"/>
          <w:iCs w:val="0"/>
          <w:caps w:val="0"/>
          <w:color w:val="222222"/>
          <w:spacing w:val="0"/>
          <w:sz w:val="24"/>
          <w:szCs w:val="24"/>
          <w:shd w:val="clear" w:fill="FFFFFF"/>
        </w:rPr>
        <w:t>(3), pp.233-246.</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Huang, G.Q., Nie, M. and Mak, K.L., 1999. Web-based failure mode and effect analysis (FMEA). </w:t>
      </w:r>
      <w:r>
        <w:rPr>
          <w:rFonts w:hint="default" w:ascii="Times New Roman" w:hAnsi="Times New Roman" w:eastAsia="宋体" w:cs="Times New Roman"/>
          <w:i/>
          <w:iCs/>
          <w:caps w:val="0"/>
          <w:color w:val="222222"/>
          <w:spacing w:val="0"/>
          <w:sz w:val="24"/>
          <w:szCs w:val="24"/>
          <w:shd w:val="clear" w:fill="FFFFFF"/>
        </w:rPr>
        <w:t>Computers &amp; industrial engineering</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37</w:t>
      </w:r>
      <w:r>
        <w:rPr>
          <w:rFonts w:hint="default" w:ascii="Times New Roman" w:hAnsi="Times New Roman" w:eastAsia="宋体" w:cs="Times New Roman"/>
          <w:i w:val="0"/>
          <w:iCs w:val="0"/>
          <w:caps w:val="0"/>
          <w:color w:val="222222"/>
          <w:spacing w:val="0"/>
          <w:sz w:val="24"/>
          <w:szCs w:val="24"/>
          <w:shd w:val="clear" w:fill="FFFFFF"/>
        </w:rPr>
        <w:t>(1-2), pp.177-180.</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Hendricks, K.B. and Singhal, V.R., 2005. An empirical analysis of the effect of supply chain disruptions on long‐run stock price performance and equity risk of the firm. </w:t>
      </w:r>
      <w:r>
        <w:rPr>
          <w:rFonts w:hint="default" w:ascii="Times New Roman" w:hAnsi="Times New Roman" w:eastAsia="宋体" w:cs="Times New Roman"/>
          <w:i/>
          <w:iCs/>
          <w:caps w:val="0"/>
          <w:color w:val="222222"/>
          <w:spacing w:val="0"/>
          <w:sz w:val="24"/>
          <w:szCs w:val="24"/>
          <w:shd w:val="clear" w:fill="FFFFFF"/>
        </w:rPr>
        <w:t>Production and Operations management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14</w:t>
      </w:r>
      <w:r>
        <w:rPr>
          <w:rFonts w:hint="default" w:ascii="Times New Roman" w:hAnsi="Times New Roman" w:eastAsia="宋体" w:cs="Times New Roman"/>
          <w:i w:val="0"/>
          <w:iCs w:val="0"/>
          <w:caps w:val="0"/>
          <w:color w:val="222222"/>
          <w:spacing w:val="0"/>
          <w:sz w:val="24"/>
          <w:szCs w:val="24"/>
          <w:shd w:val="clear" w:fill="FFFFFF"/>
        </w:rPr>
        <w:t>(1), pp.35-52.</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Hallikas, J., Karvonen, I., Pulkkinen, U., Virolainen, V.M. and Tuominen, M., 2004. Risk management processes in supplier networks. </w:t>
      </w:r>
      <w:r>
        <w:rPr>
          <w:rFonts w:hint="default" w:ascii="Times New Roman" w:hAnsi="Times New Roman" w:eastAsia="宋体" w:cs="Times New Roman"/>
          <w:i/>
          <w:iCs/>
          <w:caps w:val="0"/>
          <w:color w:val="222222"/>
          <w:spacing w:val="0"/>
          <w:sz w:val="24"/>
          <w:szCs w:val="24"/>
          <w:shd w:val="clear" w:fill="FFFFFF"/>
        </w:rPr>
        <w:t>International Journal of Production Economics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90</w:t>
      </w:r>
      <w:r>
        <w:rPr>
          <w:rFonts w:hint="default" w:ascii="Times New Roman" w:hAnsi="Times New Roman" w:eastAsia="宋体" w:cs="Times New Roman"/>
          <w:i w:val="0"/>
          <w:iCs w:val="0"/>
          <w:caps w:val="0"/>
          <w:color w:val="222222"/>
          <w:spacing w:val="0"/>
          <w:sz w:val="24"/>
          <w:szCs w:val="24"/>
          <w:shd w:val="clear" w:fill="FFFFFF"/>
        </w:rPr>
        <w:t>(1), pp.47-58.</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Jüttner, U. and Maklan, S., 2011. Supply chain resilience in the global financial crisis: an empirical study. </w:t>
      </w:r>
      <w:r>
        <w:rPr>
          <w:rFonts w:hint="default" w:ascii="Times New Roman" w:hAnsi="Times New Roman" w:eastAsia="宋体" w:cs="Times New Roman"/>
          <w:i/>
          <w:iCs/>
          <w:caps w:val="0"/>
          <w:color w:val="222222"/>
          <w:spacing w:val="0"/>
          <w:sz w:val="24"/>
          <w:szCs w:val="24"/>
          <w:shd w:val="clear" w:fill="FFFFFF"/>
        </w:rPr>
        <w:t>Supply chain management: An international journal</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16</w:t>
      </w:r>
      <w:r>
        <w:rPr>
          <w:rFonts w:hint="default" w:ascii="Times New Roman" w:hAnsi="Times New Roman" w:eastAsia="宋体" w:cs="Times New Roman"/>
          <w:i w:val="0"/>
          <w:iCs w:val="0"/>
          <w:caps w:val="0"/>
          <w:color w:val="222222"/>
          <w:spacing w:val="0"/>
          <w:sz w:val="24"/>
          <w:szCs w:val="24"/>
          <w:shd w:val="clear" w:fill="FFFFFF"/>
        </w:rPr>
        <w:t>(4), pp.246-259.</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Mentzer, J.T., DeWitt, W., Keebler, J.S., Min, S., Nix, N.W., Smith, C.D. and Zacharia, Z.G., 2001. Defining supply chain management. </w:t>
      </w:r>
      <w:r>
        <w:rPr>
          <w:rFonts w:hint="default" w:ascii="Times New Roman" w:hAnsi="Times New Roman" w:eastAsia="宋体" w:cs="Times New Roman"/>
          <w:i/>
          <w:iCs/>
          <w:caps w:val="0"/>
          <w:color w:val="222222"/>
          <w:spacing w:val="0"/>
          <w:sz w:val="24"/>
          <w:szCs w:val="24"/>
          <w:shd w:val="clear" w:fill="FFFFFF"/>
        </w:rPr>
        <w:t>Journal of Business logistics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22</w:t>
      </w:r>
      <w:r>
        <w:rPr>
          <w:rFonts w:hint="default" w:ascii="Times New Roman" w:hAnsi="Times New Roman" w:eastAsia="宋体" w:cs="Times New Roman"/>
          <w:i w:val="0"/>
          <w:iCs w:val="0"/>
          <w:caps w:val="0"/>
          <w:color w:val="222222"/>
          <w:spacing w:val="0"/>
          <w:sz w:val="24"/>
          <w:szCs w:val="24"/>
          <w:shd w:val="clear" w:fill="FFFFFF"/>
        </w:rPr>
        <w:t>(2), pp.1-25.</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Ponomarov, S.Y. and Holcomb, M.C., 2009. Understanding the concept of supply chain resilience. </w:t>
      </w:r>
      <w:r>
        <w:rPr>
          <w:rFonts w:hint="default" w:ascii="Times New Roman" w:hAnsi="Times New Roman" w:eastAsia="宋体" w:cs="Times New Roman"/>
          <w:i/>
          <w:iCs/>
          <w:caps w:val="0"/>
          <w:color w:val="222222"/>
          <w:spacing w:val="0"/>
          <w:sz w:val="24"/>
          <w:szCs w:val="24"/>
          <w:shd w:val="clear" w:fill="FFFFFF"/>
        </w:rPr>
        <w:t>The international journal of logistics management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20</w:t>
      </w:r>
      <w:r>
        <w:rPr>
          <w:rFonts w:hint="default" w:ascii="Times New Roman" w:hAnsi="Times New Roman" w:eastAsia="宋体" w:cs="Times New Roman"/>
          <w:i w:val="0"/>
          <w:iCs w:val="0"/>
          <w:caps w:val="0"/>
          <w:color w:val="222222"/>
          <w:spacing w:val="0"/>
          <w:sz w:val="24"/>
          <w:szCs w:val="24"/>
          <w:shd w:val="clear" w:fill="FFFFFF"/>
        </w:rPr>
        <w:t>(1), pp.124-143.</w:t>
      </w:r>
    </w:p>
    <w:p>
      <w:pPr>
        <w:rPr>
          <w:rFonts w:hint="default" w:ascii="Times New Roman" w:hAnsi="Times New Roman" w:eastAsia="宋体" w:cs="Times New Roman"/>
          <w:i w:val="0"/>
          <w:iCs w:val="0"/>
          <w:caps w:val="0"/>
          <w:color w:val="222222"/>
          <w:spacing w:val="0"/>
          <w:sz w:val="24"/>
          <w:szCs w:val="24"/>
          <w:shd w:val="clear" w:fill="FFFFFF"/>
        </w:rPr>
      </w:pPr>
    </w:p>
    <w:p>
      <w:pPr>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Paulsson, U., 2004. Supply chain risk management. </w:t>
      </w:r>
      <w:r>
        <w:rPr>
          <w:rFonts w:hint="default" w:ascii="Times New Roman" w:hAnsi="Times New Roman" w:eastAsia="宋体" w:cs="Times New Roman"/>
          <w:i/>
          <w:iCs/>
          <w:caps w:val="0"/>
          <w:color w:val="222222"/>
          <w:spacing w:val="0"/>
          <w:sz w:val="24"/>
          <w:szCs w:val="24"/>
          <w:shd w:val="clear" w:fill="FFFFFF"/>
        </w:rPr>
        <w:t>Supply chain risk</w:t>
      </w:r>
      <w:r>
        <w:rPr>
          <w:rFonts w:hint="default" w:ascii="Times New Roman" w:hAnsi="Times New Roman" w:eastAsia="宋体" w:cs="Times New Roman"/>
          <w:i w:val="0"/>
          <w:iCs w:val="0"/>
          <w:caps w:val="0"/>
          <w:color w:val="222222"/>
          <w:spacing w:val="0"/>
          <w:sz w:val="24"/>
          <w:szCs w:val="24"/>
          <w:shd w:val="clear" w:fill="FFFFFF"/>
        </w:rPr>
        <w:t>, pp.79-96.</w:t>
      </w:r>
    </w:p>
    <w:p>
      <w:pPr>
        <w:jc w:val="both"/>
        <w:rPr>
          <w:rFonts w:hint="default" w:ascii="Times New Roman" w:hAnsi="Times New Roman" w:eastAsia="宋体" w:cs="Times New Roman"/>
          <w:b/>
          <w:bCs w:val="0"/>
          <w:i w:val="0"/>
          <w:iCs w:val="0"/>
          <w:sz w:val="32"/>
          <w:szCs w:val="32"/>
          <w:vertAlign w:val="baseline"/>
          <w:lang w:val="en-US" w:eastAsia="zh-CN"/>
        </w:rPr>
      </w:pPr>
    </w:p>
    <w:p>
      <w:pPr>
        <w:jc w:val="both"/>
        <w:rPr>
          <w:rFonts w:hint="default" w:ascii="Times New Roman" w:hAnsi="Times New Roman" w:cs="Times New Roman"/>
          <w:b/>
          <w:bCs/>
          <w:sz w:val="32"/>
          <w:szCs w:val="32"/>
          <w:lang w:val="en-US" w:eastAsia="zh-CN"/>
        </w:rPr>
      </w:pPr>
    </w:p>
    <w:sectPr>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tabs>
        <w:tab w:val="clear" w:pos="4153"/>
      </w:tabs>
      <w:jc w:val="cen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tabs>
        <w:tab w:val="clear" w:pos="4153"/>
      </w:tabs>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tabs>
        <w:tab w:val="clear" w:pos="4153"/>
      </w:tabs>
      <w:jc w:val="center"/>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2"/>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jk3YjczMWZkYjg1NzhkODY1ZGExZTkzMzRlMjY4OTUifQ=="/>
  </w:docVars>
  <w:rsids>
    <w:rsidRoot w:val="00000000"/>
    <w:rsid w:val="010C0121"/>
    <w:rsid w:val="011C626C"/>
    <w:rsid w:val="016A5229"/>
    <w:rsid w:val="02EF1E8A"/>
    <w:rsid w:val="0417010D"/>
    <w:rsid w:val="05E97064"/>
    <w:rsid w:val="072B4ED2"/>
    <w:rsid w:val="07D36DCD"/>
    <w:rsid w:val="07DE24CD"/>
    <w:rsid w:val="08163A15"/>
    <w:rsid w:val="0AC732CC"/>
    <w:rsid w:val="0B63221C"/>
    <w:rsid w:val="0C3703FE"/>
    <w:rsid w:val="0CF12CA2"/>
    <w:rsid w:val="0D8376BA"/>
    <w:rsid w:val="10394744"/>
    <w:rsid w:val="10563548"/>
    <w:rsid w:val="106C1244"/>
    <w:rsid w:val="11203B56"/>
    <w:rsid w:val="115455AE"/>
    <w:rsid w:val="121A05A5"/>
    <w:rsid w:val="13CE7311"/>
    <w:rsid w:val="1574621E"/>
    <w:rsid w:val="168D3A3C"/>
    <w:rsid w:val="16F5513D"/>
    <w:rsid w:val="1988673C"/>
    <w:rsid w:val="1D5D3C26"/>
    <w:rsid w:val="1D87105D"/>
    <w:rsid w:val="1E9970C3"/>
    <w:rsid w:val="21506216"/>
    <w:rsid w:val="216B6728"/>
    <w:rsid w:val="23351B98"/>
    <w:rsid w:val="264B2FCC"/>
    <w:rsid w:val="269A63BC"/>
    <w:rsid w:val="272730F1"/>
    <w:rsid w:val="2729330D"/>
    <w:rsid w:val="27EE2248"/>
    <w:rsid w:val="293D4E4D"/>
    <w:rsid w:val="2BD650E5"/>
    <w:rsid w:val="2C662E19"/>
    <w:rsid w:val="2D7726A7"/>
    <w:rsid w:val="2E3D31FA"/>
    <w:rsid w:val="2FF63FA8"/>
    <w:rsid w:val="31085D41"/>
    <w:rsid w:val="35D4639A"/>
    <w:rsid w:val="37ED1E46"/>
    <w:rsid w:val="381838C6"/>
    <w:rsid w:val="38C70690"/>
    <w:rsid w:val="3962445C"/>
    <w:rsid w:val="39B50A30"/>
    <w:rsid w:val="3A35391F"/>
    <w:rsid w:val="3D5041CB"/>
    <w:rsid w:val="3E2F29B2"/>
    <w:rsid w:val="3E871060"/>
    <w:rsid w:val="43E17921"/>
    <w:rsid w:val="454A2576"/>
    <w:rsid w:val="46774969"/>
    <w:rsid w:val="46FA3F26"/>
    <w:rsid w:val="485853A8"/>
    <w:rsid w:val="48FB5D34"/>
    <w:rsid w:val="4A5971B6"/>
    <w:rsid w:val="4A5D6CA6"/>
    <w:rsid w:val="4CBF5071"/>
    <w:rsid w:val="4F7E7F1B"/>
    <w:rsid w:val="4F853EB7"/>
    <w:rsid w:val="51CC4711"/>
    <w:rsid w:val="541A1764"/>
    <w:rsid w:val="557B26D6"/>
    <w:rsid w:val="59DE4FE1"/>
    <w:rsid w:val="5A2055FA"/>
    <w:rsid w:val="6019273A"/>
    <w:rsid w:val="621F311A"/>
    <w:rsid w:val="6406722C"/>
    <w:rsid w:val="649202F8"/>
    <w:rsid w:val="66F43511"/>
    <w:rsid w:val="69A85AFB"/>
    <w:rsid w:val="6E492F1A"/>
    <w:rsid w:val="6EDB067D"/>
    <w:rsid w:val="6F9A1517"/>
    <w:rsid w:val="6FEE1FCA"/>
    <w:rsid w:val="713C032C"/>
    <w:rsid w:val="722717C4"/>
    <w:rsid w:val="729B21F4"/>
    <w:rsid w:val="739263A6"/>
    <w:rsid w:val="75371D1E"/>
    <w:rsid w:val="79CE0777"/>
    <w:rsid w:val="7C142DB9"/>
    <w:rsid w:val="7D052701"/>
    <w:rsid w:val="7DB12889"/>
    <w:rsid w:val="7EAD5E3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6">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table" w:styleId="5">
    <w:name w:val="Table Grid"/>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7">
    <w:name w:val="WPSOffice手动目录 1"/>
    <w:uiPriority w:val="0"/>
    <w:pPr>
      <w:ind w:leftChars="0"/>
    </w:pPr>
    <w:rPr>
      <w:rFonts w:ascii="Times New Roman" w:hAnsi="Times New Roman" w:eastAsia="宋体" w:cs="Times New Roman"/>
      <w:sz w:val="20"/>
      <w:szCs w:val="20"/>
    </w:rPr>
  </w:style>
  <w:style w:type="paragraph" w:customStyle="1" w:styleId="8">
    <w:name w:val="WPSOffice手动目录 2"/>
    <w:qFormat/>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3.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13</Pages>
  <Words>3184</Words>
  <Characters>19443</Characters>
  <Lines>0</Lines>
  <Paragraphs>0</Paragraphs>
  <TotalTime>22</TotalTime>
  <ScaleCrop>false</ScaleCrop>
  <LinksUpToDate>false</LinksUpToDate>
  <CharactersWithSpaces>22603</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2023-04-27T19:58:00Z</dcterms:created>
  <dc:creator>程迅</dc:creator>
  <cp:lastModifiedBy>安然</cp:lastModifiedBy>
  <dcterms:modified xsi:type="dcterms:W3CDTF">2023-05-02T19:55:01Z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B4D448C548D74A65A8CB2C693B243C99_12</vt:lpwstr>
  </property>
</Properties>
</file>