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3E50E3" w14:textId="340E7F20" w:rsidR="00443E0C" w:rsidRDefault="003347F1">
      <w:pPr>
        <w:rPr>
          <w:rFonts w:ascii="Cambria" w:hAnsi="Cambria"/>
          <w:b/>
          <w:sz w:val="32"/>
          <w:szCs w:val="32"/>
        </w:rPr>
      </w:pPr>
      <w:r>
        <w:rPr>
          <w:rFonts w:ascii="Cambria" w:hAnsi="Cambria"/>
          <w:b/>
          <w:sz w:val="32"/>
          <w:szCs w:val="32"/>
        </w:rPr>
        <w:t>Through wall sizing accuracy analysis</w:t>
      </w:r>
    </w:p>
    <w:p w14:paraId="51B202AF" w14:textId="77777777" w:rsidR="00443E0C" w:rsidRDefault="00773132">
      <w:pPr>
        <w:spacing w:after="120"/>
        <w:jc w:val="center"/>
        <w:rPr>
          <w:rFonts w:ascii="Cambria" w:hAnsi="Cambria"/>
          <w:b/>
          <w:sz w:val="24"/>
          <w:szCs w:val="24"/>
          <w:vertAlign w:val="superscript"/>
        </w:rPr>
      </w:pPr>
      <w:r>
        <w:rPr>
          <w:rFonts w:ascii="Cambria" w:hAnsi="Cambria"/>
          <w:b/>
          <w:sz w:val="24"/>
          <w:szCs w:val="24"/>
        </w:rPr>
        <w:t>Jeffrey Elliss</w:t>
      </w:r>
    </w:p>
    <w:p w14:paraId="351DD4D5" w14:textId="77777777" w:rsidR="00443E0C" w:rsidRPr="007F18D6" w:rsidRDefault="00773132">
      <w:pPr>
        <w:pStyle w:val="IEEEAuthorAffiliation"/>
        <w:spacing w:after="0"/>
        <w:rPr>
          <w:rFonts w:ascii="Cambria" w:hAnsi="Cambria"/>
          <w:szCs w:val="20"/>
        </w:rPr>
      </w:pPr>
      <w:r>
        <w:rPr>
          <w:rFonts w:ascii="Cambria" w:hAnsi="Cambria"/>
          <w:szCs w:val="20"/>
          <w:vertAlign w:val="superscript"/>
        </w:rPr>
        <w:t>UWTSD Swansea</w:t>
      </w:r>
    </w:p>
    <w:p w14:paraId="04330A48" w14:textId="5C4843F9" w:rsidR="009E298A" w:rsidRPr="009E298A" w:rsidRDefault="00C56FB8">
      <w:pPr>
        <w:pStyle w:val="NoSpacing"/>
        <w:jc w:val="center"/>
        <w:rPr>
          <w:rFonts w:ascii="Cambria" w:hAnsi="Cambria"/>
          <w:color w:val="FF0000"/>
        </w:rPr>
        <w:sectPr w:rsidR="009E298A" w:rsidRPr="009E298A" w:rsidSect="00405DB3">
          <w:headerReference w:type="default" r:id="rId10"/>
          <w:footerReference w:type="default" r:id="rId11"/>
          <w:pgSz w:w="11907" w:h="16840"/>
          <w:pgMar w:top="720" w:right="720" w:bottom="720" w:left="720" w:header="720" w:footer="720" w:gutter="0"/>
          <w:cols w:space="720"/>
          <w:docGrid w:linePitch="360"/>
        </w:sect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146047FF" wp14:editId="4CB6AD78">
                <wp:simplePos x="0" y="0"/>
                <wp:positionH relativeFrom="column">
                  <wp:posOffset>31115</wp:posOffset>
                </wp:positionH>
                <wp:positionV relativeFrom="paragraph">
                  <wp:posOffset>6350</wp:posOffset>
                </wp:positionV>
                <wp:extent cx="6685280" cy="0"/>
                <wp:effectExtent l="0" t="0" r="0" b="0"/>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FE7A43D"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" strokecolor="gray">
                <o:lock v:ext="edit" shapetype="f"/>
              </v:shape>
            </w:pict>
          </mc:Fallback>
        </mc:AlternateContent>
      </w:r>
    </w:p>
    <w:p w14:paraId="5DC1F1C4" w14:textId="77777777" w:rsidR="00D76179" w:rsidRDefault="00D76179">
      <w:pPr>
        <w:pStyle w:val="NoSpacing"/>
        <w:jc w:val="both"/>
        <w:rPr>
          <w:rFonts w:ascii="Cambria" w:hAnsi="Cambria"/>
          <w:i/>
        </w:rPr>
      </w:pPr>
    </w:p>
    <w:p w14:paraId="7464D7DF" w14:textId="77777777" w:rsidR="00B13FA1" w:rsidRDefault="00B13FA1">
      <w:pPr>
        <w:pStyle w:val="NoSpacing"/>
        <w:jc w:val="both"/>
        <w:rPr>
          <w:rFonts w:ascii="Cambria" w:hAnsi="Cambria"/>
          <w:b/>
        </w:rPr>
      </w:pPr>
    </w:p>
    <w:p w14:paraId="0F92B7E7" w14:textId="155FD336" w:rsidR="00F22B89" w:rsidRDefault="00443E0C" w:rsidP="00F22B89">
      <w:pPr>
        <w:pStyle w:val="NoSpacing"/>
        <w:jc w:val="both"/>
        <w:rPr>
          <w:rFonts w:ascii="Cambria" w:hAnsi="Cambria"/>
          <w:b/>
        </w:rPr>
      </w:pPr>
      <w:r>
        <w:rPr>
          <w:rFonts w:ascii="Cambria" w:hAnsi="Cambria"/>
          <w:b/>
        </w:rPr>
        <w:t>1.</w:t>
      </w:r>
      <w:r w:rsidR="00C231BC">
        <w:rPr>
          <w:rFonts w:ascii="Cambria" w:hAnsi="Cambria"/>
          <w:b/>
        </w:rPr>
        <w:t xml:space="preserve"> </w:t>
      </w:r>
      <w:r>
        <w:rPr>
          <w:rFonts w:ascii="Cambria" w:hAnsi="Cambria"/>
          <w:b/>
        </w:rPr>
        <w:t>INTRODUCTION</w:t>
      </w:r>
      <w:r w:rsidR="009C74C4">
        <w:rPr>
          <w:rFonts w:ascii="Cambria" w:hAnsi="Cambria"/>
          <w:b/>
        </w:rPr>
        <w:t xml:space="preserve"> and Literature Review</w:t>
      </w:r>
    </w:p>
    <w:p w14:paraId="18367F95" w14:textId="361B2BB5" w:rsidR="00F22B89" w:rsidRPr="00F22B89" w:rsidRDefault="00F22B89" w:rsidP="00F22B89">
      <w:pPr>
        <w:pStyle w:val="NoSpacing"/>
        <w:jc w:val="both"/>
        <w:rPr>
          <w:rFonts w:ascii="Cambria" w:hAnsi="Cambria"/>
          <w:b/>
        </w:rPr>
      </w:pPr>
    </w:p>
    <w:p w14:paraId="0476CAA1" w14:textId="77777777" w:rsidR="00F22B89" w:rsidRDefault="00F22B89" w:rsidP="009C74C4">
      <w:pPr>
        <w:ind w:firstLine="720"/>
        <w:rPr>
          <w:sz w:val="21"/>
          <w:szCs w:val="21"/>
          <w:lang w:val="en-GB"/>
        </w:rPr>
      </w:pPr>
    </w:p>
    <w:p w14:paraId="0687A426" w14:textId="4B6889AF" w:rsidR="009C74C4" w:rsidRPr="009C74C4" w:rsidRDefault="009C74C4" w:rsidP="009C74C4">
      <w:pPr>
        <w:ind w:firstLine="720"/>
        <w:rPr>
          <w:sz w:val="21"/>
          <w:szCs w:val="21"/>
          <w:lang w:val="en-GB"/>
        </w:rPr>
      </w:pPr>
      <w:r w:rsidRPr="009C74C4">
        <w:rPr>
          <w:sz w:val="21"/>
          <w:szCs w:val="21"/>
          <w:lang w:val="en-GB"/>
        </w:rPr>
        <w:t xml:space="preserve">Every structure will have some level of defect and monitoring these with a view to preventative maintenance, removal from service or redesigning in order to prevent future failures is highly important across many </w:t>
      </w:r>
      <w:proofErr w:type="gramStart"/>
      <w:r w:rsidRPr="009C74C4">
        <w:rPr>
          <w:sz w:val="21"/>
          <w:szCs w:val="21"/>
          <w:lang w:val="en-GB"/>
        </w:rPr>
        <w:t>industries(</w:t>
      </w:r>
      <w:proofErr w:type="gramEnd"/>
      <w:r w:rsidRPr="009C74C4">
        <w:rPr>
          <w:sz w:val="21"/>
          <w:szCs w:val="21"/>
          <w:lang w:val="en-GB"/>
        </w:rPr>
        <w:t>. . From visual inspections to advanced imaging techniques the array of uses and advantages of NDT include, safely reducing the size of safety margins allowing for lean engineering, safety monitoring and preventative maintenance of systems such as bridges, aeroplanes, and motor vehicles (</w:t>
      </w:r>
      <w:proofErr w:type="spellStart"/>
      <w:r w:rsidRPr="009C74C4">
        <w:rPr>
          <w:sz w:val="21"/>
          <w:szCs w:val="21"/>
          <w:lang w:val="en-GB"/>
        </w:rPr>
        <w:t>Amerapex</w:t>
      </w:r>
      <w:proofErr w:type="spellEnd"/>
      <w:r w:rsidRPr="009C74C4">
        <w:rPr>
          <w:sz w:val="21"/>
          <w:szCs w:val="21"/>
          <w:lang w:val="en-GB"/>
        </w:rPr>
        <w:t>, 2021).  Depending on the industry in which NDT is being used sample sizes of data used to construct POD curves may be relatively small. The European Network for inspection and qualification has developed a method for qualifying NDT methods effectiveness but only acts to give a qualitative evaluation of a method (</w:t>
      </w:r>
      <w:proofErr w:type="spellStart"/>
      <w:r w:rsidRPr="009C74C4">
        <w:rPr>
          <w:sz w:val="21"/>
          <w:szCs w:val="21"/>
          <w:lang w:val="en-GB"/>
        </w:rPr>
        <w:t>Annis</w:t>
      </w:r>
      <w:proofErr w:type="spellEnd"/>
      <w:r w:rsidRPr="009C74C4">
        <w:rPr>
          <w:sz w:val="21"/>
          <w:szCs w:val="21"/>
          <w:lang w:val="en-GB"/>
        </w:rPr>
        <w:t>, 2012). This lack of size in data sets is often an issue, one method by which some more reliability may be established is to generate simulations which represent the fundamentals of an NDT method and then use that to extrapolate to more general defect situations effectively expanding the sample size (</w:t>
      </w:r>
      <w:proofErr w:type="spellStart"/>
      <w:r w:rsidRPr="009C74C4">
        <w:rPr>
          <w:sz w:val="21"/>
          <w:szCs w:val="21"/>
          <w:lang w:val="en-GB"/>
        </w:rPr>
        <w:t>Burrowes</w:t>
      </w:r>
      <w:proofErr w:type="spellEnd"/>
      <w:r w:rsidRPr="009C74C4">
        <w:rPr>
          <w:sz w:val="21"/>
          <w:szCs w:val="21"/>
          <w:lang w:val="en-GB"/>
        </w:rPr>
        <w:t>, 2019). It has been proposed that AI be used to characterise defects nature (McNab, 1992).</w:t>
      </w:r>
    </w:p>
    <w:p w14:paraId="1CB0E9D9" w14:textId="77777777" w:rsidR="009C74C4" w:rsidRPr="009C74C4" w:rsidRDefault="009C74C4" w:rsidP="009C74C4">
      <w:pPr>
        <w:ind w:firstLine="720"/>
        <w:rPr>
          <w:sz w:val="21"/>
          <w:szCs w:val="21"/>
          <w:lang w:val="en-GB"/>
        </w:rPr>
      </w:pPr>
    </w:p>
    <w:p w14:paraId="2CE138EE" w14:textId="456B7F7B" w:rsidR="009C74C4" w:rsidRPr="009C74C4" w:rsidRDefault="009C74C4" w:rsidP="009C74C4">
      <w:pPr>
        <w:ind w:firstLine="720"/>
        <w:rPr>
          <w:sz w:val="21"/>
          <w:szCs w:val="21"/>
          <w:lang w:val="en-GB"/>
        </w:rPr>
      </w:pPr>
      <w:r w:rsidRPr="009C74C4">
        <w:rPr>
          <w:sz w:val="21"/>
          <w:szCs w:val="21"/>
          <w:lang w:val="en-GB"/>
        </w:rPr>
        <w:t xml:space="preserve">Non-destructive testing (NDT) is a useful and important way to reduce the risk of the failure of structures happening at inopportune times and has been used for many centuries. For instance, a blacksmith may </w:t>
      </w:r>
      <w:r w:rsidRPr="009C74C4">
        <w:rPr>
          <w:sz w:val="21"/>
          <w:szCs w:val="21"/>
          <w:lang w:val="en-GB"/>
        </w:rPr>
        <w:t>use their ear to conduct an acoustic emission test on a metallic part such as a bell to understand if it is structurally sound (Hellier, 2019). In the modern world a range of methods are employed in safety critical situations these come under the following categories:</w:t>
      </w:r>
    </w:p>
    <w:p w14:paraId="5751D03C" w14:textId="77777777" w:rsidR="009C74C4" w:rsidRPr="009C74C4" w:rsidRDefault="009C74C4" w:rsidP="009C74C4">
      <w:pPr>
        <w:pStyle w:val="ListParagraph"/>
        <w:numPr>
          <w:ilvl w:val="0"/>
          <w:numId w:val="4"/>
        </w:numPr>
        <w:rPr>
          <w:sz w:val="21"/>
          <w:szCs w:val="21"/>
        </w:rPr>
      </w:pPr>
      <w:r w:rsidRPr="009C74C4">
        <w:rPr>
          <w:sz w:val="21"/>
          <w:szCs w:val="21"/>
        </w:rPr>
        <w:t>Visual Testing – Reflected light is sued to identify surface defects</w:t>
      </w:r>
    </w:p>
    <w:p w14:paraId="78AE7C76" w14:textId="77777777" w:rsidR="009C74C4" w:rsidRPr="009C74C4" w:rsidRDefault="009C74C4" w:rsidP="009C74C4">
      <w:pPr>
        <w:pStyle w:val="ListParagraph"/>
        <w:numPr>
          <w:ilvl w:val="0"/>
          <w:numId w:val="4"/>
        </w:numPr>
        <w:rPr>
          <w:sz w:val="21"/>
          <w:szCs w:val="21"/>
        </w:rPr>
      </w:pPr>
      <w:r w:rsidRPr="009C74C4">
        <w:rPr>
          <w:sz w:val="21"/>
          <w:szCs w:val="21"/>
        </w:rPr>
        <w:t>Penetrant – Dye penetrant is used to aid in a visual inspection to highlight smaller more difficult to identify defects. Magnetic particles can also be used for this.</w:t>
      </w:r>
    </w:p>
    <w:p w14:paraId="58E9C5EF" w14:textId="77777777" w:rsidR="009C74C4" w:rsidRPr="009C74C4" w:rsidRDefault="009C74C4" w:rsidP="009C74C4">
      <w:pPr>
        <w:pStyle w:val="ListParagraph"/>
        <w:numPr>
          <w:ilvl w:val="0"/>
          <w:numId w:val="4"/>
        </w:numPr>
        <w:rPr>
          <w:sz w:val="21"/>
          <w:szCs w:val="21"/>
        </w:rPr>
      </w:pPr>
      <w:r w:rsidRPr="009C74C4">
        <w:rPr>
          <w:sz w:val="21"/>
          <w:szCs w:val="21"/>
        </w:rPr>
        <w:t>Radiographic testing – much like a hospital x ray, a film Is exposed to a specific radiation that has passed through the object that is being tested and will display differently at points of discontinuity.</w:t>
      </w:r>
    </w:p>
    <w:p w14:paraId="1B5B4076" w14:textId="77777777" w:rsidR="009C74C4" w:rsidRPr="009C74C4" w:rsidRDefault="009C74C4" w:rsidP="009C74C4">
      <w:pPr>
        <w:pStyle w:val="ListParagraph"/>
        <w:numPr>
          <w:ilvl w:val="0"/>
          <w:numId w:val="4"/>
        </w:numPr>
        <w:rPr>
          <w:sz w:val="21"/>
          <w:szCs w:val="21"/>
        </w:rPr>
      </w:pPr>
      <w:r w:rsidRPr="009C74C4">
        <w:rPr>
          <w:sz w:val="21"/>
          <w:szCs w:val="21"/>
        </w:rPr>
        <w:t xml:space="preserve">Ultrasonic Testing </w:t>
      </w:r>
      <w:proofErr w:type="gramStart"/>
      <w:r w:rsidRPr="009C74C4">
        <w:rPr>
          <w:sz w:val="21"/>
          <w:szCs w:val="21"/>
        </w:rPr>
        <w:t>-  A</w:t>
      </w:r>
      <w:proofErr w:type="gramEnd"/>
      <w:r w:rsidRPr="009C74C4">
        <w:rPr>
          <w:sz w:val="21"/>
          <w:szCs w:val="21"/>
        </w:rPr>
        <w:t xml:space="preserve"> probe emits a pulsed acoustic signal which reflects off defects and changes between materials. The time taken for the signal to return to the probe can be used to find locations of defects and moving such a probe can provide sizing data, this can also be achieved with arrays of probes.</w:t>
      </w:r>
    </w:p>
    <w:p w14:paraId="16C4B228" w14:textId="77777777" w:rsidR="009C74C4" w:rsidRPr="009C74C4" w:rsidRDefault="009C74C4" w:rsidP="009C74C4">
      <w:pPr>
        <w:pStyle w:val="ListParagraph"/>
        <w:numPr>
          <w:ilvl w:val="0"/>
          <w:numId w:val="4"/>
        </w:numPr>
        <w:rPr>
          <w:sz w:val="21"/>
          <w:szCs w:val="21"/>
        </w:rPr>
      </w:pPr>
      <w:r w:rsidRPr="009C74C4">
        <w:rPr>
          <w:sz w:val="21"/>
          <w:szCs w:val="21"/>
        </w:rPr>
        <w:t>Thermal IR testing – Surface temperature changes can be measured with infrared sensors. In a case such as a powerplant where a pipe is required to carry hot steam if there are hotspots on the surface these may show defect locations.</w:t>
      </w:r>
    </w:p>
    <w:p w14:paraId="1DC442E6" w14:textId="54DA9BD4" w:rsidR="009C74C4" w:rsidRDefault="009C74C4" w:rsidP="009C74C4">
      <w:pPr>
        <w:pStyle w:val="ListParagraph"/>
        <w:numPr>
          <w:ilvl w:val="0"/>
          <w:numId w:val="4"/>
        </w:numPr>
        <w:rPr>
          <w:sz w:val="21"/>
          <w:szCs w:val="21"/>
        </w:rPr>
      </w:pPr>
      <w:r w:rsidRPr="009C74C4">
        <w:rPr>
          <w:sz w:val="21"/>
          <w:szCs w:val="21"/>
        </w:rPr>
        <w:t xml:space="preserve">Acoustic Emission – Often used on bridges where they are permanently </w:t>
      </w:r>
      <w:proofErr w:type="spellStart"/>
      <w:r w:rsidRPr="009C74C4">
        <w:rPr>
          <w:sz w:val="21"/>
          <w:szCs w:val="21"/>
        </w:rPr>
        <w:t>mic’d</w:t>
      </w:r>
      <w:proofErr w:type="spellEnd"/>
      <w:r w:rsidRPr="009C74C4">
        <w:rPr>
          <w:sz w:val="21"/>
          <w:szCs w:val="21"/>
        </w:rPr>
        <w:t xml:space="preserve"> up. If the structure significantly changes the note emitted by it will change (Such as the unusual tone of big ben or a crack/delamination in an acoustic guitar body)</w:t>
      </w:r>
    </w:p>
    <w:p w14:paraId="6198F5F2" w14:textId="77777777" w:rsidR="009C74C4" w:rsidRPr="009C74C4" w:rsidRDefault="009C74C4" w:rsidP="009C74C4">
      <w:pPr>
        <w:pStyle w:val="ListParagraph"/>
        <w:numPr>
          <w:ilvl w:val="0"/>
          <w:numId w:val="4"/>
        </w:numPr>
        <w:rPr>
          <w:sz w:val="21"/>
          <w:szCs w:val="21"/>
        </w:rPr>
      </w:pPr>
    </w:p>
    <w:p w14:paraId="01BFC367" w14:textId="219BA904" w:rsidR="009C74C4" w:rsidRPr="009C74C4" w:rsidRDefault="009C74C4" w:rsidP="009C74C4">
      <w:pPr>
        <w:ind w:firstLine="720"/>
        <w:rPr>
          <w:sz w:val="21"/>
          <w:szCs w:val="21"/>
          <w:lang w:val="en-GB"/>
        </w:rPr>
      </w:pPr>
      <w:r w:rsidRPr="009C74C4">
        <w:rPr>
          <w:sz w:val="21"/>
          <w:szCs w:val="21"/>
          <w:lang w:val="en-GB"/>
        </w:rPr>
        <w:lastRenderedPageBreak/>
        <w:t xml:space="preserve">One early development in NDT happened after a train derailment in 1911 when Dr Elmer Sperry began developing a method to detect defects within rails. The Sperry rail service group still operate in the United States using similar methods (Sperry Rail, 2021). In 1941 the American Society for Non-Destructive Testing was founded this is often considered to be the origin of modern non-destructive testing (Hellier, 2019). Ultrasonic testing originates around 1942 when a pulse echo system was created by D O Sproule (Woo, 2020). In 1977 Silk began using time of flight diffraction techniques to find the edges of defects. This is the method commonly used now when referring to ultrasonic NDT, the main developments since then in this field have been in instrumentation, </w:t>
      </w:r>
      <w:proofErr w:type="gramStart"/>
      <w:r w:rsidRPr="009C74C4">
        <w:rPr>
          <w:sz w:val="21"/>
          <w:szCs w:val="21"/>
          <w:lang w:val="en-GB"/>
        </w:rPr>
        <w:t>portability</w:t>
      </w:r>
      <w:proofErr w:type="gramEnd"/>
      <w:r w:rsidRPr="009C74C4">
        <w:rPr>
          <w:sz w:val="21"/>
          <w:szCs w:val="21"/>
          <w:lang w:val="en-GB"/>
        </w:rPr>
        <w:t xml:space="preserve"> and controllability. Moving from </w:t>
      </w:r>
      <w:proofErr w:type="gramStart"/>
      <w:r w:rsidRPr="009C74C4">
        <w:rPr>
          <w:sz w:val="21"/>
          <w:szCs w:val="21"/>
          <w:lang w:val="en-GB"/>
        </w:rPr>
        <w:t>valve controlled</w:t>
      </w:r>
      <w:proofErr w:type="gramEnd"/>
      <w:r w:rsidRPr="009C74C4">
        <w:rPr>
          <w:sz w:val="21"/>
          <w:szCs w:val="21"/>
          <w:lang w:val="en-GB"/>
        </w:rPr>
        <w:t xml:space="preserve"> machines to solid state electronic and currently to digitally controlled system (Hellier, 2019). </w:t>
      </w:r>
    </w:p>
    <w:p w14:paraId="34B805BC" w14:textId="77777777" w:rsidR="009C74C4" w:rsidRPr="009C74C4" w:rsidRDefault="009C74C4" w:rsidP="009C74C4">
      <w:pPr>
        <w:ind w:firstLine="720"/>
        <w:rPr>
          <w:sz w:val="21"/>
          <w:szCs w:val="21"/>
          <w:lang w:val="en-GB"/>
        </w:rPr>
      </w:pPr>
      <w:r w:rsidRPr="009C74C4">
        <w:rPr>
          <w:sz w:val="21"/>
          <w:szCs w:val="21"/>
          <w:lang w:val="en-GB"/>
        </w:rPr>
        <w:t xml:space="preserve">The US Air Force started research into probability of detection methods at a similar time to the beginning of NASA’s research in NDT methods (Forsyth, 2007). The primary objectives of this early work </w:t>
      </w:r>
      <w:proofErr w:type="gramStart"/>
      <w:r w:rsidRPr="009C74C4">
        <w:rPr>
          <w:sz w:val="21"/>
          <w:szCs w:val="21"/>
          <w:lang w:val="en-GB"/>
        </w:rPr>
        <w:t>was</w:t>
      </w:r>
      <w:proofErr w:type="gramEnd"/>
      <w:r w:rsidRPr="009C74C4">
        <w:rPr>
          <w:sz w:val="21"/>
          <w:szCs w:val="21"/>
          <w:lang w:val="en-GB"/>
        </w:rPr>
        <w:t xml:space="preserve"> used when monitoring the space shuttles fitness to operate and has since been adopted widely.</w:t>
      </w:r>
    </w:p>
    <w:p w14:paraId="12C0C36F" w14:textId="77777777" w:rsidR="009C74C4" w:rsidRPr="009C74C4" w:rsidRDefault="009C74C4" w:rsidP="009C74C4">
      <w:pPr>
        <w:rPr>
          <w:sz w:val="21"/>
          <w:szCs w:val="21"/>
          <w:lang w:val="en-GB"/>
        </w:rPr>
      </w:pPr>
      <w:r w:rsidRPr="009C74C4">
        <w:rPr>
          <w:sz w:val="21"/>
          <w:szCs w:val="21"/>
          <w:lang w:val="en-GB"/>
        </w:rPr>
        <w:tab/>
        <w:t xml:space="preserve">Various standards have arisen concerning crucial aspects of POD and POS, these set out requirements for confidence </w:t>
      </w:r>
      <w:proofErr w:type="gramStart"/>
      <w:r w:rsidRPr="009C74C4">
        <w:rPr>
          <w:sz w:val="21"/>
          <w:szCs w:val="21"/>
          <w:lang w:val="en-GB"/>
        </w:rPr>
        <w:t>levels,  NASA</w:t>
      </w:r>
      <w:proofErr w:type="gramEnd"/>
      <w:r w:rsidRPr="009C74C4">
        <w:rPr>
          <w:sz w:val="21"/>
          <w:szCs w:val="21"/>
          <w:lang w:val="en-GB"/>
        </w:rPr>
        <w:t xml:space="preserve"> standard 5009 sets out standard practices for NDT analyses of critical metallic components. Covering what qualifications are required for a tester to be approved, requirements for procedures as well as definition for what is classed as a crack for the testing f NDT methods (NASA, 2008). The health and safety executive in the UK HSE has also conducted significant research into POD and POS in critical safety applications (HSE, 2006). </w:t>
      </w:r>
    </w:p>
    <w:p w14:paraId="594AFD68" w14:textId="44202E43" w:rsidR="009C74C4" w:rsidRPr="009C74C4" w:rsidRDefault="009C74C4" w:rsidP="009C74C4">
      <w:pPr>
        <w:rPr>
          <w:sz w:val="21"/>
          <w:szCs w:val="21"/>
          <w:lang w:val="en-GB"/>
        </w:rPr>
      </w:pPr>
      <w:r w:rsidRPr="009C74C4">
        <w:rPr>
          <w:sz w:val="21"/>
          <w:szCs w:val="21"/>
          <w:lang w:val="en-GB"/>
        </w:rPr>
        <w:tab/>
        <w:t xml:space="preserve">When considering probability of </w:t>
      </w:r>
      <w:proofErr w:type="gramStart"/>
      <w:r w:rsidRPr="009C74C4">
        <w:rPr>
          <w:sz w:val="21"/>
          <w:szCs w:val="21"/>
          <w:lang w:val="en-GB"/>
        </w:rPr>
        <w:t>detection</w:t>
      </w:r>
      <w:proofErr w:type="gramEnd"/>
      <w:r w:rsidRPr="009C74C4">
        <w:rPr>
          <w:sz w:val="21"/>
          <w:szCs w:val="21"/>
          <w:lang w:val="en-GB"/>
        </w:rPr>
        <w:t xml:space="preserve"> the generally accepted standard for many situation is that to be useful a method must have a 90% probability of detection with a 95% degree of confidence (</w:t>
      </w:r>
      <w:proofErr w:type="spellStart"/>
      <w:r w:rsidRPr="009C74C4">
        <w:rPr>
          <w:sz w:val="21"/>
          <w:szCs w:val="21"/>
          <w:lang w:val="en-GB"/>
        </w:rPr>
        <w:t>Virkkunen</w:t>
      </w:r>
      <w:proofErr w:type="spellEnd"/>
      <w:r w:rsidRPr="009C74C4">
        <w:rPr>
          <w:sz w:val="21"/>
          <w:szCs w:val="21"/>
          <w:lang w:val="en-GB"/>
        </w:rPr>
        <w:t xml:space="preserve">, </w:t>
      </w:r>
      <w:r w:rsidRPr="009C74C4">
        <w:rPr>
          <w:sz w:val="21"/>
          <w:szCs w:val="21"/>
          <w:lang w:val="en-GB"/>
        </w:rPr>
        <w:t xml:space="preserve">2020). This high standard is important as </w:t>
      </w:r>
      <w:proofErr w:type="gramStart"/>
      <w:r w:rsidRPr="009C74C4">
        <w:rPr>
          <w:sz w:val="21"/>
          <w:szCs w:val="21"/>
          <w:lang w:val="en-GB"/>
        </w:rPr>
        <w:t>for  NDT</w:t>
      </w:r>
      <w:proofErr w:type="gramEnd"/>
      <w:r w:rsidRPr="009C74C4">
        <w:rPr>
          <w:sz w:val="21"/>
          <w:szCs w:val="21"/>
          <w:lang w:val="en-GB"/>
        </w:rPr>
        <w:t xml:space="preserve"> to be useful it must bring value by removing uncertainty. </w:t>
      </w:r>
    </w:p>
    <w:p w14:paraId="6979F379" w14:textId="6BAFCEC6" w:rsidR="009C74C4" w:rsidRPr="009C74C4" w:rsidRDefault="009C74C4" w:rsidP="009C74C4">
      <w:pPr>
        <w:rPr>
          <w:sz w:val="21"/>
          <w:szCs w:val="21"/>
          <w:lang w:val="en-GB"/>
        </w:rPr>
      </w:pPr>
      <w:r w:rsidRPr="009C74C4">
        <w:rPr>
          <w:sz w:val="21"/>
          <w:szCs w:val="21"/>
          <w:lang w:val="en-GB"/>
        </w:rPr>
        <w:tab/>
        <w:t xml:space="preserve"> A range of standards can be found for many industries and situations covering acceptance levels, application, equipment specifications, </w:t>
      </w:r>
      <w:proofErr w:type="gramStart"/>
      <w:r w:rsidRPr="009C74C4">
        <w:rPr>
          <w:sz w:val="21"/>
          <w:szCs w:val="21"/>
          <w:lang w:val="en-GB"/>
        </w:rPr>
        <w:t>techniques</w:t>
      </w:r>
      <w:proofErr w:type="gramEnd"/>
      <w:r w:rsidRPr="009C74C4">
        <w:rPr>
          <w:sz w:val="21"/>
          <w:szCs w:val="21"/>
          <w:lang w:val="en-GB"/>
        </w:rPr>
        <w:t xml:space="preserve"> and special techniques (BINDT, 2013). BS7910 applies to metallic materials and includes guidance for assessing the acceptability of a flaw and determine what size of defect is allowable for the component to be fit for service. It also notes the importance of considering human factors when evaluating NDT methods and provides more conservative estimates and guidance for the performance of NDT methods than some trials would suggest to account for this (Smith, 2019).  Another important standard established in 1993 is BS 5996 which details acceptable defects in steel plate based on the results of ultrasonic tests. Other standards such as ISO 17640 provide guidelines for specific situations such as ultrasonic interrogation fusion welded plate less than 8mm thick.</w:t>
      </w:r>
    </w:p>
    <w:p w14:paraId="38F44E52" w14:textId="529C7757" w:rsidR="009C74C4" w:rsidRPr="009C74C4" w:rsidRDefault="009C74C4" w:rsidP="009C74C4">
      <w:pPr>
        <w:rPr>
          <w:sz w:val="21"/>
          <w:szCs w:val="21"/>
          <w:lang w:val="en-GB"/>
        </w:rPr>
      </w:pPr>
      <w:r w:rsidRPr="009C74C4">
        <w:rPr>
          <w:sz w:val="21"/>
          <w:szCs w:val="21"/>
          <w:lang w:val="en-GB"/>
        </w:rPr>
        <w:tab/>
        <w:t xml:space="preserve">Probability of sizing (POS) is important in any NDT </w:t>
      </w:r>
      <w:proofErr w:type="gramStart"/>
      <w:r w:rsidRPr="009C74C4">
        <w:rPr>
          <w:sz w:val="21"/>
          <w:szCs w:val="21"/>
          <w:lang w:val="en-GB"/>
        </w:rPr>
        <w:t>application,</w:t>
      </w:r>
      <w:proofErr w:type="gramEnd"/>
      <w:r w:rsidRPr="009C74C4">
        <w:rPr>
          <w:sz w:val="21"/>
          <w:szCs w:val="21"/>
          <w:lang w:val="en-GB"/>
        </w:rPr>
        <w:t xml:space="preserve"> it is typically judged by comparing a true/measured size defect to the size measured by the NDT method. Often round robin events are used in order to assess the capabilities of equipment and </w:t>
      </w:r>
      <w:proofErr w:type="gramStart"/>
      <w:r w:rsidRPr="009C74C4">
        <w:rPr>
          <w:sz w:val="21"/>
          <w:szCs w:val="21"/>
          <w:lang w:val="en-GB"/>
        </w:rPr>
        <w:t>procedures,</w:t>
      </w:r>
      <w:proofErr w:type="gramEnd"/>
      <w:r w:rsidRPr="009C74C4">
        <w:rPr>
          <w:sz w:val="21"/>
          <w:szCs w:val="21"/>
          <w:lang w:val="en-GB"/>
        </w:rPr>
        <w:t xml:space="preserve"> however these are expensive to setup and difficult to setup (</w:t>
      </w:r>
      <w:proofErr w:type="spellStart"/>
      <w:r w:rsidRPr="009C74C4">
        <w:rPr>
          <w:sz w:val="21"/>
          <w:szCs w:val="21"/>
          <w:lang w:val="en-GB"/>
        </w:rPr>
        <w:t>Virkkunen</w:t>
      </w:r>
      <w:proofErr w:type="spellEnd"/>
      <w:r w:rsidRPr="009C74C4">
        <w:rPr>
          <w:sz w:val="21"/>
          <w:szCs w:val="21"/>
          <w:lang w:val="en-GB"/>
        </w:rPr>
        <w:t xml:space="preserve">, 2021). It has been suggested that virtual round robins where the only thing that needs to be transported is a data </w:t>
      </w:r>
      <w:proofErr w:type="gramStart"/>
      <w:r w:rsidRPr="009C74C4">
        <w:rPr>
          <w:sz w:val="21"/>
          <w:szCs w:val="21"/>
          <w:lang w:val="en-GB"/>
        </w:rPr>
        <w:t>file ,</w:t>
      </w:r>
      <w:proofErr w:type="gramEnd"/>
      <w:r w:rsidRPr="009C74C4">
        <w:rPr>
          <w:sz w:val="21"/>
          <w:szCs w:val="21"/>
          <w:lang w:val="en-GB"/>
        </w:rPr>
        <w:t xml:space="preserve"> this kind of event allows for larger data sets to be collected,  improving the confidence with which results can be taken. This study did show some interesting results where operators missed larger defects in the virtual data (</w:t>
      </w:r>
      <w:proofErr w:type="spellStart"/>
      <w:r w:rsidRPr="009C74C4">
        <w:rPr>
          <w:sz w:val="21"/>
          <w:szCs w:val="21"/>
          <w:lang w:val="en-GB"/>
        </w:rPr>
        <w:t>Virkkunen</w:t>
      </w:r>
      <w:proofErr w:type="spellEnd"/>
      <w:r w:rsidRPr="009C74C4">
        <w:rPr>
          <w:sz w:val="21"/>
          <w:szCs w:val="21"/>
          <w:lang w:val="en-GB"/>
        </w:rPr>
        <w:t>, 2021).</w:t>
      </w:r>
    </w:p>
    <w:p w14:paraId="0F6D68EC" w14:textId="77777777" w:rsidR="009C74C4" w:rsidRPr="009C74C4" w:rsidRDefault="009C74C4" w:rsidP="009C74C4">
      <w:pPr>
        <w:ind w:firstLine="720"/>
        <w:rPr>
          <w:sz w:val="21"/>
          <w:szCs w:val="21"/>
          <w:lang w:val="en-GB"/>
        </w:rPr>
      </w:pPr>
      <w:r w:rsidRPr="009C74C4">
        <w:rPr>
          <w:sz w:val="21"/>
          <w:szCs w:val="21"/>
          <w:lang w:val="en-GB"/>
        </w:rPr>
        <w:t xml:space="preserve">Statistical methods are used to analyse sample data with a view to analysing both operator and methodology issues and benefits.  Understanding these methods is essential to evaluating and selecting NDT methods for specific applications. This is particularly important in situations where an operator may be required to use a method that is not ideal for and properly </w:t>
      </w:r>
      <w:r w:rsidRPr="009C74C4">
        <w:rPr>
          <w:sz w:val="21"/>
          <w:szCs w:val="21"/>
          <w:lang w:val="en-GB"/>
        </w:rPr>
        <w:lastRenderedPageBreak/>
        <w:t>understanding the uncertainty in the system is essential for the NDT method to be effective (</w:t>
      </w:r>
      <w:proofErr w:type="spellStart"/>
      <w:r w:rsidRPr="009C74C4">
        <w:rPr>
          <w:sz w:val="21"/>
          <w:szCs w:val="21"/>
          <w:lang w:val="en-GB"/>
        </w:rPr>
        <w:t>Ginzel</w:t>
      </w:r>
      <w:proofErr w:type="spellEnd"/>
      <w:r w:rsidRPr="009C74C4">
        <w:rPr>
          <w:sz w:val="21"/>
          <w:szCs w:val="21"/>
          <w:lang w:val="en-GB"/>
        </w:rPr>
        <w:t>, 2006).</w:t>
      </w:r>
    </w:p>
    <w:p w14:paraId="735EE3FF" w14:textId="4EE05C43" w:rsidR="009C74C4" w:rsidRDefault="009C74C4" w:rsidP="009C74C4">
      <w:pPr>
        <w:rPr>
          <w:lang w:val="en-GB"/>
        </w:rPr>
      </w:pPr>
      <w:r w:rsidRPr="009C74C4">
        <w:rPr>
          <w:sz w:val="21"/>
          <w:szCs w:val="21"/>
          <w:lang w:val="en-GB"/>
        </w:rPr>
        <w:tab/>
        <w:t xml:space="preserve">Defining what constitutes a defect is fundamental to all NDT methods, dependant on the material, geometry and loading the acceptable size and type of defect will vary. It is important when conducting any NDT analysis that an operator as well as anybody who designs a procedure understands that it is better to ask, what is the biggest flaw I could miss? Than to ask what is the smallest flaw I could detect? (NESC, 2021). This is an important distinction when evaluating the suitability of a component for service as it is of primary concern to eliminate the maximum amount of uncertainty concerning the existence of critical sized flaws. By this methodology the chosen procedure must have a maximum </w:t>
      </w:r>
      <w:proofErr w:type="spellStart"/>
      <w:r w:rsidR="00F22B89">
        <w:rPr>
          <w:sz w:val="21"/>
          <w:szCs w:val="21"/>
          <w:lang w:val="en-GB"/>
        </w:rPr>
        <w:t>missable</w:t>
      </w:r>
      <w:proofErr w:type="spellEnd"/>
      <w:r w:rsidRPr="009C74C4">
        <w:rPr>
          <w:sz w:val="21"/>
          <w:szCs w:val="21"/>
          <w:lang w:val="en-GB"/>
        </w:rPr>
        <w:t xml:space="preserve"> flaw size that is smaller than the minimum critical flaw size hence guaranteeing that safety critical flaws will be found</w:t>
      </w:r>
      <w:r>
        <w:rPr>
          <w:lang w:val="en-GB"/>
        </w:rPr>
        <w:t>.</w:t>
      </w:r>
      <w:r w:rsidR="00F22B89">
        <w:rPr>
          <w:lang w:val="en-GB"/>
        </w:rPr>
        <w:t xml:space="preserve"> (</w:t>
      </w:r>
      <w:proofErr w:type="spellStart"/>
      <w:r w:rsidR="00F22B89">
        <w:rPr>
          <w:lang w:val="en-GB"/>
        </w:rPr>
        <w:t>Virkkunen</w:t>
      </w:r>
      <w:proofErr w:type="spellEnd"/>
      <w:r w:rsidR="00F22B89">
        <w:rPr>
          <w:lang w:val="en-GB"/>
        </w:rPr>
        <w:t>, 2021)</w:t>
      </w:r>
    </w:p>
    <w:p w14:paraId="1A5DABAB" w14:textId="2645A2F5" w:rsidR="009C74C4" w:rsidRPr="009C74C4" w:rsidRDefault="009C74C4" w:rsidP="009C74C4">
      <w:pPr>
        <w:rPr>
          <w:sz w:val="21"/>
          <w:szCs w:val="21"/>
          <w:lang w:val="en-GB"/>
        </w:rPr>
      </w:pPr>
      <w:r>
        <w:rPr>
          <w:lang w:val="en-GB"/>
        </w:rPr>
        <w:tab/>
      </w:r>
      <w:r w:rsidRPr="009C74C4">
        <w:rPr>
          <w:sz w:val="21"/>
          <w:szCs w:val="21"/>
          <w:lang w:val="en-GB"/>
        </w:rPr>
        <w:t>NDE 4.0 is a modern methodology that may be sued moving forward to improve the reliability of POD and POS studies by using big data and AI to integrate systems and further improve NDT methods and results. It is also part of a larger industry wide move toward integration commonly known as industry 4.0 (</w:t>
      </w:r>
      <w:proofErr w:type="spellStart"/>
      <w:r w:rsidRPr="009C74C4">
        <w:rPr>
          <w:sz w:val="21"/>
          <w:szCs w:val="21"/>
          <w:lang w:val="en-GB"/>
        </w:rPr>
        <w:t>Cornwright</w:t>
      </w:r>
      <w:proofErr w:type="spellEnd"/>
      <w:r w:rsidRPr="009C74C4">
        <w:rPr>
          <w:sz w:val="21"/>
          <w:szCs w:val="21"/>
          <w:lang w:val="en-GB"/>
        </w:rPr>
        <w:t>, 2019). The British institute for non-destructive testing has also setup a group to further research and understanding in this area (BINDT, unknown).</w:t>
      </w:r>
    </w:p>
    <w:p w14:paraId="2AB0A480" w14:textId="77777777" w:rsidR="00A80706" w:rsidRDefault="00A80706">
      <w:pPr>
        <w:pStyle w:val="NoSpacing"/>
        <w:jc w:val="both"/>
        <w:rPr>
          <w:rFonts w:ascii="Cambria" w:hAnsi="Cambria"/>
          <w:sz w:val="20"/>
          <w:szCs w:val="20"/>
        </w:rPr>
      </w:pPr>
    </w:p>
    <w:p w14:paraId="3CA28AF6" w14:textId="77777777" w:rsidR="00F22B89" w:rsidRDefault="00F22B89">
      <w:pPr>
        <w:pStyle w:val="NoSpacing"/>
        <w:jc w:val="both"/>
        <w:rPr>
          <w:rFonts w:ascii="Cambria" w:hAnsi="Cambria"/>
          <w:b/>
        </w:rPr>
      </w:pPr>
    </w:p>
    <w:p w14:paraId="6D280AEF" w14:textId="77777777" w:rsidR="00F22B89" w:rsidRDefault="00F22B89">
      <w:pPr>
        <w:pStyle w:val="NoSpacing"/>
        <w:jc w:val="both"/>
        <w:rPr>
          <w:rFonts w:ascii="Cambria" w:hAnsi="Cambria"/>
          <w:b/>
        </w:rPr>
      </w:pPr>
    </w:p>
    <w:p w14:paraId="735CD3FA" w14:textId="77777777" w:rsidR="00F22B89" w:rsidRDefault="00F22B89">
      <w:pPr>
        <w:pStyle w:val="NoSpacing"/>
        <w:jc w:val="both"/>
        <w:rPr>
          <w:rFonts w:ascii="Cambria" w:hAnsi="Cambria"/>
          <w:b/>
        </w:rPr>
      </w:pPr>
    </w:p>
    <w:p w14:paraId="7FC75FC0" w14:textId="77777777" w:rsidR="00F22B89" w:rsidRDefault="00F22B89">
      <w:pPr>
        <w:pStyle w:val="NoSpacing"/>
        <w:jc w:val="both"/>
        <w:rPr>
          <w:rFonts w:ascii="Cambria" w:hAnsi="Cambria"/>
          <w:b/>
        </w:rPr>
      </w:pPr>
    </w:p>
    <w:p w14:paraId="148490BB" w14:textId="77777777" w:rsidR="00F22B89" w:rsidRDefault="00F22B89">
      <w:pPr>
        <w:pStyle w:val="NoSpacing"/>
        <w:jc w:val="both"/>
        <w:rPr>
          <w:rFonts w:ascii="Cambria" w:hAnsi="Cambria"/>
          <w:b/>
        </w:rPr>
      </w:pPr>
    </w:p>
    <w:p w14:paraId="6E9D747F" w14:textId="77777777" w:rsidR="00F22B89" w:rsidRDefault="00F22B89">
      <w:pPr>
        <w:pStyle w:val="NoSpacing"/>
        <w:jc w:val="both"/>
        <w:rPr>
          <w:rFonts w:ascii="Cambria" w:hAnsi="Cambria"/>
          <w:b/>
        </w:rPr>
      </w:pPr>
    </w:p>
    <w:p w14:paraId="57A76004" w14:textId="77777777" w:rsidR="00F22B89" w:rsidRDefault="00F22B89">
      <w:pPr>
        <w:pStyle w:val="NoSpacing"/>
        <w:jc w:val="both"/>
        <w:rPr>
          <w:rFonts w:ascii="Cambria" w:hAnsi="Cambria"/>
          <w:b/>
        </w:rPr>
      </w:pPr>
    </w:p>
    <w:p w14:paraId="7157616D" w14:textId="77777777" w:rsidR="00F22B89" w:rsidRDefault="00F22B89">
      <w:pPr>
        <w:pStyle w:val="NoSpacing"/>
        <w:jc w:val="both"/>
        <w:rPr>
          <w:rFonts w:ascii="Cambria" w:hAnsi="Cambria"/>
          <w:b/>
        </w:rPr>
      </w:pPr>
    </w:p>
    <w:p w14:paraId="2C119205" w14:textId="77777777" w:rsidR="00F22B89" w:rsidRDefault="00F22B89">
      <w:pPr>
        <w:pStyle w:val="NoSpacing"/>
        <w:jc w:val="both"/>
        <w:rPr>
          <w:rFonts w:ascii="Cambria" w:hAnsi="Cambria"/>
          <w:b/>
        </w:rPr>
      </w:pPr>
    </w:p>
    <w:p w14:paraId="733FE2C3" w14:textId="77777777" w:rsidR="00F22B89" w:rsidRDefault="00F22B89">
      <w:pPr>
        <w:pStyle w:val="NoSpacing"/>
        <w:jc w:val="both"/>
        <w:rPr>
          <w:rFonts w:ascii="Cambria" w:hAnsi="Cambria"/>
          <w:b/>
        </w:rPr>
      </w:pPr>
    </w:p>
    <w:p w14:paraId="01EF0968" w14:textId="77777777" w:rsidR="00F22B89" w:rsidRDefault="00F22B89">
      <w:pPr>
        <w:pStyle w:val="NoSpacing"/>
        <w:jc w:val="both"/>
        <w:rPr>
          <w:rFonts w:ascii="Cambria" w:hAnsi="Cambria"/>
          <w:b/>
        </w:rPr>
      </w:pPr>
    </w:p>
    <w:p w14:paraId="5BFC51DB" w14:textId="77777777" w:rsidR="00F22B89" w:rsidRDefault="00F22B89">
      <w:pPr>
        <w:pStyle w:val="NoSpacing"/>
        <w:jc w:val="both"/>
        <w:rPr>
          <w:rFonts w:ascii="Cambria" w:hAnsi="Cambria"/>
          <w:b/>
        </w:rPr>
      </w:pPr>
    </w:p>
    <w:p w14:paraId="3F36A2B8" w14:textId="77777777" w:rsidR="00F22B89" w:rsidRDefault="00F22B89">
      <w:pPr>
        <w:pStyle w:val="NoSpacing"/>
        <w:jc w:val="both"/>
        <w:rPr>
          <w:rFonts w:ascii="Cambria" w:hAnsi="Cambria"/>
          <w:b/>
        </w:rPr>
      </w:pPr>
    </w:p>
    <w:p w14:paraId="4BC856FE" w14:textId="0C7D9954" w:rsidR="00F22B89" w:rsidRDefault="009C74C4" w:rsidP="00F22B89">
      <w:pPr>
        <w:pStyle w:val="NoSpacing"/>
        <w:numPr>
          <w:ilvl w:val="1"/>
          <w:numId w:val="6"/>
        </w:numPr>
        <w:jc w:val="both"/>
        <w:rPr>
          <w:rFonts w:ascii="Cambria" w:hAnsi="Cambria"/>
          <w:b/>
        </w:rPr>
      </w:pPr>
      <w:r>
        <w:rPr>
          <w:rFonts w:ascii="Cambria" w:hAnsi="Cambria"/>
          <w:b/>
        </w:rPr>
        <w:t>Isolating Operator Error from Procedure Erro</w:t>
      </w:r>
      <w:r w:rsidR="00F22B89">
        <w:rPr>
          <w:rFonts w:ascii="Cambria" w:hAnsi="Cambria"/>
          <w:b/>
        </w:rPr>
        <w:t>r</w:t>
      </w:r>
    </w:p>
    <w:p w14:paraId="496FD939" w14:textId="77777777" w:rsidR="00F22B89" w:rsidRPr="00F22B89" w:rsidRDefault="00F22B89" w:rsidP="00F22B89">
      <w:pPr>
        <w:pStyle w:val="NoSpacing"/>
        <w:ind w:left="360"/>
        <w:jc w:val="both"/>
        <w:rPr>
          <w:rFonts w:ascii="Cambria" w:hAnsi="Cambria"/>
          <w:b/>
        </w:rPr>
      </w:pPr>
    </w:p>
    <w:p w14:paraId="7DB53D5F" w14:textId="147E8A12" w:rsidR="00D82805" w:rsidRDefault="009C74C4" w:rsidP="009C74C4">
      <w:pPr>
        <w:pStyle w:val="NoSpacing"/>
        <w:jc w:val="both"/>
        <w:rPr>
          <w:rFonts w:ascii="Cambria" w:hAnsi="Cambria"/>
          <w:b/>
        </w:rPr>
      </w:pPr>
      <w:r>
        <w:rPr>
          <w:noProof/>
        </w:rPr>
        <w:drawing>
          <wp:inline distT="0" distB="0" distL="0" distR="0" wp14:anchorId="71C77A1E" wp14:editId="28F1CC18">
            <wp:extent cx="3185795" cy="2599266"/>
            <wp:effectExtent l="0" t="0" r="14605" b="17145"/>
            <wp:docPr id="13" name="Chart 13">
              <a:extLst xmlns:a="http://schemas.openxmlformats.org/drawingml/2006/main">
                <a:ext uri="{FF2B5EF4-FFF2-40B4-BE49-F238E27FC236}">
                  <a16:creationId xmlns:a16="http://schemas.microsoft.com/office/drawing/2014/main" id="{73BA9868-9C4B-42B5-9680-4066AA7A6C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583A34A" w14:textId="4C85A29C" w:rsidR="009C74C4" w:rsidRDefault="009C74C4" w:rsidP="009C74C4">
      <w:pPr>
        <w:pStyle w:val="Caption"/>
      </w:pPr>
      <w:r>
        <w:t xml:space="preserve">Figure </w:t>
      </w:r>
      <w:r>
        <w:fldChar w:fldCharType="begin"/>
      </w:r>
      <w:r>
        <w:instrText xml:space="preserve"> SEQ Figure \* ARABIC </w:instrText>
      </w:r>
      <w:r>
        <w:fldChar w:fldCharType="separate"/>
      </w:r>
      <w:r w:rsidR="00F22B89">
        <w:rPr>
          <w:noProof/>
        </w:rPr>
        <w:t>1</w:t>
      </w:r>
      <w:r>
        <w:fldChar w:fldCharType="end"/>
      </w:r>
      <w:r>
        <w:t>-Normal distributions comparing the procedure and a theoretical mean operator</w:t>
      </w:r>
    </w:p>
    <w:p w14:paraId="5BA555E9" w14:textId="502B88D6" w:rsidR="001A4041" w:rsidRPr="001A4041" w:rsidRDefault="001A4041" w:rsidP="001A4041">
      <w:r>
        <w:tab/>
        <w:t>Figure 1 provides some insight into the effect of human factors on the consistency of the method, however as the data set is relatively small it is with significant doubt that comparisons can be made in this plot. It does suggest that the operators tend to have the influence of increasing the spread when judged individually.</w:t>
      </w:r>
    </w:p>
    <w:p w14:paraId="4FDC7A05" w14:textId="0AE8E74D" w:rsidR="001A4041" w:rsidRDefault="001A4041" w:rsidP="001A4041">
      <w:r>
        <w:rPr>
          <w:noProof/>
        </w:rPr>
        <w:lastRenderedPageBreak/>
        <w:drawing>
          <wp:inline distT="0" distB="0" distL="0" distR="0" wp14:anchorId="14B234F1" wp14:editId="156C30E9">
            <wp:extent cx="3185795" cy="3056965"/>
            <wp:effectExtent l="0" t="0" r="14605" b="16510"/>
            <wp:docPr id="1" name="Chart 1">
              <a:extLst xmlns:a="http://schemas.openxmlformats.org/drawingml/2006/main">
                <a:ext uri="{FF2B5EF4-FFF2-40B4-BE49-F238E27FC236}">
                  <a16:creationId xmlns:a16="http://schemas.microsoft.com/office/drawing/2014/main" id="{3FB9D796-2FCD-4558-BAF7-768541BB6B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FE3A0F" w14:textId="7E34795D" w:rsidR="001A4041" w:rsidRDefault="001A4041" w:rsidP="001A4041">
      <w:pPr>
        <w:pStyle w:val="Caption"/>
      </w:pPr>
      <w:r>
        <w:t xml:space="preserve">Figure </w:t>
      </w:r>
      <w:r>
        <w:fldChar w:fldCharType="begin"/>
      </w:r>
      <w:r>
        <w:instrText xml:space="preserve"> SEQ Figure \* ARABIC </w:instrText>
      </w:r>
      <w:r>
        <w:fldChar w:fldCharType="separate"/>
      </w:r>
      <w:r w:rsidR="00F22B89">
        <w:rPr>
          <w:noProof/>
        </w:rPr>
        <w:t>2</w:t>
      </w:r>
      <w:r>
        <w:fldChar w:fldCharType="end"/>
      </w:r>
      <w:r>
        <w:t>-Linear regression plot comparing mean operator to ideal</w:t>
      </w:r>
    </w:p>
    <w:p w14:paraId="2230F81D" w14:textId="77777777" w:rsidR="00F22B89" w:rsidRDefault="001A4041" w:rsidP="001A4041">
      <w:r>
        <w:tab/>
        <w:t xml:space="preserve">Figure 2 isolates the general effects of the procedure on the </w:t>
      </w:r>
      <w:r w:rsidR="00F22B89">
        <w:t>sizing</w:t>
      </w:r>
      <w:r>
        <w:t xml:space="preserve"> characteristics by tak</w:t>
      </w:r>
      <w:r w:rsidR="00F22B89">
        <w:t>i</w:t>
      </w:r>
      <w:r>
        <w:t>n</w:t>
      </w:r>
      <w:r w:rsidR="00F22B89">
        <w:t>g</w:t>
      </w:r>
      <w:r>
        <w:t xml:space="preserve"> the mean error size for each measurement and plotting a linear trendline to describe the overall tendency of the </w:t>
      </w:r>
      <w:r w:rsidR="00F22B89">
        <w:t>procedure</w:t>
      </w:r>
      <w:r>
        <w:t xml:space="preserve"> to over or under size the thickness dependent on their actual size. </w:t>
      </w:r>
    </w:p>
    <w:p w14:paraId="4C03756B" w14:textId="62704935" w:rsidR="004B7F29" w:rsidRPr="001A4041" w:rsidRDefault="00F22B89" w:rsidP="001A4041">
      <w:r>
        <w:tab/>
      </w:r>
      <w:r w:rsidR="001A4041">
        <w:t>All the operators show a tendency to oversize thi</w:t>
      </w:r>
      <w:r>
        <w:t>n</w:t>
      </w:r>
      <w:r w:rsidR="001A4041">
        <w:t>n</w:t>
      </w:r>
      <w:r>
        <w:t>est</w:t>
      </w:r>
      <w:r w:rsidR="001A4041">
        <w:t xml:space="preserve"> plates leading into under sizing thicker plates. Important to note is that the number of thicknesses larger than 4mm is only 3. This may mean that the data for larger thicknesses is </w:t>
      </w:r>
      <w:r>
        <w:t>less</w:t>
      </w:r>
      <w:r w:rsidR="001A4041">
        <w:t xml:space="preserve"> statistically significant </w:t>
      </w:r>
      <w:r>
        <w:t>making it difficult to make</w:t>
      </w:r>
      <w:r w:rsidR="001A4041">
        <w:t xml:space="preserve"> judgments about the effectiveness of the procedure at these thicknesses</w:t>
      </w:r>
      <w:r w:rsidR="004B7F29">
        <w:t xml:space="preserve">. This trend may be due to a combination of the presence of a coating with a different speed of sound than the material of the samples or inconsistent applications of couplant. `For example if the procedure inherently </w:t>
      </w:r>
      <w:r>
        <w:t>underrepresents</w:t>
      </w:r>
      <w:r w:rsidR="004B7F29">
        <w:t xml:space="preserve"> the wall thickness and an operator applies couplant more liberally to the first few samples </w:t>
      </w:r>
      <w:r w:rsidR="004B7F29">
        <w:t>tested this could generate a tendency to undersize towards the end of the tests.</w:t>
      </w:r>
      <w:r>
        <w:t xml:space="preserve"> It is more likely that the tendency to oversize small defects is due to an inherent offset in the equipment or procedure as all operators have an offset of at least 0.3mm. It could also be the presence of a spacer to ensure that the signal is in the far field useful zone when necessary and therefore there is not excessive noise in the output signal.</w:t>
      </w:r>
    </w:p>
    <w:p w14:paraId="2D0068F0" w14:textId="57049CB6" w:rsidR="007C6AE3" w:rsidRDefault="00443E0C" w:rsidP="007C6AE3">
      <w:pPr>
        <w:pStyle w:val="NoSpacing"/>
        <w:jc w:val="both"/>
        <w:rPr>
          <w:rFonts w:ascii="Cambria" w:hAnsi="Cambria"/>
          <w:b/>
        </w:rPr>
      </w:pPr>
      <w:r>
        <w:rPr>
          <w:rFonts w:ascii="Cambria" w:hAnsi="Cambria"/>
          <w:b/>
        </w:rPr>
        <w:t xml:space="preserve">1.2 </w:t>
      </w:r>
      <w:r w:rsidR="009C74C4">
        <w:rPr>
          <w:rFonts w:ascii="Cambria" w:hAnsi="Cambria"/>
          <w:b/>
        </w:rPr>
        <w:t>Operator Analysis</w:t>
      </w:r>
    </w:p>
    <w:p w14:paraId="03C689BF" w14:textId="239AFE94" w:rsidR="007C6AE3" w:rsidRDefault="007C6AE3" w:rsidP="007C6AE3">
      <w:pPr>
        <w:pStyle w:val="NoSpacing"/>
        <w:ind w:firstLine="216"/>
        <w:jc w:val="both"/>
        <w:rPr>
          <w:rFonts w:ascii="Cambria" w:hAnsi="Cambria"/>
          <w:b/>
        </w:rPr>
      </w:pPr>
    </w:p>
    <w:p w14:paraId="471098A9" w14:textId="165F8923" w:rsidR="009C74C4" w:rsidRPr="009C74C4" w:rsidRDefault="009C74C4" w:rsidP="009C74C4">
      <w:pPr>
        <w:rPr>
          <w:sz w:val="21"/>
          <w:szCs w:val="21"/>
          <w:lang w:val="en-GB"/>
        </w:rPr>
      </w:pPr>
      <w:r>
        <w:rPr>
          <w:sz w:val="21"/>
          <w:szCs w:val="21"/>
          <w:lang w:val="en-GB"/>
        </w:rPr>
        <w:tab/>
        <w:t>T</w:t>
      </w:r>
      <w:r w:rsidRPr="009C74C4">
        <w:rPr>
          <w:sz w:val="21"/>
          <w:szCs w:val="21"/>
          <w:lang w:val="en-GB"/>
        </w:rPr>
        <w:t xml:space="preserve">hree operators </w:t>
      </w:r>
      <w:r w:rsidR="001A4041">
        <w:rPr>
          <w:sz w:val="21"/>
          <w:szCs w:val="21"/>
          <w:lang w:val="en-GB"/>
        </w:rPr>
        <w:t>failed to size</w:t>
      </w:r>
      <w:r>
        <w:rPr>
          <w:sz w:val="21"/>
          <w:szCs w:val="21"/>
          <w:lang w:val="en-GB"/>
        </w:rPr>
        <w:t xml:space="preserve"> least one</w:t>
      </w:r>
      <w:r w:rsidRPr="009C74C4">
        <w:rPr>
          <w:sz w:val="21"/>
          <w:szCs w:val="21"/>
          <w:lang w:val="en-GB"/>
        </w:rPr>
        <w:t xml:space="preserve"> </w:t>
      </w:r>
      <w:r w:rsidR="001A4041">
        <w:rPr>
          <w:sz w:val="21"/>
          <w:szCs w:val="21"/>
          <w:lang w:val="en-GB"/>
        </w:rPr>
        <w:t>sample</w:t>
      </w:r>
      <w:r w:rsidRPr="009C74C4">
        <w:rPr>
          <w:sz w:val="21"/>
          <w:szCs w:val="21"/>
          <w:lang w:val="en-GB"/>
        </w:rPr>
        <w:t xml:space="preserve">, operator 5 </w:t>
      </w:r>
      <w:r>
        <w:rPr>
          <w:sz w:val="21"/>
          <w:szCs w:val="21"/>
          <w:lang w:val="en-GB"/>
        </w:rPr>
        <w:t xml:space="preserve">failed to </w:t>
      </w:r>
      <w:r w:rsidR="001A4041">
        <w:rPr>
          <w:sz w:val="21"/>
          <w:szCs w:val="21"/>
          <w:lang w:val="en-GB"/>
        </w:rPr>
        <w:t>size 3 samples</w:t>
      </w:r>
      <w:r w:rsidRPr="009C74C4">
        <w:rPr>
          <w:sz w:val="21"/>
          <w:szCs w:val="21"/>
          <w:lang w:val="en-GB"/>
        </w:rPr>
        <w:t xml:space="preserve">, excluding these form overall averages used as bases of comparison is important, or otherwise reducing the impact of the failures to detect as they do not seem to be representative of the quality of the method </w:t>
      </w:r>
      <w:r w:rsidRPr="009C74C4">
        <w:rPr>
          <w:sz w:val="21"/>
          <w:szCs w:val="21"/>
          <w:lang w:val="en-GB"/>
        </w:rPr>
        <w:t>used but</w:t>
      </w:r>
      <w:r w:rsidRPr="009C74C4">
        <w:rPr>
          <w:sz w:val="21"/>
          <w:szCs w:val="21"/>
          <w:lang w:val="en-GB"/>
        </w:rPr>
        <w:t xml:space="preserve"> rather seem to be individual operator error. </w:t>
      </w:r>
      <w:r w:rsidR="00F22B89">
        <w:rPr>
          <w:sz w:val="21"/>
          <w:szCs w:val="21"/>
          <w:lang w:val="en-GB"/>
        </w:rPr>
        <w:t xml:space="preserve">As well as skewing the sizing plots significantly due to in the case of operator 5 15% of the samples were not sized and this pulls the gradient of any fitted line significantly further towards under sizing than the rest of that </w:t>
      </w:r>
      <w:proofErr w:type="gramStart"/>
      <w:r w:rsidR="00F22B89">
        <w:rPr>
          <w:sz w:val="21"/>
          <w:szCs w:val="21"/>
          <w:lang w:val="en-GB"/>
        </w:rPr>
        <w:t>operators</w:t>
      </w:r>
      <w:proofErr w:type="gramEnd"/>
      <w:r w:rsidR="00F22B89">
        <w:rPr>
          <w:sz w:val="21"/>
          <w:szCs w:val="21"/>
          <w:lang w:val="en-GB"/>
        </w:rPr>
        <w:t xml:space="preserve"> data suggests. The gradient is moved from 0.92 to 0.87 meaning the effect removing the failures to detect moved the operators results significantly closer to the mean trend.</w:t>
      </w:r>
    </w:p>
    <w:p w14:paraId="0C2538A1" w14:textId="2E59E60E" w:rsidR="009C74C4" w:rsidRDefault="009C74C4" w:rsidP="009C74C4">
      <w:pPr>
        <w:pStyle w:val="NoSpacing"/>
        <w:ind w:firstLine="216"/>
        <w:jc w:val="both"/>
        <w:rPr>
          <w:rFonts w:ascii="Cambria" w:hAnsi="Cambria"/>
          <w:b/>
        </w:rPr>
      </w:pPr>
      <w:r>
        <w:rPr>
          <w:noProof/>
        </w:rPr>
        <w:drawing>
          <wp:inline distT="0" distB="0" distL="0" distR="0" wp14:anchorId="49DB7DA1" wp14:editId="3ACEE2D9">
            <wp:extent cx="3185795" cy="1887665"/>
            <wp:effectExtent l="0" t="0" r="14605" b="17780"/>
            <wp:docPr id="19" name="Chart 19">
              <a:extLst xmlns:a="http://schemas.openxmlformats.org/drawingml/2006/main">
                <a:ext uri="{FF2B5EF4-FFF2-40B4-BE49-F238E27FC236}">
                  <a16:creationId xmlns:a16="http://schemas.microsoft.com/office/drawing/2014/main" id="{7ED634E9-A803-4263-A62B-921BF70A70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A99DE2" w14:textId="0B56C62B" w:rsidR="009C74C4" w:rsidRDefault="009C74C4" w:rsidP="009C74C4">
      <w:pPr>
        <w:pStyle w:val="Caption"/>
        <w:rPr>
          <w:rFonts w:ascii="Cambria" w:hAnsi="Cambria"/>
          <w:b w:val="0"/>
        </w:rPr>
      </w:pPr>
      <w:r>
        <w:t xml:space="preserve">Figure </w:t>
      </w:r>
      <w:r>
        <w:fldChar w:fldCharType="begin"/>
      </w:r>
      <w:r>
        <w:instrText xml:space="preserve"> SEQ Figure \* ARABIC </w:instrText>
      </w:r>
      <w:r>
        <w:fldChar w:fldCharType="separate"/>
      </w:r>
      <w:r w:rsidR="00F22B89">
        <w:rPr>
          <w:noProof/>
        </w:rPr>
        <w:t>3</w:t>
      </w:r>
      <w:r>
        <w:fldChar w:fldCharType="end"/>
      </w:r>
      <w:r>
        <w:t>-Normal distributions for operators 1 to 5</w:t>
      </w:r>
    </w:p>
    <w:p w14:paraId="51776598" w14:textId="77777777" w:rsidR="009C74C4" w:rsidRDefault="009C74C4" w:rsidP="00A80706">
      <w:pPr>
        <w:pStyle w:val="NoSpacing"/>
        <w:jc w:val="both"/>
        <w:rPr>
          <w:rFonts w:ascii="Cambria" w:hAnsi="Cambria"/>
          <w:b/>
        </w:rPr>
      </w:pPr>
    </w:p>
    <w:p w14:paraId="3B80153B" w14:textId="0DD563E0" w:rsidR="009C74C4" w:rsidRDefault="009C74C4" w:rsidP="00A80706">
      <w:pPr>
        <w:pStyle w:val="NoSpacing"/>
        <w:jc w:val="both"/>
        <w:rPr>
          <w:rFonts w:ascii="Cambria" w:hAnsi="Cambria"/>
          <w:b/>
        </w:rPr>
      </w:pPr>
      <w:r>
        <w:rPr>
          <w:noProof/>
        </w:rPr>
        <w:lastRenderedPageBreak/>
        <w:drawing>
          <wp:inline distT="0" distB="0" distL="0" distR="0" wp14:anchorId="21DB8D18" wp14:editId="78E61800">
            <wp:extent cx="3185795" cy="2650067"/>
            <wp:effectExtent l="0" t="0" r="14605" b="17145"/>
            <wp:docPr id="2" name="Chart 2">
              <a:extLst xmlns:a="http://schemas.openxmlformats.org/drawingml/2006/main">
                <a:ext uri="{FF2B5EF4-FFF2-40B4-BE49-F238E27FC236}">
                  <a16:creationId xmlns:a16="http://schemas.microsoft.com/office/drawing/2014/main" id="{8D0FC73D-11F8-4526-A66F-4AA36B4C5C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87392D" w14:textId="4010668A" w:rsidR="009C74C4" w:rsidRDefault="009C74C4" w:rsidP="001A4041">
      <w:pPr>
        <w:pStyle w:val="Caption"/>
        <w:rPr>
          <w:rFonts w:ascii="Cambria" w:hAnsi="Cambria"/>
          <w:b w:val="0"/>
        </w:rPr>
      </w:pPr>
      <w:r>
        <w:t xml:space="preserve">Figure </w:t>
      </w:r>
      <w:r>
        <w:fldChar w:fldCharType="begin"/>
      </w:r>
      <w:r>
        <w:instrText xml:space="preserve"> SEQ Figure \* ARABIC </w:instrText>
      </w:r>
      <w:r>
        <w:fldChar w:fldCharType="separate"/>
      </w:r>
      <w:r w:rsidR="00F22B89">
        <w:rPr>
          <w:noProof/>
        </w:rPr>
        <w:t>4</w:t>
      </w:r>
      <w:r>
        <w:fldChar w:fldCharType="end"/>
      </w:r>
      <w:r>
        <w:t>-Normal distributions for operators 6 to 10</w:t>
      </w:r>
    </w:p>
    <w:p w14:paraId="10D3784D" w14:textId="24C38A7F" w:rsidR="009C74C4" w:rsidRPr="009C74C4" w:rsidRDefault="001A4041" w:rsidP="009C74C4">
      <w:pPr>
        <w:rPr>
          <w:sz w:val="21"/>
          <w:szCs w:val="21"/>
          <w:lang w:val="en-GB"/>
        </w:rPr>
      </w:pPr>
      <w:r>
        <w:rPr>
          <w:sz w:val="21"/>
          <w:szCs w:val="21"/>
          <w:lang w:val="en-GB"/>
        </w:rPr>
        <w:tab/>
      </w:r>
      <w:r w:rsidR="009C74C4" w:rsidRPr="009C74C4">
        <w:rPr>
          <w:sz w:val="21"/>
          <w:szCs w:val="21"/>
          <w:lang w:val="en-GB"/>
        </w:rPr>
        <w:t xml:space="preserve">The distributions shown in figures </w:t>
      </w:r>
      <w:r>
        <w:rPr>
          <w:sz w:val="21"/>
          <w:szCs w:val="21"/>
          <w:lang w:val="en-GB"/>
        </w:rPr>
        <w:t xml:space="preserve">3 </w:t>
      </w:r>
      <w:r w:rsidR="009C74C4" w:rsidRPr="009C74C4">
        <w:rPr>
          <w:sz w:val="21"/>
          <w:szCs w:val="21"/>
          <w:lang w:val="en-GB"/>
        </w:rPr>
        <w:t xml:space="preserve">and </w:t>
      </w:r>
      <w:r>
        <w:rPr>
          <w:sz w:val="21"/>
          <w:szCs w:val="21"/>
          <w:lang w:val="en-GB"/>
        </w:rPr>
        <w:t>4</w:t>
      </w:r>
      <w:r w:rsidR="009C74C4" w:rsidRPr="009C74C4">
        <w:rPr>
          <w:sz w:val="21"/>
          <w:szCs w:val="21"/>
          <w:lang w:val="en-GB"/>
        </w:rPr>
        <w:t xml:space="preserve"> demonstrate the quality of data collected by each operator compared to a theoretical mean operator. This rates each operator my error magnitude and spread of results. A taller tighter distribution centred around the y axis is ideal as that would represent an operator with minimal error magnitudes that is extremely consistent. Notable operators in these plots </w:t>
      </w:r>
      <w:proofErr w:type="gramStart"/>
      <w:r w:rsidR="009C74C4" w:rsidRPr="009C74C4">
        <w:rPr>
          <w:sz w:val="21"/>
          <w:szCs w:val="21"/>
          <w:lang w:val="en-GB"/>
        </w:rPr>
        <w:t>include,</w:t>
      </w:r>
      <w:proofErr w:type="gramEnd"/>
      <w:r w:rsidR="009C74C4" w:rsidRPr="009C74C4">
        <w:rPr>
          <w:sz w:val="21"/>
          <w:szCs w:val="21"/>
          <w:lang w:val="en-GB"/>
        </w:rPr>
        <w:t xml:space="preserve"> operator 2 who has a relatively low mean error but a significant amount more spread than most other operators suggesting a much less consistent application of the method. In comparison operator 10 nearly matches the theoretical average operator and shows a much more consistent performance. The tightness of their results combined with the fact they appear to match the average of the method suggests this operator is performing well. The calculated mean operator does not include operator 5 as this operator was the only one to have more than on failure to </w:t>
      </w:r>
      <w:r>
        <w:rPr>
          <w:sz w:val="21"/>
          <w:szCs w:val="21"/>
          <w:lang w:val="en-GB"/>
        </w:rPr>
        <w:t>measure</w:t>
      </w:r>
      <w:r w:rsidR="009C74C4" w:rsidRPr="009C74C4">
        <w:rPr>
          <w:sz w:val="21"/>
          <w:szCs w:val="21"/>
          <w:lang w:val="en-GB"/>
        </w:rPr>
        <w:t xml:space="preserve"> and it is reasonable to assume that there is an underlying reason that this operator made mistakes during the test.</w:t>
      </w:r>
    </w:p>
    <w:p w14:paraId="1BBAEEB4" w14:textId="6FE2932B" w:rsidR="009C74C4" w:rsidRPr="009C74C4" w:rsidRDefault="009C74C4" w:rsidP="009C74C4">
      <w:pPr>
        <w:rPr>
          <w:sz w:val="21"/>
          <w:szCs w:val="21"/>
          <w:lang w:val="en-GB"/>
        </w:rPr>
      </w:pPr>
      <w:r w:rsidRPr="009C74C4">
        <w:rPr>
          <w:sz w:val="21"/>
          <w:szCs w:val="21"/>
          <w:lang w:val="en-GB"/>
        </w:rPr>
        <w:t>OP1- Operators 1 and 5 show very similar levels of spread</w:t>
      </w:r>
      <w:r>
        <w:rPr>
          <w:sz w:val="21"/>
          <w:szCs w:val="21"/>
          <w:lang w:val="en-GB"/>
        </w:rPr>
        <w:t xml:space="preserve"> </w:t>
      </w:r>
      <w:r w:rsidRPr="009C74C4">
        <w:rPr>
          <w:sz w:val="21"/>
          <w:szCs w:val="21"/>
          <w:lang w:val="en-GB"/>
        </w:rPr>
        <w:t xml:space="preserve">much greater than the </w:t>
      </w:r>
      <w:r>
        <w:rPr>
          <w:sz w:val="21"/>
          <w:szCs w:val="21"/>
          <w:lang w:val="en-GB"/>
        </w:rPr>
        <w:t>mean operator.</w:t>
      </w:r>
    </w:p>
    <w:p w14:paraId="6D6422DD" w14:textId="77777777" w:rsidR="009C74C4" w:rsidRPr="009C74C4" w:rsidRDefault="009C74C4" w:rsidP="009C74C4">
      <w:pPr>
        <w:rPr>
          <w:sz w:val="21"/>
          <w:szCs w:val="21"/>
          <w:lang w:val="en-GB"/>
        </w:rPr>
      </w:pPr>
      <w:r w:rsidRPr="009C74C4">
        <w:rPr>
          <w:sz w:val="21"/>
          <w:szCs w:val="21"/>
          <w:lang w:val="en-GB"/>
        </w:rPr>
        <w:t xml:space="preserve">OP2-Operator 2 shows the greatest amount of spread, </w:t>
      </w:r>
    </w:p>
    <w:p w14:paraId="359A7052" w14:textId="210ADEF3" w:rsidR="009C74C4" w:rsidRPr="009C74C4" w:rsidRDefault="009C74C4" w:rsidP="009C74C4">
      <w:pPr>
        <w:rPr>
          <w:sz w:val="21"/>
          <w:szCs w:val="21"/>
          <w:lang w:val="en-GB"/>
        </w:rPr>
      </w:pPr>
      <w:r w:rsidRPr="009C74C4">
        <w:rPr>
          <w:sz w:val="21"/>
          <w:szCs w:val="21"/>
          <w:lang w:val="en-GB"/>
        </w:rPr>
        <w:t xml:space="preserve">OP3- Operator 3 performed similarly to operator 4 in terms of consistency but overall [performed more accurately with the bell curve centred around a mean error closer to 0. </w:t>
      </w:r>
    </w:p>
    <w:p w14:paraId="00D3D355" w14:textId="22B548D8" w:rsidR="009C74C4" w:rsidRPr="009C74C4" w:rsidRDefault="009C74C4" w:rsidP="009C74C4">
      <w:pPr>
        <w:rPr>
          <w:sz w:val="21"/>
          <w:szCs w:val="21"/>
          <w:lang w:val="en-GB"/>
        </w:rPr>
      </w:pPr>
      <w:r w:rsidRPr="009C74C4">
        <w:rPr>
          <w:sz w:val="21"/>
          <w:szCs w:val="21"/>
          <w:lang w:val="en-GB"/>
        </w:rPr>
        <w:t>OP4-</w:t>
      </w:r>
      <w:r>
        <w:rPr>
          <w:sz w:val="21"/>
          <w:szCs w:val="21"/>
          <w:lang w:val="en-GB"/>
        </w:rPr>
        <w:t xml:space="preserve"> shows a mean error </w:t>
      </w:r>
      <w:proofErr w:type="gramStart"/>
      <w:r>
        <w:rPr>
          <w:sz w:val="21"/>
          <w:szCs w:val="21"/>
          <w:lang w:val="en-GB"/>
        </w:rPr>
        <w:t>similar to</w:t>
      </w:r>
      <w:proofErr w:type="gramEnd"/>
      <w:r>
        <w:rPr>
          <w:sz w:val="21"/>
          <w:szCs w:val="21"/>
          <w:lang w:val="en-GB"/>
        </w:rPr>
        <w:t xml:space="preserve"> the mean operator but much greater spread </w:t>
      </w:r>
    </w:p>
    <w:p w14:paraId="3068EBB9" w14:textId="2F426517" w:rsidR="009C74C4" w:rsidRPr="009C74C4" w:rsidRDefault="009C74C4" w:rsidP="009C74C4">
      <w:pPr>
        <w:rPr>
          <w:sz w:val="21"/>
          <w:szCs w:val="21"/>
          <w:lang w:val="en-GB"/>
        </w:rPr>
      </w:pPr>
      <w:r w:rsidRPr="009C74C4">
        <w:rPr>
          <w:sz w:val="21"/>
          <w:szCs w:val="21"/>
          <w:lang w:val="en-GB"/>
        </w:rPr>
        <w:t xml:space="preserve">OP6- </w:t>
      </w:r>
      <w:r w:rsidR="00F22B89">
        <w:rPr>
          <w:sz w:val="21"/>
          <w:szCs w:val="21"/>
          <w:lang w:val="en-GB"/>
        </w:rPr>
        <w:t xml:space="preserve">This operator shows a gradient f 1.01, this significantly outperforms all other operators however when viewed with the greater context of the distribution and spread this operator is outperformed in terms of consistency. The gradient of the fit is likely in part due to the operator under and oversizing different samples in a </w:t>
      </w:r>
      <w:proofErr w:type="gramStart"/>
      <w:r w:rsidR="00F22B89">
        <w:rPr>
          <w:sz w:val="21"/>
          <w:szCs w:val="21"/>
          <w:lang w:val="en-GB"/>
        </w:rPr>
        <w:t>fairly random</w:t>
      </w:r>
      <w:proofErr w:type="gramEnd"/>
      <w:r w:rsidR="00F22B89">
        <w:rPr>
          <w:sz w:val="21"/>
          <w:szCs w:val="21"/>
          <w:lang w:val="en-GB"/>
        </w:rPr>
        <w:t xml:space="preserve"> manner. This has the effect of cancelling out the error sizes. One method that may reveal a more </w:t>
      </w:r>
      <w:proofErr w:type="gramStart"/>
      <w:r w:rsidR="00F22B89">
        <w:rPr>
          <w:sz w:val="21"/>
          <w:szCs w:val="21"/>
          <w:lang w:val="en-GB"/>
        </w:rPr>
        <w:t>in depth</w:t>
      </w:r>
      <w:proofErr w:type="gramEnd"/>
      <w:r w:rsidR="00F22B89">
        <w:rPr>
          <w:sz w:val="21"/>
          <w:szCs w:val="21"/>
          <w:lang w:val="en-GB"/>
        </w:rPr>
        <w:t xml:space="preserve"> view of this could be to take the absolute value of all the operators errors and draw comparisons form this data.</w:t>
      </w:r>
    </w:p>
    <w:p w14:paraId="4427F066" w14:textId="77777777" w:rsidR="009C74C4" w:rsidRPr="009C74C4" w:rsidRDefault="009C74C4" w:rsidP="009C74C4">
      <w:pPr>
        <w:rPr>
          <w:sz w:val="21"/>
          <w:szCs w:val="21"/>
          <w:lang w:val="en-GB"/>
        </w:rPr>
      </w:pPr>
      <w:r w:rsidRPr="009C74C4">
        <w:rPr>
          <w:sz w:val="21"/>
          <w:szCs w:val="21"/>
          <w:lang w:val="en-GB"/>
        </w:rPr>
        <w:t>OP7- Appears to show a mean of 0, this does not represent the performance of the operator well as they have a large amount of scatter centred around this mean leaving a significant amount of uncertainty in the operators results.</w:t>
      </w:r>
    </w:p>
    <w:p w14:paraId="4B3E4AE0" w14:textId="5993D6AC" w:rsidR="009C74C4" w:rsidRPr="009C74C4" w:rsidRDefault="009C74C4" w:rsidP="009C74C4">
      <w:pPr>
        <w:rPr>
          <w:sz w:val="21"/>
          <w:szCs w:val="21"/>
          <w:lang w:val="en-GB"/>
        </w:rPr>
      </w:pPr>
      <w:r w:rsidRPr="009C74C4">
        <w:rPr>
          <w:sz w:val="21"/>
          <w:szCs w:val="21"/>
          <w:lang w:val="en-GB"/>
        </w:rPr>
        <w:t xml:space="preserve">OP8- Tight </w:t>
      </w:r>
      <w:r w:rsidR="00F22B89">
        <w:rPr>
          <w:sz w:val="21"/>
          <w:szCs w:val="21"/>
          <w:lang w:val="en-GB"/>
        </w:rPr>
        <w:t xml:space="preserve">distribution </w:t>
      </w:r>
      <w:r w:rsidRPr="009C74C4">
        <w:rPr>
          <w:sz w:val="21"/>
          <w:szCs w:val="21"/>
          <w:lang w:val="en-GB"/>
        </w:rPr>
        <w:t xml:space="preserve">with high level of certainty that a detected flaw will be within a narrow range. </w:t>
      </w:r>
    </w:p>
    <w:p w14:paraId="2FCB5AB4" w14:textId="77777777" w:rsidR="009C74C4" w:rsidRPr="009C74C4" w:rsidRDefault="009C74C4" w:rsidP="009C74C4">
      <w:pPr>
        <w:rPr>
          <w:sz w:val="21"/>
          <w:szCs w:val="21"/>
          <w:lang w:val="en-GB"/>
        </w:rPr>
      </w:pPr>
      <w:r w:rsidRPr="009C74C4">
        <w:rPr>
          <w:sz w:val="21"/>
          <w:szCs w:val="21"/>
          <w:lang w:val="en-GB"/>
        </w:rPr>
        <w:t xml:space="preserve">OP9- Very similar results to operator 6, a high mean error </w:t>
      </w:r>
      <w:proofErr w:type="gramStart"/>
      <w:r w:rsidRPr="009C74C4">
        <w:rPr>
          <w:sz w:val="21"/>
          <w:szCs w:val="21"/>
          <w:lang w:val="en-GB"/>
        </w:rPr>
        <w:t>value  with</w:t>
      </w:r>
      <w:proofErr w:type="gramEnd"/>
      <w:r w:rsidRPr="009C74C4">
        <w:rPr>
          <w:sz w:val="21"/>
          <w:szCs w:val="21"/>
          <w:lang w:val="en-GB"/>
        </w:rPr>
        <w:t xml:space="preserve"> a comparatively low amount of spread when considering most operators however a higher spread than the expected mean operator suggesting they underperform relative to the methodology. </w:t>
      </w:r>
    </w:p>
    <w:p w14:paraId="2D013C61" w14:textId="788F232E" w:rsidR="009C74C4" w:rsidRPr="009C74C4" w:rsidRDefault="009C74C4" w:rsidP="009C74C4">
      <w:pPr>
        <w:rPr>
          <w:sz w:val="21"/>
          <w:szCs w:val="21"/>
          <w:lang w:val="en-GB"/>
        </w:rPr>
      </w:pPr>
      <w:r w:rsidRPr="009C74C4">
        <w:rPr>
          <w:sz w:val="21"/>
          <w:szCs w:val="21"/>
          <w:lang w:val="en-GB"/>
        </w:rPr>
        <w:t>OP10- Along with operator 8 has a very tight curve operator 10 appears to perform slightly better than operator 8 with a smaller mean error size matching the performance of the theoretical mean operator.</w:t>
      </w:r>
    </w:p>
    <w:p w14:paraId="23761A2D" w14:textId="6235F84E" w:rsidR="009C74C4" w:rsidRPr="009C74C4" w:rsidRDefault="009C74C4" w:rsidP="009C74C4">
      <w:pPr>
        <w:rPr>
          <w:sz w:val="21"/>
          <w:szCs w:val="21"/>
          <w:lang w:val="en-GB"/>
        </w:rPr>
      </w:pPr>
      <w:r w:rsidRPr="009C74C4">
        <w:rPr>
          <w:sz w:val="21"/>
          <w:szCs w:val="21"/>
          <w:lang w:val="en-GB"/>
        </w:rPr>
        <w:lastRenderedPageBreak/>
        <w:t>General – All of the operators show an offset, the smallest of which is 0.32</w:t>
      </w:r>
      <w:r w:rsidR="001A4041">
        <w:rPr>
          <w:sz w:val="21"/>
          <w:szCs w:val="21"/>
          <w:lang w:val="en-GB"/>
        </w:rPr>
        <w:t>m</w:t>
      </w:r>
      <w:r w:rsidRPr="009C74C4">
        <w:rPr>
          <w:sz w:val="21"/>
          <w:szCs w:val="21"/>
          <w:lang w:val="en-GB"/>
        </w:rPr>
        <w:t xml:space="preserve">m, this suggests that the methodology or equipment has this offset in sizing built into it. Nine of the ten operators show a general trend of beginning oversizing the </w:t>
      </w:r>
      <w:r w:rsidR="001A4041">
        <w:rPr>
          <w:sz w:val="21"/>
          <w:szCs w:val="21"/>
          <w:lang w:val="en-GB"/>
        </w:rPr>
        <w:t>thinner samples</w:t>
      </w:r>
      <w:r w:rsidRPr="009C74C4">
        <w:rPr>
          <w:sz w:val="21"/>
          <w:szCs w:val="21"/>
          <w:lang w:val="en-GB"/>
        </w:rPr>
        <w:t xml:space="preserve"> and moving towards under sizing the </w:t>
      </w:r>
      <w:r w:rsidR="001A4041">
        <w:rPr>
          <w:sz w:val="21"/>
          <w:szCs w:val="21"/>
          <w:lang w:val="en-GB"/>
        </w:rPr>
        <w:t>thicker samples</w:t>
      </w:r>
      <w:r w:rsidRPr="009C74C4">
        <w:rPr>
          <w:sz w:val="21"/>
          <w:szCs w:val="21"/>
          <w:lang w:val="en-GB"/>
        </w:rPr>
        <w:t>. Certain operators show this trend more prominently than others, OP2 is the most prominent of these. As</w:t>
      </w:r>
      <w:r>
        <w:rPr>
          <w:lang w:val="en-GB"/>
        </w:rPr>
        <w:t xml:space="preserve"> </w:t>
      </w:r>
      <w:r w:rsidRPr="009C74C4">
        <w:rPr>
          <w:sz w:val="21"/>
          <w:szCs w:val="21"/>
          <w:lang w:val="en-GB"/>
        </w:rPr>
        <w:t>well as this operator 2 has the lowest R^2 value (0.91) suggesting that the correlation between the equation and the data. This implies that the operator had a greater amount of scatter and was less consistent than the other operators although the R^2 value is still high enough that the equation represents the trend of the data well.</w:t>
      </w:r>
    </w:p>
    <w:p w14:paraId="04D6E806" w14:textId="0C45870D" w:rsidR="009C74C4" w:rsidRDefault="006F2781" w:rsidP="009C74C4">
      <w:pPr>
        <w:rPr>
          <w:lang w:val="en-GB"/>
        </w:rPr>
      </w:pPr>
      <w:r w:rsidRPr="006F2781">
        <w:rPr>
          <w:noProof/>
          <w:lang w:val="en-GB"/>
        </w:rPr>
        <w:object w:dxaOrig="2760" w:dyaOrig="3340" w14:anchorId="05C844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138pt;height:167pt;mso-width-percent:0;mso-height-percent:0;mso-width-percent:0;mso-height-percent:0" o:ole="">
            <v:imagedata r:id="rId16" o:title=""/>
          </v:shape>
          <o:OLEObject Type="Embed" ProgID="Word.Document.12" ShapeID="_x0000_i1026" DrawAspect="Content" ObjectID="_1702838102" r:id="rId17">
            <o:FieldCodes>\s</o:FieldCodes>
          </o:OLEObject>
        </w:object>
      </w:r>
    </w:p>
    <w:p w14:paraId="438FE015" w14:textId="72D709BD" w:rsidR="009C74C4" w:rsidRDefault="009C74C4" w:rsidP="009C74C4">
      <w:pPr>
        <w:pStyle w:val="Caption"/>
        <w:rPr>
          <w:lang w:val="en-GB"/>
        </w:rPr>
      </w:pPr>
      <w:r>
        <w:t xml:space="preserve">Table </w:t>
      </w:r>
      <w:r>
        <w:fldChar w:fldCharType="begin"/>
      </w:r>
      <w:r>
        <w:instrText xml:space="preserve"> SEQ Table \* ARABIC </w:instrText>
      </w:r>
      <w:r>
        <w:fldChar w:fldCharType="separate"/>
      </w:r>
      <w:r w:rsidR="00F22B89">
        <w:rPr>
          <w:noProof/>
        </w:rPr>
        <w:t>1</w:t>
      </w:r>
      <w:r>
        <w:fldChar w:fldCharType="end"/>
      </w:r>
      <w:r>
        <w:t>-Operator Mean and Z values</w:t>
      </w:r>
    </w:p>
    <w:p w14:paraId="2E70CC88" w14:textId="46A5FDE1" w:rsidR="001A4041" w:rsidRPr="00D31AD2" w:rsidRDefault="009C74C4" w:rsidP="009C74C4">
      <w:pPr>
        <w:rPr>
          <w:sz w:val="21"/>
          <w:szCs w:val="21"/>
          <w:lang w:val="en-GB"/>
        </w:rPr>
      </w:pPr>
      <w:r>
        <w:rPr>
          <w:lang w:val="en-GB"/>
        </w:rPr>
        <w:tab/>
      </w:r>
      <w:r w:rsidR="001A4041" w:rsidRPr="00D31AD2">
        <w:rPr>
          <w:sz w:val="21"/>
          <w:szCs w:val="21"/>
          <w:lang w:val="en-GB"/>
        </w:rPr>
        <w:t xml:space="preserve">Table 1 shows the range of mean values of each operator, this figure alone is not a useful way to understand the quality of each operator. This is in part due to the nature of the data having values both above and below 0 creating anomalies such as can be seen from operator 7. </w:t>
      </w:r>
      <w:proofErr w:type="gramStart"/>
      <w:r w:rsidR="001A4041" w:rsidRPr="00D31AD2">
        <w:rPr>
          <w:sz w:val="21"/>
          <w:szCs w:val="21"/>
          <w:lang w:val="en-GB"/>
        </w:rPr>
        <w:t>This operators</w:t>
      </w:r>
      <w:proofErr w:type="gramEnd"/>
      <w:r w:rsidR="001A4041" w:rsidRPr="00D31AD2">
        <w:rPr>
          <w:sz w:val="21"/>
          <w:szCs w:val="21"/>
          <w:lang w:val="en-GB"/>
        </w:rPr>
        <w:t xml:space="preserve"> mean suggests a high level of accuracy however the spread of data and therefore the inconsistency of the operator is significantly greater than many other operators.</w:t>
      </w:r>
    </w:p>
    <w:p w14:paraId="01945E6C" w14:textId="179F5C27" w:rsidR="009C74C4" w:rsidRDefault="001A4041" w:rsidP="009C74C4">
      <w:pPr>
        <w:rPr>
          <w:sz w:val="21"/>
          <w:szCs w:val="21"/>
          <w:lang w:val="en-GB"/>
        </w:rPr>
      </w:pPr>
      <w:r>
        <w:rPr>
          <w:lang w:val="en-GB"/>
        </w:rPr>
        <w:tab/>
      </w:r>
      <w:r w:rsidR="009C74C4" w:rsidRPr="009C74C4">
        <w:rPr>
          <w:sz w:val="21"/>
          <w:szCs w:val="21"/>
          <w:lang w:val="en-GB"/>
        </w:rPr>
        <w:t xml:space="preserve">There are three outlying </w:t>
      </w:r>
      <w:r>
        <w:rPr>
          <w:sz w:val="21"/>
          <w:szCs w:val="21"/>
          <w:lang w:val="en-GB"/>
        </w:rPr>
        <w:t xml:space="preserve">samples </w:t>
      </w:r>
      <w:r w:rsidR="009C74C4" w:rsidRPr="009C74C4">
        <w:rPr>
          <w:sz w:val="21"/>
          <w:szCs w:val="21"/>
          <w:lang w:val="en-GB"/>
        </w:rPr>
        <w:t xml:space="preserve">that have a significantly </w:t>
      </w:r>
      <w:r>
        <w:rPr>
          <w:sz w:val="21"/>
          <w:szCs w:val="21"/>
          <w:lang w:val="en-GB"/>
        </w:rPr>
        <w:t>thicker</w:t>
      </w:r>
      <w:r w:rsidR="009C74C4" w:rsidRPr="009C74C4">
        <w:rPr>
          <w:sz w:val="21"/>
          <w:szCs w:val="21"/>
          <w:lang w:val="en-GB"/>
        </w:rPr>
        <w:t xml:space="preserve"> sizes than most of the data tested. As </w:t>
      </w:r>
      <w:r w:rsidR="009C74C4" w:rsidRPr="009C74C4">
        <w:rPr>
          <w:sz w:val="21"/>
          <w:szCs w:val="21"/>
          <w:lang w:val="en-GB"/>
        </w:rPr>
        <w:t xml:space="preserve">there are only three </w:t>
      </w:r>
      <w:r>
        <w:rPr>
          <w:sz w:val="21"/>
          <w:szCs w:val="21"/>
          <w:lang w:val="en-GB"/>
        </w:rPr>
        <w:t>samples</w:t>
      </w:r>
      <w:r w:rsidR="009C74C4" w:rsidRPr="009C74C4">
        <w:rPr>
          <w:sz w:val="21"/>
          <w:szCs w:val="21"/>
          <w:lang w:val="en-GB"/>
        </w:rPr>
        <w:t xml:space="preserve"> of this </w:t>
      </w:r>
      <w:r>
        <w:rPr>
          <w:sz w:val="21"/>
          <w:szCs w:val="21"/>
          <w:lang w:val="en-GB"/>
        </w:rPr>
        <w:t>thickness</w:t>
      </w:r>
      <w:r w:rsidR="009C74C4" w:rsidRPr="009C74C4">
        <w:rPr>
          <w:sz w:val="21"/>
          <w:szCs w:val="21"/>
          <w:lang w:val="en-GB"/>
        </w:rPr>
        <w:t xml:space="preserve"> it was considered that the method may be aimed at measuring th</w:t>
      </w:r>
      <w:r>
        <w:rPr>
          <w:sz w:val="21"/>
          <w:szCs w:val="21"/>
          <w:lang w:val="en-GB"/>
        </w:rPr>
        <w:t>inner walled components</w:t>
      </w:r>
      <w:r w:rsidR="009C74C4" w:rsidRPr="009C74C4">
        <w:rPr>
          <w:sz w:val="21"/>
          <w:szCs w:val="21"/>
          <w:lang w:val="en-GB"/>
        </w:rPr>
        <w:t xml:space="preserve"> and </w:t>
      </w:r>
      <w:r>
        <w:rPr>
          <w:sz w:val="21"/>
          <w:szCs w:val="21"/>
          <w:lang w:val="en-GB"/>
        </w:rPr>
        <w:t>thicker</w:t>
      </w:r>
      <w:r w:rsidR="009C74C4" w:rsidRPr="009C74C4">
        <w:rPr>
          <w:sz w:val="21"/>
          <w:szCs w:val="21"/>
          <w:lang w:val="en-GB"/>
        </w:rPr>
        <w:t xml:space="preserve"> may skew the way the results act due to the difference in </w:t>
      </w:r>
      <w:r>
        <w:rPr>
          <w:sz w:val="21"/>
          <w:szCs w:val="21"/>
          <w:lang w:val="en-GB"/>
        </w:rPr>
        <w:t>thickness</w:t>
      </w:r>
      <w:r w:rsidR="009C74C4" w:rsidRPr="009C74C4">
        <w:rPr>
          <w:sz w:val="21"/>
          <w:szCs w:val="21"/>
          <w:lang w:val="en-GB"/>
        </w:rPr>
        <w:t xml:space="preserve"> to the rest of the data and the small number of </w:t>
      </w:r>
      <w:r>
        <w:rPr>
          <w:sz w:val="21"/>
          <w:szCs w:val="21"/>
          <w:lang w:val="en-GB"/>
        </w:rPr>
        <w:t>thicker samples</w:t>
      </w:r>
      <w:r w:rsidR="009C74C4" w:rsidRPr="009C74C4">
        <w:rPr>
          <w:sz w:val="21"/>
          <w:szCs w:val="21"/>
          <w:lang w:val="en-GB"/>
        </w:rPr>
        <w:t xml:space="preserve"> leading to a higher likelihood that a single error in that range will have a large effect on the results.</w:t>
      </w:r>
    </w:p>
    <w:p w14:paraId="14B72D35" w14:textId="10BEE1F9" w:rsidR="004B7F29" w:rsidRDefault="004B7F29" w:rsidP="009C74C4">
      <w:pPr>
        <w:rPr>
          <w:sz w:val="21"/>
          <w:szCs w:val="21"/>
          <w:lang w:val="en-GB"/>
        </w:rPr>
      </w:pPr>
      <w:r>
        <w:rPr>
          <w:noProof/>
        </w:rPr>
        <w:drawing>
          <wp:inline distT="0" distB="0" distL="0" distR="0" wp14:anchorId="6CA4C8A0" wp14:editId="776CFB1C">
            <wp:extent cx="3185795" cy="2384612"/>
            <wp:effectExtent l="0" t="0" r="14605" b="15875"/>
            <wp:docPr id="24" name="Chart 24">
              <a:extLst xmlns:a="http://schemas.openxmlformats.org/drawingml/2006/main">
                <a:ext uri="{FF2B5EF4-FFF2-40B4-BE49-F238E27FC236}">
                  <a16:creationId xmlns:a16="http://schemas.microsoft.com/office/drawing/2014/main" id="{7ED634E9-A803-4263-A62B-921BF70A70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5EFD8FD" w14:textId="03EF03ED" w:rsidR="004B7F29" w:rsidRDefault="004B7F29" w:rsidP="004B7F29">
      <w:pPr>
        <w:pStyle w:val="Caption"/>
      </w:pPr>
      <w:r>
        <w:t xml:space="preserve">Figure </w:t>
      </w:r>
      <w:r>
        <w:fldChar w:fldCharType="begin"/>
      </w:r>
      <w:r>
        <w:instrText xml:space="preserve"> SEQ Figure \* ARABIC </w:instrText>
      </w:r>
      <w:r>
        <w:fldChar w:fldCharType="separate"/>
      </w:r>
      <w:r w:rsidR="00F22B89">
        <w:rPr>
          <w:noProof/>
        </w:rPr>
        <w:t>5</w:t>
      </w:r>
      <w:r>
        <w:fldChar w:fldCharType="end"/>
      </w:r>
      <w:r>
        <w:t>-Operators 1 to 5 compared only including thinner samples</w:t>
      </w:r>
    </w:p>
    <w:p w14:paraId="10235D34" w14:textId="37BB3ED3" w:rsidR="004B7F29" w:rsidRDefault="004B7F29" w:rsidP="004B7F29"/>
    <w:p w14:paraId="25660191" w14:textId="25731CDF" w:rsidR="004B7F29" w:rsidRDefault="004B7F29" w:rsidP="004B7F29">
      <w:r>
        <w:rPr>
          <w:noProof/>
        </w:rPr>
        <w:drawing>
          <wp:inline distT="0" distB="0" distL="0" distR="0" wp14:anchorId="2D4109CA" wp14:editId="040B4FC3">
            <wp:extent cx="3185795" cy="2540000"/>
            <wp:effectExtent l="0" t="0" r="14605" b="12700"/>
            <wp:docPr id="25" name="Chart 25">
              <a:extLst xmlns:a="http://schemas.openxmlformats.org/drawingml/2006/main">
                <a:ext uri="{FF2B5EF4-FFF2-40B4-BE49-F238E27FC236}">
                  <a16:creationId xmlns:a16="http://schemas.microsoft.com/office/drawing/2014/main" id="{8D0FC73D-11F8-4526-A66F-4AA36B4C5C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275893" w14:textId="5630167C" w:rsidR="004B7F29" w:rsidRDefault="004B7F29" w:rsidP="004B7F29">
      <w:pPr>
        <w:pStyle w:val="Caption"/>
      </w:pPr>
      <w:r>
        <w:t xml:space="preserve">Figure </w:t>
      </w:r>
      <w:r>
        <w:fldChar w:fldCharType="begin"/>
      </w:r>
      <w:r>
        <w:instrText xml:space="preserve"> SEQ Figure \* ARABIC </w:instrText>
      </w:r>
      <w:r>
        <w:fldChar w:fldCharType="separate"/>
      </w:r>
      <w:r w:rsidR="00F22B89">
        <w:rPr>
          <w:noProof/>
        </w:rPr>
        <w:t>6</w:t>
      </w:r>
      <w:r>
        <w:fldChar w:fldCharType="end"/>
      </w:r>
      <w:r>
        <w:t>-Operat</w:t>
      </w:r>
      <w:r w:rsidR="00F22B89">
        <w:t>or</w:t>
      </w:r>
      <w:r>
        <w:t>s 6 to 10 compared over thinner samples</w:t>
      </w:r>
    </w:p>
    <w:p w14:paraId="64FCC5BF" w14:textId="14377DF9" w:rsidR="004B7F29" w:rsidRPr="00D31AD2" w:rsidRDefault="00D31AD2" w:rsidP="004B7F29">
      <w:pPr>
        <w:rPr>
          <w:sz w:val="21"/>
          <w:szCs w:val="21"/>
        </w:rPr>
      </w:pPr>
      <w:r>
        <w:lastRenderedPageBreak/>
        <w:tab/>
      </w:r>
      <w:r w:rsidRPr="00D31AD2">
        <w:rPr>
          <w:sz w:val="21"/>
          <w:szCs w:val="21"/>
        </w:rPr>
        <w:t>Figures 5 and 6 show the effect of only analyzing each operator by the thicknesses under 2.7mm. Many of the operators perform significantly better when measuring these samples.</w:t>
      </w:r>
    </w:p>
    <w:p w14:paraId="0784FC65" w14:textId="2FE87A6C" w:rsidR="004B7F29" w:rsidRDefault="004B7F29" w:rsidP="004B7F29">
      <w:r>
        <w:rPr>
          <w:noProof/>
        </w:rPr>
        <w:drawing>
          <wp:inline distT="0" distB="0" distL="0" distR="0" wp14:anchorId="2126C600" wp14:editId="0F045373">
            <wp:extent cx="3185795" cy="2026023"/>
            <wp:effectExtent l="0" t="0" r="14605" b="6350"/>
            <wp:docPr id="26" name="Chart 26">
              <a:extLst xmlns:a="http://schemas.openxmlformats.org/drawingml/2006/main">
                <a:ext uri="{FF2B5EF4-FFF2-40B4-BE49-F238E27FC236}">
                  <a16:creationId xmlns:a16="http://schemas.microsoft.com/office/drawing/2014/main" id="{731DE739-34C5-4902-82D1-C060AC64EA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AD4739" w14:textId="39066E72" w:rsidR="00D31AD2" w:rsidRDefault="00D31AD2" w:rsidP="00D31AD2">
      <w:pPr>
        <w:pStyle w:val="Caption"/>
      </w:pPr>
      <w:r>
        <w:t xml:space="preserve">Figure </w:t>
      </w:r>
      <w:r>
        <w:fldChar w:fldCharType="begin"/>
      </w:r>
      <w:r>
        <w:instrText xml:space="preserve"> SEQ Figure \* ARABIC </w:instrText>
      </w:r>
      <w:r>
        <w:fldChar w:fldCharType="separate"/>
      </w:r>
      <w:r w:rsidR="00F22B89">
        <w:rPr>
          <w:noProof/>
        </w:rPr>
        <w:t>7</w:t>
      </w:r>
      <w:r>
        <w:fldChar w:fldCharType="end"/>
      </w:r>
      <w:r>
        <w:t>-Compariso</w:t>
      </w:r>
      <w:r w:rsidR="00F22B89">
        <w:t>n</w:t>
      </w:r>
      <w:r>
        <w:t xml:space="preserve"> between only thin mean results and overall mean results</w:t>
      </w:r>
    </w:p>
    <w:p w14:paraId="4E2ED60F" w14:textId="5470D777" w:rsidR="00D31AD2" w:rsidRPr="00D31AD2" w:rsidRDefault="00D31AD2" w:rsidP="00D31AD2">
      <w:pPr>
        <w:rPr>
          <w:sz w:val="21"/>
          <w:szCs w:val="21"/>
        </w:rPr>
      </w:pPr>
      <w:r>
        <w:tab/>
      </w:r>
      <w:r w:rsidRPr="00D31AD2">
        <w:rPr>
          <w:sz w:val="21"/>
          <w:szCs w:val="21"/>
        </w:rPr>
        <w:t>Figure 7 shows that when considering the method in the context of only thicknesses less than 2.7mm. The distribution becomes more focused around a slightly higher mean error. This suggests that the procedure is significantly more consistent within the thinner samples. There may be several reasons for this:</w:t>
      </w:r>
    </w:p>
    <w:p w14:paraId="0806D8AF" w14:textId="5E29BCB7" w:rsidR="00D31AD2" w:rsidRDefault="00D31AD2" w:rsidP="00D31AD2">
      <w:pPr>
        <w:pStyle w:val="ListParagraph"/>
        <w:numPr>
          <w:ilvl w:val="0"/>
          <w:numId w:val="5"/>
        </w:numPr>
      </w:pPr>
      <w:r>
        <w:t>The procedure may be aimed specifically at a range of thicknesses due to the application, for example it may be for monitoring the wall thickness of a particular pipe.</w:t>
      </w:r>
    </w:p>
    <w:p w14:paraId="0239B444" w14:textId="77777777" w:rsidR="00D31AD2" w:rsidRPr="00D31AD2" w:rsidRDefault="00D31AD2" w:rsidP="00F22B89">
      <w:pPr>
        <w:pStyle w:val="ListParagraph"/>
      </w:pPr>
    </w:p>
    <w:p w14:paraId="7E268B18" w14:textId="344A6DDD" w:rsidR="004B7F29" w:rsidRPr="004B7F29" w:rsidRDefault="004B7F29" w:rsidP="004B7F29">
      <w:r>
        <w:rPr>
          <w:noProof/>
        </w:rPr>
        <w:drawing>
          <wp:inline distT="0" distB="0" distL="0" distR="0" wp14:anchorId="2665940C" wp14:editId="5D0A99FD">
            <wp:extent cx="3185795" cy="2465294"/>
            <wp:effectExtent l="0" t="0" r="14605" b="11430"/>
            <wp:docPr id="27" name="Chart 27">
              <a:extLst xmlns:a="http://schemas.openxmlformats.org/drawingml/2006/main">
                <a:ext uri="{FF2B5EF4-FFF2-40B4-BE49-F238E27FC236}">
                  <a16:creationId xmlns:a16="http://schemas.microsoft.com/office/drawing/2014/main" id="{3BCCE583-F812-4D9B-8BB5-DAB0AC92C4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EE0D4AF" w14:textId="69BD7460" w:rsidR="009C74C4" w:rsidRDefault="009C74C4" w:rsidP="00A80706">
      <w:pPr>
        <w:pStyle w:val="NoSpacing"/>
        <w:jc w:val="both"/>
        <w:rPr>
          <w:rFonts w:ascii="Cambria" w:hAnsi="Cambria"/>
          <w:b/>
        </w:rPr>
      </w:pPr>
    </w:p>
    <w:p w14:paraId="2426862E" w14:textId="77777777" w:rsidR="00F22B89" w:rsidRDefault="00F22B89" w:rsidP="00A80706">
      <w:pPr>
        <w:pStyle w:val="NoSpacing"/>
        <w:jc w:val="both"/>
        <w:rPr>
          <w:rFonts w:ascii="Cambria" w:hAnsi="Cambria"/>
          <w:b/>
        </w:rPr>
      </w:pPr>
    </w:p>
    <w:p w14:paraId="5AD97CAC" w14:textId="22E60D2E" w:rsidR="00A80706" w:rsidRDefault="00A80706" w:rsidP="00A80706">
      <w:pPr>
        <w:pStyle w:val="NoSpacing"/>
        <w:jc w:val="both"/>
        <w:rPr>
          <w:rFonts w:ascii="Cambria" w:hAnsi="Cambria"/>
          <w:b/>
        </w:rPr>
      </w:pPr>
    </w:p>
    <w:p w14:paraId="6490C772" w14:textId="77777777" w:rsidR="00CA3372" w:rsidRDefault="00CA3372" w:rsidP="00A80706">
      <w:pPr>
        <w:pStyle w:val="NoSpacing"/>
        <w:jc w:val="both"/>
        <w:rPr>
          <w:rFonts w:ascii="Cambria" w:hAnsi="Cambria"/>
          <w:b/>
        </w:rPr>
      </w:pPr>
    </w:p>
    <w:p w14:paraId="21404F03" w14:textId="53A2B4B6" w:rsidR="00CA3372" w:rsidRDefault="006F2781" w:rsidP="00CA3372">
      <w:r>
        <w:rPr>
          <w:noProof/>
        </w:rPr>
        <w:object w:dxaOrig="4700" w:dyaOrig="3340" w14:anchorId="1BEA6922">
          <v:shape id="_x0000_i1025" type="#_x0000_t75" alt="" style="width:235pt;height:167pt;mso-width-percent:0;mso-height-percent:0;mso-width-percent:0;mso-height-percent:0" o:ole="">
            <v:imagedata r:id="rId22" o:title=""/>
          </v:shape>
          <o:OLEObject Type="Embed" ProgID="Word.Document.12" ShapeID="_x0000_i1025" DrawAspect="Content" ObjectID="_1702838103" r:id="rId23">
            <o:FieldCodes>\s</o:FieldCodes>
          </o:OLEObject>
        </w:object>
      </w:r>
    </w:p>
    <w:p w14:paraId="55F677EC" w14:textId="0E8BDEFF" w:rsidR="009C74C4" w:rsidRPr="00CA3372" w:rsidRDefault="009C74C4" w:rsidP="009C74C4">
      <w:pPr>
        <w:pStyle w:val="Caption"/>
      </w:pPr>
      <w:r>
        <w:t xml:space="preserve">Table </w:t>
      </w:r>
      <w:r>
        <w:fldChar w:fldCharType="begin"/>
      </w:r>
      <w:r>
        <w:instrText xml:space="preserve"> SEQ Table \* ARABIC </w:instrText>
      </w:r>
      <w:r>
        <w:fldChar w:fldCharType="separate"/>
      </w:r>
      <w:r w:rsidR="00F22B89">
        <w:rPr>
          <w:noProof/>
        </w:rPr>
        <w:t>2</w:t>
      </w:r>
      <w:r>
        <w:fldChar w:fldCharType="end"/>
      </w:r>
      <w:r>
        <w:t>-Operator key numerical values</w:t>
      </w:r>
    </w:p>
    <w:p w14:paraId="30DE5DBD" w14:textId="77777777" w:rsidR="008B34F1" w:rsidRDefault="008B34F1">
      <w:pPr>
        <w:pStyle w:val="NoSpacing"/>
        <w:jc w:val="both"/>
        <w:rPr>
          <w:rFonts w:ascii="Cambria" w:hAnsi="Cambria"/>
          <w:b/>
        </w:rPr>
      </w:pPr>
    </w:p>
    <w:p w14:paraId="5DBEF26D" w14:textId="57868A2A" w:rsidR="00443E0C" w:rsidRDefault="00D31AD2">
      <w:pPr>
        <w:pStyle w:val="NoSpacing"/>
        <w:jc w:val="both"/>
        <w:rPr>
          <w:rFonts w:ascii="Cambria" w:hAnsi="Cambria"/>
          <w:b/>
        </w:rPr>
      </w:pPr>
      <w:r>
        <w:rPr>
          <w:rFonts w:ascii="Cambria" w:hAnsi="Cambria"/>
          <w:b/>
        </w:rPr>
        <w:t>2</w:t>
      </w:r>
      <w:r w:rsidR="00443E0C">
        <w:rPr>
          <w:rFonts w:ascii="Cambria" w:hAnsi="Cambria"/>
          <w:b/>
        </w:rPr>
        <w:t>. CONCLUSIONS</w:t>
      </w:r>
    </w:p>
    <w:p w14:paraId="0167267A" w14:textId="77777777" w:rsidR="00443E0C" w:rsidRDefault="00443E0C">
      <w:pPr>
        <w:pStyle w:val="NoSpacing"/>
        <w:jc w:val="both"/>
        <w:rPr>
          <w:rFonts w:ascii="Cambria" w:hAnsi="Cambria"/>
          <w:b/>
        </w:rPr>
      </w:pPr>
    </w:p>
    <w:p w14:paraId="6D3BD8DB" w14:textId="77DB51AE" w:rsidR="00443E0C" w:rsidRDefault="00443E0C">
      <w:pPr>
        <w:pStyle w:val="NoSpacing"/>
        <w:jc w:val="both"/>
        <w:rPr>
          <w:rFonts w:ascii="Cambria" w:hAnsi="Cambria"/>
          <w:sz w:val="21"/>
          <w:szCs w:val="21"/>
        </w:rPr>
      </w:pPr>
      <w:r>
        <w:rPr>
          <w:rFonts w:ascii="Cambria" w:hAnsi="Cambria"/>
          <w:sz w:val="20"/>
          <w:szCs w:val="20"/>
        </w:rPr>
        <w:t xml:space="preserve"> </w:t>
      </w:r>
      <w:r w:rsidR="00D31AD2">
        <w:rPr>
          <w:rFonts w:ascii="Cambria" w:hAnsi="Cambria"/>
          <w:sz w:val="20"/>
          <w:szCs w:val="20"/>
        </w:rPr>
        <w:tab/>
      </w:r>
      <w:r w:rsidR="00D31AD2" w:rsidRPr="00D31AD2">
        <w:rPr>
          <w:rFonts w:ascii="Cambria" w:hAnsi="Cambria"/>
          <w:sz w:val="21"/>
          <w:szCs w:val="21"/>
        </w:rPr>
        <w:t xml:space="preserve">The procedure and operators have been </w:t>
      </w:r>
      <w:proofErr w:type="gramStart"/>
      <w:r w:rsidR="00D31AD2" w:rsidRPr="00D31AD2">
        <w:rPr>
          <w:rFonts w:ascii="Cambria" w:hAnsi="Cambria"/>
          <w:sz w:val="21"/>
          <w:szCs w:val="21"/>
        </w:rPr>
        <w:t>examined,</w:t>
      </w:r>
      <w:proofErr w:type="gramEnd"/>
      <w:r w:rsidR="00D31AD2" w:rsidRPr="00D31AD2">
        <w:rPr>
          <w:rFonts w:ascii="Cambria" w:hAnsi="Cambria"/>
          <w:sz w:val="21"/>
          <w:szCs w:val="21"/>
        </w:rPr>
        <w:t xml:space="preserve"> it was found that at thinner sample thicknesses the procedure is significantly more consistent than at thickness greater than 2.7mm. With no information about the procedure, operators or parts being examined it is difficult to identify a specific cause/causes for the tendency of the procedure to undersize the thicknesses. </w:t>
      </w:r>
    </w:p>
    <w:p w14:paraId="33D969A3" w14:textId="26F75523" w:rsidR="00D31AD2" w:rsidRPr="00D31AD2" w:rsidRDefault="00D31AD2">
      <w:pPr>
        <w:pStyle w:val="NoSpacing"/>
        <w:jc w:val="both"/>
        <w:rPr>
          <w:rFonts w:ascii="Cambria" w:hAnsi="Cambria"/>
          <w:sz w:val="21"/>
          <w:szCs w:val="21"/>
        </w:rPr>
      </w:pPr>
      <w:r>
        <w:rPr>
          <w:rFonts w:ascii="Cambria" w:hAnsi="Cambria"/>
          <w:sz w:val="21"/>
          <w:szCs w:val="21"/>
        </w:rPr>
        <w:lastRenderedPageBreak/>
        <w:tab/>
        <w:t xml:space="preserve">It was found that many operators performed differently when considering only the thinner samples, this could be a sign that more experienced operators are better able to cope with applying the procedure to thicker samples. </w:t>
      </w:r>
      <w:r w:rsidR="00F22B89">
        <w:rPr>
          <w:rFonts w:ascii="Cambria" w:hAnsi="Cambria"/>
          <w:sz w:val="21"/>
          <w:szCs w:val="21"/>
        </w:rPr>
        <w:t xml:space="preserve">The procedure appears to have a slightly better sizing accuracy for thinner samples </w:t>
      </w:r>
      <w:proofErr w:type="gramStart"/>
      <w:r w:rsidR="00F22B89">
        <w:rPr>
          <w:rFonts w:ascii="Cambria" w:hAnsi="Cambria"/>
          <w:sz w:val="21"/>
          <w:szCs w:val="21"/>
        </w:rPr>
        <w:t>and also</w:t>
      </w:r>
      <w:proofErr w:type="gramEnd"/>
      <w:r w:rsidR="00F22B89">
        <w:rPr>
          <w:rFonts w:ascii="Cambria" w:hAnsi="Cambria"/>
          <w:sz w:val="21"/>
          <w:szCs w:val="21"/>
        </w:rPr>
        <w:t xml:space="preserve"> appears </w:t>
      </w:r>
    </w:p>
    <w:p w14:paraId="2BFB2ECA" w14:textId="77777777" w:rsidR="00443E0C" w:rsidRDefault="00443E0C">
      <w:pPr>
        <w:pStyle w:val="NoSpacing"/>
        <w:jc w:val="both"/>
        <w:rPr>
          <w:rFonts w:ascii="Cambria" w:hAnsi="Cambria"/>
          <w:sz w:val="20"/>
          <w:szCs w:val="20"/>
        </w:rPr>
      </w:pPr>
    </w:p>
    <w:p w14:paraId="5E3EC9AE" w14:textId="24FC2010" w:rsidR="00443E0C" w:rsidRDefault="00D31AD2">
      <w:pPr>
        <w:pStyle w:val="NoSpacing"/>
        <w:jc w:val="both"/>
        <w:rPr>
          <w:rFonts w:ascii="Cambria" w:hAnsi="Cambria"/>
          <w:b/>
        </w:rPr>
      </w:pPr>
      <w:r>
        <w:rPr>
          <w:rFonts w:ascii="Cambria" w:hAnsi="Cambria"/>
          <w:b/>
        </w:rPr>
        <w:t xml:space="preserve">2. </w:t>
      </w:r>
      <w:r w:rsidR="009C74C4" w:rsidRPr="009C74C4">
        <w:rPr>
          <w:rFonts w:ascii="Cambria" w:hAnsi="Cambria"/>
          <w:b/>
        </w:rPr>
        <w:t>Evaluations</w:t>
      </w:r>
    </w:p>
    <w:p w14:paraId="4E8D2313" w14:textId="17877B6D" w:rsidR="009C74C4" w:rsidRDefault="009C74C4">
      <w:pPr>
        <w:pStyle w:val="NoSpacing"/>
        <w:jc w:val="both"/>
        <w:rPr>
          <w:rFonts w:ascii="Cambria" w:hAnsi="Cambria"/>
          <w:b/>
        </w:rPr>
      </w:pPr>
    </w:p>
    <w:p w14:paraId="4396D12D" w14:textId="3FDB0F49" w:rsidR="009C74C4" w:rsidRDefault="009C74C4">
      <w:pPr>
        <w:pStyle w:val="NoSpacing"/>
        <w:jc w:val="both"/>
        <w:rPr>
          <w:rFonts w:eastAsia="Times New Roman"/>
          <w:sz w:val="21"/>
          <w:szCs w:val="21"/>
          <w:lang w:val="en-GB"/>
        </w:rPr>
      </w:pPr>
      <w:r>
        <w:rPr>
          <w:rFonts w:ascii="Cambria" w:hAnsi="Cambria"/>
          <w:b/>
        </w:rPr>
        <w:tab/>
      </w:r>
      <w:r w:rsidRPr="009C74C4">
        <w:rPr>
          <w:rFonts w:eastAsia="Times New Roman"/>
          <w:sz w:val="21"/>
          <w:szCs w:val="21"/>
          <w:lang w:val="en-GB"/>
        </w:rPr>
        <w:t>The statistical methods used to com</w:t>
      </w:r>
      <w:r>
        <w:rPr>
          <w:rFonts w:eastAsia="Times New Roman"/>
          <w:sz w:val="21"/>
          <w:szCs w:val="21"/>
          <w:lang w:val="en-GB"/>
        </w:rPr>
        <w:t>p</w:t>
      </w:r>
      <w:r w:rsidRPr="009C74C4">
        <w:rPr>
          <w:rFonts w:eastAsia="Times New Roman"/>
          <w:sz w:val="21"/>
          <w:szCs w:val="21"/>
          <w:lang w:val="en-GB"/>
        </w:rPr>
        <w:t>are operator</w:t>
      </w:r>
      <w:r>
        <w:rPr>
          <w:rFonts w:eastAsia="Times New Roman"/>
          <w:sz w:val="21"/>
          <w:szCs w:val="21"/>
          <w:lang w:val="en-GB"/>
        </w:rPr>
        <w:t>s are useful in distinguishing between operators and understanding the quality of their work. There is limitation of the simple analyses conducted, when comparing two distributions with respect to performance it is difficult to make assertions as to whether differences are inherent variation in the procedures used or the equipment provided or differences in the effectiveness of the operators. Ideally sufficient data and repeated tests would be carried out to establish the probability of the differences arising through variance rather than through operator error.</w:t>
      </w:r>
    </w:p>
    <w:p w14:paraId="593B2CCD" w14:textId="77777777" w:rsidR="009C74C4" w:rsidRPr="009C74C4" w:rsidRDefault="009C74C4">
      <w:pPr>
        <w:pStyle w:val="NoSpacing"/>
        <w:jc w:val="both"/>
        <w:rPr>
          <w:rFonts w:eastAsia="Times New Roman"/>
          <w:sz w:val="21"/>
          <w:szCs w:val="21"/>
          <w:lang w:val="en-GB"/>
        </w:rPr>
      </w:pPr>
    </w:p>
    <w:p w14:paraId="29CC114C" w14:textId="77777777" w:rsidR="00443E0C" w:rsidRDefault="00443E0C">
      <w:pPr>
        <w:pStyle w:val="NoSpacing"/>
        <w:jc w:val="both"/>
        <w:rPr>
          <w:rFonts w:ascii="Cambria" w:hAnsi="Cambria"/>
          <w:b/>
          <w:szCs w:val="20"/>
        </w:rPr>
      </w:pPr>
      <w:r>
        <w:rPr>
          <w:rFonts w:ascii="Cambria" w:hAnsi="Cambria"/>
          <w:b/>
          <w:szCs w:val="20"/>
        </w:rPr>
        <w:t>REFERENCES</w:t>
      </w:r>
    </w:p>
    <w:p w14:paraId="0EF63BED" w14:textId="77777777" w:rsidR="00443E0C" w:rsidRDefault="00443E0C">
      <w:pPr>
        <w:pStyle w:val="NoSpacing"/>
        <w:jc w:val="both"/>
        <w:rPr>
          <w:rFonts w:ascii="Cambria" w:hAnsi="Cambria"/>
          <w:sz w:val="20"/>
          <w:szCs w:val="20"/>
        </w:rPr>
      </w:pPr>
    </w:p>
    <w:p w14:paraId="1B10B682"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 xml:space="preserve">, NDE 4.0 </w:t>
      </w:r>
      <w:proofErr w:type="spellStart"/>
      <w:r w:rsidRPr="00D31AD2">
        <w:rPr>
          <w:rFonts w:ascii="Roboto" w:hAnsi="Roboto"/>
          <w:color w:val="53565A"/>
          <w:sz w:val="21"/>
          <w:szCs w:val="21"/>
          <w:lang w:val="en-GB" w:eastAsia="en-GB"/>
        </w:rPr>
        <w:t>GroupUnknown</w:t>
      </w:r>
      <w:proofErr w:type="spellEnd"/>
      <w:r w:rsidRPr="00D31AD2">
        <w:rPr>
          <w:rFonts w:ascii="Roboto" w:hAnsi="Roboto"/>
          <w:color w:val="53565A"/>
          <w:sz w:val="21"/>
          <w:szCs w:val="21"/>
          <w:lang w:val="en-GB" w:eastAsia="en-GB"/>
        </w:rPr>
        <w:t>, Unknown-last update. Available: </w:t>
      </w:r>
      <w:hyperlink r:id="rId24" w:tgtFrame="_blank" w:history="1">
        <w:r w:rsidRPr="00D31AD2">
          <w:rPr>
            <w:rFonts w:ascii="Roboto" w:hAnsi="Roboto"/>
            <w:color w:val="0066CC"/>
            <w:sz w:val="21"/>
            <w:szCs w:val="21"/>
            <w:u w:val="single"/>
            <w:lang w:val="en-GB" w:eastAsia="en-GB"/>
          </w:rPr>
          <w:t>https://www.bindt.org/branches-and-committees/Institute-Groups/nde-4-0-group/</w:t>
        </w:r>
      </w:hyperlink>
      <w:r w:rsidRPr="00D31AD2">
        <w:rPr>
          <w:rFonts w:ascii="Roboto" w:hAnsi="Roboto"/>
          <w:color w:val="53565A"/>
          <w:sz w:val="21"/>
          <w:szCs w:val="21"/>
          <w:lang w:val="en-GB" w:eastAsia="en-GB"/>
        </w:rPr>
        <w:t>[1/1/, 2022].</w:t>
      </w:r>
    </w:p>
    <w:p w14:paraId="6B366786"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i/>
          <w:iCs/>
          <w:color w:val="53565A"/>
          <w:sz w:val="21"/>
          <w:szCs w:val="21"/>
          <w:lang w:val="en-GB" w:eastAsia="en-GB"/>
        </w:rPr>
        <w:t>HSE Health &amp; Safety Executive Probability of Detection (</w:t>
      </w:r>
      <w:proofErr w:type="spellStart"/>
      <w:r w:rsidRPr="00D31AD2">
        <w:rPr>
          <w:rFonts w:ascii="Roboto" w:hAnsi="Roboto"/>
          <w:i/>
          <w:iCs/>
          <w:color w:val="53565A"/>
          <w:sz w:val="21"/>
          <w:szCs w:val="21"/>
          <w:lang w:val="en-GB" w:eastAsia="en-GB"/>
        </w:rPr>
        <w:t>PoD</w:t>
      </w:r>
      <w:proofErr w:type="spellEnd"/>
      <w:r w:rsidRPr="00D31AD2">
        <w:rPr>
          <w:rFonts w:ascii="Roboto" w:hAnsi="Roboto"/>
          <w:i/>
          <w:iCs/>
          <w:color w:val="53565A"/>
          <w:sz w:val="21"/>
          <w:szCs w:val="21"/>
          <w:lang w:val="en-GB" w:eastAsia="en-GB"/>
        </w:rPr>
        <w:t xml:space="preserve">) curves Derivation, </w:t>
      </w:r>
      <w:proofErr w:type="gramStart"/>
      <w:r w:rsidRPr="00D31AD2">
        <w:rPr>
          <w:rFonts w:ascii="Roboto" w:hAnsi="Roboto"/>
          <w:i/>
          <w:iCs/>
          <w:color w:val="53565A"/>
          <w:sz w:val="21"/>
          <w:szCs w:val="21"/>
          <w:lang w:val="en-GB" w:eastAsia="en-GB"/>
        </w:rPr>
        <w:t>applications</w:t>
      </w:r>
      <w:proofErr w:type="gramEnd"/>
      <w:r w:rsidRPr="00D31AD2">
        <w:rPr>
          <w:rFonts w:ascii="Roboto" w:hAnsi="Roboto"/>
          <w:i/>
          <w:iCs/>
          <w:color w:val="53565A"/>
          <w:sz w:val="21"/>
          <w:szCs w:val="21"/>
          <w:lang w:val="en-GB" w:eastAsia="en-GB"/>
        </w:rPr>
        <w:t xml:space="preserve"> and limitations. </w:t>
      </w:r>
    </w:p>
    <w:p w14:paraId="212E78C4"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i/>
          <w:iCs/>
          <w:color w:val="53565A"/>
          <w:sz w:val="21"/>
          <w:szCs w:val="21"/>
          <w:lang w:val="en-GB" w:eastAsia="en-GB"/>
        </w:rPr>
        <w:t>NONDESTRUCTIVE EVALUATION REQUIREMENTS FOR FRACTURE-CRITICAL METALLIC COMPONENTS MEASUREMENT SYSTEM IDENTIFICATION: METRIC (INCH-POUND). </w:t>
      </w:r>
    </w:p>
    <w:p w14:paraId="0EDBBF10"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AMERAPEX CORPORATION, 2021-last update, Benefits of Non-Destructive Testing. Available: </w:t>
      </w:r>
      <w:hyperlink r:id="rId25" w:tgtFrame="_blank" w:history="1">
        <w:r w:rsidRPr="00D31AD2">
          <w:rPr>
            <w:rFonts w:ascii="Roboto" w:hAnsi="Roboto"/>
            <w:color w:val="0066CC"/>
            <w:sz w:val="21"/>
            <w:szCs w:val="21"/>
            <w:u w:val="single"/>
            <w:lang w:val="en-GB" w:eastAsia="en-GB"/>
          </w:rPr>
          <w:t>https://amerapex.com/2014/12/benefits-non-destructive-testing/</w:t>
        </w:r>
      </w:hyperlink>
      <w:r w:rsidRPr="00D31AD2">
        <w:rPr>
          <w:rFonts w:ascii="Roboto" w:hAnsi="Roboto"/>
          <w:color w:val="53565A"/>
          <w:sz w:val="21"/>
          <w:szCs w:val="21"/>
          <w:lang w:val="en-GB" w:eastAsia="en-GB"/>
        </w:rPr>
        <w:t> [23/12/, 2021].</w:t>
      </w:r>
    </w:p>
    <w:p w14:paraId="1F3D83B5"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ANNIS, C., GANDOSSI, L. and MARTIN, O., 2013. Optimal sample size for probability of detection curves. </w:t>
      </w:r>
      <w:r w:rsidRPr="00D31AD2">
        <w:rPr>
          <w:rFonts w:ascii="Roboto" w:hAnsi="Roboto"/>
          <w:i/>
          <w:iCs/>
          <w:color w:val="53565A"/>
          <w:sz w:val="21"/>
          <w:szCs w:val="21"/>
          <w:lang w:val="en-GB" w:eastAsia="en-GB"/>
        </w:rPr>
        <w:t>Nuclear Engineering and Design, </w:t>
      </w:r>
      <w:r w:rsidRPr="00D31AD2">
        <w:rPr>
          <w:rFonts w:ascii="Roboto" w:hAnsi="Roboto"/>
          <w:b/>
          <w:bCs/>
          <w:color w:val="53565A"/>
          <w:sz w:val="21"/>
          <w:szCs w:val="21"/>
          <w:lang w:val="en-GB" w:eastAsia="en-GB"/>
        </w:rPr>
        <w:t>262</w:t>
      </w:r>
      <w:r w:rsidRPr="00D31AD2">
        <w:rPr>
          <w:rFonts w:ascii="Roboto" w:hAnsi="Roboto"/>
          <w:color w:val="53565A"/>
          <w:sz w:val="21"/>
          <w:szCs w:val="21"/>
          <w:lang w:val="en-GB" w:eastAsia="en-GB"/>
        </w:rPr>
        <w:t>, pp. 98-105.</w:t>
      </w:r>
    </w:p>
    <w:p w14:paraId="15F287C1"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 xml:space="preserve">BRETT CORNWRIGHT, December, 2019-last update, What is NDE 4.0 and why is it </w:t>
      </w:r>
      <w:proofErr w:type="gramStart"/>
      <w:r w:rsidRPr="00D31AD2">
        <w:rPr>
          <w:rFonts w:ascii="Roboto" w:hAnsi="Roboto"/>
          <w:color w:val="53565A"/>
          <w:sz w:val="21"/>
          <w:szCs w:val="21"/>
          <w:lang w:val="en-GB" w:eastAsia="en-GB"/>
        </w:rPr>
        <w:t>important?.</w:t>
      </w:r>
      <w:proofErr w:type="gramEnd"/>
      <w:r w:rsidRPr="00D31AD2">
        <w:rPr>
          <w:rFonts w:ascii="Roboto" w:hAnsi="Roboto"/>
          <w:color w:val="53565A"/>
          <w:sz w:val="21"/>
          <w:szCs w:val="21"/>
          <w:lang w:val="en-GB" w:eastAsia="en-GB"/>
        </w:rPr>
        <w:t xml:space="preserve"> Available: </w:t>
      </w:r>
      <w:hyperlink r:id="rId26" w:tgtFrame="_blank" w:history="1">
        <w:r w:rsidRPr="00D31AD2">
          <w:rPr>
            <w:rFonts w:ascii="Roboto" w:hAnsi="Roboto"/>
            <w:color w:val="0066CC"/>
            <w:sz w:val="21"/>
            <w:szCs w:val="21"/>
            <w:u w:val="single"/>
            <w:lang w:val="en-GB" w:eastAsia="en-GB"/>
          </w:rPr>
          <w:t>https://floodlightsoft.com/blog/what-is-nde-4-0-and-why-is-it-important/</w:t>
        </w:r>
      </w:hyperlink>
      <w:r w:rsidRPr="00D31AD2">
        <w:rPr>
          <w:rFonts w:ascii="Roboto" w:hAnsi="Roboto"/>
          <w:color w:val="53565A"/>
          <w:sz w:val="21"/>
          <w:szCs w:val="21"/>
          <w:lang w:val="en-GB" w:eastAsia="en-GB"/>
        </w:rPr>
        <w:t> [18/12/, 2021].</w:t>
      </w:r>
    </w:p>
    <w:p w14:paraId="144EB827"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 xml:space="preserve">BRITISH INSTITUTE OF </w:t>
      </w:r>
      <w:proofErr w:type="gramStart"/>
      <w:r w:rsidRPr="00D31AD2">
        <w:rPr>
          <w:rFonts w:ascii="Roboto" w:hAnsi="Roboto"/>
          <w:color w:val="53565A"/>
          <w:sz w:val="21"/>
          <w:szCs w:val="21"/>
          <w:lang w:val="en-GB" w:eastAsia="en-GB"/>
        </w:rPr>
        <w:t>NON DESTRUCTIVE</w:t>
      </w:r>
      <w:proofErr w:type="gramEnd"/>
      <w:r w:rsidRPr="00D31AD2">
        <w:rPr>
          <w:rFonts w:ascii="Roboto" w:hAnsi="Roboto"/>
          <w:color w:val="53565A"/>
          <w:sz w:val="21"/>
          <w:szCs w:val="21"/>
          <w:lang w:val="en-GB" w:eastAsia="en-GB"/>
        </w:rPr>
        <w:t xml:space="preserve"> TESTING, 2013-last update, Ultrasonic Testing (UT). Available: </w:t>
      </w:r>
      <w:hyperlink r:id="rId27" w:tgtFrame="_blank" w:history="1">
        <w:r w:rsidRPr="00D31AD2">
          <w:rPr>
            <w:rFonts w:ascii="Roboto" w:hAnsi="Roboto"/>
            <w:color w:val="0066CC"/>
            <w:sz w:val="21"/>
            <w:szCs w:val="21"/>
            <w:u w:val="single"/>
            <w:lang w:val="en-GB" w:eastAsia="en-GB"/>
          </w:rPr>
          <w:t>https://www.bindt.org/international-and-european-standards/ndt-related-standards/ultrasonic-testing/?cookie-accept=1</w:t>
        </w:r>
      </w:hyperlink>
      <w:r w:rsidRPr="00D31AD2">
        <w:rPr>
          <w:rFonts w:ascii="Roboto" w:hAnsi="Roboto"/>
          <w:color w:val="53565A"/>
          <w:sz w:val="21"/>
          <w:szCs w:val="21"/>
          <w:lang w:val="en-GB" w:eastAsia="en-GB"/>
        </w:rPr>
        <w:t> [23/12/, 2021].</w:t>
      </w:r>
    </w:p>
    <w:p w14:paraId="2AFB7D1F"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BURROWES, M., PEREIRA, G.R. and TAVARES, L.M., 2019. Validation and Calibration of Computer-simulated Probability of Detection Curves from Ultrasonic Inspection. </w:t>
      </w:r>
      <w:r w:rsidRPr="00D31AD2">
        <w:rPr>
          <w:rFonts w:ascii="Roboto" w:hAnsi="Roboto"/>
          <w:i/>
          <w:iCs/>
          <w:color w:val="53565A"/>
          <w:sz w:val="21"/>
          <w:szCs w:val="21"/>
          <w:lang w:val="en-GB" w:eastAsia="en-GB"/>
        </w:rPr>
        <w:t>Insight (Northampton), </w:t>
      </w:r>
      <w:r w:rsidRPr="00D31AD2">
        <w:rPr>
          <w:rFonts w:ascii="Roboto" w:hAnsi="Roboto"/>
          <w:b/>
          <w:bCs/>
          <w:color w:val="53565A"/>
          <w:sz w:val="21"/>
          <w:szCs w:val="21"/>
          <w:lang w:val="en-GB" w:eastAsia="en-GB"/>
        </w:rPr>
        <w:t>61</w:t>
      </w:r>
      <w:r w:rsidRPr="00D31AD2">
        <w:rPr>
          <w:rFonts w:ascii="Roboto" w:hAnsi="Roboto"/>
          <w:color w:val="53565A"/>
          <w:sz w:val="21"/>
          <w:szCs w:val="21"/>
          <w:lang w:val="en-GB" w:eastAsia="en-GB"/>
        </w:rPr>
        <w:t>(4), pp. 197-203.</w:t>
      </w:r>
    </w:p>
    <w:p w14:paraId="0CFBD6A5"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 xml:space="preserve">DR JOSEPH WOO, 2020-last update, A history of the development of Ultrasound in Obstetrics and </w:t>
      </w:r>
      <w:proofErr w:type="spellStart"/>
      <w:r w:rsidRPr="00D31AD2">
        <w:rPr>
          <w:rFonts w:ascii="Roboto" w:hAnsi="Roboto"/>
          <w:color w:val="53565A"/>
          <w:sz w:val="21"/>
          <w:szCs w:val="21"/>
          <w:lang w:val="en-GB" w:eastAsia="en-GB"/>
        </w:rPr>
        <w:t>Gynecology</w:t>
      </w:r>
      <w:proofErr w:type="spellEnd"/>
      <w:r w:rsidRPr="00D31AD2">
        <w:rPr>
          <w:rFonts w:ascii="Roboto" w:hAnsi="Roboto"/>
          <w:color w:val="53565A"/>
          <w:sz w:val="21"/>
          <w:szCs w:val="21"/>
          <w:lang w:val="en-GB" w:eastAsia="en-GB"/>
        </w:rPr>
        <w:t>. Available: </w:t>
      </w:r>
      <w:hyperlink r:id="rId28" w:tgtFrame="_blank" w:history="1">
        <w:r w:rsidRPr="00D31AD2">
          <w:rPr>
            <w:rFonts w:ascii="Roboto" w:hAnsi="Roboto"/>
            <w:color w:val="0066CC"/>
            <w:sz w:val="21"/>
            <w:szCs w:val="21"/>
            <w:u w:val="single"/>
            <w:lang w:val="en-GB" w:eastAsia="en-GB"/>
          </w:rPr>
          <w:t>https://www.ob-ultrasound.net/history1.html</w:t>
        </w:r>
      </w:hyperlink>
      <w:r w:rsidRPr="00D31AD2">
        <w:rPr>
          <w:rFonts w:ascii="Roboto" w:hAnsi="Roboto"/>
          <w:color w:val="53565A"/>
          <w:sz w:val="21"/>
          <w:szCs w:val="21"/>
          <w:lang w:val="en-GB" w:eastAsia="en-GB"/>
        </w:rPr>
        <w:t> [24/12/, 2021].</w:t>
      </w:r>
    </w:p>
    <w:p w14:paraId="34663D40"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 xml:space="preserve">E. GINZEL, </w:t>
      </w:r>
      <w:proofErr w:type="gramStart"/>
      <w:r w:rsidRPr="00D31AD2">
        <w:rPr>
          <w:rFonts w:ascii="Roboto" w:hAnsi="Roboto"/>
          <w:color w:val="53565A"/>
          <w:sz w:val="21"/>
          <w:szCs w:val="21"/>
          <w:lang w:val="en-GB" w:eastAsia="en-GB"/>
        </w:rPr>
        <w:t>May,</w:t>
      </w:r>
      <w:proofErr w:type="gramEnd"/>
      <w:r w:rsidRPr="00D31AD2">
        <w:rPr>
          <w:rFonts w:ascii="Roboto" w:hAnsi="Roboto"/>
          <w:color w:val="53565A"/>
          <w:sz w:val="21"/>
          <w:szCs w:val="21"/>
          <w:lang w:val="en-GB" w:eastAsia="en-GB"/>
        </w:rPr>
        <w:t xml:space="preserve"> 2006-last update, Introduction to the Statistics of NDT. Available: </w:t>
      </w:r>
      <w:hyperlink r:id="rId29" w:tgtFrame="_blank" w:history="1">
        <w:r w:rsidRPr="00D31AD2">
          <w:rPr>
            <w:rFonts w:ascii="Roboto" w:hAnsi="Roboto"/>
            <w:color w:val="0066CC"/>
            <w:sz w:val="21"/>
            <w:szCs w:val="21"/>
            <w:u w:val="single"/>
            <w:lang w:val="en-GB" w:eastAsia="en-GB"/>
          </w:rPr>
          <w:t>https://www.ndt.net/article/v11n05/ginzel2/ginzel2.htm</w:t>
        </w:r>
      </w:hyperlink>
      <w:r w:rsidRPr="00D31AD2">
        <w:rPr>
          <w:rFonts w:ascii="Roboto" w:hAnsi="Roboto"/>
          <w:color w:val="53565A"/>
          <w:sz w:val="21"/>
          <w:szCs w:val="21"/>
          <w:lang w:val="en-GB" w:eastAsia="en-GB"/>
        </w:rPr>
        <w:t>[23/12/, 2021].</w:t>
      </w:r>
    </w:p>
    <w:p w14:paraId="51489AC3"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FORSYTH, M., 2007. The Past in the Future. </w:t>
      </w:r>
      <w:r w:rsidRPr="00D31AD2">
        <w:rPr>
          <w:rFonts w:ascii="Roboto" w:hAnsi="Roboto"/>
          <w:i/>
          <w:iCs/>
          <w:color w:val="53565A"/>
          <w:sz w:val="21"/>
          <w:szCs w:val="21"/>
          <w:lang w:val="en-GB" w:eastAsia="en-GB"/>
        </w:rPr>
        <w:t>Understanding Historic Building Conservation. </w:t>
      </w:r>
      <w:r w:rsidRPr="00D31AD2">
        <w:rPr>
          <w:rFonts w:ascii="Roboto" w:hAnsi="Roboto"/>
          <w:color w:val="53565A"/>
          <w:sz w:val="21"/>
          <w:szCs w:val="21"/>
          <w:lang w:val="en-GB" w:eastAsia="en-GB"/>
        </w:rPr>
        <w:t>Oxford, UK: Blackwell Publishing Ltd, pp. 1-8.</w:t>
      </w:r>
    </w:p>
    <w:p w14:paraId="696614DC"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GANDOSSI, L. and SIMOLA, K., 2006. Bayesian analysis of flaw sizing data of the NESC III exercise. </w:t>
      </w:r>
      <w:r w:rsidRPr="00D31AD2">
        <w:rPr>
          <w:rFonts w:ascii="Roboto" w:hAnsi="Roboto"/>
          <w:i/>
          <w:iCs/>
          <w:color w:val="53565A"/>
          <w:sz w:val="21"/>
          <w:szCs w:val="21"/>
          <w:lang w:val="en-GB" w:eastAsia="en-GB"/>
        </w:rPr>
        <w:t>The International journal of pressure vessels and piping, </w:t>
      </w:r>
      <w:r w:rsidRPr="00D31AD2">
        <w:rPr>
          <w:rFonts w:ascii="Roboto" w:hAnsi="Roboto"/>
          <w:b/>
          <w:bCs/>
          <w:color w:val="53565A"/>
          <w:sz w:val="21"/>
          <w:szCs w:val="21"/>
          <w:lang w:val="en-GB" w:eastAsia="en-GB"/>
        </w:rPr>
        <w:t>83</w:t>
      </w:r>
      <w:r w:rsidRPr="00D31AD2">
        <w:rPr>
          <w:rFonts w:ascii="Roboto" w:hAnsi="Roboto"/>
          <w:color w:val="53565A"/>
          <w:sz w:val="21"/>
          <w:szCs w:val="21"/>
          <w:lang w:val="en-GB" w:eastAsia="en-GB"/>
        </w:rPr>
        <w:t>(9), pp. 654-662.</w:t>
      </w:r>
    </w:p>
    <w:p w14:paraId="0C3B3CF4"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HELLIER, C., 2020. </w:t>
      </w:r>
      <w:r w:rsidRPr="00D31AD2">
        <w:rPr>
          <w:rFonts w:ascii="Roboto" w:hAnsi="Roboto"/>
          <w:i/>
          <w:iCs/>
          <w:color w:val="53565A"/>
          <w:sz w:val="21"/>
          <w:szCs w:val="21"/>
          <w:lang w:val="en-GB" w:eastAsia="en-GB"/>
        </w:rPr>
        <w:t xml:space="preserve">Handbook of </w:t>
      </w:r>
      <w:proofErr w:type="spellStart"/>
      <w:r w:rsidRPr="00D31AD2">
        <w:rPr>
          <w:rFonts w:ascii="Roboto" w:hAnsi="Roboto"/>
          <w:i/>
          <w:iCs/>
          <w:color w:val="53565A"/>
          <w:sz w:val="21"/>
          <w:szCs w:val="21"/>
          <w:lang w:val="en-GB" w:eastAsia="en-GB"/>
        </w:rPr>
        <w:t>Nondestructive</w:t>
      </w:r>
      <w:proofErr w:type="spellEnd"/>
      <w:r w:rsidRPr="00D31AD2">
        <w:rPr>
          <w:rFonts w:ascii="Roboto" w:hAnsi="Roboto"/>
          <w:i/>
          <w:iCs/>
          <w:color w:val="53565A"/>
          <w:sz w:val="21"/>
          <w:szCs w:val="21"/>
          <w:lang w:val="en-GB" w:eastAsia="en-GB"/>
        </w:rPr>
        <w:t xml:space="preserve"> Evaluation, 3E. </w:t>
      </w:r>
      <w:r w:rsidRPr="00D31AD2">
        <w:rPr>
          <w:rFonts w:ascii="Roboto" w:hAnsi="Roboto"/>
          <w:color w:val="53565A"/>
          <w:sz w:val="21"/>
          <w:szCs w:val="21"/>
          <w:lang w:val="en-GB" w:eastAsia="en-GB"/>
        </w:rPr>
        <w:t xml:space="preserve">Third </w:t>
      </w:r>
      <w:proofErr w:type="spellStart"/>
      <w:r w:rsidRPr="00D31AD2">
        <w:rPr>
          <w:rFonts w:ascii="Roboto" w:hAnsi="Roboto"/>
          <w:color w:val="53565A"/>
          <w:sz w:val="21"/>
          <w:szCs w:val="21"/>
          <w:lang w:val="en-GB" w:eastAsia="en-GB"/>
        </w:rPr>
        <w:t>edn</w:t>
      </w:r>
      <w:proofErr w:type="spellEnd"/>
      <w:r w:rsidRPr="00D31AD2">
        <w:rPr>
          <w:rFonts w:ascii="Roboto" w:hAnsi="Roboto"/>
          <w:color w:val="53565A"/>
          <w:sz w:val="21"/>
          <w:szCs w:val="21"/>
          <w:lang w:val="en-GB" w:eastAsia="en-GB"/>
        </w:rPr>
        <w:t xml:space="preserve">. </w:t>
      </w:r>
      <w:proofErr w:type="spellStart"/>
      <w:r w:rsidRPr="00D31AD2">
        <w:rPr>
          <w:rFonts w:ascii="Roboto" w:hAnsi="Roboto"/>
          <w:color w:val="53565A"/>
          <w:sz w:val="21"/>
          <w:szCs w:val="21"/>
          <w:lang w:val="en-GB" w:eastAsia="en-GB"/>
        </w:rPr>
        <w:t>S.l.</w:t>
      </w:r>
      <w:proofErr w:type="spellEnd"/>
      <w:r w:rsidRPr="00D31AD2">
        <w:rPr>
          <w:rFonts w:ascii="Roboto" w:hAnsi="Roboto"/>
          <w:color w:val="53565A"/>
          <w:sz w:val="21"/>
          <w:szCs w:val="21"/>
          <w:lang w:val="en-GB" w:eastAsia="en-GB"/>
        </w:rPr>
        <w:t>: McGraw-Hill Education.</w:t>
      </w:r>
    </w:p>
    <w:p w14:paraId="579E07E0"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KEPRATE, A. and CHANDIMA RATNAYAKE, R.M., Jan 2016. Selecting fatigue critical inspection location of offshore topside piping using fuzzy-AHP framework, Jan 2016, IEEE, pp. 235-240.</w:t>
      </w:r>
    </w:p>
    <w:p w14:paraId="64A0EECB"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KURZ, J.H., JÜNGERT, A., DUGAN, S., DOBMANN, G. and BOLLER, C., 2013. Reliability considerations of NDT by probability of detection (POD) determination using ultrasound phased array. </w:t>
      </w:r>
      <w:r w:rsidRPr="00D31AD2">
        <w:rPr>
          <w:rFonts w:ascii="Roboto" w:hAnsi="Roboto"/>
          <w:i/>
          <w:iCs/>
          <w:color w:val="53565A"/>
          <w:sz w:val="21"/>
          <w:szCs w:val="21"/>
          <w:lang w:val="en-GB" w:eastAsia="en-GB"/>
        </w:rPr>
        <w:t>Engineering failure analysis, </w:t>
      </w:r>
      <w:r w:rsidRPr="00D31AD2">
        <w:rPr>
          <w:rFonts w:ascii="Roboto" w:hAnsi="Roboto"/>
          <w:b/>
          <w:bCs/>
          <w:color w:val="53565A"/>
          <w:sz w:val="21"/>
          <w:szCs w:val="21"/>
          <w:lang w:val="en-GB" w:eastAsia="en-GB"/>
        </w:rPr>
        <w:t>35</w:t>
      </w:r>
      <w:r w:rsidRPr="00D31AD2">
        <w:rPr>
          <w:rFonts w:ascii="Roboto" w:hAnsi="Roboto"/>
          <w:color w:val="53565A"/>
          <w:sz w:val="21"/>
          <w:szCs w:val="21"/>
          <w:lang w:val="en-GB" w:eastAsia="en-GB"/>
        </w:rPr>
        <w:t>, pp. 609-617.</w:t>
      </w:r>
    </w:p>
    <w:p w14:paraId="0CF5DA76"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lastRenderedPageBreak/>
        <w:t xml:space="preserve">MCNAB, A. and DUNLOP, I., 1992. AI techniques applied to the classification of welding defects from automated NDT </w:t>
      </w:r>
      <w:proofErr w:type="gramStart"/>
      <w:r w:rsidRPr="00D31AD2">
        <w:rPr>
          <w:rFonts w:ascii="Roboto" w:hAnsi="Roboto"/>
          <w:color w:val="53565A"/>
          <w:sz w:val="21"/>
          <w:szCs w:val="21"/>
          <w:lang w:val="en-GB" w:eastAsia="en-GB"/>
        </w:rPr>
        <w:t>data :</w:t>
      </w:r>
      <w:proofErr w:type="gramEnd"/>
      <w:r w:rsidRPr="00D31AD2">
        <w:rPr>
          <w:rFonts w:ascii="Roboto" w:hAnsi="Roboto"/>
          <w:color w:val="53565A"/>
          <w:sz w:val="21"/>
          <w:szCs w:val="21"/>
          <w:lang w:val="en-GB" w:eastAsia="en-GB"/>
        </w:rPr>
        <w:t xml:space="preserve"> British Journal of Non-Destructive Testing, Vol. 33, No. 1, pp. 11–18 (Jan. 1991). </w:t>
      </w:r>
      <w:r w:rsidRPr="00D31AD2">
        <w:rPr>
          <w:rFonts w:ascii="Roboto" w:hAnsi="Roboto"/>
          <w:i/>
          <w:iCs/>
          <w:color w:val="53565A"/>
          <w:sz w:val="21"/>
          <w:szCs w:val="21"/>
          <w:lang w:val="en-GB" w:eastAsia="en-GB"/>
        </w:rPr>
        <w:t xml:space="preserve">NDT &amp; E </w:t>
      </w:r>
      <w:proofErr w:type="gramStart"/>
      <w:r w:rsidRPr="00D31AD2">
        <w:rPr>
          <w:rFonts w:ascii="Roboto" w:hAnsi="Roboto"/>
          <w:i/>
          <w:iCs/>
          <w:color w:val="53565A"/>
          <w:sz w:val="21"/>
          <w:szCs w:val="21"/>
          <w:lang w:val="en-GB" w:eastAsia="en-GB"/>
        </w:rPr>
        <w:t>international :</w:t>
      </w:r>
      <w:proofErr w:type="gramEnd"/>
      <w:r w:rsidRPr="00D31AD2">
        <w:rPr>
          <w:rFonts w:ascii="Roboto" w:hAnsi="Roboto"/>
          <w:i/>
          <w:iCs/>
          <w:color w:val="53565A"/>
          <w:sz w:val="21"/>
          <w:szCs w:val="21"/>
          <w:lang w:val="en-GB" w:eastAsia="en-GB"/>
        </w:rPr>
        <w:t xml:space="preserve"> independent </w:t>
      </w:r>
      <w:proofErr w:type="spellStart"/>
      <w:r w:rsidRPr="00D31AD2">
        <w:rPr>
          <w:rFonts w:ascii="Roboto" w:hAnsi="Roboto"/>
          <w:i/>
          <w:iCs/>
          <w:color w:val="53565A"/>
          <w:sz w:val="21"/>
          <w:szCs w:val="21"/>
          <w:lang w:val="en-GB" w:eastAsia="en-GB"/>
        </w:rPr>
        <w:t>nondestructive</w:t>
      </w:r>
      <w:proofErr w:type="spellEnd"/>
      <w:r w:rsidRPr="00D31AD2">
        <w:rPr>
          <w:rFonts w:ascii="Roboto" w:hAnsi="Roboto"/>
          <w:i/>
          <w:iCs/>
          <w:color w:val="53565A"/>
          <w:sz w:val="21"/>
          <w:szCs w:val="21"/>
          <w:lang w:val="en-GB" w:eastAsia="en-GB"/>
        </w:rPr>
        <w:t xml:space="preserve"> testing and evaluation, </w:t>
      </w:r>
      <w:r w:rsidRPr="00D31AD2">
        <w:rPr>
          <w:rFonts w:ascii="Roboto" w:hAnsi="Roboto"/>
          <w:b/>
          <w:bCs/>
          <w:color w:val="53565A"/>
          <w:sz w:val="21"/>
          <w:szCs w:val="21"/>
          <w:lang w:val="en-GB" w:eastAsia="en-GB"/>
        </w:rPr>
        <w:t>25</w:t>
      </w:r>
      <w:r w:rsidRPr="00D31AD2">
        <w:rPr>
          <w:rFonts w:ascii="Roboto" w:hAnsi="Roboto"/>
          <w:color w:val="53565A"/>
          <w:sz w:val="21"/>
          <w:szCs w:val="21"/>
          <w:lang w:val="en-GB" w:eastAsia="en-GB"/>
        </w:rPr>
        <w:t>(1), pp. 43.</w:t>
      </w:r>
    </w:p>
    <w:p w14:paraId="4ECA85E2"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RUMMEL, W.D., 2010. </w:t>
      </w:r>
      <w:r w:rsidRPr="00D31AD2">
        <w:rPr>
          <w:rFonts w:ascii="Roboto" w:hAnsi="Roboto"/>
          <w:i/>
          <w:iCs/>
          <w:color w:val="53565A"/>
          <w:sz w:val="21"/>
          <w:szCs w:val="21"/>
          <w:lang w:val="en-GB" w:eastAsia="en-GB"/>
        </w:rPr>
        <w:t>NONDESTRUCTIVE INSPECTION RELIABILITY -HISTORY, STATUS AND FUTURE PATH. </w:t>
      </w:r>
    </w:p>
    <w:p w14:paraId="4A7EFE9A"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SMITH, A.T., SCHNEIDER, C.R.A., BIRD, C.R. and WALL, M., 2019. Use of non-destructive testing for engineering critical assessment: Background to the advice given in BS 7910:2013. </w:t>
      </w:r>
      <w:r w:rsidRPr="00D31AD2">
        <w:rPr>
          <w:rFonts w:ascii="Roboto" w:hAnsi="Roboto"/>
          <w:i/>
          <w:iCs/>
          <w:color w:val="53565A"/>
          <w:sz w:val="21"/>
          <w:szCs w:val="21"/>
          <w:lang w:val="en-GB" w:eastAsia="en-GB"/>
        </w:rPr>
        <w:t>The International journal of pressure vessels and piping, </w:t>
      </w:r>
      <w:r w:rsidRPr="00D31AD2">
        <w:rPr>
          <w:rFonts w:ascii="Roboto" w:hAnsi="Roboto"/>
          <w:b/>
          <w:bCs/>
          <w:color w:val="53565A"/>
          <w:sz w:val="21"/>
          <w:szCs w:val="21"/>
          <w:lang w:val="en-GB" w:eastAsia="en-GB"/>
        </w:rPr>
        <w:t>169</w:t>
      </w:r>
      <w:r w:rsidRPr="00D31AD2">
        <w:rPr>
          <w:rFonts w:ascii="Roboto" w:hAnsi="Roboto"/>
          <w:color w:val="53565A"/>
          <w:sz w:val="21"/>
          <w:szCs w:val="21"/>
          <w:lang w:val="en-GB" w:eastAsia="en-GB"/>
        </w:rPr>
        <w:t>, pp. 153-159.</w:t>
      </w:r>
    </w:p>
    <w:p w14:paraId="04FA2913"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SPERRY RAIL</w:t>
      </w:r>
      <w:proofErr w:type="gramStart"/>
      <w:r w:rsidRPr="00D31AD2">
        <w:rPr>
          <w:rFonts w:ascii="Roboto" w:hAnsi="Roboto"/>
          <w:color w:val="53565A"/>
          <w:sz w:val="21"/>
          <w:szCs w:val="21"/>
          <w:lang w:val="en-GB" w:eastAsia="en-GB"/>
        </w:rPr>
        <w:t>, ,</w:t>
      </w:r>
      <w:proofErr w:type="gramEnd"/>
      <w:r w:rsidRPr="00D31AD2">
        <w:rPr>
          <w:rFonts w:ascii="Roboto" w:hAnsi="Roboto"/>
          <w:color w:val="53565A"/>
          <w:sz w:val="21"/>
          <w:szCs w:val="21"/>
          <w:lang w:val="en-GB" w:eastAsia="en-GB"/>
        </w:rPr>
        <w:t xml:space="preserve"> The Sperry Legacy. Available: </w:t>
      </w:r>
      <w:hyperlink r:id="rId30" w:tgtFrame="_blank" w:history="1">
        <w:r w:rsidRPr="00D31AD2">
          <w:rPr>
            <w:rFonts w:ascii="Roboto" w:hAnsi="Roboto"/>
            <w:color w:val="0066CC"/>
            <w:sz w:val="21"/>
            <w:szCs w:val="21"/>
            <w:u w:val="single"/>
            <w:lang w:val="en-GB" w:eastAsia="en-GB"/>
          </w:rPr>
          <w:t>https://www.sperryrail.com/story.php</w:t>
        </w:r>
      </w:hyperlink>
      <w:r w:rsidRPr="00D31AD2">
        <w:rPr>
          <w:rFonts w:ascii="Roboto" w:hAnsi="Roboto"/>
          <w:color w:val="53565A"/>
          <w:sz w:val="21"/>
          <w:szCs w:val="21"/>
          <w:lang w:val="en-GB" w:eastAsia="en-GB"/>
        </w:rPr>
        <w:t> [23/12/, 2021].</w:t>
      </w:r>
    </w:p>
    <w:p w14:paraId="0C066A30" w14:textId="77777777" w:rsidR="00D31AD2" w:rsidRPr="00D31AD2" w:rsidRDefault="00D31AD2" w:rsidP="00D31AD2">
      <w:pPr>
        <w:spacing w:after="173" w:line="240" w:lineRule="auto"/>
        <w:rPr>
          <w:rFonts w:ascii="Roboto" w:hAnsi="Roboto"/>
          <w:color w:val="53565A"/>
          <w:sz w:val="21"/>
          <w:szCs w:val="21"/>
          <w:lang w:val="en-GB" w:eastAsia="en-GB"/>
        </w:rPr>
      </w:pPr>
      <w:r w:rsidRPr="00D31AD2">
        <w:rPr>
          <w:rFonts w:ascii="Roboto" w:hAnsi="Roboto"/>
          <w:color w:val="53565A"/>
          <w:sz w:val="21"/>
          <w:szCs w:val="21"/>
          <w:lang w:val="en-GB" w:eastAsia="en-GB"/>
        </w:rPr>
        <w:t>VIRKKUNEN, I., KOSKINEN, T. and JESSEN-JUHLER, O., 2021. Virtual round robin – A new opportunity to study NDT reliability. </w:t>
      </w:r>
      <w:r w:rsidRPr="00D31AD2">
        <w:rPr>
          <w:rFonts w:ascii="Roboto" w:hAnsi="Roboto"/>
          <w:i/>
          <w:iCs/>
          <w:color w:val="53565A"/>
          <w:sz w:val="21"/>
          <w:szCs w:val="21"/>
          <w:lang w:val="en-GB" w:eastAsia="en-GB"/>
        </w:rPr>
        <w:t>Nuclear Engineering and Design, </w:t>
      </w:r>
      <w:r w:rsidRPr="00D31AD2">
        <w:rPr>
          <w:rFonts w:ascii="Roboto" w:hAnsi="Roboto"/>
          <w:b/>
          <w:bCs/>
          <w:color w:val="53565A"/>
          <w:sz w:val="21"/>
          <w:szCs w:val="21"/>
          <w:lang w:val="en-GB" w:eastAsia="en-GB"/>
        </w:rPr>
        <w:t>380</w:t>
      </w:r>
      <w:r w:rsidRPr="00D31AD2">
        <w:rPr>
          <w:rFonts w:ascii="Roboto" w:hAnsi="Roboto"/>
          <w:color w:val="53565A"/>
          <w:sz w:val="21"/>
          <w:szCs w:val="21"/>
          <w:lang w:val="en-GB" w:eastAsia="en-GB"/>
        </w:rPr>
        <w:t>, pp. 111297.</w:t>
      </w:r>
    </w:p>
    <w:p w14:paraId="1765B869" w14:textId="77777777" w:rsidR="00443E0C" w:rsidRDefault="00443E0C">
      <w:pPr>
        <w:rPr>
          <w:rFonts w:ascii="Cambria" w:hAnsi="Cambria"/>
        </w:rPr>
      </w:pPr>
    </w:p>
    <w:p w14:paraId="3460484C" w14:textId="77777777" w:rsidR="00C56FB8" w:rsidRDefault="00C56FB8">
      <w:pPr>
        <w:rPr>
          <w:rFonts w:ascii="Cambria" w:hAnsi="Cambria"/>
        </w:rPr>
      </w:pPr>
    </w:p>
    <w:p w14:paraId="6CC24F44" w14:textId="77777777" w:rsidR="00C56FB8" w:rsidRDefault="00C56FB8">
      <w:pPr>
        <w:rPr>
          <w:rFonts w:ascii="Cambria" w:hAnsi="Cambria"/>
        </w:rPr>
      </w:pPr>
    </w:p>
    <w:p w14:paraId="7567E4BA" w14:textId="77777777" w:rsidR="00C56FB8" w:rsidRDefault="00C56FB8">
      <w:pPr>
        <w:rPr>
          <w:rFonts w:ascii="Cambria" w:hAnsi="Cambria"/>
        </w:rPr>
      </w:pPr>
    </w:p>
    <w:p w14:paraId="2DBEABAF" w14:textId="77777777" w:rsidR="00C56FB8" w:rsidRDefault="00C56FB8">
      <w:pPr>
        <w:rPr>
          <w:rFonts w:ascii="Cambria" w:hAnsi="Cambria"/>
        </w:rPr>
      </w:pPr>
    </w:p>
    <w:p w14:paraId="06CD12A6" w14:textId="77777777" w:rsidR="00C56FB8" w:rsidRDefault="00C56FB8">
      <w:pPr>
        <w:rPr>
          <w:rFonts w:ascii="Cambria" w:hAnsi="Cambria"/>
        </w:rPr>
      </w:pPr>
    </w:p>
    <w:p w14:paraId="04511505" w14:textId="77777777" w:rsidR="00C56FB8" w:rsidRDefault="00C56FB8">
      <w:pPr>
        <w:rPr>
          <w:rFonts w:ascii="Cambria" w:hAnsi="Cambria"/>
        </w:rPr>
      </w:pPr>
    </w:p>
    <w:p w14:paraId="35A00276" w14:textId="77777777" w:rsidR="00C56FB8" w:rsidRDefault="00C56FB8">
      <w:pPr>
        <w:rPr>
          <w:rFonts w:ascii="Cambria" w:hAnsi="Cambria"/>
        </w:rPr>
      </w:pPr>
    </w:p>
    <w:p w14:paraId="568B31B2" w14:textId="77777777" w:rsidR="00C56FB8" w:rsidRDefault="00C56FB8">
      <w:pPr>
        <w:rPr>
          <w:rFonts w:ascii="Cambria" w:hAnsi="Cambria"/>
        </w:rPr>
      </w:pPr>
    </w:p>
    <w:p w14:paraId="34FE68C9" w14:textId="77777777" w:rsidR="00C56FB8" w:rsidRDefault="00C56FB8">
      <w:pPr>
        <w:rPr>
          <w:rFonts w:ascii="Cambria" w:hAnsi="Cambria"/>
        </w:rPr>
      </w:pPr>
    </w:p>
    <w:p w14:paraId="1F06A8CF" w14:textId="77777777" w:rsidR="00C56FB8" w:rsidRDefault="00C56FB8">
      <w:pPr>
        <w:rPr>
          <w:rFonts w:ascii="Cambria" w:hAnsi="Cambria"/>
        </w:rPr>
      </w:pPr>
    </w:p>
    <w:p w14:paraId="5D86D31B" w14:textId="77777777" w:rsidR="00C56FB8" w:rsidRDefault="00C56FB8">
      <w:pPr>
        <w:rPr>
          <w:rFonts w:ascii="Cambria" w:hAnsi="Cambria"/>
        </w:rPr>
      </w:pPr>
    </w:p>
    <w:p w14:paraId="185D9EB5" w14:textId="77777777" w:rsidR="00C56FB8" w:rsidRDefault="00C56FB8">
      <w:pPr>
        <w:rPr>
          <w:rFonts w:ascii="Cambria" w:hAnsi="Cambria"/>
        </w:rPr>
      </w:pPr>
    </w:p>
    <w:p w14:paraId="0E5CACDD" w14:textId="77777777" w:rsidR="00C56FB8" w:rsidRDefault="00C56FB8">
      <w:pPr>
        <w:rPr>
          <w:rFonts w:ascii="Cambria" w:hAnsi="Cambria"/>
        </w:rPr>
      </w:pPr>
    </w:p>
    <w:sectPr w:rsidR="00C56FB8" w:rsidSect="002B07D0">
      <w:headerReference w:type="default" r:id="rId31"/>
      <w:type w:val="continuous"/>
      <w:pgSz w:w="11907" w:h="16840"/>
      <w:pgMar w:top="720" w:right="720" w:bottom="720" w:left="720" w:header="720" w:footer="720" w:gutter="0"/>
      <w:cols w:num="2"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95DA1A" w14:textId="77777777" w:rsidR="006F2781" w:rsidRDefault="006F2781">
      <w:pPr>
        <w:spacing w:after="0" w:line="240" w:lineRule="auto"/>
      </w:pPr>
      <w:r>
        <w:separator/>
      </w:r>
    </w:p>
  </w:endnote>
  <w:endnote w:type="continuationSeparator" w:id="0">
    <w:p w14:paraId="21750277" w14:textId="77777777" w:rsidR="006F2781" w:rsidRDefault="006F2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altName w:val="Times"/>
    <w:panose1 w:val="00000500000000020000"/>
    <w:charset w:val="00"/>
    <w:family w:val="auto"/>
    <w:pitch w:val="variable"/>
    <w:sig w:usb0="E00002FF" w:usb1="5000205A" w:usb2="00000000" w:usb3="00000000" w:csb0="0000019F" w:csb1="00000000"/>
  </w:font>
  <w:font w:name="BatangChe">
    <w:panose1 w:val="02030609000101010101"/>
    <w:charset w:val="81"/>
    <w:family w:val="modern"/>
    <w:pitch w:val="fixed"/>
    <w:sig w:usb0="B00002AF" w:usb1="69D77CFB" w:usb2="00000030" w:usb3="00000000" w:csb0="0008009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538BAE" w14:textId="77777777" w:rsidR="00405DB3" w:rsidRDefault="00C56FB8"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3E036130" wp14:editId="22B44176">
              <wp:simplePos x="0" y="0"/>
              <wp:positionH relativeFrom="column">
                <wp:posOffset>5715</wp:posOffset>
              </wp:positionH>
              <wp:positionV relativeFrom="paragraph">
                <wp:posOffset>67310</wp:posOffset>
              </wp:positionV>
              <wp:extent cx="6685280" cy="0"/>
              <wp:effectExtent l="0" t="0" r="0" b="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6278650"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" strokecolor="gray">
              <o:lock v:ext="edit" shapetype="f"/>
            </v:shape>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7840093B" wp14:editId="4BAF1392">
              <wp:simplePos x="0" y="0"/>
              <wp:positionH relativeFrom="column">
                <wp:posOffset>5715</wp:posOffset>
              </wp:positionH>
              <wp:positionV relativeFrom="paragraph">
                <wp:posOffset>99060</wp:posOffset>
              </wp:positionV>
              <wp:extent cx="6685280" cy="0"/>
              <wp:effectExtent l="0" t="0" r="0" b="0"/>
              <wp:wrapNone/>
              <wp:docPr id="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6658D8"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" strokecolor="gray">
              <o:lock v:ext="edit" shapetype="f"/>
            </v:shape>
          </w:pict>
        </mc:Fallback>
      </mc:AlternateContent>
    </w:r>
  </w:p>
  <w:p w14:paraId="27353D9F" w14:textId="77777777" w:rsidR="003347F1" w:rsidRDefault="00405DB3" w:rsidP="00405DB3">
    <w:pPr>
      <w:pStyle w:val="Footer"/>
      <w:rPr>
        <w:rFonts w:ascii="Cambria" w:hAnsi="Cambria" w:cs="Cambria"/>
        <w:b/>
        <w:bCs/>
        <w:color w:val="585858"/>
        <w:spacing w:val="-4"/>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w:t>
    </w:r>
    <w:r w:rsidR="003347F1">
      <w:rPr>
        <w:rFonts w:ascii="Cambria" w:hAnsi="Cambria" w:cs="Cambria"/>
        <w:b/>
        <w:bCs/>
        <w:color w:val="585858"/>
        <w:spacing w:val="-4"/>
        <w:sz w:val="20"/>
      </w:rPr>
      <w:t>2</w:t>
    </w:r>
  </w:p>
  <w:p w14:paraId="05225E31" w14:textId="1C634405"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val="en-GB" w:eastAsia="en-GB"/>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9CD314" w14:textId="77777777" w:rsidR="006F2781" w:rsidRDefault="006F2781">
      <w:pPr>
        <w:spacing w:after="0" w:line="240" w:lineRule="auto"/>
      </w:pPr>
      <w:r>
        <w:separator/>
      </w:r>
    </w:p>
  </w:footnote>
  <w:footnote w:type="continuationSeparator" w:id="0">
    <w:p w14:paraId="6E9E5840" w14:textId="77777777" w:rsidR="006F2781" w:rsidRDefault="006F2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8E5887" w14:textId="77777777" w:rsidR="007F18D6" w:rsidRDefault="00C56FB8">
    <w:pPr>
      <w:pStyle w:val="Heading1"/>
      <w:spacing w:line="240" w:lineRule="auto"/>
      <w:rPr>
        <w:rStyle w:val="Strong"/>
      </w:rPr>
    </w:pPr>
    <w:r>
      <w:rPr>
        <w:rStyle w:val="Strong"/>
        <w:noProof/>
      </w:rPr>
      <w:drawing>
        <wp:inline distT="0" distB="0" distL="0" distR="0" wp14:anchorId="1F02B2D5" wp14:editId="459366E7">
          <wp:extent cx="1362710" cy="546735"/>
          <wp:effectExtent l="0" t="0" r="0" b="0"/>
          <wp:docPr id="14" name="Picture 4" descr="UWTSD-Logo-fi"/>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UWTSD-Logo-fi"/>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2710" cy="546735"/>
                  </a:xfrm>
                  <a:prstGeom prst="rect">
                    <a:avLst/>
                  </a:prstGeom>
                  <a:noFill/>
                  <a:ln>
                    <a:noFill/>
                  </a:ln>
                </pic:spPr>
              </pic:pic>
            </a:graphicData>
          </a:graphic>
        </wp:inline>
      </w:drawing>
    </w:r>
  </w:p>
  <w:p w14:paraId="6AE6F367" w14:textId="77777777" w:rsidR="00443E0C" w:rsidRDefault="007F18D6" w:rsidP="007F18D6">
    <w:pPr>
      <w:pStyle w:val="Heading1"/>
      <w:spacing w:line="240" w:lineRule="auto"/>
      <w:ind w:firstLine="720"/>
      <w:rPr>
        <w:rStyle w:val="Strong"/>
        <w:sz w:val="20"/>
        <w:szCs w:val="20"/>
      </w:rPr>
    </w:pPr>
    <w:r>
      <w:rPr>
        <w:rStyle w:val="Strong"/>
      </w:rPr>
      <w:t xml:space="preserve">UWTSD </w:t>
    </w:r>
    <w:r>
      <w:rPr>
        <w:sz w:val="24"/>
        <w:szCs w:val="24"/>
      </w:rPr>
      <w:t xml:space="preserve">Automotive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3914B7BF" w14:textId="64B252B0"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proofErr w:type="spellStart"/>
    <w:proofErr w:type="gramStart"/>
    <w:r w:rsidR="00B13FA1">
      <w:rPr>
        <w:color w:val="7F7F7F"/>
        <w:sz w:val="20"/>
        <w:szCs w:val="20"/>
      </w:rPr>
      <w:t>Module</w:t>
    </w:r>
    <w:r w:rsidR="00443E0C">
      <w:rPr>
        <w:color w:val="7F7F7F"/>
        <w:sz w:val="20"/>
        <w:szCs w:val="20"/>
      </w:rPr>
      <w:t>:</w:t>
    </w:r>
    <w:r w:rsidR="003347F1">
      <w:rPr>
        <w:color w:val="7F7F7F"/>
        <w:sz w:val="20"/>
        <w:szCs w:val="20"/>
      </w:rPr>
      <w:t>Structural</w:t>
    </w:r>
    <w:proofErr w:type="spellEnd"/>
    <w:proofErr w:type="gramEnd"/>
    <w:r w:rsidR="003347F1">
      <w:rPr>
        <w:color w:val="7F7F7F"/>
        <w:sz w:val="20"/>
        <w:szCs w:val="20"/>
      </w:rPr>
      <w:t xml:space="preserve"> Integrity &amp; Material Evaluation</w:t>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3347F1">
      <w:rPr>
        <w:color w:val="7F7F7F"/>
        <w:sz w:val="20"/>
        <w:szCs w:val="20"/>
      </w:rPr>
      <w:t>4</w:t>
    </w:r>
    <w:r w:rsidR="00443E0C">
      <w:rPr>
        <w:color w:val="7F7F7F"/>
        <w:sz w:val="20"/>
        <w:szCs w:val="20"/>
      </w:rPr>
      <w:t xml:space="preserve"> | </w:t>
    </w:r>
    <w:r w:rsidR="003347F1">
      <w:rPr>
        <w:color w:val="7F7F7F"/>
        <w:sz w:val="20"/>
        <w:szCs w:val="20"/>
      </w:rPr>
      <w:t>Jan</w:t>
    </w:r>
    <w:r w:rsidR="002E7845">
      <w:rPr>
        <w:color w:val="7F7F7F"/>
        <w:sz w:val="20"/>
        <w:szCs w:val="20"/>
      </w:rPr>
      <w:t xml:space="preserve"> </w:t>
    </w:r>
    <w:r w:rsidR="00443E0C">
      <w:rPr>
        <w:color w:val="7F7F7F"/>
        <w:sz w:val="20"/>
        <w:szCs w:val="20"/>
      </w:rPr>
      <w:t>20</w:t>
    </w:r>
    <w:r w:rsidR="00FA1819">
      <w:rPr>
        <w:color w:val="7F7F7F"/>
        <w:sz w:val="20"/>
        <w:szCs w:val="20"/>
      </w:rPr>
      <w:t>2</w:t>
    </w:r>
    <w:r w:rsidR="003347F1">
      <w:rPr>
        <w:color w:val="7F7F7F"/>
        <w:sz w:val="20"/>
        <w:szCs w:val="20"/>
      </w:rPr>
      <w:t>2</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6AD9E1A4" w14:textId="77777777" w:rsidR="00443E0C" w:rsidRDefault="00C56FB8">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5680" behindDoc="0" locked="0" layoutInCell="1" allowOverlap="1" wp14:anchorId="42DF775F" wp14:editId="11F34DFB">
              <wp:simplePos x="0" y="0"/>
              <wp:positionH relativeFrom="column">
                <wp:posOffset>-13335</wp:posOffset>
              </wp:positionH>
              <wp:positionV relativeFrom="paragraph">
                <wp:posOffset>20955</wp:posOffset>
              </wp:positionV>
              <wp:extent cx="6685280" cy="0"/>
              <wp:effectExtent l="0" t="0" r="0" b="0"/>
              <wp:wrapNone/>
              <wp:docPr id="1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9742252"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" strokecolor="gray">
              <o:lock v:ext="edit" shapetype="f"/>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71764E" w14:textId="77777777" w:rsidR="002B07D0" w:rsidRDefault="00C56FB8">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168E9AB0" wp14:editId="77D112D3">
              <wp:simplePos x="0" y="0"/>
              <wp:positionH relativeFrom="column">
                <wp:posOffset>1264920</wp:posOffset>
              </wp:positionH>
              <wp:positionV relativeFrom="paragraph">
                <wp:posOffset>219075</wp:posOffset>
              </wp:positionV>
              <wp:extent cx="6438900" cy="41465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B0E899"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68E9AB0" id="_x0000_t202" coordsize="21600,21600" o:spt="202" path="m,l,21600r21600,l21600,xe">
              <v:stroke joinstyle="miter"/>
              <v:path gradientshapeok="t" o:connecttype="rect"/>
            </v:shapetype>
            <v:shape id="Text Box 2" o:spid="_x0000_s1026"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" filled="f" stroked="f">
              <v:path arrowok="t"/>
              <v:textbox style="mso-fit-shape-to-text:t">
                <w:txbxContent>
                  <w:p w14:paraId="04B0E899"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2ACC0E08" wp14:editId="7143199A">
          <wp:extent cx="1362710" cy="555625"/>
          <wp:effectExtent l="0" t="0" r="0" b="0"/>
          <wp:docPr id="5" name="Picture 5" descr="UWTSD-Logo-fi"/>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UWTSD-Logo-fi"/>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2710" cy="555625"/>
                  </a:xfrm>
                  <a:prstGeom prst="rect">
                    <a:avLst/>
                  </a:prstGeom>
                  <a:noFill/>
                  <a:ln>
                    <a:noFill/>
                  </a:ln>
                </pic:spPr>
              </pic:pic>
            </a:graphicData>
          </a:graphic>
        </wp:inline>
      </w:drawing>
    </w:r>
  </w:p>
  <w:p w14:paraId="1CD48A58" w14:textId="77777777" w:rsidR="002B07D0" w:rsidRDefault="00C56FB8">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6704" behindDoc="0" locked="0" layoutInCell="1" allowOverlap="1" wp14:anchorId="363A1AD6" wp14:editId="6E24612D">
              <wp:simplePos x="0" y="0"/>
              <wp:positionH relativeFrom="column">
                <wp:posOffset>-13335</wp:posOffset>
              </wp:positionH>
              <wp:positionV relativeFrom="paragraph">
                <wp:posOffset>20955</wp:posOffset>
              </wp:positionV>
              <wp:extent cx="6685280" cy="0"/>
              <wp:effectExtent l="0" t="0" r="0" b="0"/>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4D73FD7"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" strokecolor="gray">
              <o:lock v:ext="edit" shapetype="f"/>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34368"/>
    <w:multiLevelType w:val="hybridMultilevel"/>
    <w:tmpl w:val="6846E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53179"/>
    <w:multiLevelType w:val="multilevel"/>
    <w:tmpl w:val="5B4019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3"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0AF4BEF"/>
    <w:multiLevelType w:val="hybridMultilevel"/>
    <w:tmpl w:val="8F9491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4"/>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49"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4C4"/>
    <w:rsid w:val="0002287F"/>
    <w:rsid w:val="00027AA3"/>
    <w:rsid w:val="000352E1"/>
    <w:rsid w:val="000407A4"/>
    <w:rsid w:val="000459D5"/>
    <w:rsid w:val="000518D3"/>
    <w:rsid w:val="0005584A"/>
    <w:rsid w:val="00056D4D"/>
    <w:rsid w:val="0007109D"/>
    <w:rsid w:val="00073800"/>
    <w:rsid w:val="0008044F"/>
    <w:rsid w:val="00097831"/>
    <w:rsid w:val="000A2AF9"/>
    <w:rsid w:val="000B0280"/>
    <w:rsid w:val="000C4162"/>
    <w:rsid w:val="000F08DE"/>
    <w:rsid w:val="000F378D"/>
    <w:rsid w:val="001039B4"/>
    <w:rsid w:val="00123B0F"/>
    <w:rsid w:val="00126823"/>
    <w:rsid w:val="00130A02"/>
    <w:rsid w:val="001563B0"/>
    <w:rsid w:val="001818D5"/>
    <w:rsid w:val="00196E87"/>
    <w:rsid w:val="001A4041"/>
    <w:rsid w:val="001D1154"/>
    <w:rsid w:val="001D6B3C"/>
    <w:rsid w:val="001D7344"/>
    <w:rsid w:val="00224092"/>
    <w:rsid w:val="00224B4C"/>
    <w:rsid w:val="002315EF"/>
    <w:rsid w:val="002401E9"/>
    <w:rsid w:val="00271187"/>
    <w:rsid w:val="002A3029"/>
    <w:rsid w:val="002B07D0"/>
    <w:rsid w:val="002C676D"/>
    <w:rsid w:val="002C6ED7"/>
    <w:rsid w:val="002D11E1"/>
    <w:rsid w:val="002D1859"/>
    <w:rsid w:val="002E2566"/>
    <w:rsid w:val="002E7845"/>
    <w:rsid w:val="002F6390"/>
    <w:rsid w:val="002F65F2"/>
    <w:rsid w:val="00300A6A"/>
    <w:rsid w:val="0032119D"/>
    <w:rsid w:val="003265CA"/>
    <w:rsid w:val="00331227"/>
    <w:rsid w:val="003347F1"/>
    <w:rsid w:val="00345F25"/>
    <w:rsid w:val="00354E3E"/>
    <w:rsid w:val="00361F49"/>
    <w:rsid w:val="00362DBB"/>
    <w:rsid w:val="0037013A"/>
    <w:rsid w:val="003709DC"/>
    <w:rsid w:val="00382148"/>
    <w:rsid w:val="00382382"/>
    <w:rsid w:val="00397C33"/>
    <w:rsid w:val="003A456B"/>
    <w:rsid w:val="003B230E"/>
    <w:rsid w:val="003B39B4"/>
    <w:rsid w:val="003C2D77"/>
    <w:rsid w:val="003C31D7"/>
    <w:rsid w:val="003E4110"/>
    <w:rsid w:val="00405DB3"/>
    <w:rsid w:val="00405E72"/>
    <w:rsid w:val="0040654A"/>
    <w:rsid w:val="00411BD9"/>
    <w:rsid w:val="00423E5D"/>
    <w:rsid w:val="00443E0C"/>
    <w:rsid w:val="00480D34"/>
    <w:rsid w:val="004931A5"/>
    <w:rsid w:val="004A02A3"/>
    <w:rsid w:val="004A329B"/>
    <w:rsid w:val="004B2DB7"/>
    <w:rsid w:val="004B7F29"/>
    <w:rsid w:val="005028EE"/>
    <w:rsid w:val="0050519D"/>
    <w:rsid w:val="00516129"/>
    <w:rsid w:val="005167BD"/>
    <w:rsid w:val="0052584B"/>
    <w:rsid w:val="005375AA"/>
    <w:rsid w:val="00540CB6"/>
    <w:rsid w:val="00541FAA"/>
    <w:rsid w:val="00542B5A"/>
    <w:rsid w:val="00562127"/>
    <w:rsid w:val="005669C9"/>
    <w:rsid w:val="0057777A"/>
    <w:rsid w:val="00590459"/>
    <w:rsid w:val="00594609"/>
    <w:rsid w:val="00596860"/>
    <w:rsid w:val="005D0129"/>
    <w:rsid w:val="00615581"/>
    <w:rsid w:val="006175A9"/>
    <w:rsid w:val="00623CED"/>
    <w:rsid w:val="0062579B"/>
    <w:rsid w:val="00641690"/>
    <w:rsid w:val="00643DDF"/>
    <w:rsid w:val="00687910"/>
    <w:rsid w:val="00692646"/>
    <w:rsid w:val="006A1C25"/>
    <w:rsid w:val="006A79C2"/>
    <w:rsid w:val="006B5879"/>
    <w:rsid w:val="006B696B"/>
    <w:rsid w:val="006B6F46"/>
    <w:rsid w:val="006C190C"/>
    <w:rsid w:val="006D3872"/>
    <w:rsid w:val="006E1ECB"/>
    <w:rsid w:val="006F1AB8"/>
    <w:rsid w:val="006F2781"/>
    <w:rsid w:val="006F471D"/>
    <w:rsid w:val="00701DCF"/>
    <w:rsid w:val="00703B54"/>
    <w:rsid w:val="00706613"/>
    <w:rsid w:val="00717FA9"/>
    <w:rsid w:val="007205D4"/>
    <w:rsid w:val="00743D1F"/>
    <w:rsid w:val="00764CD0"/>
    <w:rsid w:val="00764E9F"/>
    <w:rsid w:val="00773132"/>
    <w:rsid w:val="00790C6F"/>
    <w:rsid w:val="007A6C3E"/>
    <w:rsid w:val="007C6AE3"/>
    <w:rsid w:val="007C6E1E"/>
    <w:rsid w:val="007D2E33"/>
    <w:rsid w:val="007F18D6"/>
    <w:rsid w:val="00834908"/>
    <w:rsid w:val="00834A7B"/>
    <w:rsid w:val="00837B91"/>
    <w:rsid w:val="008423C6"/>
    <w:rsid w:val="008518EC"/>
    <w:rsid w:val="00851C04"/>
    <w:rsid w:val="0085266F"/>
    <w:rsid w:val="00857510"/>
    <w:rsid w:val="00863CDA"/>
    <w:rsid w:val="00872AF0"/>
    <w:rsid w:val="00881659"/>
    <w:rsid w:val="008A4C34"/>
    <w:rsid w:val="008B34F1"/>
    <w:rsid w:val="008C6BCE"/>
    <w:rsid w:val="008E2ECE"/>
    <w:rsid w:val="008F1D5E"/>
    <w:rsid w:val="00917703"/>
    <w:rsid w:val="00925CF8"/>
    <w:rsid w:val="00926C7A"/>
    <w:rsid w:val="0094074D"/>
    <w:rsid w:val="00963789"/>
    <w:rsid w:val="009914FF"/>
    <w:rsid w:val="009B08BB"/>
    <w:rsid w:val="009B0FD5"/>
    <w:rsid w:val="009B1D3C"/>
    <w:rsid w:val="009C4236"/>
    <w:rsid w:val="009C74C4"/>
    <w:rsid w:val="009E298A"/>
    <w:rsid w:val="009E5284"/>
    <w:rsid w:val="00A06A7A"/>
    <w:rsid w:val="00A14979"/>
    <w:rsid w:val="00A152B1"/>
    <w:rsid w:val="00A4786F"/>
    <w:rsid w:val="00A74A48"/>
    <w:rsid w:val="00A76CB8"/>
    <w:rsid w:val="00A80706"/>
    <w:rsid w:val="00A840AB"/>
    <w:rsid w:val="00A84574"/>
    <w:rsid w:val="00A861AA"/>
    <w:rsid w:val="00A94776"/>
    <w:rsid w:val="00AA0B65"/>
    <w:rsid w:val="00AA4767"/>
    <w:rsid w:val="00AC7422"/>
    <w:rsid w:val="00AD33CF"/>
    <w:rsid w:val="00AD4148"/>
    <w:rsid w:val="00B101AB"/>
    <w:rsid w:val="00B13D1B"/>
    <w:rsid w:val="00B13FA1"/>
    <w:rsid w:val="00B31652"/>
    <w:rsid w:val="00B405AA"/>
    <w:rsid w:val="00B420AE"/>
    <w:rsid w:val="00B44C63"/>
    <w:rsid w:val="00B77A2C"/>
    <w:rsid w:val="00B82EF6"/>
    <w:rsid w:val="00B96CD3"/>
    <w:rsid w:val="00BC400A"/>
    <w:rsid w:val="00BF2411"/>
    <w:rsid w:val="00C106FB"/>
    <w:rsid w:val="00C231BC"/>
    <w:rsid w:val="00C56FB8"/>
    <w:rsid w:val="00C7601A"/>
    <w:rsid w:val="00C86022"/>
    <w:rsid w:val="00C86411"/>
    <w:rsid w:val="00C90E62"/>
    <w:rsid w:val="00CA3372"/>
    <w:rsid w:val="00CA4A19"/>
    <w:rsid w:val="00CB210C"/>
    <w:rsid w:val="00CC6310"/>
    <w:rsid w:val="00D15A0A"/>
    <w:rsid w:val="00D15C96"/>
    <w:rsid w:val="00D21294"/>
    <w:rsid w:val="00D30BA1"/>
    <w:rsid w:val="00D31AD2"/>
    <w:rsid w:val="00D6033B"/>
    <w:rsid w:val="00D74055"/>
    <w:rsid w:val="00D74C7A"/>
    <w:rsid w:val="00D754EF"/>
    <w:rsid w:val="00D76179"/>
    <w:rsid w:val="00D76B9C"/>
    <w:rsid w:val="00D82805"/>
    <w:rsid w:val="00D86E5A"/>
    <w:rsid w:val="00D9366C"/>
    <w:rsid w:val="00DA1766"/>
    <w:rsid w:val="00DC2DA4"/>
    <w:rsid w:val="00DC5012"/>
    <w:rsid w:val="00DE412A"/>
    <w:rsid w:val="00DE47DF"/>
    <w:rsid w:val="00DE4E64"/>
    <w:rsid w:val="00E109BC"/>
    <w:rsid w:val="00E1428D"/>
    <w:rsid w:val="00E17298"/>
    <w:rsid w:val="00E217C9"/>
    <w:rsid w:val="00E218F2"/>
    <w:rsid w:val="00E27548"/>
    <w:rsid w:val="00E43104"/>
    <w:rsid w:val="00E53933"/>
    <w:rsid w:val="00E55D26"/>
    <w:rsid w:val="00E7797E"/>
    <w:rsid w:val="00E84F41"/>
    <w:rsid w:val="00EB0E63"/>
    <w:rsid w:val="00EC4CB9"/>
    <w:rsid w:val="00ED2424"/>
    <w:rsid w:val="00ED48B3"/>
    <w:rsid w:val="00ED4D14"/>
    <w:rsid w:val="00EE01A1"/>
    <w:rsid w:val="00EE51AC"/>
    <w:rsid w:val="00EE7DCD"/>
    <w:rsid w:val="00EF36CF"/>
    <w:rsid w:val="00EF4A54"/>
    <w:rsid w:val="00F147C1"/>
    <w:rsid w:val="00F22B89"/>
    <w:rsid w:val="00F249EF"/>
    <w:rsid w:val="00F27476"/>
    <w:rsid w:val="00F311A0"/>
    <w:rsid w:val="00F5406B"/>
    <w:rsid w:val="00F71B9A"/>
    <w:rsid w:val="00F72165"/>
    <w:rsid w:val="00F834D5"/>
    <w:rsid w:val="00F906E0"/>
    <w:rsid w:val="00FA1819"/>
    <w:rsid w:val="00FA4F0A"/>
    <w:rsid w:val="00FA6CC8"/>
    <w:rsid w:val="00FB3F63"/>
    <w:rsid w:val="00FC2AA5"/>
    <w:rsid w:val="00FC6A19"/>
    <w:rsid w:val="00FE1782"/>
    <w:rsid w:val="00FE4646"/>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13CB2FDD"/>
  <w15:chartTrackingRefBased/>
  <w15:docId w15:val="{656AA2F9-9BA4-0245-904B-8048FB555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val="en-US"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val="en-US"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Caption">
    <w:name w:val="caption"/>
    <w:basedOn w:val="Normal"/>
    <w:next w:val="Normal"/>
    <w:uiPriority w:val="35"/>
    <w:unhideWhenUsed/>
    <w:qFormat/>
    <w:rsid w:val="007C6AE3"/>
    <w:rPr>
      <w:b/>
      <w:bCs/>
      <w:sz w:val="20"/>
      <w:szCs w:val="20"/>
    </w:rPr>
  </w:style>
  <w:style w:type="paragraph" w:styleId="ListParagraph">
    <w:name w:val="List Paragraph"/>
    <w:basedOn w:val="Normal"/>
    <w:uiPriority w:val="34"/>
    <w:qFormat/>
    <w:rsid w:val="00C56FB8"/>
    <w:pPr>
      <w:spacing w:after="0" w:line="240" w:lineRule="auto"/>
      <w:ind w:left="720"/>
      <w:contextualSpacing/>
    </w:pPr>
    <w:rPr>
      <w:rFonts w:ascii="Times New Roman" w:hAnsi="Times New Roman"/>
      <w:sz w:val="20"/>
      <w:szCs w:val="20"/>
      <w:lang w:val="en-GB" w:eastAsia="en-GB"/>
    </w:rPr>
  </w:style>
  <w:style w:type="character" w:customStyle="1" w:styleId="apple-converted-space">
    <w:name w:val="apple-converted-space"/>
    <w:basedOn w:val="DefaultParagraphFont"/>
    <w:rsid w:val="00D31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978689">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5.xml"/><Relationship Id="rId26" Type="http://schemas.openxmlformats.org/officeDocument/2006/relationships/hyperlink" Target="https://floodlightsoft.com/blog/what-is-nde-4-0-and-why-is-it-important/" TargetMode="External"/><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webSettings" Target="webSettings.xml"/><Relationship Id="rId12" Type="http://schemas.openxmlformats.org/officeDocument/2006/relationships/chart" Target="charts/chart1.xml"/><Relationship Id="rId17" Type="http://schemas.openxmlformats.org/officeDocument/2006/relationships/package" Target="embeddings/Microsoft_Word_Document.docx"/><Relationship Id="rId25" Type="http://schemas.openxmlformats.org/officeDocument/2006/relationships/hyperlink" Target="https://amerapex.com/2014/12/benefits-non-destructive-test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chart" Target="charts/chart7.xml"/><Relationship Id="rId29" Type="http://schemas.openxmlformats.org/officeDocument/2006/relationships/hyperlink" Target="https://www.ndt.net/article/v11n05/ginzel2/ginzel2.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bindt.org/branches-and-committees/Institute-Groups/nde-4-0-group/"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chart" Target="charts/chart4.xml"/><Relationship Id="rId23" Type="http://schemas.openxmlformats.org/officeDocument/2006/relationships/package" Target="embeddings/Microsoft_Word_Document1.docx"/><Relationship Id="rId28" Type="http://schemas.openxmlformats.org/officeDocument/2006/relationships/hyperlink" Target="https://www.ob-ultrasound.net/history1.html" TargetMode="External"/><Relationship Id="rId10" Type="http://schemas.openxmlformats.org/officeDocument/2006/relationships/header" Target="header1.xml"/><Relationship Id="rId19" Type="http://schemas.openxmlformats.org/officeDocument/2006/relationships/chart" Target="charts/chart6.xml"/><Relationship Id="rId31"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3.xml"/><Relationship Id="rId22" Type="http://schemas.openxmlformats.org/officeDocument/2006/relationships/image" Target="media/image3.emf"/><Relationship Id="rId27" Type="http://schemas.openxmlformats.org/officeDocument/2006/relationships/hyperlink" Target="https://www.bindt.org/international-and-european-standards/ndt-related-standards/ultrasonic-testing/?cookie-accept=1" TargetMode="External"/><Relationship Id="rId30" Type="http://schemas.openxmlformats.org/officeDocument/2006/relationships/hyperlink" Target="https://www.sperryrail.com/story.php" TargetMode="Externa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eff/Library/Group%20Containers/UBF8T346G9.Office/User%20Content.localized/Templates.localized/UWTSD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eff/Library/Containers/com.apple.mail/Data/Library/Mail%20Downloads/EDA4DDC0-FA4D-4D49-81A5-84A182489163/StructuralOperator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5368789079b158c6/Documents/StructuralOperator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5368789079b158c6/Documents/StructuralOperator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eff/Library/Containers/com.apple.mail/Data/Library/Mail%20Downloads/EDA4DDC0-FA4D-4D49-81A5-84A182489163/StructuralOperator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eff/Library/Containers/com.apple.mail/Data/Library/Mail%20Downloads/EDA4DDC0-FA4D-4D49-81A5-84A182489163/StructuralOperator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eff/Library/Containers/com.apple.mail/Data/Library/Mail%20Downloads/EDA4DDC0-FA4D-4D49-81A5-84A182489163/StructuralOperator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jeff/Library/Containers/com.apple.mail/Data/Library/Mail%20Downloads/EDA4DDC0-FA4D-4D49-81A5-84A182489163/StructuralOperatorAnalysi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Comparison of operator quality</a:t>
            </a:r>
            <a:r>
              <a:rPr lang="en-GB" sz="1100" baseline="0"/>
              <a:t> and methodology quality</a:t>
            </a:r>
            <a:endParaRPr lang="en-GB" sz="1100"/>
          </a:p>
        </c:rich>
      </c:tx>
      <c:layout>
        <c:manualLayout>
          <c:xMode val="edge"/>
          <c:yMode val="edge"/>
          <c:x val="0.18551915612900391"/>
          <c:y val="1.140901312036508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382673869195748E-2"/>
          <c:y val="0.16249013341547466"/>
          <c:w val="0.88260952132827131"/>
          <c:h val="0.70813391602333342"/>
        </c:manualLayout>
      </c:layout>
      <c:scatterChart>
        <c:scatterStyle val="smoothMarker"/>
        <c:varyColors val="0"/>
        <c:ser>
          <c:idx val="0"/>
          <c:order val="0"/>
          <c:tx>
            <c:v>Defect Mean Normal Distro</c:v>
          </c:tx>
          <c:spPr>
            <a:ln w="19050" cap="rnd">
              <a:solidFill>
                <a:schemeClr val="accent1"/>
              </a:solidFill>
              <a:round/>
            </a:ln>
            <a:effectLst/>
          </c:spPr>
          <c:marker>
            <c:symbol val="none"/>
          </c:marker>
          <c:xVal>
            <c:numRef>
              <c:f>Methodology!$AI$8:$AI$28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0</c:v>
                </c:pt>
                <c:pt idx="11">
                  <c:v>0.2</c:v>
                </c:pt>
                <c:pt idx="12">
                  <c:v>0.4</c:v>
                </c:pt>
                <c:pt idx="13">
                  <c:v>0.60000000000000009</c:v>
                </c:pt>
                <c:pt idx="14">
                  <c:v>0.8</c:v>
                </c:pt>
                <c:pt idx="15">
                  <c:v>1</c:v>
                </c:pt>
                <c:pt idx="16">
                  <c:v>1.2</c:v>
                </c:pt>
                <c:pt idx="17">
                  <c:v>1.4</c:v>
                </c:pt>
                <c:pt idx="18">
                  <c:v>1.5999999999999999</c:v>
                </c:pt>
                <c:pt idx="19">
                  <c:v>1.7999999999999998</c:v>
                </c:pt>
                <c:pt idx="20">
                  <c:v>1.9999999999999998</c:v>
                </c:pt>
              </c:numCache>
            </c:numRef>
          </c:xVal>
          <c:yVal>
            <c:numRef>
              <c:f>Methodology!$AJ$8:$AJ$28</c:f>
              <c:numCache>
                <c:formatCode>General</c:formatCode>
                <c:ptCount val="21"/>
                <c:pt idx="0">
                  <c:v>4.1691964160203654E-15</c:v>
                </c:pt>
                <c:pt idx="1">
                  <c:v>9.9168034492831966E-13</c:v>
                </c:pt>
                <c:pt idx="2">
                  <c:v>1.4472861620308037E-10</c:v>
                </c:pt>
                <c:pt idx="3">
                  <c:v>1.2959864713377782E-8</c:v>
                </c:pt>
                <c:pt idx="4">
                  <c:v>7.1204899948509238E-7</c:v>
                </c:pt>
                <c:pt idx="5">
                  <c:v>2.4003946342887504E-5</c:v>
                </c:pt>
                <c:pt idx="6">
                  <c:v>4.9649944604649723E-4</c:v>
                </c:pt>
                <c:pt idx="7">
                  <c:v>6.301127152761021E-3</c:v>
                </c:pt>
                <c:pt idx="8">
                  <c:v>4.9066047273216326E-2</c:v>
                </c:pt>
                <c:pt idx="9">
                  <c:v>0.23442679851642076</c:v>
                </c:pt>
                <c:pt idx="10">
                  <c:v>0.68722158918920329</c:v>
                </c:pt>
                <c:pt idx="11">
                  <c:v>1.2360888433132569</c:v>
                </c:pt>
                <c:pt idx="12">
                  <c:v>1.3641619536401377</c:v>
                </c:pt>
                <c:pt idx="13">
                  <c:v>0.92373103168401427</c:v>
                </c:pt>
                <c:pt idx="14">
                  <c:v>0.38378543449995894</c:v>
                </c:pt>
                <c:pt idx="15">
                  <c:v>9.7835123439718272E-2</c:v>
                </c:pt>
                <c:pt idx="16">
                  <c:v>1.5302573020745376E-2</c:v>
                </c:pt>
                <c:pt idx="17">
                  <c:v>1.4685795555912588E-3</c:v>
                </c:pt>
                <c:pt idx="18">
                  <c:v>8.6475652906891205E-5</c:v>
                </c:pt>
                <c:pt idx="19">
                  <c:v>3.1243060918634726E-6</c:v>
                </c:pt>
                <c:pt idx="20">
                  <c:v>6.9259070023993731E-8</c:v>
                </c:pt>
              </c:numCache>
            </c:numRef>
          </c:yVal>
          <c:smooth val="1"/>
          <c:extLst>
            <c:ext xmlns:c16="http://schemas.microsoft.com/office/drawing/2014/chart" uri="{C3380CC4-5D6E-409C-BE32-E72D297353CC}">
              <c16:uniqueId val="{00000000-AAEA-584E-9600-752DC0117F16}"/>
            </c:ext>
          </c:extLst>
        </c:ser>
        <c:ser>
          <c:idx val="1"/>
          <c:order val="1"/>
          <c:tx>
            <c:v>Operator Mean Normal Dsitro</c:v>
          </c:tx>
          <c:spPr>
            <a:ln w="19050" cap="rnd">
              <a:solidFill>
                <a:schemeClr val="accent2"/>
              </a:solidFill>
              <a:round/>
            </a:ln>
            <a:effectLst/>
          </c:spPr>
          <c:marker>
            <c:symbol val="none"/>
          </c:marker>
          <c:xVal>
            <c:numRef>
              <c:f>Methodology!$F$30:$O$30</c:f>
              <c:numCache>
                <c:formatCode>0.0</c:formatCode>
                <c:ptCount val="10"/>
                <c:pt idx="0">
                  <c:v>-1</c:v>
                </c:pt>
                <c:pt idx="1">
                  <c:v>-0.7</c:v>
                </c:pt>
                <c:pt idx="2">
                  <c:v>-0.39999999999999997</c:v>
                </c:pt>
                <c:pt idx="3">
                  <c:v>-9.9999999999999978E-2</c:v>
                </c:pt>
                <c:pt idx="4">
                  <c:v>0.2</c:v>
                </c:pt>
                <c:pt idx="5">
                  <c:v>0.5</c:v>
                </c:pt>
                <c:pt idx="6">
                  <c:v>0.8</c:v>
                </c:pt>
                <c:pt idx="7">
                  <c:v>1.1000000000000001</c:v>
                </c:pt>
                <c:pt idx="8">
                  <c:v>1.4000000000000001</c:v>
                </c:pt>
                <c:pt idx="9">
                  <c:v>1.7000000000000002</c:v>
                </c:pt>
              </c:numCache>
            </c:numRef>
          </c:xVal>
          <c:yVal>
            <c:numRef>
              <c:f>Methodology!$F$31:$O$31</c:f>
              <c:numCache>
                <c:formatCode>General</c:formatCode>
                <c:ptCount val="10"/>
                <c:pt idx="0">
                  <c:v>2.0164859204980798E-7</c:v>
                </c:pt>
                <c:pt idx="1">
                  <c:v>1.137396216583245E-4</c:v>
                </c:pt>
                <c:pt idx="2">
                  <c:v>1.299669097266677E-2</c:v>
                </c:pt>
                <c:pt idx="3">
                  <c:v>0.30085569317438249</c:v>
                </c:pt>
                <c:pt idx="4">
                  <c:v>1.4108735892773954</c:v>
                </c:pt>
                <c:pt idx="5">
                  <c:v>1.3403629095385514</c:v>
                </c:pt>
                <c:pt idx="6">
                  <c:v>0.25796520277051199</c:v>
                </c:pt>
                <c:pt idx="7">
                  <c:v>1.0057829782742727E-2</c:v>
                </c:pt>
                <c:pt idx="8">
                  <c:v>7.9442309920041253E-5</c:v>
                </c:pt>
                <c:pt idx="9">
                  <c:v>1.271170699294884E-7</c:v>
                </c:pt>
              </c:numCache>
            </c:numRef>
          </c:yVal>
          <c:smooth val="1"/>
          <c:extLst>
            <c:ext xmlns:c16="http://schemas.microsoft.com/office/drawing/2014/chart" uri="{C3380CC4-5D6E-409C-BE32-E72D297353CC}">
              <c16:uniqueId val="{00000001-AAEA-584E-9600-752DC0117F16}"/>
            </c:ext>
          </c:extLst>
        </c:ser>
        <c:dLbls>
          <c:showLegendKey val="0"/>
          <c:showVal val="0"/>
          <c:showCatName val="0"/>
          <c:showSerName val="0"/>
          <c:showPercent val="0"/>
          <c:showBubbleSize val="0"/>
        </c:dLbls>
        <c:axId val="958669824"/>
        <c:axId val="958672776"/>
      </c:scatterChart>
      <c:valAx>
        <c:axId val="958669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Magnitude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72776"/>
        <c:crosses val="autoZero"/>
        <c:crossBetween val="midCat"/>
      </c:valAx>
      <c:valAx>
        <c:axId val="958672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Probability Density m(mm)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69824"/>
        <c:crosses val="autoZero"/>
        <c:crossBetween val="midCat"/>
      </c:valAx>
      <c:spPr>
        <a:noFill/>
        <a:ln>
          <a:noFill/>
        </a:ln>
        <a:effectLst/>
      </c:spPr>
    </c:plotArea>
    <c:legend>
      <c:legendPos val="t"/>
      <c:layout>
        <c:manualLayout>
          <c:xMode val="edge"/>
          <c:yMode val="edge"/>
          <c:x val="6.6917966340001495E-2"/>
          <c:y val="0.22657913482086134"/>
          <c:w val="0.42673137724792065"/>
          <c:h val="0.336602622104999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Mean</a:t>
            </a:r>
            <a:r>
              <a:rPr lang="en-GB" sz="1100" baseline="0"/>
              <a:t> Operator compared to true size</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3697420357231239E-2"/>
          <c:y val="0.11268249566490564"/>
          <c:w val="0.88893524321824535"/>
          <c:h val="0.73169348690025571"/>
        </c:manualLayout>
      </c:layout>
      <c:scatterChart>
        <c:scatterStyle val="lineMarker"/>
        <c:varyColors val="0"/>
        <c:ser>
          <c:idx val="0"/>
          <c:order val="0"/>
          <c:tx>
            <c:v>True Size</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6.2240979096269536E-2"/>
                  <c:y val="-5.07432092012264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Methodology!$E$8:$E$28</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Methodology!$E$8:$E$28</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yVal>
          <c:smooth val="0"/>
          <c:extLst>
            <c:ext xmlns:c16="http://schemas.microsoft.com/office/drawing/2014/chart" uri="{C3380CC4-5D6E-409C-BE32-E72D297353CC}">
              <c16:uniqueId val="{00000001-F238-5A48-BF8C-282090E513F8}"/>
            </c:ext>
          </c:extLst>
        </c:ser>
        <c:ser>
          <c:idx val="1"/>
          <c:order val="1"/>
          <c:tx>
            <c:v>Measured Mean</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1"/>
            <c:dispEq val="1"/>
            <c:trendlineLbl>
              <c:layout>
                <c:manualLayout>
                  <c:x val="3.4210926942882462E-2"/>
                  <c:y val="0.3335433070866141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Methodology!$E$8:$E$28</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Methodology!$AG$8:$AG$28</c:f>
              <c:numCache>
                <c:formatCode>0.0</c:formatCode>
                <c:ptCount val="21"/>
                <c:pt idx="0">
                  <c:v>0.50949999999999995</c:v>
                </c:pt>
                <c:pt idx="1">
                  <c:v>0.79270000000000007</c:v>
                </c:pt>
                <c:pt idx="2">
                  <c:v>0.79580000000000006</c:v>
                </c:pt>
                <c:pt idx="3">
                  <c:v>0.95099999999999996</c:v>
                </c:pt>
                <c:pt idx="4">
                  <c:v>1.038</c:v>
                </c:pt>
                <c:pt idx="5">
                  <c:v>0.82900000000000007</c:v>
                </c:pt>
                <c:pt idx="6">
                  <c:v>1.0612000000000001</c:v>
                </c:pt>
                <c:pt idx="7">
                  <c:v>0.98550000000000004</c:v>
                </c:pt>
                <c:pt idx="8">
                  <c:v>1.4350000000000001</c:v>
                </c:pt>
                <c:pt idx="9">
                  <c:v>1.3308000000000002</c:v>
                </c:pt>
                <c:pt idx="10">
                  <c:v>1.4072</c:v>
                </c:pt>
                <c:pt idx="11">
                  <c:v>1.5855000000000001</c:v>
                </c:pt>
                <c:pt idx="12">
                  <c:v>1.6400000000000001</c:v>
                </c:pt>
                <c:pt idx="13">
                  <c:v>1.7829999999999999</c:v>
                </c:pt>
                <c:pt idx="14">
                  <c:v>1.5459999999999998</c:v>
                </c:pt>
                <c:pt idx="15">
                  <c:v>2.1440000000000001</c:v>
                </c:pt>
                <c:pt idx="16">
                  <c:v>2.5389999999999997</c:v>
                </c:pt>
                <c:pt idx="17">
                  <c:v>2.9669999999999996</c:v>
                </c:pt>
                <c:pt idx="18">
                  <c:v>4.9069999999999991</c:v>
                </c:pt>
                <c:pt idx="19">
                  <c:v>6.1370000000000005</c:v>
                </c:pt>
                <c:pt idx="20">
                  <c:v>6.8835000000000006</c:v>
                </c:pt>
              </c:numCache>
            </c:numRef>
          </c:yVal>
          <c:smooth val="0"/>
          <c:extLst>
            <c:ext xmlns:c16="http://schemas.microsoft.com/office/drawing/2014/chart" uri="{C3380CC4-5D6E-409C-BE32-E72D297353CC}">
              <c16:uniqueId val="{00000003-F238-5A48-BF8C-282090E513F8}"/>
            </c:ext>
          </c:extLst>
        </c:ser>
        <c:dLbls>
          <c:showLegendKey val="0"/>
          <c:showVal val="0"/>
          <c:showCatName val="0"/>
          <c:showSerName val="0"/>
          <c:showPercent val="0"/>
          <c:showBubbleSize val="0"/>
        </c:dLbls>
        <c:axId val="682494376"/>
        <c:axId val="682494704"/>
      </c:scatterChart>
      <c:valAx>
        <c:axId val="682494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94704"/>
        <c:crosses val="autoZero"/>
        <c:crossBetween val="midCat"/>
      </c:valAx>
      <c:valAx>
        <c:axId val="682494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Measured  Size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94376"/>
        <c:crosses val="autoZero"/>
        <c:crossBetween val="midCat"/>
      </c:valAx>
      <c:spPr>
        <a:noFill/>
        <a:ln>
          <a:noFill/>
        </a:ln>
        <a:effectLst/>
      </c:spPr>
    </c:plotArea>
    <c:legend>
      <c:legendPos val="t"/>
      <c:layout>
        <c:manualLayout>
          <c:xMode val="edge"/>
          <c:yMode val="edge"/>
          <c:x val="0"/>
          <c:y val="0.1909021914429371"/>
          <c:w val="0.72858266147068473"/>
          <c:h val="0.22603117937497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Operator</a:t>
            </a:r>
            <a:r>
              <a:rPr lang="en-GB" sz="1100" baseline="0"/>
              <a:t> vs Operator Mean (1 to 5)</a:t>
            </a:r>
            <a:endParaRPr lang="en-GB" sz="1100"/>
          </a:p>
        </c:rich>
      </c:tx>
      <c:layout>
        <c:manualLayout>
          <c:xMode val="edge"/>
          <c:yMode val="edge"/>
          <c:x val="0.1704306146503463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431960207395456E-2"/>
          <c:y val="0.10296414832398978"/>
          <c:w val="0.93284607334459424"/>
          <c:h val="0.81137705196002585"/>
        </c:manualLayout>
      </c:layout>
      <c:scatterChart>
        <c:scatterStyle val="smoothMarker"/>
        <c:varyColors val="0"/>
        <c:ser>
          <c:idx val="0"/>
          <c:order val="0"/>
          <c:tx>
            <c:v>OperatorMean Error</c:v>
          </c:tx>
          <c:spPr>
            <a:ln w="19050" cap="rnd">
              <a:solidFill>
                <a:schemeClr val="accent1"/>
              </a:solidFill>
              <a:round/>
            </a:ln>
            <a:effectLst/>
          </c:spPr>
          <c:marker>
            <c:symbol val="none"/>
          </c:marker>
          <c:xVal>
            <c:numRef>
              <c:f>Methodology!$F$30:$O$30</c:f>
              <c:numCache>
                <c:formatCode>0.0</c:formatCode>
                <c:ptCount val="10"/>
                <c:pt idx="0">
                  <c:v>-1</c:v>
                </c:pt>
                <c:pt idx="1">
                  <c:v>-0.7</c:v>
                </c:pt>
                <c:pt idx="2">
                  <c:v>-0.39999999999999997</c:v>
                </c:pt>
                <c:pt idx="3">
                  <c:v>-9.9999999999999978E-2</c:v>
                </c:pt>
                <c:pt idx="4">
                  <c:v>0.2</c:v>
                </c:pt>
                <c:pt idx="5">
                  <c:v>0.5</c:v>
                </c:pt>
                <c:pt idx="6">
                  <c:v>0.8</c:v>
                </c:pt>
                <c:pt idx="7">
                  <c:v>1.1000000000000001</c:v>
                </c:pt>
                <c:pt idx="8">
                  <c:v>1.4000000000000001</c:v>
                </c:pt>
                <c:pt idx="9">
                  <c:v>1.7000000000000002</c:v>
                </c:pt>
              </c:numCache>
            </c:numRef>
          </c:xVal>
          <c:yVal>
            <c:numRef>
              <c:f>Methodology!$F$31:$O$31</c:f>
              <c:numCache>
                <c:formatCode>General</c:formatCode>
                <c:ptCount val="10"/>
                <c:pt idx="0">
                  <c:v>2.0164859204980798E-7</c:v>
                </c:pt>
                <c:pt idx="1">
                  <c:v>1.137396216583245E-4</c:v>
                </c:pt>
                <c:pt idx="2">
                  <c:v>1.299669097266677E-2</c:v>
                </c:pt>
                <c:pt idx="3">
                  <c:v>0.30085569317438249</c:v>
                </c:pt>
                <c:pt idx="4">
                  <c:v>1.4108735892773954</c:v>
                </c:pt>
                <c:pt idx="5">
                  <c:v>1.3403629095385514</c:v>
                </c:pt>
                <c:pt idx="6">
                  <c:v>0.25796520277051199</c:v>
                </c:pt>
                <c:pt idx="7">
                  <c:v>1.0057829782742727E-2</c:v>
                </c:pt>
                <c:pt idx="8">
                  <c:v>7.9442309920041253E-5</c:v>
                </c:pt>
                <c:pt idx="9">
                  <c:v>1.271170699294884E-7</c:v>
                </c:pt>
              </c:numCache>
            </c:numRef>
          </c:yVal>
          <c:smooth val="1"/>
          <c:extLst>
            <c:ext xmlns:c16="http://schemas.microsoft.com/office/drawing/2014/chart" uri="{C3380CC4-5D6E-409C-BE32-E72D297353CC}">
              <c16:uniqueId val="{00000000-579E-014E-BEFE-BA55F442A84B}"/>
            </c:ext>
          </c:extLst>
        </c:ser>
        <c:ser>
          <c:idx val="1"/>
          <c:order val="1"/>
          <c:tx>
            <c:v>OP1</c:v>
          </c:tx>
          <c:spPr>
            <a:ln w="19050" cap="rnd">
              <a:solidFill>
                <a:schemeClr val="accent2"/>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Operators!$AA$8:$AA$28</c:f>
              <c:numCache>
                <c:formatCode>General</c:formatCode>
                <c:ptCount val="21"/>
                <c:pt idx="0">
                  <c:v>1.4099462519814488E-5</c:v>
                </c:pt>
                <c:pt idx="1">
                  <c:v>1.0057110987297738E-4</c:v>
                </c:pt>
                <c:pt idx="2">
                  <c:v>5.9179048079191325E-4</c:v>
                </c:pt>
                <c:pt idx="3">
                  <c:v>2.8726767132674427E-3</c:v>
                </c:pt>
                <c:pt idx="4">
                  <c:v>1.1503488942839885E-2</c:v>
                </c:pt>
                <c:pt idx="5">
                  <c:v>3.8001124799168041E-2</c:v>
                </c:pt>
                <c:pt idx="6">
                  <c:v>0.10355888608058431</c:v>
                </c:pt>
                <c:pt idx="7">
                  <c:v>0.23281037791939455</c:v>
                </c:pt>
                <c:pt idx="8">
                  <c:v>0.43175894907931761</c:v>
                </c:pt>
                <c:pt idx="9">
                  <c:v>0.66054803775309756</c:v>
                </c:pt>
                <c:pt idx="10">
                  <c:v>0.83366489147776091</c:v>
                </c:pt>
                <c:pt idx="11">
                  <c:v>0.86796590217742853</c:v>
                </c:pt>
                <c:pt idx="12">
                  <c:v>0.74548320410510571</c:v>
                </c:pt>
                <c:pt idx="13">
                  <c:v>0.52819843318097859</c:v>
                </c:pt>
                <c:pt idx="14">
                  <c:v>0.30873111451549445</c:v>
                </c:pt>
                <c:pt idx="15">
                  <c:v>0.148863333352005</c:v>
                </c:pt>
                <c:pt idx="16">
                  <c:v>5.9213280862554486E-2</c:v>
                </c:pt>
                <c:pt idx="17">
                  <c:v>1.9430078582087108E-2</c:v>
                </c:pt>
                <c:pt idx="18">
                  <c:v>5.2596159753108534E-3</c:v>
                </c:pt>
                <c:pt idx="19">
                  <c:v>1.1745122783133814E-3</c:v>
                </c:pt>
                <c:pt idx="20">
                  <c:v>2.1636406552510967E-4</c:v>
                </c:pt>
              </c:numCache>
            </c:numRef>
          </c:yVal>
          <c:smooth val="1"/>
          <c:extLst>
            <c:ext xmlns:c16="http://schemas.microsoft.com/office/drawing/2014/chart" uri="{C3380CC4-5D6E-409C-BE32-E72D297353CC}">
              <c16:uniqueId val="{00000001-579E-014E-BEFE-BA55F442A84B}"/>
            </c:ext>
          </c:extLst>
        </c:ser>
        <c:ser>
          <c:idx val="2"/>
          <c:order val="2"/>
          <c:tx>
            <c:v>OP2</c:v>
          </c:tx>
          <c:spPr>
            <a:ln w="19050" cap="rnd">
              <a:solidFill>
                <a:schemeClr val="accent3"/>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Operators!$AB$8:$AB$28</c:f>
              <c:numCache>
                <c:formatCode>General</c:formatCode>
                <c:ptCount val="21"/>
                <c:pt idx="0">
                  <c:v>2.8431270311806097E-3</c:v>
                </c:pt>
                <c:pt idx="1">
                  <c:v>7.1523779004205538E-3</c:v>
                </c:pt>
                <c:pt idx="2">
                  <c:v>1.6485503314937745E-2</c:v>
                </c:pt>
                <c:pt idx="3">
                  <c:v>3.4813808787228034E-2</c:v>
                </c:pt>
                <c:pt idx="4">
                  <c:v>6.7359435433579445E-2</c:v>
                </c:pt>
                <c:pt idx="5">
                  <c:v>0.11941060743950237</c:v>
                </c:pt>
                <c:pt idx="6">
                  <c:v>0.1939478398612646</c:v>
                </c:pt>
                <c:pt idx="7">
                  <c:v>0.28861875997443381</c:v>
                </c:pt>
                <c:pt idx="8">
                  <c:v>0.39351540300879478</c:v>
                </c:pt>
                <c:pt idx="9">
                  <c:v>0.49158258184199471</c:v>
                </c:pt>
                <c:pt idx="10">
                  <c:v>0.56263767067887283</c:v>
                </c:pt>
                <c:pt idx="11">
                  <c:v>0.59000908213012315</c:v>
                </c:pt>
                <c:pt idx="12">
                  <c:v>0.56687350304167661</c:v>
                </c:pt>
                <c:pt idx="13">
                  <c:v>0.49901222865633033</c:v>
                </c:pt>
                <c:pt idx="14">
                  <c:v>0.40247025564729244</c:v>
                </c:pt>
                <c:pt idx="15">
                  <c:v>0.29740890016570132</c:v>
                </c:pt>
                <c:pt idx="16">
                  <c:v>0.20135930452136147</c:v>
                </c:pt>
                <c:pt idx="17">
                  <c:v>0.12490706807165</c:v>
                </c:pt>
                <c:pt idx="18">
                  <c:v>7.0990444646737608E-2</c:v>
                </c:pt>
                <c:pt idx="19">
                  <c:v>3.6966671536351775E-2</c:v>
                </c:pt>
                <c:pt idx="20">
                  <c:v>1.7636742376728631E-2</c:v>
                </c:pt>
              </c:numCache>
            </c:numRef>
          </c:yVal>
          <c:smooth val="1"/>
          <c:extLst>
            <c:ext xmlns:c16="http://schemas.microsoft.com/office/drawing/2014/chart" uri="{C3380CC4-5D6E-409C-BE32-E72D297353CC}">
              <c16:uniqueId val="{00000002-579E-014E-BEFE-BA55F442A84B}"/>
            </c:ext>
          </c:extLst>
        </c:ser>
        <c:ser>
          <c:idx val="3"/>
          <c:order val="3"/>
          <c:tx>
            <c:v>OP3</c:v>
          </c:tx>
          <c:spPr>
            <a:ln w="19050" cap="rnd">
              <a:solidFill>
                <a:schemeClr val="accent4"/>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Operators!$AC$8:$AC$28</c:f>
              <c:numCache>
                <c:formatCode>General</c:formatCode>
                <c:ptCount val="21"/>
                <c:pt idx="0">
                  <c:v>2.2728476923847857E-4</c:v>
                </c:pt>
                <c:pt idx="1">
                  <c:v>1.0128276676007249E-3</c:v>
                </c:pt>
                <c:pt idx="2">
                  <c:v>3.8789251663833135E-3</c:v>
                </c:pt>
                <c:pt idx="3">
                  <c:v>1.2767264847020008E-2</c:v>
                </c:pt>
                <c:pt idx="4">
                  <c:v>3.6115610111902924E-2</c:v>
                </c:pt>
                <c:pt idx="5">
                  <c:v>8.7801647727291071E-2</c:v>
                </c:pt>
                <c:pt idx="6">
                  <c:v>0.18345138642995448</c:v>
                </c:pt>
                <c:pt idx="7">
                  <c:v>0.32941999197755889</c:v>
                </c:pt>
                <c:pt idx="8">
                  <c:v>0.50838125413956725</c:v>
                </c:pt>
                <c:pt idx="9">
                  <c:v>0.67427914265267852</c:v>
                </c:pt>
                <c:pt idx="10">
                  <c:v>0.76860029283431941</c:v>
                </c:pt>
                <c:pt idx="11">
                  <c:v>0.75296014154164104</c:v>
                </c:pt>
                <c:pt idx="12">
                  <c:v>0.63394860506530948</c:v>
                </c:pt>
                <c:pt idx="13">
                  <c:v>0.4587190074188397</c:v>
                </c:pt>
                <c:pt idx="14">
                  <c:v>0.2852660200898674</c:v>
                </c:pt>
                <c:pt idx="15">
                  <c:v>0.15246282835325389</c:v>
                </c:pt>
                <c:pt idx="16">
                  <c:v>7.0030708982438017E-2</c:v>
                </c:pt>
                <c:pt idx="17">
                  <c:v>2.7645452061587826E-2</c:v>
                </c:pt>
                <c:pt idx="18">
                  <c:v>9.3792797762306552E-3</c:v>
                </c:pt>
                <c:pt idx="19">
                  <c:v>2.734802116419154E-3</c:v>
                </c:pt>
                <c:pt idx="20">
                  <c:v>6.8531927350843399E-4</c:v>
                </c:pt>
              </c:numCache>
            </c:numRef>
          </c:yVal>
          <c:smooth val="1"/>
          <c:extLst>
            <c:ext xmlns:c16="http://schemas.microsoft.com/office/drawing/2014/chart" uri="{C3380CC4-5D6E-409C-BE32-E72D297353CC}">
              <c16:uniqueId val="{00000003-579E-014E-BEFE-BA55F442A84B}"/>
            </c:ext>
          </c:extLst>
        </c:ser>
        <c:ser>
          <c:idx val="4"/>
          <c:order val="4"/>
          <c:tx>
            <c:v>OP4</c:v>
          </c:tx>
          <c:spPr>
            <a:ln w="19050" cap="rnd">
              <a:solidFill>
                <a:schemeClr val="accent5"/>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Operators!$AD$8:$AD$28</c:f>
              <c:numCache>
                <c:formatCode>General</c:formatCode>
                <c:ptCount val="21"/>
                <c:pt idx="0">
                  <c:v>4.1866779356188975E-5</c:v>
                </c:pt>
                <c:pt idx="1">
                  <c:v>2.008867847232133E-4</c:v>
                </c:pt>
                <c:pt idx="2">
                  <c:v>8.4049993134954922E-4</c:v>
                </c:pt>
                <c:pt idx="3">
                  <c:v>3.0663978185067587E-3</c:v>
                </c:pt>
                <c:pt idx="4">
                  <c:v>9.7549222593916064E-3</c:v>
                </c:pt>
                <c:pt idx="5">
                  <c:v>2.7059740567612345E-2</c:v>
                </c:pt>
                <c:pt idx="6">
                  <c:v>6.5452757027463698E-2</c:v>
                </c:pt>
                <c:pt idx="7">
                  <c:v>0.13805011142219489</c:v>
                </c:pt>
                <c:pt idx="8">
                  <c:v>0.25389262081230074</c:v>
                </c:pt>
                <c:pt idx="9">
                  <c:v>0.40716261616154786</c:v>
                </c:pt>
                <c:pt idx="10">
                  <c:v>0.5693642756707874</c:v>
                </c:pt>
                <c:pt idx="11">
                  <c:v>0.69425182906983851</c:v>
                </c:pt>
                <c:pt idx="12">
                  <c:v>0.73815633527591495</c:v>
                </c:pt>
                <c:pt idx="13">
                  <c:v>0.68435929580799237</c:v>
                </c:pt>
                <c:pt idx="14">
                  <c:v>0.55325390818892606</c:v>
                </c:pt>
                <c:pt idx="15">
                  <c:v>0.39000422388477973</c:v>
                </c:pt>
                <c:pt idx="16">
                  <c:v>0.23972792769958221</c:v>
                </c:pt>
                <c:pt idx="17">
                  <c:v>0.12849092399698622</c:v>
                </c:pt>
                <c:pt idx="18">
                  <c:v>6.0052455992705728E-2</c:v>
                </c:pt>
                <c:pt idx="19">
                  <c:v>2.4473359822340696E-2</c:v>
                </c:pt>
                <c:pt idx="20">
                  <c:v>8.6968287376600617E-3</c:v>
                </c:pt>
              </c:numCache>
            </c:numRef>
          </c:yVal>
          <c:smooth val="1"/>
          <c:extLst>
            <c:ext xmlns:c16="http://schemas.microsoft.com/office/drawing/2014/chart" uri="{C3380CC4-5D6E-409C-BE32-E72D297353CC}">
              <c16:uniqueId val="{00000004-579E-014E-BEFE-BA55F442A84B}"/>
            </c:ext>
          </c:extLst>
        </c:ser>
        <c:ser>
          <c:idx val="5"/>
          <c:order val="5"/>
          <c:tx>
            <c:v>OP5</c:v>
          </c:tx>
          <c:spPr>
            <a:ln w="19050" cap="rnd">
              <a:solidFill>
                <a:schemeClr val="accent6"/>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Operators!$AE$8:$AE$28</c:f>
              <c:numCache>
                <c:formatCode>General</c:formatCode>
                <c:ptCount val="21"/>
                <c:pt idx="0">
                  <c:v>3.0330436118343418E-6</c:v>
                </c:pt>
                <c:pt idx="1">
                  <c:v>2.4335052624940386E-5</c:v>
                </c:pt>
                <c:pt idx="2">
                  <c:v>1.6169292919491969E-4</c:v>
                </c:pt>
                <c:pt idx="3">
                  <c:v>8.8972311129169898E-4</c:v>
                </c:pt>
                <c:pt idx="4">
                  <c:v>4.0543741038294627E-3</c:v>
                </c:pt>
                <c:pt idx="5">
                  <c:v>1.5300226883442489E-2</c:v>
                </c:pt>
                <c:pt idx="6">
                  <c:v>4.7816416616976457E-2</c:v>
                </c:pt>
                <c:pt idx="7">
                  <c:v>0.12375458179185092</c:v>
                </c:pt>
                <c:pt idx="8">
                  <c:v>0.26524710417492287</c:v>
                </c:pt>
                <c:pt idx="9">
                  <c:v>0.47080939408943018</c:v>
                </c:pt>
                <c:pt idx="10">
                  <c:v>0.692061504505882</c:v>
                </c:pt>
                <c:pt idx="11">
                  <c:v>0.84246015486863512</c:v>
                </c:pt>
                <c:pt idx="12">
                  <c:v>0.84929614111005269</c:v>
                </c:pt>
                <c:pt idx="13">
                  <c:v>0.70904538767561243</c:v>
                </c:pt>
                <c:pt idx="14">
                  <c:v>0.49022338675098937</c:v>
                </c:pt>
                <c:pt idx="15">
                  <c:v>0.28068494550324702</c:v>
                </c:pt>
                <c:pt idx="16">
                  <c:v>0.13309119303242664</c:v>
                </c:pt>
                <c:pt idx="17">
                  <c:v>5.2261830913493922E-2</c:v>
                </c:pt>
                <c:pt idx="18">
                  <c:v>1.699515098185659E-2</c:v>
                </c:pt>
                <c:pt idx="19">
                  <c:v>4.5768906657956791E-3</c:v>
                </c:pt>
                <c:pt idx="20">
                  <c:v>1.0207541471804298E-3</c:v>
                </c:pt>
              </c:numCache>
            </c:numRef>
          </c:yVal>
          <c:smooth val="1"/>
          <c:extLst>
            <c:ext xmlns:c16="http://schemas.microsoft.com/office/drawing/2014/chart" uri="{C3380CC4-5D6E-409C-BE32-E72D297353CC}">
              <c16:uniqueId val="{00000005-579E-014E-BEFE-BA55F442A84B}"/>
            </c:ext>
          </c:extLst>
        </c:ser>
        <c:dLbls>
          <c:showLegendKey val="0"/>
          <c:showVal val="0"/>
          <c:showCatName val="0"/>
          <c:showSerName val="0"/>
          <c:showPercent val="0"/>
          <c:showBubbleSize val="0"/>
        </c:dLbls>
        <c:axId val="742739872"/>
        <c:axId val="742739544"/>
      </c:scatterChart>
      <c:valAx>
        <c:axId val="742739872"/>
        <c:scaling>
          <c:orientation val="minMax"/>
          <c:max val="2"/>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544"/>
        <c:crosses val="autoZero"/>
        <c:crossBetween val="midCat"/>
      </c:valAx>
      <c:valAx>
        <c:axId val="742739544"/>
        <c:scaling>
          <c:orientation val="minMax"/>
          <c:max val="1.6"/>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Probabi.ity</a:t>
                </a:r>
                <a:r>
                  <a:rPr lang="en-GB" baseline="0"/>
                  <a:t> densitry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872"/>
        <c:crosses val="autoZero"/>
        <c:crossBetween val="midCat"/>
      </c:valAx>
      <c:spPr>
        <a:noFill/>
        <a:ln>
          <a:noFill/>
        </a:ln>
        <a:effectLst/>
      </c:spPr>
    </c:plotArea>
    <c:legend>
      <c:legendPos val="r"/>
      <c:layout>
        <c:manualLayout>
          <c:xMode val="edge"/>
          <c:yMode val="edge"/>
          <c:x val="6.0811194693946115E-2"/>
          <c:y val="0.11673466792424836"/>
          <c:w val="0.4696692662271113"/>
          <c:h val="0.6365124362819385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Operator</a:t>
            </a:r>
            <a:r>
              <a:rPr lang="en-GB" sz="1100" baseline="0"/>
              <a:t> vs Operator Mean (6 to 10</a:t>
            </a:r>
            <a:r>
              <a:rPr lang="en-GB" baseline="0"/>
              <a:t>)</a:t>
            </a:r>
            <a:endParaRPr lang="en-GB"/>
          </a:p>
        </c:rich>
      </c:tx>
      <c:layout>
        <c:manualLayout>
          <c:xMode val="edge"/>
          <c:yMode val="edge"/>
          <c:x val="0.1575044847518437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431960207395456E-2"/>
          <c:y val="0.13661141804788213"/>
          <c:w val="0.93284607334459424"/>
          <c:h val="0.72373469491726894"/>
        </c:manualLayout>
      </c:layout>
      <c:scatterChart>
        <c:scatterStyle val="smoothMarker"/>
        <c:varyColors val="0"/>
        <c:ser>
          <c:idx val="0"/>
          <c:order val="0"/>
          <c:tx>
            <c:v>OperatorMean Error</c:v>
          </c:tx>
          <c:spPr>
            <a:ln w="19050" cap="rnd">
              <a:solidFill>
                <a:schemeClr val="accent1"/>
              </a:solidFill>
              <a:round/>
            </a:ln>
            <a:effectLst/>
          </c:spPr>
          <c:marker>
            <c:symbol val="none"/>
          </c:marker>
          <c:xVal>
            <c:numRef>
              <c:f>Methodology!$F$30:$O$30</c:f>
              <c:numCache>
                <c:formatCode>0.0</c:formatCode>
                <c:ptCount val="10"/>
                <c:pt idx="0">
                  <c:v>-1</c:v>
                </c:pt>
                <c:pt idx="1">
                  <c:v>-0.7</c:v>
                </c:pt>
                <c:pt idx="2">
                  <c:v>-0.39999999999999997</c:v>
                </c:pt>
                <c:pt idx="3">
                  <c:v>-9.9999999999999978E-2</c:v>
                </c:pt>
                <c:pt idx="4">
                  <c:v>0.2</c:v>
                </c:pt>
                <c:pt idx="5">
                  <c:v>0.5</c:v>
                </c:pt>
                <c:pt idx="6">
                  <c:v>0.8</c:v>
                </c:pt>
                <c:pt idx="7">
                  <c:v>1.1000000000000001</c:v>
                </c:pt>
                <c:pt idx="8">
                  <c:v>1.4000000000000001</c:v>
                </c:pt>
                <c:pt idx="9">
                  <c:v>1.7000000000000002</c:v>
                </c:pt>
              </c:numCache>
            </c:numRef>
          </c:xVal>
          <c:yVal>
            <c:numRef>
              <c:f>Methodology!$F$31:$O$31</c:f>
              <c:numCache>
                <c:formatCode>General</c:formatCode>
                <c:ptCount val="10"/>
                <c:pt idx="0">
                  <c:v>2.0164859204980798E-7</c:v>
                </c:pt>
                <c:pt idx="1">
                  <c:v>1.137396216583245E-4</c:v>
                </c:pt>
                <c:pt idx="2">
                  <c:v>1.299669097266677E-2</c:v>
                </c:pt>
                <c:pt idx="3">
                  <c:v>0.30085569317438249</c:v>
                </c:pt>
                <c:pt idx="4">
                  <c:v>1.4108735892773954</c:v>
                </c:pt>
                <c:pt idx="5">
                  <c:v>1.3403629095385514</c:v>
                </c:pt>
                <c:pt idx="6">
                  <c:v>0.25796520277051199</c:v>
                </c:pt>
                <c:pt idx="7">
                  <c:v>1.0057829782742727E-2</c:v>
                </c:pt>
                <c:pt idx="8">
                  <c:v>7.9442309920041253E-5</c:v>
                </c:pt>
                <c:pt idx="9">
                  <c:v>1.271170699294884E-7</c:v>
                </c:pt>
              </c:numCache>
            </c:numRef>
          </c:yVal>
          <c:smooth val="1"/>
          <c:extLst>
            <c:ext xmlns:c16="http://schemas.microsoft.com/office/drawing/2014/chart" uri="{C3380CC4-5D6E-409C-BE32-E72D297353CC}">
              <c16:uniqueId val="{00000000-053A-7F4C-8700-2160807D3A05}"/>
            </c:ext>
          </c:extLst>
        </c:ser>
        <c:ser>
          <c:idx val="1"/>
          <c:order val="1"/>
          <c:tx>
            <c:v>OP6</c:v>
          </c:tx>
          <c:spPr>
            <a:ln w="19050" cap="rnd">
              <a:solidFill>
                <a:schemeClr val="accent2"/>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Operators!$AF$8:$AF$28</c:f>
              <c:numCache>
                <c:formatCode>General</c:formatCode>
                <c:ptCount val="21"/>
                <c:pt idx="0">
                  <c:v>9.219760861366612E-11</c:v>
                </c:pt>
                <c:pt idx="1">
                  <c:v>2.495483820790095E-9</c:v>
                </c:pt>
                <c:pt idx="2">
                  <c:v>5.2403726144921609E-8</c:v>
                </c:pt>
                <c:pt idx="3">
                  <c:v>8.5377195793042621E-7</c:v>
                </c:pt>
                <c:pt idx="4">
                  <c:v>1.0791800600192231E-5</c:v>
                </c:pt>
                <c:pt idx="5">
                  <c:v>1.0583230286108463E-4</c:v>
                </c:pt>
                <c:pt idx="6">
                  <c:v>8.0522062103588336E-4</c:v>
                </c:pt>
                <c:pt idx="7">
                  <c:v>4.7531753731575432E-3</c:v>
                </c:pt>
                <c:pt idx="8">
                  <c:v>2.1768329188762186E-2</c:v>
                </c:pt>
                <c:pt idx="9">
                  <c:v>7.7346143133627893E-2</c:v>
                </c:pt>
                <c:pt idx="10">
                  <c:v>0.21321832956423936</c:v>
                </c:pt>
                <c:pt idx="11">
                  <c:v>0.45601876988815754</c:v>
                </c:pt>
                <c:pt idx="12">
                  <c:v>0.75668166172755169</c:v>
                </c:pt>
                <c:pt idx="13">
                  <c:v>0.97412795599305646</c:v>
                </c:pt>
                <c:pt idx="14">
                  <c:v>0.97295132388694971</c:v>
                </c:pt>
                <c:pt idx="15">
                  <c:v>0.75394302474371266</c:v>
                </c:pt>
                <c:pt idx="16">
                  <c:v>0.45327132963180367</c:v>
                </c:pt>
                <c:pt idx="17">
                  <c:v>0.21142205032074904</c:v>
                </c:pt>
                <c:pt idx="18">
                  <c:v>7.6509368706930758E-2</c:v>
                </c:pt>
                <c:pt idx="19">
                  <c:v>2.1480840228564703E-2</c:v>
                </c:pt>
                <c:pt idx="20">
                  <c:v>4.6790772929303842E-3</c:v>
                </c:pt>
              </c:numCache>
            </c:numRef>
          </c:yVal>
          <c:smooth val="1"/>
          <c:extLst>
            <c:ext xmlns:c16="http://schemas.microsoft.com/office/drawing/2014/chart" uri="{C3380CC4-5D6E-409C-BE32-E72D297353CC}">
              <c16:uniqueId val="{00000001-053A-7F4C-8700-2160807D3A05}"/>
            </c:ext>
          </c:extLst>
        </c:ser>
        <c:ser>
          <c:idx val="2"/>
          <c:order val="2"/>
          <c:tx>
            <c:v>OP7</c:v>
          </c:tx>
          <c:spPr>
            <a:ln w="19050" cap="rnd">
              <a:solidFill>
                <a:schemeClr val="accent3"/>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Operators!$AG$8:$AG$28</c:f>
              <c:numCache>
                <c:formatCode>General</c:formatCode>
                <c:ptCount val="21"/>
                <c:pt idx="0">
                  <c:v>9.189374925552185E-4</c:v>
                </c:pt>
                <c:pt idx="1">
                  <c:v>3.2368276080858372E-3</c:v>
                </c:pt>
                <c:pt idx="2">
                  <c:v>9.9952316053475744E-3</c:v>
                </c:pt>
                <c:pt idx="3">
                  <c:v>2.7058632704271422E-2</c:v>
                </c:pt>
                <c:pt idx="4">
                  <c:v>6.4218258907888931E-2</c:v>
                </c:pt>
                <c:pt idx="5">
                  <c:v>0.13361367198366297</c:v>
                </c:pt>
                <c:pt idx="6">
                  <c:v>0.24371539622986552</c:v>
                </c:pt>
                <c:pt idx="7">
                  <c:v>0.38972182311108178</c:v>
                </c:pt>
                <c:pt idx="8">
                  <c:v>0.54634400103229275</c:v>
                </c:pt>
                <c:pt idx="9">
                  <c:v>0.67145563924080531</c:v>
                </c:pt>
                <c:pt idx="10">
                  <c:v>0.72344940859507545</c:v>
                </c:pt>
                <c:pt idx="11">
                  <c:v>0.68334292107508632</c:v>
                </c:pt>
                <c:pt idx="12">
                  <c:v>0.56585991134076774</c:v>
                </c:pt>
                <c:pt idx="13">
                  <c:v>0.41078904014071982</c:v>
                </c:pt>
                <c:pt idx="14">
                  <c:v>0.26143784950815074</c:v>
                </c:pt>
                <c:pt idx="15">
                  <c:v>0.1458672416312804</c:v>
                </c:pt>
                <c:pt idx="16">
                  <c:v>7.1348816219719891E-2</c:v>
                </c:pt>
                <c:pt idx="17">
                  <c:v>3.0595352901730235E-2</c:v>
                </c:pt>
                <c:pt idx="18">
                  <c:v>1.1501748194391922E-2</c:v>
                </c:pt>
                <c:pt idx="19">
                  <c:v>3.7906347313506816E-3</c:v>
                </c:pt>
                <c:pt idx="20">
                  <c:v>1.0952158316745832E-3</c:v>
                </c:pt>
              </c:numCache>
            </c:numRef>
          </c:yVal>
          <c:smooth val="1"/>
          <c:extLst>
            <c:ext xmlns:c16="http://schemas.microsoft.com/office/drawing/2014/chart" uri="{C3380CC4-5D6E-409C-BE32-E72D297353CC}">
              <c16:uniqueId val="{00000002-053A-7F4C-8700-2160807D3A05}"/>
            </c:ext>
          </c:extLst>
        </c:ser>
        <c:ser>
          <c:idx val="3"/>
          <c:order val="3"/>
          <c:tx>
            <c:v>OP8</c:v>
          </c:tx>
          <c:spPr>
            <a:ln w="19050" cap="rnd">
              <a:solidFill>
                <a:schemeClr val="accent4"/>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Operators!$AH$8:$AH$28</c:f>
              <c:numCache>
                <c:formatCode>General</c:formatCode>
                <c:ptCount val="21"/>
                <c:pt idx="0">
                  <c:v>1.4132516506104362E-21</c:v>
                </c:pt>
                <c:pt idx="1">
                  <c:v>2.3881537949235285E-18</c:v>
                </c:pt>
                <c:pt idx="2">
                  <c:v>2.1744251830643312E-15</c:v>
                </c:pt>
                <c:pt idx="3">
                  <c:v>1.0667583092217881E-12</c:v>
                </c:pt>
                <c:pt idx="4">
                  <c:v>2.8198563637815654E-10</c:v>
                </c:pt>
                <c:pt idx="5">
                  <c:v>4.0163109308467276E-8</c:v>
                </c:pt>
                <c:pt idx="6">
                  <c:v>3.0822442773193843E-6</c:v>
                </c:pt>
                <c:pt idx="7">
                  <c:v>1.2745185773458347E-4</c:v>
                </c:pt>
                <c:pt idx="8">
                  <c:v>2.8396490733491185E-3</c:v>
                </c:pt>
                <c:pt idx="9">
                  <c:v>3.4089651624908804E-2</c:v>
                </c:pt>
                <c:pt idx="10">
                  <c:v>0.22050571037329933</c:v>
                </c:pt>
                <c:pt idx="11">
                  <c:v>0.7685223568960039</c:v>
                </c:pt>
                <c:pt idx="12">
                  <c:v>1.443220066648587</c:v>
                </c:pt>
                <c:pt idx="13">
                  <c:v>1.460319884858768</c:v>
                </c:pt>
                <c:pt idx="14">
                  <c:v>0.79616453238838381</c:v>
                </c:pt>
                <c:pt idx="15">
                  <c:v>0.23388213084569826</c:v>
                </c:pt>
                <c:pt idx="16">
                  <c:v>3.7019508182549427E-2</c:v>
                </c:pt>
                <c:pt idx="17">
                  <c:v>3.1572112014132468E-3</c:v>
                </c:pt>
                <c:pt idx="18">
                  <c:v>1.4508282811280266E-4</c:v>
                </c:pt>
                <c:pt idx="19">
                  <c:v>3.5922601288998633E-6</c:v>
                </c:pt>
                <c:pt idx="20">
                  <c:v>4.792464789704269E-8</c:v>
                </c:pt>
              </c:numCache>
            </c:numRef>
          </c:yVal>
          <c:smooth val="1"/>
          <c:extLst>
            <c:ext xmlns:c16="http://schemas.microsoft.com/office/drawing/2014/chart" uri="{C3380CC4-5D6E-409C-BE32-E72D297353CC}">
              <c16:uniqueId val="{00000003-053A-7F4C-8700-2160807D3A05}"/>
            </c:ext>
          </c:extLst>
        </c:ser>
        <c:ser>
          <c:idx val="4"/>
          <c:order val="4"/>
          <c:tx>
            <c:v>OP9</c:v>
          </c:tx>
          <c:spPr>
            <a:ln w="19050" cap="rnd">
              <a:solidFill>
                <a:schemeClr val="accent5"/>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Operators!$AI$8:$AI$28</c:f>
              <c:numCache>
                <c:formatCode>General</c:formatCode>
                <c:ptCount val="21"/>
                <c:pt idx="0">
                  <c:v>8.3223699423187643E-10</c:v>
                </c:pt>
                <c:pt idx="1">
                  <c:v>1.5426240675228876E-8</c:v>
                </c:pt>
                <c:pt idx="2">
                  <c:v>2.2941702825591141E-7</c:v>
                </c:pt>
                <c:pt idx="3">
                  <c:v>2.7374340064878026E-6</c:v>
                </c:pt>
                <c:pt idx="4">
                  <c:v>2.6206808036672803E-5</c:v>
                </c:pt>
                <c:pt idx="5">
                  <c:v>2.0129688675283984E-4</c:v>
                </c:pt>
                <c:pt idx="6">
                  <c:v>1.2405447924513551E-3</c:v>
                </c:pt>
                <c:pt idx="7">
                  <c:v>6.1339510092131384E-3</c:v>
                </c:pt>
                <c:pt idx="8">
                  <c:v>2.433439858255642E-2</c:v>
                </c:pt>
                <c:pt idx="9">
                  <c:v>7.7455701690217954E-2</c:v>
                </c:pt>
                <c:pt idx="10">
                  <c:v>0.19780562127574386</c:v>
                </c:pt>
                <c:pt idx="11">
                  <c:v>0.40529974183844247</c:v>
                </c:pt>
                <c:pt idx="12">
                  <c:v>0.66629489547463439</c:v>
                </c:pt>
                <c:pt idx="13">
                  <c:v>0.87883856510770564</c:v>
                </c:pt>
                <c:pt idx="14">
                  <c:v>0.93004548279526877</c:v>
                </c:pt>
                <c:pt idx="15">
                  <c:v>0.78968107542724619</c:v>
                </c:pt>
                <c:pt idx="16">
                  <c:v>0.5379621667744231</c:v>
                </c:pt>
                <c:pt idx="17">
                  <c:v>0.29403850037642199</c:v>
                </c:pt>
                <c:pt idx="18">
                  <c:v>0.12894637137056847</c:v>
                </c:pt>
                <c:pt idx="19">
                  <c:v>4.5369763218955438E-2</c:v>
                </c:pt>
                <c:pt idx="20">
                  <c:v>1.2807853793745294E-2</c:v>
                </c:pt>
              </c:numCache>
            </c:numRef>
          </c:yVal>
          <c:smooth val="1"/>
          <c:extLst>
            <c:ext xmlns:c16="http://schemas.microsoft.com/office/drawing/2014/chart" uri="{C3380CC4-5D6E-409C-BE32-E72D297353CC}">
              <c16:uniqueId val="{00000004-053A-7F4C-8700-2160807D3A05}"/>
            </c:ext>
          </c:extLst>
        </c:ser>
        <c:ser>
          <c:idx val="5"/>
          <c:order val="5"/>
          <c:tx>
            <c:v>OP10</c:v>
          </c:tx>
          <c:spPr>
            <a:ln w="19050" cap="rnd">
              <a:solidFill>
                <a:schemeClr val="accent6"/>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Operators!$AJ$8:$AJ$28</c:f>
              <c:numCache>
                <c:formatCode>General</c:formatCode>
                <c:ptCount val="21"/>
                <c:pt idx="0">
                  <c:v>5.7723254711961241E-18</c:v>
                </c:pt>
                <c:pt idx="1">
                  <c:v>4.3947057373726419E-15</c:v>
                </c:pt>
                <c:pt idx="2">
                  <c:v>1.8377071911463731E-12</c:v>
                </c:pt>
                <c:pt idx="3">
                  <c:v>4.2207570341424834E-10</c:v>
                </c:pt>
                <c:pt idx="4">
                  <c:v>5.3244152068318288E-8</c:v>
                </c:pt>
                <c:pt idx="5">
                  <c:v>3.689104872997922E-6</c:v>
                </c:pt>
                <c:pt idx="6">
                  <c:v>1.4039046476601913E-4</c:v>
                </c:pt>
                <c:pt idx="7">
                  <c:v>2.9344164338530425E-3</c:v>
                </c:pt>
                <c:pt idx="8">
                  <c:v>3.3687858536931077E-2</c:v>
                </c:pt>
                <c:pt idx="9">
                  <c:v>0.2124186220613932</c:v>
                </c:pt>
                <c:pt idx="10">
                  <c:v>0.73566364382869909</c:v>
                </c:pt>
                <c:pt idx="11">
                  <c:v>1.3993731109189531</c:v>
                </c:pt>
                <c:pt idx="12">
                  <c:v>1.4620266175806729</c:v>
                </c:pt>
                <c:pt idx="13">
                  <c:v>0.83896638126250656</c:v>
                </c:pt>
                <c:pt idx="14">
                  <c:v>0.26442429871608675</c:v>
                </c:pt>
                <c:pt idx="15">
                  <c:v>4.5774719134685338E-2</c:v>
                </c:pt>
                <c:pt idx="16">
                  <c:v>4.3522871330334816E-3</c:v>
                </c:pt>
                <c:pt idx="17">
                  <c:v>2.2728821317527796E-4</c:v>
                </c:pt>
                <c:pt idx="18">
                  <c:v>6.5193427393631337E-6</c:v>
                </c:pt>
                <c:pt idx="19">
                  <c:v>1.0270657265868292E-7</c:v>
                </c:pt>
                <c:pt idx="20">
                  <c:v>8.8871024008705513E-10</c:v>
                </c:pt>
              </c:numCache>
            </c:numRef>
          </c:yVal>
          <c:smooth val="1"/>
          <c:extLst>
            <c:ext xmlns:c16="http://schemas.microsoft.com/office/drawing/2014/chart" uri="{C3380CC4-5D6E-409C-BE32-E72D297353CC}">
              <c16:uniqueId val="{00000005-053A-7F4C-8700-2160807D3A05}"/>
            </c:ext>
          </c:extLst>
        </c:ser>
        <c:dLbls>
          <c:showLegendKey val="0"/>
          <c:showVal val="0"/>
          <c:showCatName val="0"/>
          <c:showSerName val="0"/>
          <c:showPercent val="0"/>
          <c:showBubbleSize val="0"/>
        </c:dLbls>
        <c:axId val="742739872"/>
        <c:axId val="742739544"/>
      </c:scatterChart>
      <c:valAx>
        <c:axId val="742739872"/>
        <c:scaling>
          <c:orientation val="minMax"/>
          <c:max val="2"/>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Size</a:t>
                </a:r>
              </a:p>
            </c:rich>
          </c:tx>
          <c:layout>
            <c:manualLayout>
              <c:xMode val="edge"/>
              <c:yMode val="edge"/>
              <c:x val="0.41366848777149817"/>
              <c:y val="0.9271265786241134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544"/>
        <c:crosses val="autoZero"/>
        <c:crossBetween val="midCat"/>
      </c:valAx>
      <c:valAx>
        <c:axId val="742739544"/>
        <c:scaling>
          <c:orientation val="minMax"/>
          <c:max val="1.6"/>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Probabi.ity</a:t>
                </a:r>
                <a:r>
                  <a:rPr lang="en-GB" baseline="0"/>
                  <a:t> densitry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872"/>
        <c:crosses val="autoZero"/>
        <c:crossBetween val="midCat"/>
      </c:valAx>
      <c:spPr>
        <a:noFill/>
        <a:ln>
          <a:noFill/>
        </a:ln>
        <a:effectLst/>
      </c:spPr>
    </c:plotArea>
    <c:legend>
      <c:legendPos val="r"/>
      <c:layout>
        <c:manualLayout>
          <c:xMode val="edge"/>
          <c:yMode val="edge"/>
          <c:x val="7.2770532943896279E-2"/>
          <c:y val="0.14941242839095167"/>
          <c:w val="0.4568288292247305"/>
          <c:h val="0.529801474887737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Operator</a:t>
            </a:r>
            <a:r>
              <a:rPr lang="en-GB" sz="1100" baseline="0"/>
              <a:t> vs Operator Mean (1 to 5)</a:t>
            </a:r>
            <a:endParaRPr lang="en-GB" sz="1100"/>
          </a:p>
        </c:rich>
      </c:tx>
      <c:layout>
        <c:manualLayout>
          <c:xMode val="edge"/>
          <c:yMode val="edge"/>
          <c:x val="0.17840350681697975"/>
          <c:y val="1.48809523809523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431960207395456E-2"/>
          <c:y val="0.13661141804788213"/>
          <c:w val="0.93284607334459424"/>
          <c:h val="0.76686909992604513"/>
        </c:manualLayout>
      </c:layout>
      <c:scatterChart>
        <c:scatterStyle val="smoothMarker"/>
        <c:varyColors val="0"/>
        <c:ser>
          <c:idx val="0"/>
          <c:order val="0"/>
          <c:tx>
            <c:v>OperatorMean Error</c:v>
          </c:tx>
          <c:spPr>
            <a:ln w="19050" cap="rnd">
              <a:solidFill>
                <a:schemeClr val="accent1"/>
              </a:solidFill>
              <a:round/>
            </a:ln>
            <a:effectLst/>
          </c:spPr>
          <c:marker>
            <c:symbol val="none"/>
          </c:marker>
          <c:xVal>
            <c:numRef>
              <c:f>Methodology!$F$30:$O$30</c:f>
              <c:numCache>
                <c:formatCode>0.0</c:formatCode>
                <c:ptCount val="10"/>
                <c:pt idx="0">
                  <c:v>-1</c:v>
                </c:pt>
                <c:pt idx="1">
                  <c:v>-0.7</c:v>
                </c:pt>
                <c:pt idx="2">
                  <c:v>-0.39999999999999997</c:v>
                </c:pt>
                <c:pt idx="3">
                  <c:v>-9.9999999999999978E-2</c:v>
                </c:pt>
                <c:pt idx="4">
                  <c:v>0.2</c:v>
                </c:pt>
                <c:pt idx="5">
                  <c:v>0.5</c:v>
                </c:pt>
                <c:pt idx="6">
                  <c:v>0.8</c:v>
                </c:pt>
                <c:pt idx="7">
                  <c:v>1.1000000000000001</c:v>
                </c:pt>
                <c:pt idx="8">
                  <c:v>1.4000000000000001</c:v>
                </c:pt>
                <c:pt idx="9">
                  <c:v>1.7000000000000002</c:v>
                </c:pt>
              </c:numCache>
            </c:numRef>
          </c:xVal>
          <c:yVal>
            <c:numRef>
              <c:f>Methodology!$F$31:$O$31</c:f>
              <c:numCache>
                <c:formatCode>General</c:formatCode>
                <c:ptCount val="10"/>
                <c:pt idx="0">
                  <c:v>2.0164859204980798E-7</c:v>
                </c:pt>
                <c:pt idx="1">
                  <c:v>1.137396216583245E-4</c:v>
                </c:pt>
                <c:pt idx="2">
                  <c:v>1.299669097266677E-2</c:v>
                </c:pt>
                <c:pt idx="3">
                  <c:v>0.30085569317438249</c:v>
                </c:pt>
                <c:pt idx="4">
                  <c:v>1.4108735892773954</c:v>
                </c:pt>
                <c:pt idx="5">
                  <c:v>1.3403629095385514</c:v>
                </c:pt>
                <c:pt idx="6">
                  <c:v>0.25796520277051199</c:v>
                </c:pt>
                <c:pt idx="7">
                  <c:v>1.0057829782742727E-2</c:v>
                </c:pt>
                <c:pt idx="8">
                  <c:v>7.9442309920041253E-5</c:v>
                </c:pt>
                <c:pt idx="9">
                  <c:v>1.271170699294884E-7</c:v>
                </c:pt>
              </c:numCache>
            </c:numRef>
          </c:yVal>
          <c:smooth val="1"/>
          <c:extLst>
            <c:ext xmlns:c16="http://schemas.microsoft.com/office/drawing/2014/chart" uri="{C3380CC4-5D6E-409C-BE32-E72D297353CC}">
              <c16:uniqueId val="{00000000-9DDC-E34C-9953-1525574D12F9}"/>
            </c:ext>
          </c:extLst>
        </c:ser>
        <c:ser>
          <c:idx val="1"/>
          <c:order val="1"/>
          <c:tx>
            <c:v>OP1</c:v>
          </c:tx>
          <c:spPr>
            <a:ln w="19050" cap="rnd">
              <a:solidFill>
                <a:schemeClr val="accent2"/>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Operators!$AA$8:$AA$28</c:f>
              <c:numCache>
                <c:formatCode>General</c:formatCode>
                <c:ptCount val="21"/>
                <c:pt idx="0">
                  <c:v>1.4980767857885224E-7</c:v>
                </c:pt>
                <c:pt idx="1">
                  <c:v>2.3332914837819371E-6</c:v>
                </c:pt>
                <c:pt idx="2">
                  <c:v>2.7936619708040361E-5</c:v>
                </c:pt>
                <c:pt idx="3">
                  <c:v>2.5712757517336001E-4</c:v>
                </c:pt>
                <c:pt idx="4">
                  <c:v>1.8192542195466981E-3</c:v>
                </c:pt>
                <c:pt idx="5">
                  <c:v>9.8948238191325436E-3</c:v>
                </c:pt>
                <c:pt idx="6">
                  <c:v>4.137068188266943E-2</c:v>
                </c:pt>
                <c:pt idx="7">
                  <c:v>0.13296802884398545</c:v>
                </c:pt>
                <c:pt idx="8">
                  <c:v>0.32852749376852514</c:v>
                </c:pt>
                <c:pt idx="9">
                  <c:v>0.6239735044867214</c:v>
                </c:pt>
                <c:pt idx="10">
                  <c:v>0.91102546248711647</c:v>
                </c:pt>
                <c:pt idx="11">
                  <c:v>1.022503539889579</c:v>
                </c:pt>
                <c:pt idx="12">
                  <c:v>0.88220408285338048</c:v>
                </c:pt>
                <c:pt idx="13">
                  <c:v>0.58511771211535701</c:v>
                </c:pt>
                <c:pt idx="14">
                  <c:v>0.29832343063748995</c:v>
                </c:pt>
                <c:pt idx="15">
                  <c:v>0.11692339652788719</c:v>
                </c:pt>
                <c:pt idx="16">
                  <c:v>3.522779165744238E-2</c:v>
                </c:pt>
                <c:pt idx="17">
                  <c:v>8.1590454794206509E-3</c:v>
                </c:pt>
                <c:pt idx="18">
                  <c:v>1.4526574876994713E-3</c:v>
                </c:pt>
                <c:pt idx="19">
                  <c:v>1.988186123776189E-4</c:v>
                </c:pt>
                <c:pt idx="20">
                  <c:v>2.0918030316224807E-5</c:v>
                </c:pt>
              </c:numCache>
            </c:numRef>
          </c:yVal>
          <c:smooth val="1"/>
          <c:extLst>
            <c:ext xmlns:c16="http://schemas.microsoft.com/office/drawing/2014/chart" uri="{C3380CC4-5D6E-409C-BE32-E72D297353CC}">
              <c16:uniqueId val="{00000001-9DDC-E34C-9953-1525574D12F9}"/>
            </c:ext>
          </c:extLst>
        </c:ser>
        <c:ser>
          <c:idx val="2"/>
          <c:order val="2"/>
          <c:tx>
            <c:v>OP2</c:v>
          </c:tx>
          <c:spPr>
            <a:ln w="19050" cap="rnd">
              <a:solidFill>
                <a:schemeClr val="accent3"/>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Operators!$AB$8:$AB$28</c:f>
              <c:numCache>
                <c:formatCode>General</c:formatCode>
                <c:ptCount val="21"/>
                <c:pt idx="0">
                  <c:v>3.6930461467586088E-5</c:v>
                </c:pt>
                <c:pt idx="1">
                  <c:v>1.8265906636006501E-4</c:v>
                </c:pt>
                <c:pt idx="2">
                  <c:v>7.85070890632695E-4</c:v>
                </c:pt>
                <c:pt idx="3">
                  <c:v>2.932159952464763E-3</c:v>
                </c:pt>
                <c:pt idx="4">
                  <c:v>9.5165072585572177E-3</c:v>
                </c:pt>
                <c:pt idx="5">
                  <c:v>2.6839761394714497E-2</c:v>
                </c:pt>
                <c:pt idx="6">
                  <c:v>6.5779544253713851E-2</c:v>
                </c:pt>
                <c:pt idx="7">
                  <c:v>0.1400922827021773</c:v>
                </c:pt>
                <c:pt idx="8">
                  <c:v>0.2592678734927808</c:v>
                </c:pt>
                <c:pt idx="9">
                  <c:v>0.41695994956586907</c:v>
                </c:pt>
                <c:pt idx="10">
                  <c:v>0.58270818639498001</c:v>
                </c:pt>
                <c:pt idx="11">
                  <c:v>0.70765086125459797</c:v>
                </c:pt>
                <c:pt idx="12">
                  <c:v>0.74678932581562074</c:v>
                </c:pt>
                <c:pt idx="13">
                  <c:v>0.68483871871088275</c:v>
                </c:pt>
                <c:pt idx="14">
                  <c:v>0.54574485797591743</c:v>
                </c:pt>
                <c:pt idx="15">
                  <c:v>0.37792197102911301</c:v>
                </c:pt>
                <c:pt idx="16">
                  <c:v>0.22741848999461897</c:v>
                </c:pt>
                <c:pt idx="17">
                  <c:v>0.11892154540987623</c:v>
                </c:pt>
                <c:pt idx="18">
                  <c:v>5.4038894907788744E-2</c:v>
                </c:pt>
                <c:pt idx="19">
                  <c:v>2.1338481764263874E-2</c:v>
                </c:pt>
                <c:pt idx="20">
                  <c:v>7.3220335602236994E-3</c:v>
                </c:pt>
              </c:numCache>
            </c:numRef>
          </c:yVal>
          <c:smooth val="1"/>
          <c:extLst>
            <c:ext xmlns:c16="http://schemas.microsoft.com/office/drawing/2014/chart" uri="{C3380CC4-5D6E-409C-BE32-E72D297353CC}">
              <c16:uniqueId val="{00000002-9DDC-E34C-9953-1525574D12F9}"/>
            </c:ext>
          </c:extLst>
        </c:ser>
        <c:ser>
          <c:idx val="3"/>
          <c:order val="3"/>
          <c:tx>
            <c:v>OP3</c:v>
          </c:tx>
          <c:spPr>
            <a:ln w="19050" cap="rnd">
              <a:solidFill>
                <a:schemeClr val="accent4"/>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Operators!$AC$8:$AC$28</c:f>
              <c:numCache>
                <c:formatCode>General</c:formatCode>
                <c:ptCount val="21"/>
                <c:pt idx="0">
                  <c:v>2.8099324195603792E-6</c:v>
                </c:pt>
                <c:pt idx="1">
                  <c:v>2.6367756918961062E-5</c:v>
                </c:pt>
                <c:pt idx="2">
                  <c:v>1.992043640050812E-4</c:v>
                </c:pt>
                <c:pt idx="3">
                  <c:v>1.2116379320811104E-3</c:v>
                </c:pt>
                <c:pt idx="4">
                  <c:v>5.9332852014966431E-3</c:v>
                </c:pt>
                <c:pt idx="5">
                  <c:v>2.3391923699075556E-2</c:v>
                </c:pt>
                <c:pt idx="6">
                  <c:v>7.4248041691644756E-2</c:v>
                </c:pt>
                <c:pt idx="7">
                  <c:v>0.18973717019874486</c:v>
                </c:pt>
                <c:pt idx="8">
                  <c:v>0.39036258508063937</c:v>
                </c:pt>
                <c:pt idx="9">
                  <c:v>0.64659494096292558</c:v>
                </c:pt>
                <c:pt idx="10">
                  <c:v>0.86227296537636378</c:v>
                </c:pt>
                <c:pt idx="11">
                  <c:v>0.92577529764087907</c:v>
                </c:pt>
                <c:pt idx="12">
                  <c:v>0.80022986870621571</c:v>
                </c:pt>
                <c:pt idx="13">
                  <c:v>0.55689366460200695</c:v>
                </c:pt>
                <c:pt idx="14">
                  <c:v>0.31201692160939409</c:v>
                </c:pt>
                <c:pt idx="15">
                  <c:v>0.14074480346829144</c:v>
                </c:pt>
                <c:pt idx="16">
                  <c:v>5.1113420032303576E-2</c:v>
                </c:pt>
                <c:pt idx="17">
                  <c:v>1.4944653958803237E-2</c:v>
                </c:pt>
                <c:pt idx="18">
                  <c:v>3.517913339282655E-3</c:v>
                </c:pt>
                <c:pt idx="19">
                  <c:v>6.6670353954906064E-4</c:v>
                </c:pt>
                <c:pt idx="20">
                  <c:v>1.0172524290196459E-4</c:v>
                </c:pt>
              </c:numCache>
            </c:numRef>
          </c:yVal>
          <c:smooth val="1"/>
          <c:extLst>
            <c:ext xmlns:c16="http://schemas.microsoft.com/office/drawing/2014/chart" uri="{C3380CC4-5D6E-409C-BE32-E72D297353CC}">
              <c16:uniqueId val="{00000003-9DDC-E34C-9953-1525574D12F9}"/>
            </c:ext>
          </c:extLst>
        </c:ser>
        <c:ser>
          <c:idx val="4"/>
          <c:order val="4"/>
          <c:tx>
            <c:v>OP4</c:v>
          </c:tx>
          <c:spPr>
            <a:ln w="19050" cap="rnd">
              <a:solidFill>
                <a:schemeClr val="accent5"/>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Operators!$AD$8:$AD$28</c:f>
              <c:numCache>
                <c:formatCode>General</c:formatCode>
                <c:ptCount val="21"/>
                <c:pt idx="0">
                  <c:v>2.2607357463486163E-14</c:v>
                </c:pt>
                <c:pt idx="1">
                  <c:v>2.5863444377339304E-12</c:v>
                </c:pt>
                <c:pt idx="2">
                  <c:v>2.0144080411088082E-10</c:v>
                </c:pt>
                <c:pt idx="3">
                  <c:v>1.0681519929912883E-8</c:v>
                </c:pt>
                <c:pt idx="4">
                  <c:v>3.8560547188520322E-7</c:v>
                </c:pt>
                <c:pt idx="5">
                  <c:v>9.4771519786930878E-6</c:v>
                </c:pt>
                <c:pt idx="6">
                  <c:v>1.5857584212800372E-4</c:v>
                </c:pt>
                <c:pt idx="7">
                  <c:v>1.8064283143060615E-3</c:v>
                </c:pt>
                <c:pt idx="8">
                  <c:v>1.4009704061974085E-2</c:v>
                </c:pt>
                <c:pt idx="9">
                  <c:v>7.3971038374819276E-2</c:v>
                </c:pt>
                <c:pt idx="10">
                  <c:v>0.26590040150473959</c:v>
                </c:pt>
                <c:pt idx="11">
                  <c:v>0.65072994923791716</c:v>
                </c:pt>
                <c:pt idx="12">
                  <c:v>1.0841943043220121</c:v>
                </c:pt>
                <c:pt idx="13">
                  <c:v>1.2298098633230921</c:v>
                </c:pt>
                <c:pt idx="14">
                  <c:v>0.94971510722386299</c:v>
                </c:pt>
                <c:pt idx="15">
                  <c:v>0.49931342743609453</c:v>
                </c:pt>
                <c:pt idx="16">
                  <c:v>0.17872185690550096</c:v>
                </c:pt>
                <c:pt idx="17">
                  <c:v>4.3551850743075229E-2</c:v>
                </c:pt>
                <c:pt idx="18">
                  <c:v>7.2253699142053925E-3</c:v>
                </c:pt>
                <c:pt idx="19">
                  <c:v>8.1609004801405432E-4</c:v>
                </c:pt>
                <c:pt idx="20">
                  <c:v>6.2753882665597826E-5</c:v>
                </c:pt>
              </c:numCache>
            </c:numRef>
          </c:yVal>
          <c:smooth val="1"/>
          <c:extLst>
            <c:ext xmlns:c16="http://schemas.microsoft.com/office/drawing/2014/chart" uri="{C3380CC4-5D6E-409C-BE32-E72D297353CC}">
              <c16:uniqueId val="{00000004-9DDC-E34C-9953-1525574D12F9}"/>
            </c:ext>
          </c:extLst>
        </c:ser>
        <c:ser>
          <c:idx val="5"/>
          <c:order val="5"/>
          <c:tx>
            <c:v>OP5</c:v>
          </c:tx>
          <c:spPr>
            <a:ln w="19050" cap="rnd">
              <a:solidFill>
                <a:schemeClr val="accent6"/>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Operators!$AE$8:$AE$28</c:f>
              <c:numCache>
                <c:formatCode>General</c:formatCode>
                <c:ptCount val="21"/>
                <c:pt idx="0">
                  <c:v>3.9701135920619692E-7</c:v>
                </c:pt>
                <c:pt idx="1">
                  <c:v>4.2320710848412242E-6</c:v>
                </c:pt>
                <c:pt idx="2">
                  <c:v>3.6626600612587861E-5</c:v>
                </c:pt>
                <c:pt idx="3">
                  <c:v>2.5735577009666479E-4</c:v>
                </c:pt>
                <c:pt idx="4">
                  <c:v>1.4681311217912914E-3</c:v>
                </c:pt>
                <c:pt idx="5">
                  <c:v>6.7996947713046593E-3</c:v>
                </c:pt>
                <c:pt idx="6">
                  <c:v>2.5568640067493206E-2</c:v>
                </c:pt>
                <c:pt idx="7">
                  <c:v>7.8058370144914846E-2</c:v>
                </c:pt>
                <c:pt idx="8">
                  <c:v>0.1934750495102652</c:v>
                </c:pt>
                <c:pt idx="9">
                  <c:v>0.38933557807853902</c:v>
                </c:pt>
                <c:pt idx="10">
                  <c:v>0.63608749192356684</c:v>
                </c:pt>
                <c:pt idx="11">
                  <c:v>0.84372954547867529</c:v>
                </c:pt>
                <c:pt idx="12">
                  <c:v>0.90862210295737877</c:v>
                </c:pt>
                <c:pt idx="13">
                  <c:v>0.79443244938449609</c:v>
                </c:pt>
                <c:pt idx="14">
                  <c:v>0.56392882116403631</c:v>
                </c:pt>
                <c:pt idx="15">
                  <c:v>0.32500140991078724</c:v>
                </c:pt>
                <c:pt idx="16">
                  <c:v>0.15206870135195033</c:v>
                </c:pt>
                <c:pt idx="17">
                  <c:v>5.7768097812137792E-2</c:v>
                </c:pt>
                <c:pt idx="18">
                  <c:v>1.7816809463883251E-2</c:v>
                </c:pt>
                <c:pt idx="19">
                  <c:v>4.4613412300412774E-3</c:v>
                </c:pt>
                <c:pt idx="20">
                  <c:v>9.0697347571868801E-4</c:v>
                </c:pt>
              </c:numCache>
            </c:numRef>
          </c:yVal>
          <c:smooth val="1"/>
          <c:extLst>
            <c:ext xmlns:c16="http://schemas.microsoft.com/office/drawing/2014/chart" uri="{C3380CC4-5D6E-409C-BE32-E72D297353CC}">
              <c16:uniqueId val="{00000005-9DDC-E34C-9953-1525574D12F9}"/>
            </c:ext>
          </c:extLst>
        </c:ser>
        <c:dLbls>
          <c:showLegendKey val="0"/>
          <c:showVal val="0"/>
          <c:showCatName val="0"/>
          <c:showSerName val="0"/>
          <c:showPercent val="0"/>
          <c:showBubbleSize val="0"/>
        </c:dLbls>
        <c:axId val="742739872"/>
        <c:axId val="742739544"/>
      </c:scatterChart>
      <c:valAx>
        <c:axId val="742739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544"/>
        <c:crosses val="autoZero"/>
        <c:crossBetween val="midCat"/>
      </c:valAx>
      <c:valAx>
        <c:axId val="742739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Probabi.ity</a:t>
                </a:r>
                <a:r>
                  <a:rPr lang="en-GB" baseline="0"/>
                  <a:t> densitry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872"/>
        <c:crosses val="autoZero"/>
        <c:crossBetween val="midCat"/>
      </c:valAx>
      <c:spPr>
        <a:noFill/>
        <a:ln>
          <a:noFill/>
        </a:ln>
        <a:effectLst/>
      </c:spPr>
    </c:plotArea>
    <c:legend>
      <c:legendPos val="r"/>
      <c:layout>
        <c:manualLayout>
          <c:xMode val="edge"/>
          <c:yMode val="edge"/>
          <c:x val="6.8784086860579546E-2"/>
          <c:y val="0.16360083895763031"/>
          <c:w val="0.44575058972721093"/>
          <c:h val="0.5035854893138357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Operator</a:t>
            </a:r>
            <a:r>
              <a:rPr lang="en-GB" sz="1100" baseline="0"/>
              <a:t> vs Operator Mean (6 to 10)</a:t>
            </a:r>
            <a:endParaRPr lang="en-GB" sz="1100"/>
          </a:p>
        </c:rich>
      </c:tx>
      <c:layout>
        <c:manualLayout>
          <c:xMode val="edge"/>
          <c:yMode val="edge"/>
          <c:x val="0.1593181607730566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431960207395456E-2"/>
          <c:y val="0.13661141804788213"/>
          <c:w val="0.93284607334459424"/>
          <c:h val="0.73186929133858269"/>
        </c:manualLayout>
      </c:layout>
      <c:scatterChart>
        <c:scatterStyle val="smoothMarker"/>
        <c:varyColors val="0"/>
        <c:ser>
          <c:idx val="0"/>
          <c:order val="0"/>
          <c:tx>
            <c:v>OperatorMean Error</c:v>
          </c:tx>
          <c:spPr>
            <a:ln w="19050" cap="rnd">
              <a:solidFill>
                <a:schemeClr val="accent1"/>
              </a:solidFill>
              <a:round/>
            </a:ln>
            <a:effectLst/>
          </c:spPr>
          <c:marker>
            <c:symbol val="none"/>
          </c:marker>
          <c:xVal>
            <c:numRef>
              <c:f>Methodology!$F$30:$O$30</c:f>
              <c:numCache>
                <c:formatCode>0.0</c:formatCode>
                <c:ptCount val="10"/>
                <c:pt idx="0">
                  <c:v>-1</c:v>
                </c:pt>
                <c:pt idx="1">
                  <c:v>-0.7</c:v>
                </c:pt>
                <c:pt idx="2">
                  <c:v>-0.39999999999999997</c:v>
                </c:pt>
                <c:pt idx="3">
                  <c:v>-9.9999999999999978E-2</c:v>
                </c:pt>
                <c:pt idx="4">
                  <c:v>0.2</c:v>
                </c:pt>
                <c:pt idx="5">
                  <c:v>0.5</c:v>
                </c:pt>
                <c:pt idx="6">
                  <c:v>0.8</c:v>
                </c:pt>
                <c:pt idx="7">
                  <c:v>1.1000000000000001</c:v>
                </c:pt>
                <c:pt idx="8">
                  <c:v>1.4000000000000001</c:v>
                </c:pt>
                <c:pt idx="9">
                  <c:v>1.7000000000000002</c:v>
                </c:pt>
              </c:numCache>
            </c:numRef>
          </c:xVal>
          <c:yVal>
            <c:numRef>
              <c:f>Methodology!$F$31:$O$31</c:f>
              <c:numCache>
                <c:formatCode>General</c:formatCode>
                <c:ptCount val="10"/>
                <c:pt idx="0">
                  <c:v>2.0164859204980798E-7</c:v>
                </c:pt>
                <c:pt idx="1">
                  <c:v>1.137396216583245E-4</c:v>
                </c:pt>
                <c:pt idx="2">
                  <c:v>1.299669097266677E-2</c:v>
                </c:pt>
                <c:pt idx="3">
                  <c:v>0.30085569317438249</c:v>
                </c:pt>
                <c:pt idx="4">
                  <c:v>1.4108735892773954</c:v>
                </c:pt>
                <c:pt idx="5">
                  <c:v>1.3403629095385514</c:v>
                </c:pt>
                <c:pt idx="6">
                  <c:v>0.25796520277051199</c:v>
                </c:pt>
                <c:pt idx="7">
                  <c:v>1.0057829782742727E-2</c:v>
                </c:pt>
                <c:pt idx="8">
                  <c:v>7.9442309920041253E-5</c:v>
                </c:pt>
                <c:pt idx="9">
                  <c:v>1.271170699294884E-7</c:v>
                </c:pt>
              </c:numCache>
            </c:numRef>
          </c:yVal>
          <c:smooth val="1"/>
          <c:extLst>
            <c:ext xmlns:c16="http://schemas.microsoft.com/office/drawing/2014/chart" uri="{C3380CC4-5D6E-409C-BE32-E72D297353CC}">
              <c16:uniqueId val="{00000000-C6F3-3843-B766-58DFDE756D9F}"/>
            </c:ext>
          </c:extLst>
        </c:ser>
        <c:ser>
          <c:idx val="1"/>
          <c:order val="1"/>
          <c:tx>
            <c:v>OP6</c:v>
          </c:tx>
          <c:spPr>
            <a:ln w="19050" cap="rnd">
              <a:solidFill>
                <a:schemeClr val="accent2"/>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Operators!$AF$8:$AF$28</c:f>
              <c:numCache>
                <c:formatCode>General</c:formatCode>
                <c:ptCount val="21"/>
                <c:pt idx="0">
                  <c:v>1.3034133679873468E-9</c:v>
                </c:pt>
                <c:pt idx="1">
                  <c:v>2.4257525085280993E-8</c:v>
                </c:pt>
                <c:pt idx="2">
                  <c:v>3.6014327405565871E-7</c:v>
                </c:pt>
                <c:pt idx="3">
                  <c:v>4.2654870581702565E-6</c:v>
                </c:pt>
                <c:pt idx="4">
                  <c:v>4.0301986179443276E-5</c:v>
                </c:pt>
                <c:pt idx="5">
                  <c:v>3.0377272135503132E-4</c:v>
                </c:pt>
                <c:pt idx="6">
                  <c:v>1.8265669484945394E-3</c:v>
                </c:pt>
                <c:pt idx="7">
                  <c:v>8.7616705447309332E-3</c:v>
                </c:pt>
                <c:pt idx="8">
                  <c:v>3.3527621405432341E-2</c:v>
                </c:pt>
                <c:pt idx="9">
                  <c:v>0.1023488741349993</c:v>
                </c:pt>
                <c:pt idx="10">
                  <c:v>0.24924582736042489</c:v>
                </c:pt>
                <c:pt idx="11">
                  <c:v>0.4842138687642073</c:v>
                </c:pt>
                <c:pt idx="12">
                  <c:v>0.75043149542401089</c:v>
                </c:pt>
                <c:pt idx="13">
                  <c:v>0.92778934927939782</c:v>
                </c:pt>
                <c:pt idx="14">
                  <c:v>0.91506556631070379</c:v>
                </c:pt>
                <c:pt idx="15">
                  <c:v>0.71997852835490384</c:v>
                </c:pt>
                <c:pt idx="16">
                  <c:v>0.45190940240329192</c:v>
                </c:pt>
                <c:pt idx="17">
                  <c:v>0.22628080276108406</c:v>
                </c:pt>
                <c:pt idx="18">
                  <c:v>9.0387535516167003E-2</c:v>
                </c:pt>
                <c:pt idx="19">
                  <c:v>2.8802745070290476E-2</c:v>
                </c:pt>
                <c:pt idx="20">
                  <c:v>7.3218987135470308E-3</c:v>
                </c:pt>
              </c:numCache>
            </c:numRef>
          </c:yVal>
          <c:smooth val="1"/>
          <c:extLst>
            <c:ext xmlns:c16="http://schemas.microsoft.com/office/drawing/2014/chart" uri="{C3380CC4-5D6E-409C-BE32-E72D297353CC}">
              <c16:uniqueId val="{00000001-C6F3-3843-B766-58DFDE756D9F}"/>
            </c:ext>
          </c:extLst>
        </c:ser>
        <c:ser>
          <c:idx val="2"/>
          <c:order val="2"/>
          <c:tx>
            <c:v>OP7</c:v>
          </c:tx>
          <c:spPr>
            <a:ln w="19050" cap="rnd">
              <a:solidFill>
                <a:schemeClr val="accent3"/>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Operators!$AG$8:$AG$28</c:f>
              <c:numCache>
                <c:formatCode>General</c:formatCode>
                <c:ptCount val="21"/>
                <c:pt idx="0">
                  <c:v>2.1303197131082419E-5</c:v>
                </c:pt>
                <c:pt idx="1">
                  <c:v>1.3978505009149328E-4</c:v>
                </c:pt>
                <c:pt idx="2">
                  <c:v>7.6335150887337714E-4</c:v>
                </c:pt>
                <c:pt idx="3">
                  <c:v>3.4692557122554895E-3</c:v>
                </c:pt>
                <c:pt idx="4">
                  <c:v>1.312187684628199E-2</c:v>
                </c:pt>
                <c:pt idx="5">
                  <c:v>4.130508350683066E-2</c:v>
                </c:pt>
                <c:pt idx="6">
                  <c:v>0.10820789616035163</c:v>
                </c:pt>
                <c:pt idx="7">
                  <c:v>0.23591866599831735</c:v>
                </c:pt>
                <c:pt idx="8">
                  <c:v>0.42806878110763985</c:v>
                </c:pt>
                <c:pt idx="9">
                  <c:v>0.64641691166095017</c:v>
                </c:pt>
                <c:pt idx="10">
                  <c:v>0.81238101513187733</c:v>
                </c:pt>
                <c:pt idx="11">
                  <c:v>0.84967868363991605</c:v>
                </c:pt>
                <c:pt idx="12">
                  <c:v>0.73960115733204146</c:v>
                </c:pt>
                <c:pt idx="13">
                  <c:v>0.53578227608521256</c:v>
                </c:pt>
                <c:pt idx="14">
                  <c:v>0.32301820939060327</c:v>
                </c:pt>
                <c:pt idx="15">
                  <c:v>0.16207408168258006</c:v>
                </c:pt>
                <c:pt idx="16">
                  <c:v>6.7678080938865223E-2</c:v>
                </c:pt>
                <c:pt idx="17">
                  <c:v>2.3519625546245003E-2</c:v>
                </c:pt>
                <c:pt idx="18">
                  <c:v>6.8023766051167897E-3</c:v>
                </c:pt>
                <c:pt idx="19">
                  <c:v>1.6373398935919891E-3</c:v>
                </c:pt>
                <c:pt idx="20">
                  <c:v>3.2799325762019693E-4</c:v>
                </c:pt>
              </c:numCache>
            </c:numRef>
          </c:yVal>
          <c:smooth val="1"/>
          <c:extLst>
            <c:ext xmlns:c16="http://schemas.microsoft.com/office/drawing/2014/chart" uri="{C3380CC4-5D6E-409C-BE32-E72D297353CC}">
              <c16:uniqueId val="{00000002-C6F3-3843-B766-58DFDE756D9F}"/>
            </c:ext>
          </c:extLst>
        </c:ser>
        <c:ser>
          <c:idx val="3"/>
          <c:order val="3"/>
          <c:tx>
            <c:v>OP8</c:v>
          </c:tx>
          <c:spPr>
            <a:ln w="19050" cap="rnd">
              <a:solidFill>
                <a:schemeClr val="accent4"/>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Operators!$AH$8:$AH$28</c:f>
              <c:numCache>
                <c:formatCode>General</c:formatCode>
                <c:ptCount val="21"/>
                <c:pt idx="0">
                  <c:v>1.617143923521474E-18</c:v>
                </c:pt>
                <c:pt idx="1">
                  <c:v>9.279422637726646E-16</c:v>
                </c:pt>
                <c:pt idx="2">
                  <c:v>3.1353719162337326E-13</c:v>
                </c:pt>
                <c:pt idx="3">
                  <c:v>6.2381095744873519E-11</c:v>
                </c:pt>
                <c:pt idx="4">
                  <c:v>7.3082393173067841E-9</c:v>
                </c:pt>
                <c:pt idx="5">
                  <c:v>5.0415995635156175E-7</c:v>
                </c:pt>
                <c:pt idx="6">
                  <c:v>2.0479519482916222E-5</c:v>
                </c:pt>
                <c:pt idx="7">
                  <c:v>4.8985438839217884E-4</c:v>
                </c:pt>
                <c:pt idx="8">
                  <c:v>6.8993800739422751E-3</c:v>
                </c:pt>
                <c:pt idx="9">
                  <c:v>5.7220146250864599E-2</c:v>
                </c:pt>
                <c:pt idx="10">
                  <c:v>0.27943685407024521</c:v>
                </c:pt>
                <c:pt idx="11">
                  <c:v>0.80355244995397868</c:v>
                </c:pt>
                <c:pt idx="12">
                  <c:v>1.3606317540395974</c:v>
                </c:pt>
                <c:pt idx="13">
                  <c:v>1.3566343250411419</c:v>
                </c:pt>
                <c:pt idx="14">
                  <c:v>0.79649091532872573</c:v>
                </c:pt>
                <c:pt idx="15">
                  <c:v>0.27535608516039245</c:v>
                </c:pt>
                <c:pt idx="16">
                  <c:v>5.6053709280392966E-2</c:v>
                </c:pt>
                <c:pt idx="17">
                  <c:v>6.7190807642110249E-3</c:v>
                </c:pt>
                <c:pt idx="18">
                  <c:v>4.7425420737627177E-4</c:v>
                </c:pt>
                <c:pt idx="19">
                  <c:v>1.9710986019397515E-5</c:v>
                </c:pt>
                <c:pt idx="20">
                  <c:v>4.8239337391099529E-7</c:v>
                </c:pt>
              </c:numCache>
            </c:numRef>
          </c:yVal>
          <c:smooth val="1"/>
          <c:extLst>
            <c:ext xmlns:c16="http://schemas.microsoft.com/office/drawing/2014/chart" uri="{C3380CC4-5D6E-409C-BE32-E72D297353CC}">
              <c16:uniqueId val="{00000003-C6F3-3843-B766-58DFDE756D9F}"/>
            </c:ext>
          </c:extLst>
        </c:ser>
        <c:ser>
          <c:idx val="4"/>
          <c:order val="4"/>
          <c:tx>
            <c:v>OP9</c:v>
          </c:tx>
          <c:spPr>
            <a:ln w="19050" cap="rnd">
              <a:solidFill>
                <a:schemeClr val="accent5"/>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Operators!$AI$8:$AI$28</c:f>
              <c:numCache>
                <c:formatCode>General</c:formatCode>
                <c:ptCount val="21"/>
                <c:pt idx="0">
                  <c:v>2.1111621609105708E-19</c:v>
                </c:pt>
                <c:pt idx="1">
                  <c:v>7.5004598945162311E-17</c:v>
                </c:pt>
                <c:pt idx="2">
                  <c:v>1.7366315342317803E-14</c:v>
                </c:pt>
                <c:pt idx="3">
                  <c:v>2.6204806796674197E-12</c:v>
                </c:pt>
                <c:pt idx="4">
                  <c:v>2.5769603181588504E-10</c:v>
                </c:pt>
                <c:pt idx="5">
                  <c:v>1.6515357902045637E-8</c:v>
                </c:pt>
                <c:pt idx="6">
                  <c:v>6.8979769367142549E-7</c:v>
                </c:pt>
                <c:pt idx="7">
                  <c:v>1.8776255051389694E-5</c:v>
                </c:pt>
                <c:pt idx="8">
                  <c:v>3.3308088018191317E-4</c:v>
                </c:pt>
                <c:pt idx="9">
                  <c:v>3.850737559048118E-3</c:v>
                </c:pt>
                <c:pt idx="10">
                  <c:v>2.9012932526260089E-2</c:v>
                </c:pt>
                <c:pt idx="11">
                  <c:v>0.14245996217410425</c:v>
                </c:pt>
                <c:pt idx="12">
                  <c:v>0.45587682095425874</c:v>
                </c:pt>
                <c:pt idx="13">
                  <c:v>0.95072669214663674</c:v>
                </c:pt>
                <c:pt idx="14">
                  <c:v>1.2921631536174327</c:v>
                </c:pt>
                <c:pt idx="15">
                  <c:v>1.1445440401590952</c:v>
                </c:pt>
                <c:pt idx="16">
                  <c:v>0.66069520260549119</c:v>
                </c:pt>
                <c:pt idx="17">
                  <c:v>0.24855544879315994</c:v>
                </c:pt>
                <c:pt idx="18">
                  <c:v>6.0939503645325126E-2</c:v>
                </c:pt>
                <c:pt idx="19">
                  <c:v>9.7370640474715078E-3</c:v>
                </c:pt>
                <c:pt idx="20">
                  <c:v>1.013936204118818E-3</c:v>
                </c:pt>
              </c:numCache>
            </c:numRef>
          </c:yVal>
          <c:smooth val="1"/>
          <c:extLst>
            <c:ext xmlns:c16="http://schemas.microsoft.com/office/drawing/2014/chart" uri="{C3380CC4-5D6E-409C-BE32-E72D297353CC}">
              <c16:uniqueId val="{00000004-C6F3-3843-B766-58DFDE756D9F}"/>
            </c:ext>
          </c:extLst>
        </c:ser>
        <c:ser>
          <c:idx val="5"/>
          <c:order val="5"/>
          <c:tx>
            <c:v>OP10</c:v>
          </c:tx>
          <c:spPr>
            <a:ln w="19050" cap="rnd">
              <a:solidFill>
                <a:schemeClr val="accent6"/>
              </a:solidFill>
              <a:round/>
            </a:ln>
            <a:effectLst/>
          </c:spPr>
          <c:marker>
            <c:symbol val="none"/>
          </c:marker>
          <c:xVal>
            <c:numRef>
              <c:f>Operators!$Z$8:$Z$28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-2.7755575615628914E-16</c:v>
                </c:pt>
                <c:pt idx="11">
                  <c:v>0.19999999999999973</c:v>
                </c:pt>
                <c:pt idx="12">
                  <c:v>0.39999999999999974</c:v>
                </c:pt>
                <c:pt idx="13">
                  <c:v>0.59999999999999976</c:v>
                </c:pt>
                <c:pt idx="14">
                  <c:v>0.79999999999999982</c:v>
                </c:pt>
                <c:pt idx="15">
                  <c:v>0.99999999999999978</c:v>
                </c:pt>
                <c:pt idx="16">
                  <c:v>1.1999999999999997</c:v>
                </c:pt>
                <c:pt idx="17">
                  <c:v>1.3999999999999997</c:v>
                </c:pt>
                <c:pt idx="18">
                  <c:v>1.5999999999999996</c:v>
                </c:pt>
                <c:pt idx="19">
                  <c:v>1.7999999999999996</c:v>
                </c:pt>
                <c:pt idx="20">
                  <c:v>1.9999999999999996</c:v>
                </c:pt>
              </c:numCache>
            </c:numRef>
          </c:xVal>
          <c:yVal>
            <c:numRef>
              <c:f>Operators!$AJ$8:$AJ$28</c:f>
              <c:numCache>
                <c:formatCode>General</c:formatCode>
                <c:ptCount val="21"/>
                <c:pt idx="0">
                  <c:v>1.3659851067575308E-51</c:v>
                </c:pt>
                <c:pt idx="1">
                  <c:v>2.3161585028656591E-43</c:v>
                </c:pt>
                <c:pt idx="2">
                  <c:v>7.4939242269154816E-36</c:v>
                </c:pt>
                <c:pt idx="3">
                  <c:v>4.6266753631078315E-29</c:v>
                </c:pt>
                <c:pt idx="4">
                  <c:v>5.4506395980471605E-23</c:v>
                </c:pt>
                <c:pt idx="5">
                  <c:v>1.2253061556097236E-17</c:v>
                </c:pt>
                <c:pt idx="6">
                  <c:v>5.2560619176997513E-13</c:v>
                </c:pt>
                <c:pt idx="7">
                  <c:v>4.3022440152140553E-9</c:v>
                </c:pt>
                <c:pt idx="8">
                  <c:v>6.7196757101847959E-6</c:v>
                </c:pt>
                <c:pt idx="9">
                  <c:v>2.0027202964850396E-3</c:v>
                </c:pt>
                <c:pt idx="10">
                  <c:v>0.11389666108768588</c:v>
                </c:pt>
                <c:pt idx="11">
                  <c:v>1.2360054777852605</c:v>
                </c:pt>
                <c:pt idx="12">
                  <c:v>2.5594609462854616</c:v>
                </c:pt>
                <c:pt idx="13">
                  <c:v>1.0113356766732242</c:v>
                </c:pt>
                <c:pt idx="14">
                  <c:v>7.6253688835924788E-2</c:v>
                </c:pt>
                <c:pt idx="15">
                  <c:v>1.0970971751145472E-3</c:v>
                </c:pt>
                <c:pt idx="16">
                  <c:v>3.0119519884933607E-6</c:v>
                </c:pt>
                <c:pt idx="17">
                  <c:v>1.5778644877747474E-9</c:v>
                </c:pt>
                <c:pt idx="18">
                  <c:v>1.5772846176972546E-13</c:v>
                </c:pt>
                <c:pt idx="19">
                  <c:v>3.0086325037099287E-18</c:v>
                </c:pt>
                <c:pt idx="20">
                  <c:v>1.0950827232747144E-23</c:v>
                </c:pt>
              </c:numCache>
            </c:numRef>
          </c:yVal>
          <c:smooth val="1"/>
          <c:extLst>
            <c:ext xmlns:c16="http://schemas.microsoft.com/office/drawing/2014/chart" uri="{C3380CC4-5D6E-409C-BE32-E72D297353CC}">
              <c16:uniqueId val="{00000005-C6F3-3843-B766-58DFDE756D9F}"/>
            </c:ext>
          </c:extLst>
        </c:ser>
        <c:dLbls>
          <c:showLegendKey val="0"/>
          <c:showVal val="0"/>
          <c:showCatName val="0"/>
          <c:showSerName val="0"/>
          <c:showPercent val="0"/>
          <c:showBubbleSize val="0"/>
        </c:dLbls>
        <c:axId val="742739872"/>
        <c:axId val="742739544"/>
      </c:scatterChart>
      <c:valAx>
        <c:axId val="742739872"/>
        <c:scaling>
          <c:orientation val="minMax"/>
          <c:max val="2"/>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544"/>
        <c:crosses val="autoZero"/>
        <c:crossBetween val="midCat"/>
      </c:valAx>
      <c:valAx>
        <c:axId val="742739544"/>
        <c:scaling>
          <c:orientation val="minMax"/>
          <c:max val="2.6"/>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Probabi.ity</a:t>
                </a:r>
                <a:r>
                  <a:rPr lang="en-GB" baseline="0"/>
                  <a:t> densitry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739872"/>
        <c:crosses val="autoZero"/>
        <c:crossBetween val="midCat"/>
      </c:valAx>
      <c:spPr>
        <a:noFill/>
        <a:ln>
          <a:noFill/>
        </a:ln>
        <a:effectLst/>
      </c:spPr>
    </c:plotArea>
    <c:legend>
      <c:legendPos val="r"/>
      <c:layout>
        <c:manualLayout>
          <c:xMode val="edge"/>
          <c:yMode val="edge"/>
          <c:x val="5.2838302527312656E-2"/>
          <c:y val="0.13400701709000953"/>
          <c:w val="0.37311346147507923"/>
          <c:h val="0.6363684133939109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Procedure Normal Distributions</a:t>
            </a:r>
          </a:p>
        </c:rich>
      </c:tx>
      <c:layout>
        <c:manualLayout>
          <c:xMode val="edge"/>
          <c:yMode val="edge"/>
          <c:x val="0.2158061017736546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862384159084672E-2"/>
          <c:y val="0.11269320843091336"/>
          <c:w val="0.92332439678284184"/>
          <c:h val="0.80235741024175256"/>
        </c:manualLayout>
      </c:layout>
      <c:scatterChart>
        <c:scatterStyle val="smoothMarker"/>
        <c:varyColors val="0"/>
        <c:ser>
          <c:idx val="0"/>
          <c:order val="0"/>
          <c:tx>
            <c:v>Mean Normal Distribution</c:v>
          </c:tx>
          <c:spPr>
            <a:ln w="19050" cap="rnd">
              <a:solidFill>
                <a:schemeClr val="accent1"/>
              </a:solidFill>
              <a:round/>
            </a:ln>
            <a:effectLst/>
          </c:spPr>
          <c:marker>
            <c:symbol val="none"/>
          </c:marker>
          <c:xVal>
            <c:numRef>
              <c:f>Methodology!$AI$8:$AI$28</c:f>
              <c:numCache>
                <c:formatCode>General</c:formatCode>
                <c:ptCount val="21"/>
                <c:pt idx="0">
                  <c:v>-2</c:v>
                </c:pt>
                <c:pt idx="1">
                  <c:v>-1.8</c:v>
                </c:pt>
                <c:pt idx="2">
                  <c:v>-1.6</c:v>
                </c:pt>
                <c:pt idx="3">
                  <c:v>-1.4000000000000001</c:v>
                </c:pt>
                <c:pt idx="4">
                  <c:v>-1.2000000000000002</c:v>
                </c:pt>
                <c:pt idx="5">
                  <c:v>-1.0000000000000002</c:v>
                </c:pt>
                <c:pt idx="6">
                  <c:v>-0.80000000000000027</c:v>
                </c:pt>
                <c:pt idx="7">
                  <c:v>-0.60000000000000031</c:v>
                </c:pt>
                <c:pt idx="8">
                  <c:v>-0.4000000000000003</c:v>
                </c:pt>
                <c:pt idx="9">
                  <c:v>-0.20000000000000029</c:v>
                </c:pt>
                <c:pt idx="10">
                  <c:v>0</c:v>
                </c:pt>
                <c:pt idx="11">
                  <c:v>0.2</c:v>
                </c:pt>
                <c:pt idx="12">
                  <c:v>0.4</c:v>
                </c:pt>
                <c:pt idx="13">
                  <c:v>0.60000000000000009</c:v>
                </c:pt>
                <c:pt idx="14">
                  <c:v>0.8</c:v>
                </c:pt>
                <c:pt idx="15">
                  <c:v>1</c:v>
                </c:pt>
                <c:pt idx="16">
                  <c:v>1.2</c:v>
                </c:pt>
                <c:pt idx="17">
                  <c:v>1.4</c:v>
                </c:pt>
                <c:pt idx="18">
                  <c:v>1.5999999999999999</c:v>
                </c:pt>
                <c:pt idx="19">
                  <c:v>1.7999999999999998</c:v>
                </c:pt>
                <c:pt idx="20">
                  <c:v>1.9999999999999998</c:v>
                </c:pt>
              </c:numCache>
            </c:numRef>
          </c:xVal>
          <c:yVal>
            <c:numRef>
              <c:f>Methodology!$AJ$8:$AJ$28</c:f>
              <c:numCache>
                <c:formatCode>General</c:formatCode>
                <c:ptCount val="21"/>
                <c:pt idx="0">
                  <c:v>4.1691964160203654E-15</c:v>
                </c:pt>
                <c:pt idx="1">
                  <c:v>9.9168034492831966E-13</c:v>
                </c:pt>
                <c:pt idx="2">
                  <c:v>1.4472861620308037E-10</c:v>
                </c:pt>
                <c:pt idx="3">
                  <c:v>1.2959864713377782E-8</c:v>
                </c:pt>
                <c:pt idx="4">
                  <c:v>7.1204899948509238E-7</c:v>
                </c:pt>
                <c:pt idx="5">
                  <c:v>2.4003946342887504E-5</c:v>
                </c:pt>
                <c:pt idx="6">
                  <c:v>4.9649944604649723E-4</c:v>
                </c:pt>
                <c:pt idx="7">
                  <c:v>6.301127152761021E-3</c:v>
                </c:pt>
                <c:pt idx="8">
                  <c:v>4.9066047273216326E-2</c:v>
                </c:pt>
                <c:pt idx="9">
                  <c:v>0.23442679851642076</c:v>
                </c:pt>
                <c:pt idx="10">
                  <c:v>0.68722158918920329</c:v>
                </c:pt>
                <c:pt idx="11">
                  <c:v>1.2360888433132569</c:v>
                </c:pt>
                <c:pt idx="12">
                  <c:v>1.3641619536401377</c:v>
                </c:pt>
                <c:pt idx="13">
                  <c:v>0.92373103168401427</c:v>
                </c:pt>
                <c:pt idx="14">
                  <c:v>0.38378543449995894</c:v>
                </c:pt>
                <c:pt idx="15">
                  <c:v>9.7835123439718272E-2</c:v>
                </c:pt>
                <c:pt idx="16">
                  <c:v>1.5302573020745376E-2</c:v>
                </c:pt>
                <c:pt idx="17">
                  <c:v>1.4685795555912588E-3</c:v>
                </c:pt>
                <c:pt idx="18">
                  <c:v>8.6475652906891205E-5</c:v>
                </c:pt>
                <c:pt idx="19">
                  <c:v>3.1243060918634726E-6</c:v>
                </c:pt>
                <c:pt idx="20">
                  <c:v>6.9259070023993731E-8</c:v>
                </c:pt>
              </c:numCache>
            </c:numRef>
          </c:yVal>
          <c:smooth val="1"/>
          <c:extLst>
            <c:ext xmlns:c16="http://schemas.microsoft.com/office/drawing/2014/chart" uri="{C3380CC4-5D6E-409C-BE32-E72D297353CC}">
              <c16:uniqueId val="{00000000-7C8E-C04F-869E-351F99A24969}"/>
            </c:ext>
          </c:extLst>
        </c:ser>
        <c:ser>
          <c:idx val="2"/>
          <c:order val="1"/>
          <c:tx>
            <c:v>Thin Normal Distribution</c:v>
          </c:tx>
          <c:spPr>
            <a:ln w="19050" cap="rnd">
              <a:solidFill>
                <a:schemeClr val="accent3"/>
              </a:solidFill>
              <a:round/>
            </a:ln>
            <a:effectLst/>
          </c:spPr>
          <c:marker>
            <c:symbol val="none"/>
          </c:marker>
          <c:xVal>
            <c:numRef>
              <c:f>Methodology!$AK$8:$AK$25</c:f>
              <c:numCache>
                <c:formatCode>General</c:formatCode>
                <c:ptCount val="18"/>
                <c:pt idx="0">
                  <c:v>-2</c:v>
                </c:pt>
                <c:pt idx="1">
                  <c:v>-1.75</c:v>
                </c:pt>
                <c:pt idx="2">
                  <c:v>-1.5</c:v>
                </c:pt>
                <c:pt idx="3">
                  <c:v>-1.25</c:v>
                </c:pt>
                <c:pt idx="4">
                  <c:v>-1</c:v>
                </c:pt>
                <c:pt idx="5">
                  <c:v>-0.75</c:v>
                </c:pt>
                <c:pt idx="6">
                  <c:v>-0.5</c:v>
                </c:pt>
                <c:pt idx="7">
                  <c:v>-0.25</c:v>
                </c:pt>
                <c:pt idx="8">
                  <c:v>0</c:v>
                </c:pt>
                <c:pt idx="9">
                  <c:v>0.25</c:v>
                </c:pt>
                <c:pt idx="10">
                  <c:v>0.5</c:v>
                </c:pt>
                <c:pt idx="11">
                  <c:v>0.75</c:v>
                </c:pt>
                <c:pt idx="12">
                  <c:v>1</c:v>
                </c:pt>
                <c:pt idx="13">
                  <c:v>1.25</c:v>
                </c:pt>
                <c:pt idx="14">
                  <c:v>1.5</c:v>
                </c:pt>
                <c:pt idx="15">
                  <c:v>1.75</c:v>
                </c:pt>
                <c:pt idx="16">
                  <c:v>2</c:v>
                </c:pt>
                <c:pt idx="17">
                  <c:v>2.25</c:v>
                </c:pt>
              </c:numCache>
            </c:numRef>
          </c:xVal>
          <c:yVal>
            <c:numRef>
              <c:f>Methodology!$AL$8:$AL$25</c:f>
              <c:numCache>
                <c:formatCode>General</c:formatCode>
                <c:ptCount val="18"/>
                <c:pt idx="0">
                  <c:v>7.345479214821275E-44</c:v>
                </c:pt>
                <c:pt idx="1">
                  <c:v>2.3907185927133401E-35</c:v>
                </c:pt>
                <c:pt idx="2">
                  <c:v>9.2277887284189328E-28</c:v>
                </c:pt>
                <c:pt idx="3">
                  <c:v>4.2240367218623849E-21</c:v>
                </c:pt>
                <c:pt idx="4">
                  <c:v>2.2930767249839388E-15</c:v>
                </c:pt>
                <c:pt idx="5">
                  <c:v>1.4762854724304979E-10</c:v>
                </c:pt>
                <c:pt idx="6">
                  <c:v>1.1271532422474545E-6</c:v>
                </c:pt>
                <c:pt idx="7">
                  <c:v>1.020602063132421E-3</c:v>
                </c:pt>
                <c:pt idx="8">
                  <c:v>0.10959500932642463</c:v>
                </c:pt>
                <c:pt idx="9">
                  <c:v>1.395680377871904</c:v>
                </c:pt>
                <c:pt idx="10">
                  <c:v>2.107861279946535</c:v>
                </c:pt>
                <c:pt idx="11">
                  <c:v>0.37753649401526573</c:v>
                </c:pt>
                <c:pt idx="12">
                  <c:v>8.0193045935558378E-3</c:v>
                </c:pt>
                <c:pt idx="13">
                  <c:v>2.0201114911954459E-5</c:v>
                </c:pt>
                <c:pt idx="14">
                  <c:v>6.0349659973994416E-9</c:v>
                </c:pt>
                <c:pt idx="15">
                  <c:v>2.1381352557433496E-13</c:v>
                </c:pt>
                <c:pt idx="16">
                  <c:v>8.9837235776791648E-19</c:v>
                </c:pt>
                <c:pt idx="17">
                  <c:v>4.4764985191922714E-25</c:v>
                </c:pt>
              </c:numCache>
            </c:numRef>
          </c:yVal>
          <c:smooth val="1"/>
          <c:extLst>
            <c:ext xmlns:c16="http://schemas.microsoft.com/office/drawing/2014/chart" uri="{C3380CC4-5D6E-409C-BE32-E72D297353CC}">
              <c16:uniqueId val="{00000001-7C8E-C04F-869E-351F99A24969}"/>
            </c:ext>
          </c:extLst>
        </c:ser>
        <c:dLbls>
          <c:showLegendKey val="0"/>
          <c:showVal val="0"/>
          <c:showCatName val="0"/>
          <c:showSerName val="0"/>
          <c:showPercent val="0"/>
          <c:showBubbleSize val="0"/>
        </c:dLbls>
        <c:axId val="641366224"/>
        <c:axId val="641372128"/>
      </c:scatterChart>
      <c:valAx>
        <c:axId val="641366224"/>
        <c:scaling>
          <c:orientation val="minMax"/>
          <c:max val="2"/>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Magnitude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372128"/>
        <c:crosses val="autoZero"/>
        <c:crossBetween val="midCat"/>
      </c:valAx>
      <c:valAx>
        <c:axId val="641372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Probability Desntiy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3662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8.3697420357231239E-2"/>
          <c:y val="0.11268249566490564"/>
          <c:w val="0.88893524321824535"/>
          <c:h val="0.73169348690025571"/>
        </c:manualLayout>
      </c:layout>
      <c:scatterChart>
        <c:scatterStyle val="lineMarker"/>
        <c:varyColors val="0"/>
        <c:ser>
          <c:idx val="0"/>
          <c:order val="0"/>
          <c:tx>
            <c:v>True Size</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6.2650055256250864E-2"/>
                  <c:y val="-3.0420284867990473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Methodology!$E$8:$E$25</c:f>
              <c:numCache>
                <c:formatCode>General</c:formatCode>
                <c:ptCount val="18"/>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numCache>
            </c:numRef>
          </c:xVal>
          <c:yVal>
            <c:numRef>
              <c:f>Methodology!$E$8:$E$25</c:f>
              <c:numCache>
                <c:formatCode>General</c:formatCode>
                <c:ptCount val="18"/>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numCache>
            </c:numRef>
          </c:yVal>
          <c:smooth val="0"/>
          <c:extLst>
            <c:ext xmlns:c16="http://schemas.microsoft.com/office/drawing/2014/chart" uri="{C3380CC4-5D6E-409C-BE32-E72D297353CC}">
              <c16:uniqueId val="{00000001-543D-3B4D-B384-01455F14A402}"/>
            </c:ext>
          </c:extLst>
        </c:ser>
        <c:ser>
          <c:idx val="1"/>
          <c:order val="1"/>
          <c:tx>
            <c:v>Thin Samples</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1"/>
            <c:dispEq val="1"/>
            <c:trendlineLbl>
              <c:layout>
                <c:manualLayout>
                  <c:x val="-0.40176188361146903"/>
                  <c:y val="3.97607370176100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Methodology!$E$8:$E$28</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Methodology!$AG$8:$AG$25</c:f>
              <c:numCache>
                <c:formatCode>0.0</c:formatCode>
                <c:ptCount val="18"/>
                <c:pt idx="0">
                  <c:v>0.50949999999999995</c:v>
                </c:pt>
                <c:pt idx="1">
                  <c:v>0.79270000000000007</c:v>
                </c:pt>
                <c:pt idx="2">
                  <c:v>0.79580000000000006</c:v>
                </c:pt>
                <c:pt idx="3">
                  <c:v>0.95099999999999996</c:v>
                </c:pt>
                <c:pt idx="4">
                  <c:v>1.038</c:v>
                </c:pt>
                <c:pt idx="5">
                  <c:v>0.82900000000000007</c:v>
                </c:pt>
                <c:pt idx="6">
                  <c:v>1.0612000000000001</c:v>
                </c:pt>
                <c:pt idx="7">
                  <c:v>0.98550000000000004</c:v>
                </c:pt>
                <c:pt idx="8">
                  <c:v>1.4350000000000001</c:v>
                </c:pt>
                <c:pt idx="9">
                  <c:v>1.3308000000000002</c:v>
                </c:pt>
                <c:pt idx="10">
                  <c:v>1.4072</c:v>
                </c:pt>
                <c:pt idx="11">
                  <c:v>1.5855000000000001</c:v>
                </c:pt>
                <c:pt idx="12">
                  <c:v>1.6400000000000001</c:v>
                </c:pt>
                <c:pt idx="13">
                  <c:v>1.7829999999999999</c:v>
                </c:pt>
                <c:pt idx="14">
                  <c:v>1.5459999999999998</c:v>
                </c:pt>
                <c:pt idx="15">
                  <c:v>2.1440000000000001</c:v>
                </c:pt>
                <c:pt idx="16">
                  <c:v>2.5389999999999997</c:v>
                </c:pt>
                <c:pt idx="17">
                  <c:v>2.9669999999999996</c:v>
                </c:pt>
              </c:numCache>
            </c:numRef>
          </c:yVal>
          <c:smooth val="0"/>
          <c:extLst>
            <c:ext xmlns:c16="http://schemas.microsoft.com/office/drawing/2014/chart" uri="{C3380CC4-5D6E-409C-BE32-E72D297353CC}">
              <c16:uniqueId val="{00000003-543D-3B4D-B384-01455F14A402}"/>
            </c:ext>
          </c:extLst>
        </c:ser>
        <c:dLbls>
          <c:showLegendKey val="0"/>
          <c:showVal val="0"/>
          <c:showCatName val="0"/>
          <c:showSerName val="0"/>
          <c:showPercent val="0"/>
          <c:showBubbleSize val="0"/>
        </c:dLbls>
        <c:axId val="682494376"/>
        <c:axId val="682494704"/>
      </c:scatterChart>
      <c:valAx>
        <c:axId val="682494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94704"/>
        <c:crosses val="autoZero"/>
        <c:crossBetween val="midCat"/>
      </c:valAx>
      <c:valAx>
        <c:axId val="682494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Measured  Size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94376"/>
        <c:crosses val="autoZero"/>
        <c:crossBetween val="midCat"/>
      </c:valAx>
      <c:spPr>
        <a:noFill/>
        <a:ln>
          <a:noFill/>
        </a:ln>
        <a:effectLst/>
      </c:spPr>
    </c:plotArea>
    <c:legend>
      <c:legendPos val="t"/>
      <c:layout>
        <c:manualLayout>
          <c:xMode val="edge"/>
          <c:yMode val="edge"/>
          <c:x val="5.0000040566799318E-2"/>
          <c:y val="2.056555269922879E-2"/>
          <c:w val="0.8999999188664014"/>
          <c:h val="5.784102180029553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3DDB10E752574690EB0AA4A815F396" ma:contentTypeVersion="5" ma:contentTypeDescription="Create a new document." ma:contentTypeScope="" ma:versionID="0384529dd05d31e34d02170474c18c30">
  <xsd:schema xmlns:xsd="http://www.w3.org/2001/XMLSchema" xmlns:xs="http://www.w3.org/2001/XMLSchema" xmlns:p="http://schemas.microsoft.com/office/2006/metadata/properties" xmlns:ns2="98df29ec-e254-444c-b4b0-da4d8cd99e25" targetNamespace="http://schemas.microsoft.com/office/2006/metadata/properties" ma:root="true" ma:fieldsID="8f836bfd7647a187048ab19f4c56520e" ns2:_="">
    <xsd:import namespace="98df29ec-e254-444c-b4b0-da4d8cd99e25"/>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df29ec-e254-444c-b4b0-da4d8cd99e25"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886299-77BA-473C-93A4-1E71110C1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df29ec-e254-444c-b4b0-da4d8cd99e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93AC4E-F9A7-4B01-983B-057D7E92FBBD}">
  <ds:schemaRefs>
    <ds:schemaRef ds:uri="http://schemas.microsoft.com/sharepoint/v3/contenttype/forms"/>
  </ds:schemaRefs>
</ds:datastoreItem>
</file>

<file path=customXml/itemProps3.xml><?xml version="1.0" encoding="utf-8"?>
<ds:datastoreItem xmlns:ds="http://schemas.openxmlformats.org/officeDocument/2006/customXml" ds:itemID="{A13548C5-7014-CD49-9D79-FEC8D442D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UWTSDTemplate.dotx</Template>
  <TotalTime>161</TotalTime>
  <Pages>9</Pages>
  <Words>3385</Words>
  <Characters>19300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22640</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Elliss (STU-301131)</dc:creator>
  <cp:keywords/>
  <cp:lastModifiedBy>Jeff Mark Elliss (1802644)</cp:lastModifiedBy>
  <cp:revision>6</cp:revision>
  <cp:lastPrinted>2022-01-04T20:34:00Z</cp:lastPrinted>
  <dcterms:created xsi:type="dcterms:W3CDTF">2022-01-01T21:58:00Z</dcterms:created>
  <dcterms:modified xsi:type="dcterms:W3CDTF">2022-01-04T21:48:00Z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