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B21F52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C32B1">
              <w:rPr>
                <w:rFonts w:ascii="Times New Roman" w:hAnsi="Times New Roman" w:cs="Times New Roman"/>
                <w:b/>
                <w:color w:val="auto"/>
                <w:sz w:val="48"/>
              </w:rPr>
              <w:t>Hayley Berry</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28871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C32B1">
              <w:rPr>
                <w:rFonts w:ascii="Times New Roman" w:hAnsi="Times New Roman" w:cs="Times New Roman"/>
                <w:b/>
                <w:color w:val="auto"/>
                <w:sz w:val="48"/>
              </w:rPr>
              <w:t xml:space="preserve"> h.berry@hotmail.co.uk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11A69AD" w14:textId="77777777" w:rsidR="004C32B1" w:rsidRPr="004C32B1" w:rsidRDefault="004C32B1" w:rsidP="004C32B1">
            <w:pPr>
              <w:overflowPunct/>
              <w:autoSpaceDE/>
              <w:autoSpaceDN/>
              <w:adjustRightInd/>
              <w:ind w:right="-957"/>
              <w:textAlignment w:val="auto"/>
              <w:rPr>
                <w:rFonts w:ascii="Times New Roman" w:eastAsiaTheme="minorHAnsi" w:hAnsi="Times New Roman" w:cs="Times New Roman"/>
                <w:b/>
                <w:color w:val="auto"/>
                <w:sz w:val="48"/>
                <w:szCs w:val="24"/>
                <w:lang w:eastAsia="en-US"/>
              </w:rPr>
            </w:pPr>
            <w:r w:rsidRPr="004C32B1">
              <w:rPr>
                <w:rFonts w:ascii="Times New Roman" w:eastAsiaTheme="minorHAnsi" w:hAnsi="Times New Roman" w:cs="Times New Roman"/>
                <w:b/>
                <w:color w:val="auto"/>
                <w:sz w:val="48"/>
                <w:szCs w:val="24"/>
                <w:lang w:eastAsia="en-US"/>
              </w:rPr>
              <w:t>2421187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3017DB50" w14:textId="77777777" w:rsidR="00A713B8" w:rsidRDefault="00A713B8" w:rsidP="00FF7EBB">
            <w:pPr>
              <w:jc w:val="both"/>
              <w:rPr>
                <w:sz w:val="24"/>
                <w:szCs w:val="24"/>
              </w:rPr>
            </w:pPr>
          </w:p>
          <w:p w14:paraId="5319695F" w14:textId="77777777" w:rsidR="00A713B8" w:rsidRDefault="00A713B8" w:rsidP="00A713B8">
            <w:pPr>
              <w:pStyle w:val="Heading5"/>
              <w:shd w:val="clear" w:color="auto" w:fill="FFFFFF"/>
              <w:spacing w:before="0" w:line="360" w:lineRule="auto"/>
              <w:jc w:val="both"/>
              <w:rPr>
                <w:rFonts w:ascii="Arial" w:eastAsia="+mn-ea" w:hAnsi="Arial" w:cs="Arial"/>
                <w:color w:val="000000"/>
                <w:kern w:val="24"/>
                <w:sz w:val="24"/>
                <w:szCs w:val="24"/>
              </w:rPr>
            </w:pPr>
            <w:r>
              <w:rPr>
                <w:rFonts w:ascii="Arial" w:eastAsia="+mn-ea" w:hAnsi="Arial" w:cs="Arial"/>
                <w:color w:val="000000"/>
                <w:kern w:val="24"/>
                <w:sz w:val="24"/>
                <w:szCs w:val="24"/>
              </w:rPr>
              <w:t xml:space="preserve">The relevant legislation for safeguarding children is Part 7 of the </w:t>
            </w:r>
            <w:bookmarkStart w:id="0" w:name="_Hlk207129339"/>
            <w:r>
              <w:rPr>
                <w:rFonts w:ascii="Arial" w:eastAsia="+mn-ea" w:hAnsi="Arial" w:cs="Arial"/>
                <w:color w:val="000000"/>
                <w:kern w:val="24"/>
                <w:sz w:val="24"/>
                <w:szCs w:val="24"/>
              </w:rPr>
              <w:t>Social Services and Wellbeing (Wales) Act 2014</w:t>
            </w:r>
            <w:bookmarkEnd w:id="0"/>
            <w:r>
              <w:rPr>
                <w:rFonts w:ascii="Arial" w:eastAsia="+mn-ea" w:hAnsi="Arial" w:cs="Arial"/>
                <w:color w:val="000000"/>
                <w:kern w:val="24"/>
                <w:sz w:val="24"/>
                <w:szCs w:val="24"/>
              </w:rPr>
              <w:t xml:space="preserve">, The Children Act 1989 and 2004, </w:t>
            </w:r>
            <w:r w:rsidRPr="009106E1">
              <w:rPr>
                <w:rFonts w:ascii="Arial" w:eastAsia="+mn-ea" w:hAnsi="Arial" w:cs="Arial"/>
                <w:color w:val="000000"/>
                <w:kern w:val="24"/>
                <w:sz w:val="24"/>
                <w:szCs w:val="24"/>
              </w:rPr>
              <w:t>The United Nations Convention on the Rights of the Child 1989</w:t>
            </w:r>
            <w:r>
              <w:rPr>
                <w:rFonts w:ascii="Arial" w:eastAsia="+mn-ea" w:hAnsi="Arial" w:cs="Arial"/>
                <w:color w:val="000000"/>
                <w:kern w:val="24"/>
                <w:sz w:val="24"/>
                <w:szCs w:val="24"/>
              </w:rPr>
              <w:t xml:space="preserve">, </w:t>
            </w:r>
            <w:r w:rsidRPr="00B72ACC">
              <w:rPr>
                <w:rFonts w:ascii="Arial" w:eastAsia="+mn-ea" w:hAnsi="Arial" w:cs="Arial"/>
                <w:color w:val="000000"/>
                <w:kern w:val="24"/>
                <w:sz w:val="24"/>
                <w:szCs w:val="24"/>
              </w:rPr>
              <w:t>Rights of Children and Young Persons (Wales) Measure 2011</w:t>
            </w:r>
            <w:r>
              <w:rPr>
                <w:rFonts w:ascii="Arial" w:eastAsia="+mn-ea" w:hAnsi="Arial" w:cs="Arial"/>
                <w:color w:val="000000"/>
                <w:kern w:val="24"/>
                <w:sz w:val="24"/>
                <w:szCs w:val="24"/>
              </w:rPr>
              <w:t xml:space="preserve"> and The </w:t>
            </w:r>
            <w:hyperlink r:id="rId11" w:tgtFrame="_blank" w:tooltip="Well-being of Future Generations (Wales) Act 2015" w:history="1">
              <w:r w:rsidRPr="008365BA">
                <w:rPr>
                  <w:rFonts w:ascii="Arial" w:eastAsia="+mn-ea" w:hAnsi="Arial" w:cs="Arial"/>
                  <w:color w:val="000000"/>
                  <w:kern w:val="24"/>
                  <w:sz w:val="24"/>
                  <w:szCs w:val="24"/>
                </w:rPr>
                <w:t>Well-being of Future Generations (Wales) Act 2015</w:t>
              </w:r>
            </w:hyperlink>
            <w:r>
              <w:rPr>
                <w:rFonts w:ascii="Arial" w:eastAsia="+mn-ea" w:hAnsi="Arial" w:cs="Arial"/>
                <w:color w:val="000000"/>
                <w:kern w:val="24"/>
                <w:sz w:val="24"/>
                <w:szCs w:val="24"/>
              </w:rPr>
              <w:t>.</w:t>
            </w:r>
          </w:p>
          <w:p w14:paraId="10EC32BD" w14:textId="22BB127A" w:rsidR="00A713B8" w:rsidRDefault="00A713B8" w:rsidP="00A713B8">
            <w:pPr>
              <w:spacing w:line="360" w:lineRule="auto"/>
              <w:jc w:val="both"/>
              <w:rPr>
                <w:rFonts w:eastAsia="+mn-ea"/>
                <w:kern w:val="24"/>
                <w:sz w:val="24"/>
                <w:szCs w:val="24"/>
              </w:rPr>
            </w:pPr>
            <w:r w:rsidRPr="00E12C5D">
              <w:rPr>
                <w:rFonts w:eastAsia="+mn-ea"/>
                <w:kern w:val="24"/>
                <w:sz w:val="24"/>
                <w:szCs w:val="24"/>
              </w:rPr>
              <w:t xml:space="preserve">A devolved Wales saw the introduction of the </w:t>
            </w:r>
            <w:r>
              <w:rPr>
                <w:rFonts w:eastAsia="+mn-ea"/>
                <w:kern w:val="24"/>
                <w:sz w:val="24"/>
                <w:szCs w:val="24"/>
              </w:rPr>
              <w:t>Social Services and Wellbeing (Wales) Act 2014</w:t>
            </w:r>
            <w:r w:rsidRPr="00E12C5D">
              <w:rPr>
                <w:rFonts w:eastAsia="+mn-ea"/>
                <w:kern w:val="24"/>
                <w:sz w:val="24"/>
                <w:szCs w:val="24"/>
              </w:rPr>
              <w:t xml:space="preserve">, with an overriding ethos being wellbeing rather than </w:t>
            </w:r>
            <w:r>
              <w:rPr>
                <w:rFonts w:eastAsia="+mn-ea"/>
                <w:kern w:val="24"/>
                <w:sz w:val="24"/>
                <w:szCs w:val="24"/>
              </w:rPr>
              <w:t>welfare (Parton, 2014).</w:t>
            </w:r>
            <w:r w:rsidRPr="00E12C5D">
              <w:rPr>
                <w:rFonts w:eastAsia="+mn-ea"/>
                <w:kern w:val="24"/>
                <w:sz w:val="24"/>
                <w:szCs w:val="24"/>
              </w:rPr>
              <w:t xml:space="preserve"> </w:t>
            </w:r>
            <w:r>
              <w:rPr>
                <w:rFonts w:eastAsia="+mn-ea"/>
                <w:kern w:val="24"/>
                <w:sz w:val="24"/>
                <w:szCs w:val="24"/>
              </w:rPr>
              <w:t xml:space="preserve">Overriding </w:t>
            </w:r>
            <w:r w:rsidRPr="00E12C5D">
              <w:rPr>
                <w:rFonts w:eastAsia="+mn-ea"/>
                <w:kern w:val="24"/>
                <w:sz w:val="24"/>
                <w:szCs w:val="24"/>
              </w:rPr>
              <w:t xml:space="preserve">principles of adopting strengths-based approaches, </w:t>
            </w:r>
            <w:r>
              <w:rPr>
                <w:rFonts w:eastAsia="+mn-ea"/>
                <w:kern w:val="24"/>
                <w:sz w:val="24"/>
                <w:szCs w:val="24"/>
              </w:rPr>
              <w:t>a focus on</w:t>
            </w:r>
            <w:r w:rsidRPr="00E12C5D">
              <w:rPr>
                <w:rFonts w:eastAsia="+mn-ea"/>
                <w:kern w:val="24"/>
                <w:sz w:val="24"/>
                <w:szCs w:val="24"/>
              </w:rPr>
              <w:t xml:space="preserve"> preventative work</w:t>
            </w:r>
            <w:r>
              <w:rPr>
                <w:rFonts w:eastAsia="+mn-ea"/>
                <w:kern w:val="24"/>
                <w:sz w:val="24"/>
                <w:szCs w:val="24"/>
              </w:rPr>
              <w:t>, partnership working</w:t>
            </w:r>
            <w:r w:rsidRPr="00E12C5D">
              <w:rPr>
                <w:rFonts w:eastAsia="+mn-ea"/>
                <w:kern w:val="24"/>
                <w:sz w:val="24"/>
                <w:szCs w:val="24"/>
              </w:rPr>
              <w:t xml:space="preserve"> and handing voice and</w:t>
            </w:r>
            <w:r>
              <w:rPr>
                <w:rFonts w:eastAsia="+mn-ea"/>
                <w:kern w:val="24"/>
                <w:sz w:val="24"/>
                <w:szCs w:val="24"/>
              </w:rPr>
              <w:t xml:space="preserve"> </w:t>
            </w:r>
            <w:r w:rsidRPr="00E12C5D">
              <w:rPr>
                <w:rFonts w:eastAsia="+mn-ea"/>
                <w:kern w:val="24"/>
                <w:sz w:val="24"/>
                <w:szCs w:val="24"/>
              </w:rPr>
              <w:t>control to citizens</w:t>
            </w:r>
            <w:r>
              <w:rPr>
                <w:rFonts w:eastAsia="+mn-ea"/>
                <w:kern w:val="24"/>
                <w:sz w:val="24"/>
                <w:szCs w:val="24"/>
              </w:rPr>
              <w:t xml:space="preserve"> (Welsh Government, 2019)</w:t>
            </w:r>
            <w:r w:rsidRPr="00E12C5D">
              <w:rPr>
                <w:rFonts w:eastAsia="+mn-ea"/>
                <w:kern w:val="24"/>
                <w:sz w:val="24"/>
                <w:szCs w:val="24"/>
              </w:rPr>
              <w:t>.</w:t>
            </w:r>
            <w:r>
              <w:rPr>
                <w:rFonts w:eastAsia="+mn-ea"/>
                <w:kern w:val="24"/>
                <w:sz w:val="24"/>
                <w:szCs w:val="24"/>
              </w:rPr>
              <w:t xml:space="preserve"> The guiding legislation of The Social Services and Wellbeing (Wales) Act (2014) part 7 directs practitioners to the Children Act, 1989 which outlines when to consider S47 enquires and places a duty on local authorities to conclude </w:t>
            </w:r>
            <w:r w:rsidRPr="007B1457">
              <w:t xml:space="preserve">if </w:t>
            </w:r>
            <w:r w:rsidRPr="00E12C5D">
              <w:rPr>
                <w:rFonts w:eastAsia="+mn-ea"/>
                <w:kern w:val="24"/>
                <w:sz w:val="24"/>
                <w:szCs w:val="24"/>
              </w:rPr>
              <w:t>a child is or is not at risk of continuing significant harm</w:t>
            </w:r>
            <w:r>
              <w:rPr>
                <w:rFonts w:eastAsia="+mn-ea"/>
                <w:kern w:val="24"/>
                <w:sz w:val="24"/>
                <w:szCs w:val="24"/>
              </w:rPr>
              <w:t xml:space="preserve"> (Social Care Wales, 2022). In response to high profile child murders the Children Act (2004) acted to strengthen the existing legislation focusing on multiagency partnership working and accountability of agencies. Much has been repealed or replaced by the  Social Services and Wellbeing (Wales) Act 2014and The Wellbeing of Future Generations (Wales) Act 2015 including the condition to establish local safeguarding boards (Social Care Wales, 2022). The United Nations Convention on the rights of the Child was adopted by Welsh Government in 2004 it provided structure to all policy relating to children (Welsh Government, 2019). The </w:t>
            </w:r>
            <w:r>
              <w:rPr>
                <w:rFonts w:eastAsia="+mn-ea"/>
                <w:kern w:val="24"/>
                <w:sz w:val="24"/>
                <w:szCs w:val="24"/>
              </w:rPr>
              <w:lastRenderedPageBreak/>
              <w:t xml:space="preserve">Rights of Children and Young Persons (Wales) Measure 2011 integrates the United Nations Convention on the Rights of the Child directing Welsh Ministers to have </w:t>
            </w:r>
            <w:r w:rsidR="004E11F0">
              <w:rPr>
                <w:rFonts w:eastAsia="+mn-ea"/>
                <w:kern w:val="24"/>
                <w:sz w:val="24"/>
                <w:szCs w:val="24"/>
              </w:rPr>
              <w:t>respect</w:t>
            </w:r>
            <w:r>
              <w:rPr>
                <w:rFonts w:eastAsia="+mn-ea"/>
                <w:kern w:val="24"/>
                <w:sz w:val="24"/>
                <w:szCs w:val="24"/>
              </w:rPr>
              <w:t xml:space="preserve"> to its obligations and are considered in all pertinent decisions made by public bodies (Welsh Government, 2024). The Children’s Commissioner for Wales ensures children are listened to, advocated for and examines how government decisions influence or effect children’s right which must observe to the United Convention on the Rights of the Child (Children’s Commissioner for Wales, 2025).</w:t>
            </w:r>
          </w:p>
          <w:p w14:paraId="50632C3D" w14:textId="77777777" w:rsidR="00A713B8" w:rsidRDefault="00A713B8" w:rsidP="00A713B8">
            <w:pPr>
              <w:spacing w:line="360" w:lineRule="auto"/>
              <w:jc w:val="both"/>
              <w:rPr>
                <w:spacing w:val="8"/>
                <w:shd w:val="clear" w:color="auto" w:fill="FFFFFF"/>
              </w:rPr>
            </w:pPr>
            <w:r>
              <w:rPr>
                <w:rFonts w:eastAsia="+mn-ea"/>
                <w:kern w:val="24"/>
                <w:sz w:val="24"/>
                <w:szCs w:val="24"/>
              </w:rPr>
              <w:t xml:space="preserve">The statutory guidance in relation to part 7 of The Act is Working together to safeguard </w:t>
            </w:r>
            <w:r w:rsidRPr="003726CA">
              <w:rPr>
                <w:sz w:val="24"/>
                <w:szCs w:val="24"/>
              </w:rPr>
              <w:t xml:space="preserve">people. Volumes 1, 2, 5 and 7 relate to safeguarding children (Welsh Government, 2021). Published by the  Wales Safeguarding Procedures Project Board, The Wales Safeguarding Procedure and Practice guides enable practitioners to apply the legislative framework of the </w:t>
            </w:r>
            <w:r>
              <w:rPr>
                <w:rFonts w:eastAsia="+mn-ea"/>
                <w:kern w:val="24"/>
                <w:sz w:val="24"/>
                <w:szCs w:val="24"/>
              </w:rPr>
              <w:t>Social Services and Wellbeing (Wales) Act 2014</w:t>
            </w:r>
            <w:r w:rsidRPr="003726CA">
              <w:rPr>
                <w:sz w:val="24"/>
                <w:szCs w:val="24"/>
              </w:rPr>
              <w:t xml:space="preserve"> (Child Protection Training, 2023). The</w:t>
            </w:r>
            <w:r>
              <w:rPr>
                <w:spacing w:val="8"/>
                <w:shd w:val="clear" w:color="auto" w:fill="FFFFFF"/>
              </w:rPr>
              <w:t xml:space="preserve"> </w:t>
            </w:r>
            <w:r w:rsidRPr="003726CA">
              <w:rPr>
                <w:sz w:val="24"/>
                <w:szCs w:val="24"/>
              </w:rPr>
              <w:t>procedures relating to safeguarding children are set into six sections, pointers for practice provide information on completing safeguarding tasks.</w:t>
            </w:r>
            <w:r>
              <w:rPr>
                <w:spacing w:val="8"/>
                <w:shd w:val="clear" w:color="auto" w:fill="FFFFFF"/>
              </w:rPr>
              <w:t xml:space="preserve"> </w:t>
            </w:r>
          </w:p>
          <w:p w14:paraId="07A5071E" w14:textId="52ECD876" w:rsidR="00A713B8" w:rsidRPr="00D5286A" w:rsidRDefault="00A713B8" w:rsidP="00A713B8">
            <w:pPr>
              <w:shd w:val="clear" w:color="auto" w:fill="FFFFFF"/>
              <w:spacing w:after="120" w:line="360" w:lineRule="auto"/>
              <w:jc w:val="both"/>
              <w:rPr>
                <w:sz w:val="24"/>
                <w:szCs w:val="24"/>
              </w:rPr>
            </w:pPr>
            <w:r w:rsidRPr="007B1457">
              <w:rPr>
                <w:sz w:val="24"/>
                <w:szCs w:val="24"/>
              </w:rPr>
              <w:t>When an initial referral</w:t>
            </w:r>
            <w:r>
              <w:rPr>
                <w:sz w:val="24"/>
                <w:szCs w:val="24"/>
              </w:rPr>
              <w:t xml:space="preserve"> is received regarding a child at risk of harm, abuse or neglect</w:t>
            </w:r>
            <w:r w:rsidRPr="007B1457">
              <w:rPr>
                <w:sz w:val="24"/>
                <w:szCs w:val="24"/>
              </w:rPr>
              <w:t xml:space="preserve">, one working day is set to </w:t>
            </w:r>
            <w:r>
              <w:rPr>
                <w:sz w:val="24"/>
                <w:szCs w:val="24"/>
              </w:rPr>
              <w:t xml:space="preserve">respond and record actions. </w:t>
            </w:r>
            <w:r w:rsidRPr="00AF491A">
              <w:rPr>
                <w:sz w:val="24"/>
                <w:szCs w:val="24"/>
              </w:rPr>
              <w:t>When a child is determined to be at risk of significant harm a strategy meeting should be convened within one working day of the decision in deciding whether to initiate S47 enquiries (C</w:t>
            </w:r>
            <w:r>
              <w:rPr>
                <w:sz w:val="24"/>
                <w:szCs w:val="24"/>
              </w:rPr>
              <w:t>A</w:t>
            </w:r>
            <w:r w:rsidRPr="00AF491A">
              <w:rPr>
                <w:sz w:val="24"/>
                <w:szCs w:val="24"/>
              </w:rPr>
              <w:t>89)</w:t>
            </w:r>
            <w:r>
              <w:rPr>
                <w:sz w:val="24"/>
                <w:szCs w:val="24"/>
              </w:rPr>
              <w:t xml:space="preserve">. All </w:t>
            </w:r>
            <w:r w:rsidRPr="00D5286A">
              <w:rPr>
                <w:sz w:val="24"/>
                <w:szCs w:val="24"/>
              </w:rPr>
              <w:t>assessments visibly draw on Adverse Childhood Experiences (</w:t>
            </w:r>
            <w:r w:rsidR="00350A80">
              <w:rPr>
                <w:sz w:val="24"/>
                <w:szCs w:val="24"/>
              </w:rPr>
              <w:t>Cronholm et al 2015</w:t>
            </w:r>
            <w:r w:rsidRPr="00D5286A">
              <w:rPr>
                <w:sz w:val="24"/>
                <w:szCs w:val="24"/>
              </w:rPr>
              <w:t>), Systems theory</w:t>
            </w:r>
            <w:r w:rsidR="001C1256">
              <w:rPr>
                <w:sz w:val="24"/>
                <w:szCs w:val="24"/>
              </w:rPr>
              <w:t xml:space="preserve"> (Pincus and Minahan, 1973)</w:t>
            </w:r>
            <w:r w:rsidRPr="00D5286A">
              <w:rPr>
                <w:sz w:val="24"/>
                <w:szCs w:val="24"/>
              </w:rPr>
              <w:t xml:space="preserve"> and Maslow’s Hierarchy of Needs</w:t>
            </w:r>
            <w:r w:rsidR="001C1256">
              <w:rPr>
                <w:sz w:val="24"/>
                <w:szCs w:val="24"/>
              </w:rPr>
              <w:t xml:space="preserve"> (Maslow, 1970)</w:t>
            </w:r>
            <w:r w:rsidRPr="00D5286A">
              <w:rPr>
                <w:sz w:val="24"/>
                <w:szCs w:val="24"/>
              </w:rPr>
              <w:t>.</w:t>
            </w:r>
            <w:r>
              <w:rPr>
                <w:sz w:val="24"/>
                <w:szCs w:val="24"/>
              </w:rPr>
              <w:t xml:space="preserve"> The Welsh Safeguarding procedures provides guidance to Practitioners on how to keep the child at the centre of all assessments, adopting a child centered approach which involves speaking to the child and understanding their lived experience (Welsh Government, 2021) </w:t>
            </w:r>
          </w:p>
          <w:p w14:paraId="677A1F8E" w14:textId="0B128ECF" w:rsidR="00A713B8" w:rsidRPr="00A713B8" w:rsidRDefault="00A713B8" w:rsidP="00FF7EBB">
            <w:pPr>
              <w:jc w:val="both"/>
              <w:rPr>
                <w:b/>
                <w:bCs/>
                <w:sz w:val="24"/>
                <w:szCs w:val="24"/>
                <w:u w:val="single"/>
              </w:rPr>
            </w:pPr>
            <w:r w:rsidRPr="00A713B8">
              <w:rPr>
                <w:b/>
                <w:bCs/>
                <w:sz w:val="24"/>
                <w:szCs w:val="24"/>
                <w:u w:val="single"/>
              </w:rPr>
              <w:t>Word Count 53</w:t>
            </w:r>
            <w:r w:rsidR="00F02CB9">
              <w:rPr>
                <w:b/>
                <w:bCs/>
                <w:sz w:val="24"/>
                <w:szCs w:val="24"/>
                <w:u w:val="single"/>
              </w:rPr>
              <w:t>8</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0E64B386" w14:textId="77777777" w:rsidR="00FC0334"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7501B37D" w14:textId="77777777" w:rsidR="00A713B8" w:rsidRDefault="00A713B8" w:rsidP="00FC0334">
            <w:pPr>
              <w:jc w:val="both"/>
              <w:rPr>
                <w:i/>
                <w:sz w:val="24"/>
                <w:szCs w:val="24"/>
              </w:rPr>
            </w:pPr>
          </w:p>
          <w:p w14:paraId="5A99121A" w14:textId="77777777" w:rsidR="00A713B8" w:rsidRDefault="00A713B8" w:rsidP="00A713B8">
            <w:pPr>
              <w:spacing w:line="360" w:lineRule="auto"/>
              <w:jc w:val="both"/>
              <w:rPr>
                <w:sz w:val="24"/>
                <w:szCs w:val="24"/>
              </w:rPr>
            </w:pPr>
            <w:r>
              <w:rPr>
                <w:sz w:val="24"/>
                <w:szCs w:val="24"/>
              </w:rPr>
              <w:lastRenderedPageBreak/>
              <w:t>The Welsh Safeguarding Procedures categorise</w:t>
            </w:r>
            <w:r w:rsidRPr="003E21E8">
              <w:rPr>
                <w:sz w:val="24"/>
                <w:szCs w:val="24"/>
              </w:rPr>
              <w:t xml:space="preserve"> abuse</w:t>
            </w:r>
            <w:r>
              <w:rPr>
                <w:sz w:val="24"/>
                <w:szCs w:val="24"/>
              </w:rPr>
              <w:t xml:space="preserve"> in five ways;</w:t>
            </w:r>
            <w:r w:rsidRPr="003E21E8">
              <w:rPr>
                <w:sz w:val="24"/>
                <w:szCs w:val="24"/>
              </w:rPr>
              <w:t xml:space="preserve"> sexual, physical, emotional/psychological, neglect</w:t>
            </w:r>
            <w:r>
              <w:rPr>
                <w:sz w:val="24"/>
                <w:szCs w:val="24"/>
              </w:rPr>
              <w:t xml:space="preserve"> and financial (Welsh Government, 2025).</w:t>
            </w:r>
            <w:r w:rsidRPr="003E21E8">
              <w:rPr>
                <w:sz w:val="24"/>
                <w:szCs w:val="24"/>
              </w:rPr>
              <w:t xml:space="preserve"> </w:t>
            </w:r>
            <w:r>
              <w:rPr>
                <w:sz w:val="24"/>
                <w:szCs w:val="24"/>
              </w:rPr>
              <w:t>F</w:t>
            </w:r>
            <w:r w:rsidRPr="003E21E8">
              <w:rPr>
                <w:sz w:val="24"/>
                <w:szCs w:val="24"/>
              </w:rPr>
              <w:t>inancial abuse</w:t>
            </w:r>
            <w:r>
              <w:rPr>
                <w:sz w:val="24"/>
                <w:szCs w:val="24"/>
              </w:rPr>
              <w:t xml:space="preserve"> is</w:t>
            </w:r>
            <w:r w:rsidRPr="003E21E8">
              <w:rPr>
                <w:sz w:val="24"/>
                <w:szCs w:val="24"/>
              </w:rPr>
              <w:t xml:space="preserve"> not a category of abuse that children </w:t>
            </w:r>
            <w:r>
              <w:rPr>
                <w:sz w:val="24"/>
                <w:szCs w:val="24"/>
              </w:rPr>
              <w:t>are</w:t>
            </w:r>
            <w:r w:rsidRPr="003E21E8">
              <w:rPr>
                <w:sz w:val="24"/>
                <w:szCs w:val="24"/>
              </w:rPr>
              <w:t xml:space="preserve"> registered on the child protection register fo</w:t>
            </w:r>
            <w:r>
              <w:rPr>
                <w:sz w:val="24"/>
                <w:szCs w:val="24"/>
              </w:rPr>
              <w:t>r, however the Welsh Safeguarding Procedures, draws attention to indicators of possible financial abuse for children. As stated, when an initial referral is received by a local authority for a child at risk there is a duty to respond and record actions within one working day for adults this is extended to 7 working days to make enquires from receiving the written referral (Social Care Wales, 2025).</w:t>
            </w:r>
          </w:p>
          <w:p w14:paraId="3D586801" w14:textId="32A5FA54" w:rsidR="00A713B8" w:rsidRDefault="00A713B8" w:rsidP="00A713B8">
            <w:pPr>
              <w:spacing w:line="360" w:lineRule="auto"/>
              <w:jc w:val="both"/>
              <w:rPr>
                <w:sz w:val="24"/>
                <w:szCs w:val="24"/>
              </w:rPr>
            </w:pPr>
            <w:r>
              <w:rPr>
                <w:sz w:val="24"/>
                <w:szCs w:val="24"/>
              </w:rPr>
              <w:t>For an adult safeguarding referral practitioners should always aim to gain consent prior to making the adult at risk referral, however the priority is always the safety and interests of the adult (Welsh Government, 2025). Consent of the adult at risk leads to better engagement, outcomes and is in line with the principles of the</w:t>
            </w:r>
            <w:r w:rsidRPr="00A2185D">
              <w:rPr>
                <w:rFonts w:eastAsia="+mn-ea"/>
                <w:kern w:val="24"/>
                <w:sz w:val="24"/>
                <w:szCs w:val="24"/>
              </w:rPr>
              <w:t xml:space="preserve"> </w:t>
            </w:r>
            <w:r>
              <w:rPr>
                <w:rFonts w:eastAsia="+mn-ea"/>
                <w:kern w:val="24"/>
                <w:sz w:val="24"/>
                <w:szCs w:val="24"/>
              </w:rPr>
              <w:t>Social Services and Wellbeing (Wales) Act 2014</w:t>
            </w:r>
            <w:r>
              <w:rPr>
                <w:sz w:val="24"/>
                <w:szCs w:val="24"/>
              </w:rPr>
              <w:t xml:space="preserve"> to work in partnership. When a practitioner’s decision is to proceed with a referral without consent this should be discussed with the local authorities safeguarded lead and clear recording for the rationale, and a transparent conversation with the adult by the practitioner for the decision. The same practice guidance applies when seeking consent for a child at risk safeguarding referral. Consent is usually sought from the adult with parental </w:t>
            </w:r>
            <w:r w:rsidR="00F02CB9">
              <w:rPr>
                <w:sz w:val="24"/>
                <w:szCs w:val="24"/>
              </w:rPr>
              <w:t>responsibility;</w:t>
            </w:r>
            <w:r>
              <w:rPr>
                <w:sz w:val="24"/>
                <w:szCs w:val="24"/>
              </w:rPr>
              <w:t xml:space="preserve"> however the interests and safety of the child is paramount</w:t>
            </w:r>
            <w:r w:rsidR="004E11F0">
              <w:rPr>
                <w:sz w:val="24"/>
                <w:szCs w:val="24"/>
              </w:rPr>
              <w:t xml:space="preserve"> and consent is not always required for a s47</w:t>
            </w:r>
            <w:r>
              <w:rPr>
                <w:sz w:val="24"/>
                <w:szCs w:val="24"/>
              </w:rPr>
              <w:t xml:space="preserve">. If a child is deemed competent gaining consent from the child should also be considered. According to the NSPCC (2022) although initial used to assess capacity to consent to medical treatment, Gillick competency is used in a wider context when practitioners are required a young person’s capacity to make informed decisions. Fraser guidelines are more specially applied when considered a young person’s capacity around their sexual health. As with young people, an adult’s mental capacity to consent to a referral should also be considered. </w:t>
            </w:r>
            <w:r w:rsidR="0081217E">
              <w:rPr>
                <w:sz w:val="24"/>
                <w:szCs w:val="24"/>
              </w:rPr>
              <w:t>Social workers should always assume capacity</w:t>
            </w:r>
            <w:r>
              <w:rPr>
                <w:sz w:val="24"/>
                <w:szCs w:val="24"/>
              </w:rPr>
              <w:t xml:space="preserve">, if their a reason to questions a person’s mental capacity around their care and support and a safeguarding referral, the principles of the Mental Capacity Act 2005 should be applied and any decisions made are to be in the persons best interests. </w:t>
            </w:r>
          </w:p>
          <w:p w14:paraId="039AD22C" w14:textId="77777777" w:rsidR="00A713B8" w:rsidRDefault="00A713B8" w:rsidP="00A713B8">
            <w:pPr>
              <w:spacing w:line="360" w:lineRule="auto"/>
              <w:jc w:val="both"/>
              <w:rPr>
                <w:spacing w:val="8"/>
                <w:shd w:val="clear" w:color="auto" w:fill="FFFFFF"/>
              </w:rPr>
            </w:pPr>
          </w:p>
          <w:p w14:paraId="53AE239D" w14:textId="7ADB6D3F" w:rsidR="00A713B8" w:rsidRPr="00A713B8" w:rsidRDefault="00A713B8" w:rsidP="00FC0334">
            <w:pPr>
              <w:jc w:val="both"/>
              <w:rPr>
                <w:b/>
                <w:bCs/>
                <w:iCs/>
                <w:sz w:val="24"/>
                <w:szCs w:val="24"/>
                <w:u w:val="single"/>
              </w:rPr>
            </w:pPr>
            <w:r w:rsidRPr="00A713B8">
              <w:rPr>
                <w:b/>
                <w:bCs/>
                <w:iCs/>
                <w:sz w:val="24"/>
                <w:szCs w:val="24"/>
                <w:u w:val="single"/>
              </w:rPr>
              <w:t>Word Count 38</w:t>
            </w:r>
            <w:r w:rsidR="0081217E">
              <w:rPr>
                <w:b/>
                <w:bCs/>
                <w:iCs/>
                <w:sz w:val="24"/>
                <w:szCs w:val="24"/>
                <w:u w:val="single"/>
              </w:rPr>
              <w:t>5</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78A81C" w14:textId="77777777" w:rsidR="00E7072D" w:rsidRDefault="00E7072D">
      <w:r>
        <w:separator/>
      </w:r>
    </w:p>
  </w:endnote>
  <w:endnote w:type="continuationSeparator" w:id="0">
    <w:p w14:paraId="115F5413" w14:textId="77777777" w:rsidR="00E7072D" w:rsidRDefault="00E707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mn-ea">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7C3B0A" w14:textId="77777777" w:rsidR="00E7072D" w:rsidRDefault="00E7072D">
      <w:r>
        <w:separator/>
      </w:r>
    </w:p>
  </w:footnote>
  <w:footnote w:type="continuationSeparator" w:id="0">
    <w:p w14:paraId="0D50BCED" w14:textId="77777777" w:rsidR="00E7072D" w:rsidRDefault="00E707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1256"/>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6F45"/>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0A80"/>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C32B1"/>
    <w:rsid w:val="004D03C4"/>
    <w:rsid w:val="004D0BF1"/>
    <w:rsid w:val="004D0F4E"/>
    <w:rsid w:val="004D3278"/>
    <w:rsid w:val="004D35A4"/>
    <w:rsid w:val="004D445F"/>
    <w:rsid w:val="004E087B"/>
    <w:rsid w:val="004E11F0"/>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217E"/>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13B8"/>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72D"/>
    <w:rsid w:val="00E7086E"/>
    <w:rsid w:val="00E71248"/>
    <w:rsid w:val="00E73C41"/>
    <w:rsid w:val="00E757B6"/>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2CB9"/>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5">
    <w:name w:val="heading 5"/>
    <w:basedOn w:val="Normal"/>
    <w:next w:val="Normal"/>
    <w:link w:val="Heading5Char"/>
    <w:uiPriority w:val="9"/>
    <w:semiHidden/>
    <w:unhideWhenUsed/>
    <w:qFormat/>
    <w:rsid w:val="00A713B8"/>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5Char">
    <w:name w:val="Heading 5 Char"/>
    <w:basedOn w:val="DefaultParagraphFont"/>
    <w:link w:val="Heading5"/>
    <w:uiPriority w:val="9"/>
    <w:semiHidden/>
    <w:rsid w:val="00A713B8"/>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legislation.gov.uk/anaw/2015/2"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4</Pages>
  <Words>1111</Words>
  <Characters>6336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Hayley Berry (2421187)</cp:lastModifiedBy>
  <cp:revision>12</cp:revision>
  <cp:lastPrinted>2020-02-11T19:20:00Z</cp:lastPrinted>
  <dcterms:created xsi:type="dcterms:W3CDTF">2022-09-29T11:35:00Z</dcterms:created>
  <dcterms:modified xsi:type="dcterms:W3CDTF">2025-09-06T11:34:00Z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