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1E421" w14:textId="77777777" w:rsidR="000E131B" w:rsidRDefault="00F340DB" w:rsidP="00F340DB">
      <w:pPr>
        <w:spacing w:before="100" w:beforeAutospacing="1" w:after="100" w:afterAutospacing="1" w:line="360" w:lineRule="auto"/>
        <w:ind w:left="4320"/>
        <w:jc w:val="both"/>
        <w:outlineLvl w:val="0"/>
        <w:rPr>
          <w:rFonts w:ascii="Arial" w:eastAsia="Times New Roman" w:hAnsi="Arial" w:cs="Arial"/>
          <w:b/>
          <w:bCs/>
          <w:kern w:val="36"/>
        </w:rPr>
      </w:pPr>
      <w:r>
        <w:rPr>
          <w:rFonts w:ascii="Arial" w:eastAsia="Times New Roman" w:hAnsi="Arial" w:cs="Arial"/>
          <w:b/>
          <w:bCs/>
          <w:noProof/>
          <w:kern w:val="36"/>
        </w:rPr>
        <w:drawing>
          <wp:inline distT="0" distB="0" distL="0" distR="0" wp14:anchorId="13EFE39C" wp14:editId="0C72FCDF">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p w14:paraId="2CA99856"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F340DB" w:rsidRPr="008E30AB" w14:paraId="1C47A678" w14:textId="77777777" w:rsidTr="0096322F">
        <w:trPr>
          <w:trHeight w:val="179"/>
          <w:jc w:val="center"/>
        </w:trPr>
        <w:tc>
          <w:tcPr>
            <w:tcW w:w="0" w:type="auto"/>
            <w:hideMark/>
          </w:tcPr>
          <w:p w14:paraId="0145E6A0" w14:textId="77777777" w:rsidR="00F340DB" w:rsidRPr="008E30AB" w:rsidRDefault="00F340DB" w:rsidP="0096322F">
            <w:pPr>
              <w:tabs>
                <w:tab w:val="right" w:pos="2299"/>
              </w:tabs>
              <w:spacing w:line="360" w:lineRule="auto"/>
              <w:jc w:val="both"/>
              <w:rPr>
                <w:rFonts w:ascii="Arial" w:eastAsia="Times New Roman" w:hAnsi="Arial" w:cs="Arial"/>
                <w:b/>
                <w:bCs/>
              </w:rPr>
            </w:pPr>
            <w:r w:rsidRPr="008E30AB">
              <w:rPr>
                <w:rFonts w:ascii="Arial" w:eastAsia="Times New Roman" w:hAnsi="Arial" w:cs="Arial"/>
                <w:b/>
                <w:bCs/>
              </w:rPr>
              <w:t>Student Name:</w:t>
            </w:r>
            <w:r>
              <w:rPr>
                <w:rFonts w:ascii="Arial" w:eastAsia="Times New Roman" w:hAnsi="Arial" w:cs="Arial"/>
                <w:b/>
                <w:bCs/>
              </w:rPr>
              <w:tab/>
            </w:r>
          </w:p>
        </w:tc>
        <w:tc>
          <w:tcPr>
            <w:tcW w:w="5825" w:type="dxa"/>
            <w:hideMark/>
          </w:tcPr>
          <w:p w14:paraId="71AD3142" w14:textId="67CFCD99" w:rsidR="00F340DB" w:rsidRPr="008E30AB" w:rsidRDefault="007D008E" w:rsidP="0096322F">
            <w:pPr>
              <w:spacing w:line="360" w:lineRule="auto"/>
              <w:jc w:val="both"/>
              <w:rPr>
                <w:rFonts w:ascii="Arial" w:eastAsia="Times New Roman" w:hAnsi="Arial" w:cs="Arial"/>
                <w:bCs/>
              </w:rPr>
            </w:pPr>
            <w:r>
              <w:rPr>
                <w:rFonts w:ascii="Arial" w:eastAsia="Times New Roman" w:hAnsi="Arial" w:cs="Arial"/>
                <w:bCs/>
              </w:rPr>
              <w:t>Hap</w:t>
            </w:r>
            <w:r w:rsidR="00D960AB">
              <w:rPr>
                <w:rFonts w:ascii="Arial" w:eastAsia="Times New Roman" w:hAnsi="Arial" w:cs="Arial"/>
                <w:bCs/>
              </w:rPr>
              <w:t>py Chowdhury</w:t>
            </w:r>
          </w:p>
        </w:tc>
      </w:tr>
      <w:tr w:rsidR="00F340DB" w:rsidRPr="008E30AB" w14:paraId="15A487AB" w14:textId="77777777" w:rsidTr="0096322F">
        <w:trPr>
          <w:jc w:val="center"/>
        </w:trPr>
        <w:tc>
          <w:tcPr>
            <w:tcW w:w="0" w:type="auto"/>
            <w:hideMark/>
          </w:tcPr>
          <w:p w14:paraId="03CA016B" w14:textId="77777777" w:rsidR="00F340DB" w:rsidRPr="008E30AB" w:rsidRDefault="00F340DB" w:rsidP="0096322F">
            <w:pPr>
              <w:spacing w:line="360" w:lineRule="auto"/>
              <w:jc w:val="both"/>
              <w:rPr>
                <w:rFonts w:ascii="Arial" w:eastAsia="Times New Roman" w:hAnsi="Arial" w:cs="Arial"/>
              </w:rPr>
            </w:pPr>
            <w:r w:rsidRPr="008E30AB">
              <w:rPr>
                <w:rFonts w:ascii="Arial" w:eastAsia="Times New Roman" w:hAnsi="Arial" w:cs="Arial"/>
                <w:b/>
                <w:bCs/>
              </w:rPr>
              <w:t>Student ID Number:</w:t>
            </w:r>
          </w:p>
        </w:tc>
        <w:tc>
          <w:tcPr>
            <w:tcW w:w="5825" w:type="dxa"/>
            <w:hideMark/>
          </w:tcPr>
          <w:p w14:paraId="77A525B5" w14:textId="39266A4C" w:rsidR="00F340DB" w:rsidRPr="008E30AB" w:rsidRDefault="005770F0" w:rsidP="0096322F">
            <w:pPr>
              <w:spacing w:line="360" w:lineRule="auto"/>
              <w:jc w:val="both"/>
              <w:rPr>
                <w:rFonts w:ascii="Arial" w:eastAsia="Times New Roman" w:hAnsi="Arial" w:cs="Arial"/>
              </w:rPr>
            </w:pPr>
            <w:r>
              <w:rPr>
                <w:rFonts w:ascii="Arial" w:eastAsia="Times New Roman" w:hAnsi="Arial" w:cs="Arial"/>
              </w:rPr>
              <w:t>2432687</w:t>
            </w:r>
          </w:p>
        </w:tc>
      </w:tr>
      <w:tr w:rsidR="00F340DB" w:rsidRPr="008E30AB" w14:paraId="1EE20923" w14:textId="77777777" w:rsidTr="0096322F">
        <w:trPr>
          <w:jc w:val="center"/>
        </w:trPr>
        <w:tc>
          <w:tcPr>
            <w:tcW w:w="0" w:type="auto"/>
            <w:hideMark/>
          </w:tcPr>
          <w:p w14:paraId="63F568C9" w14:textId="77777777" w:rsidR="00F340DB" w:rsidRPr="008E30AB" w:rsidRDefault="00F340DB" w:rsidP="0096322F">
            <w:pPr>
              <w:spacing w:line="360" w:lineRule="auto"/>
              <w:jc w:val="both"/>
              <w:rPr>
                <w:rFonts w:ascii="Arial" w:eastAsia="Times New Roman" w:hAnsi="Arial" w:cs="Arial"/>
              </w:rPr>
            </w:pPr>
            <w:r w:rsidRPr="008E30AB">
              <w:rPr>
                <w:rFonts w:ascii="Arial" w:eastAsia="Times New Roman" w:hAnsi="Arial" w:cs="Arial"/>
                <w:b/>
                <w:bCs/>
              </w:rPr>
              <w:t>Programme:</w:t>
            </w:r>
          </w:p>
        </w:tc>
        <w:tc>
          <w:tcPr>
            <w:tcW w:w="5825" w:type="dxa"/>
            <w:hideMark/>
          </w:tcPr>
          <w:p w14:paraId="58C1D3AA" w14:textId="77777777" w:rsidR="00F340DB" w:rsidRPr="008E30AB" w:rsidRDefault="00F340DB" w:rsidP="00F340DB">
            <w:pPr>
              <w:spacing w:line="360" w:lineRule="auto"/>
              <w:jc w:val="both"/>
              <w:rPr>
                <w:rFonts w:ascii="Arial" w:eastAsia="Times New Roman" w:hAnsi="Arial" w:cs="Arial"/>
                <w:b/>
              </w:rPr>
            </w:pPr>
            <w:r w:rsidRPr="008E30AB">
              <w:rPr>
                <w:rFonts w:ascii="Arial" w:eastAsia="Times New Roman" w:hAnsi="Arial" w:cs="Arial"/>
                <w:b/>
              </w:rPr>
              <w:t>Certificate of Higher Education</w:t>
            </w:r>
            <w:r>
              <w:rPr>
                <w:rFonts w:ascii="Arial" w:eastAsia="Times New Roman" w:hAnsi="Arial" w:cs="Arial"/>
                <w:b/>
              </w:rPr>
              <w:t xml:space="preserve"> in</w:t>
            </w:r>
            <w:r w:rsidRPr="008E30AB">
              <w:rPr>
                <w:rFonts w:ascii="Arial" w:eastAsia="Times New Roman" w:hAnsi="Arial" w:cs="Arial"/>
                <w:b/>
              </w:rPr>
              <w:t xml:space="preserve"> </w:t>
            </w:r>
            <w:r>
              <w:rPr>
                <w:rFonts w:ascii="Arial" w:eastAsia="Times New Roman" w:hAnsi="Arial" w:cs="Arial"/>
                <w:b/>
              </w:rPr>
              <w:t>Health &amp; Social Care</w:t>
            </w:r>
          </w:p>
        </w:tc>
      </w:tr>
      <w:tr w:rsidR="00F340DB" w:rsidRPr="008E30AB" w14:paraId="344E6FED" w14:textId="77777777" w:rsidTr="0096322F">
        <w:trPr>
          <w:jc w:val="center"/>
        </w:trPr>
        <w:tc>
          <w:tcPr>
            <w:tcW w:w="0" w:type="auto"/>
            <w:hideMark/>
          </w:tcPr>
          <w:p w14:paraId="6085382A" w14:textId="77777777" w:rsidR="00F340DB" w:rsidRPr="008E30AB" w:rsidRDefault="00F340DB" w:rsidP="0096322F">
            <w:pPr>
              <w:spacing w:line="360" w:lineRule="auto"/>
              <w:jc w:val="both"/>
              <w:rPr>
                <w:rFonts w:ascii="Arial" w:eastAsia="Times New Roman" w:hAnsi="Arial" w:cs="Arial"/>
              </w:rPr>
            </w:pPr>
            <w:r w:rsidRPr="008E30AB">
              <w:rPr>
                <w:rFonts w:ascii="Arial" w:eastAsia="Times New Roman" w:hAnsi="Arial" w:cs="Arial"/>
                <w:b/>
                <w:bCs/>
              </w:rPr>
              <w:t>Module Title:</w:t>
            </w:r>
          </w:p>
        </w:tc>
        <w:tc>
          <w:tcPr>
            <w:tcW w:w="5825" w:type="dxa"/>
            <w:hideMark/>
          </w:tcPr>
          <w:p w14:paraId="71C882CA" w14:textId="77777777" w:rsidR="00F340DB" w:rsidRPr="008E30AB" w:rsidRDefault="00F340DB" w:rsidP="0096322F">
            <w:pPr>
              <w:spacing w:line="360" w:lineRule="auto"/>
              <w:jc w:val="both"/>
              <w:rPr>
                <w:rFonts w:ascii="Arial" w:eastAsia="Times New Roman" w:hAnsi="Arial" w:cs="Arial"/>
              </w:rPr>
            </w:pPr>
            <w:r w:rsidRPr="008E30AB">
              <w:rPr>
                <w:rFonts w:ascii="Arial" w:hAnsi="Arial" w:cs="Arial"/>
                <w:b/>
              </w:rPr>
              <w:t>Psychology</w:t>
            </w:r>
            <w:r w:rsidRPr="008E30AB">
              <w:rPr>
                <w:rFonts w:ascii="Arial" w:hAnsi="Arial" w:cs="Arial"/>
                <w:b/>
                <w:spacing w:val="-6"/>
              </w:rPr>
              <w:t xml:space="preserve"> </w:t>
            </w:r>
            <w:r w:rsidRPr="008E30AB">
              <w:rPr>
                <w:rFonts w:ascii="Arial" w:hAnsi="Arial" w:cs="Arial"/>
                <w:b/>
              </w:rPr>
              <w:t>in</w:t>
            </w:r>
            <w:r w:rsidRPr="008E30AB">
              <w:rPr>
                <w:rFonts w:ascii="Arial" w:hAnsi="Arial" w:cs="Arial"/>
                <w:b/>
                <w:spacing w:val="-4"/>
              </w:rPr>
              <w:t xml:space="preserve"> </w:t>
            </w:r>
            <w:r w:rsidRPr="008E30AB">
              <w:rPr>
                <w:rFonts w:ascii="Arial" w:hAnsi="Arial" w:cs="Arial"/>
                <w:b/>
              </w:rPr>
              <w:t>Health</w:t>
            </w:r>
            <w:r w:rsidRPr="008E30AB">
              <w:rPr>
                <w:rFonts w:ascii="Arial" w:hAnsi="Arial" w:cs="Arial"/>
                <w:b/>
                <w:spacing w:val="-3"/>
              </w:rPr>
              <w:t xml:space="preserve"> </w:t>
            </w:r>
            <w:r w:rsidRPr="008E30AB">
              <w:rPr>
                <w:rFonts w:ascii="Arial" w:hAnsi="Arial" w:cs="Arial"/>
                <w:b/>
              </w:rPr>
              <w:t>and</w:t>
            </w:r>
            <w:r w:rsidRPr="008E30AB">
              <w:rPr>
                <w:rFonts w:ascii="Arial" w:hAnsi="Arial" w:cs="Arial"/>
                <w:b/>
                <w:spacing w:val="-4"/>
              </w:rPr>
              <w:t xml:space="preserve"> </w:t>
            </w:r>
            <w:r w:rsidRPr="008E30AB">
              <w:rPr>
                <w:rFonts w:ascii="Arial" w:hAnsi="Arial" w:cs="Arial"/>
                <w:b/>
              </w:rPr>
              <w:t>Social</w:t>
            </w:r>
            <w:r w:rsidRPr="008E30AB">
              <w:rPr>
                <w:rFonts w:ascii="Arial" w:hAnsi="Arial" w:cs="Arial"/>
                <w:b/>
                <w:spacing w:val="-4"/>
              </w:rPr>
              <w:t xml:space="preserve"> Care</w:t>
            </w:r>
          </w:p>
        </w:tc>
      </w:tr>
      <w:tr w:rsidR="00F340DB" w:rsidRPr="008E30AB" w14:paraId="2EB76F27" w14:textId="77777777" w:rsidTr="0096322F">
        <w:trPr>
          <w:jc w:val="center"/>
        </w:trPr>
        <w:tc>
          <w:tcPr>
            <w:tcW w:w="0" w:type="auto"/>
            <w:hideMark/>
          </w:tcPr>
          <w:p w14:paraId="4028AA32" w14:textId="77777777" w:rsidR="00F340DB" w:rsidRPr="008E30AB" w:rsidRDefault="00F340DB" w:rsidP="0096322F">
            <w:pPr>
              <w:spacing w:line="360" w:lineRule="auto"/>
              <w:jc w:val="both"/>
              <w:rPr>
                <w:rFonts w:ascii="Arial" w:eastAsia="Times New Roman" w:hAnsi="Arial" w:cs="Arial"/>
              </w:rPr>
            </w:pPr>
            <w:r w:rsidRPr="008E30AB">
              <w:rPr>
                <w:rFonts w:ascii="Arial" w:eastAsia="Times New Roman" w:hAnsi="Arial" w:cs="Arial"/>
                <w:b/>
                <w:bCs/>
              </w:rPr>
              <w:t>Module Code:</w:t>
            </w:r>
          </w:p>
        </w:tc>
        <w:tc>
          <w:tcPr>
            <w:tcW w:w="5825" w:type="dxa"/>
            <w:hideMark/>
          </w:tcPr>
          <w:p w14:paraId="7316047F" w14:textId="77777777" w:rsidR="00F340DB" w:rsidRPr="008E30AB" w:rsidRDefault="00F340DB" w:rsidP="0096322F">
            <w:pPr>
              <w:spacing w:line="360" w:lineRule="auto"/>
              <w:jc w:val="both"/>
              <w:rPr>
                <w:rFonts w:ascii="Arial" w:eastAsia="Times New Roman" w:hAnsi="Arial" w:cs="Arial"/>
              </w:rPr>
            </w:pPr>
            <w:r w:rsidRPr="008E30AB">
              <w:rPr>
                <w:rFonts w:ascii="Arial" w:hAnsi="Arial" w:cs="Arial"/>
                <w:b/>
                <w:spacing w:val="-2"/>
              </w:rPr>
              <w:t>LCHS4010</w:t>
            </w:r>
          </w:p>
        </w:tc>
      </w:tr>
      <w:tr w:rsidR="00F340DB" w:rsidRPr="008E30AB" w14:paraId="526AE781" w14:textId="77777777" w:rsidTr="0096322F">
        <w:trPr>
          <w:jc w:val="center"/>
        </w:trPr>
        <w:tc>
          <w:tcPr>
            <w:tcW w:w="0" w:type="auto"/>
            <w:hideMark/>
          </w:tcPr>
          <w:p w14:paraId="4E2FFE1D" w14:textId="77777777" w:rsidR="00F340DB" w:rsidRPr="008E30AB" w:rsidRDefault="00F340DB" w:rsidP="0096322F">
            <w:pPr>
              <w:spacing w:line="360" w:lineRule="auto"/>
              <w:jc w:val="both"/>
              <w:rPr>
                <w:rFonts w:ascii="Arial" w:eastAsia="Times New Roman" w:hAnsi="Arial" w:cs="Arial"/>
              </w:rPr>
            </w:pPr>
            <w:r w:rsidRPr="008E30AB">
              <w:rPr>
                <w:rFonts w:ascii="Arial" w:eastAsia="Times New Roman" w:hAnsi="Arial" w:cs="Arial"/>
                <w:b/>
                <w:bCs/>
              </w:rPr>
              <w:t>Lecturer:</w:t>
            </w:r>
          </w:p>
        </w:tc>
        <w:tc>
          <w:tcPr>
            <w:tcW w:w="5825" w:type="dxa"/>
            <w:hideMark/>
          </w:tcPr>
          <w:p w14:paraId="22347B4C" w14:textId="54B1D420" w:rsidR="00F340DB" w:rsidRPr="008E30AB" w:rsidRDefault="00DC1EB0" w:rsidP="0096322F">
            <w:pPr>
              <w:spacing w:line="360" w:lineRule="auto"/>
              <w:jc w:val="both"/>
              <w:rPr>
                <w:rFonts w:ascii="Arial" w:eastAsia="Times New Roman" w:hAnsi="Arial" w:cs="Arial"/>
              </w:rPr>
            </w:pPr>
            <w:r>
              <w:rPr>
                <w:rFonts w:ascii="Arial" w:hAnsi="Arial" w:cs="Arial"/>
                <w:b/>
                <w:bCs/>
              </w:rPr>
              <w:t>Alice Clayton</w:t>
            </w:r>
          </w:p>
        </w:tc>
      </w:tr>
    </w:tbl>
    <w:p w14:paraId="6A4011FC"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36FECD62"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681A0476"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492A173B"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6ECA0FA4"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58C70548"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66227AFD"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53D521F6"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3284C358"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2A46CCCE"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792BB966"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1D747199"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1736B182"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2844812D" w14:textId="77777777" w:rsidR="000E131B" w:rsidRPr="000E131B" w:rsidRDefault="000E131B" w:rsidP="000E131B">
      <w:pPr>
        <w:pStyle w:val="NormalWeb"/>
        <w:rPr>
          <w:rFonts w:ascii="Arial" w:hAnsi="Arial" w:cs="Arial"/>
          <w:sz w:val="28"/>
          <w:szCs w:val="28"/>
        </w:rPr>
      </w:pPr>
      <w:r w:rsidRPr="000E131B">
        <w:rPr>
          <w:rStyle w:val="Strong"/>
          <w:rFonts w:ascii="Arial" w:hAnsi="Arial" w:cs="Arial"/>
          <w:sz w:val="28"/>
          <w:szCs w:val="28"/>
        </w:rPr>
        <w:t>Table of Contents</w:t>
      </w:r>
    </w:p>
    <w:p w14:paraId="671C509F" w14:textId="77777777" w:rsidR="000E131B" w:rsidRPr="000E131B" w:rsidRDefault="000E131B" w:rsidP="000E131B">
      <w:pPr>
        <w:pStyle w:val="NormalWeb"/>
        <w:rPr>
          <w:rFonts w:ascii="Arial" w:hAnsi="Arial" w:cs="Arial"/>
          <w:sz w:val="28"/>
          <w:szCs w:val="28"/>
        </w:rPr>
      </w:pPr>
      <w:r w:rsidRPr="000E131B">
        <w:rPr>
          <w:rStyle w:val="Strong"/>
          <w:rFonts w:ascii="Arial" w:hAnsi="Arial" w:cs="Arial"/>
          <w:sz w:val="28"/>
          <w:szCs w:val="28"/>
        </w:rPr>
        <w:t>Part A: Annotated Bibliography</w:t>
      </w:r>
      <w:r w:rsidRPr="000E131B">
        <w:rPr>
          <w:rFonts w:ascii="Arial" w:hAnsi="Arial" w:cs="Arial"/>
          <w:sz w:val="28"/>
          <w:szCs w:val="28"/>
        </w:rPr>
        <w:t xml:space="preserve">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3</w:t>
      </w:r>
      <w:r w:rsidRPr="000E131B">
        <w:rPr>
          <w:rFonts w:ascii="Arial" w:hAnsi="Arial" w:cs="Arial"/>
          <w:sz w:val="28"/>
          <w:szCs w:val="28"/>
        </w:rPr>
        <w:br/>
        <w:t>Introduction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3</w:t>
      </w:r>
      <w:r w:rsidRPr="000E131B">
        <w:rPr>
          <w:rFonts w:ascii="Arial" w:hAnsi="Arial" w:cs="Arial"/>
          <w:sz w:val="28"/>
          <w:szCs w:val="28"/>
        </w:rPr>
        <w:br/>
        <w:t>Annotation 1 – van der Kaap-Deeder et al. (2021)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3</w:t>
      </w:r>
      <w:r w:rsidRPr="000E131B">
        <w:rPr>
          <w:rFonts w:ascii="Arial" w:hAnsi="Arial" w:cs="Arial"/>
          <w:sz w:val="28"/>
          <w:szCs w:val="28"/>
        </w:rPr>
        <w:br/>
        <w:t>Annotation 2 – Kim et al. (2023)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4</w:t>
      </w:r>
      <w:r w:rsidRPr="000E131B">
        <w:rPr>
          <w:rFonts w:ascii="Arial" w:hAnsi="Arial" w:cs="Arial"/>
          <w:sz w:val="28"/>
          <w:szCs w:val="28"/>
        </w:rPr>
        <w:br/>
        <w:t>Annotation 3 – Lopez et al. (2024)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4</w:t>
      </w:r>
      <w:r w:rsidRPr="000E131B">
        <w:rPr>
          <w:rFonts w:ascii="Arial" w:hAnsi="Arial" w:cs="Arial"/>
          <w:sz w:val="28"/>
          <w:szCs w:val="28"/>
        </w:rPr>
        <w:br/>
        <w:t>Annotation 4 – Horgan et al. (2024)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5</w:t>
      </w:r>
      <w:r w:rsidRPr="000E131B">
        <w:rPr>
          <w:rFonts w:ascii="Arial" w:hAnsi="Arial" w:cs="Arial"/>
          <w:sz w:val="28"/>
          <w:szCs w:val="28"/>
        </w:rPr>
        <w:br/>
      </w:r>
      <w:r w:rsidRPr="000E131B">
        <w:rPr>
          <w:rFonts w:ascii="Arial" w:hAnsi="Arial" w:cs="Arial"/>
          <w:sz w:val="28"/>
          <w:szCs w:val="28"/>
        </w:rPr>
        <w:br/>
      </w:r>
      <w:r w:rsidRPr="000E131B">
        <w:rPr>
          <w:rStyle w:val="Strong"/>
          <w:rFonts w:ascii="Arial" w:hAnsi="Arial" w:cs="Arial"/>
          <w:sz w:val="28"/>
          <w:szCs w:val="28"/>
        </w:rPr>
        <w:t>Part B: Short Report</w:t>
      </w:r>
      <w:r w:rsidRPr="000E131B">
        <w:rPr>
          <w:rFonts w:ascii="Arial" w:hAnsi="Arial" w:cs="Arial"/>
          <w:sz w:val="28"/>
          <w:szCs w:val="28"/>
        </w:rPr>
        <w:t xml:space="preserve">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6</w:t>
      </w:r>
      <w:r w:rsidRPr="000E131B">
        <w:rPr>
          <w:rFonts w:ascii="Arial" w:hAnsi="Arial" w:cs="Arial"/>
          <w:sz w:val="28"/>
          <w:szCs w:val="28"/>
        </w:rPr>
        <w:br/>
        <w:t>Introduction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6</w:t>
      </w:r>
      <w:r w:rsidRPr="000E131B">
        <w:rPr>
          <w:rFonts w:ascii="Arial" w:hAnsi="Arial" w:cs="Arial"/>
          <w:sz w:val="28"/>
          <w:szCs w:val="28"/>
        </w:rPr>
        <w:br/>
        <w:t>Application of Maslow’s Hierarchy in Residential Care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6</w:t>
      </w:r>
      <w:r w:rsidRPr="000E131B">
        <w:rPr>
          <w:rFonts w:ascii="Arial" w:hAnsi="Arial" w:cs="Arial"/>
          <w:sz w:val="28"/>
          <w:szCs w:val="28"/>
        </w:rPr>
        <w:br/>
        <w:t>Case Scenario ............................................................................</w:t>
      </w:r>
      <w:r>
        <w:rPr>
          <w:rFonts w:ascii="Arial" w:hAnsi="Arial" w:cs="Arial"/>
          <w:sz w:val="28"/>
          <w:szCs w:val="28"/>
        </w:rPr>
        <w:t>.......</w:t>
      </w:r>
      <w:r w:rsidRPr="000E131B">
        <w:rPr>
          <w:rFonts w:ascii="Arial" w:hAnsi="Arial" w:cs="Arial"/>
          <w:sz w:val="28"/>
          <w:szCs w:val="28"/>
        </w:rPr>
        <w:t>......</w:t>
      </w:r>
      <w:r w:rsidR="002B771D">
        <w:rPr>
          <w:rFonts w:ascii="Arial" w:hAnsi="Arial" w:cs="Arial"/>
          <w:sz w:val="28"/>
          <w:szCs w:val="28"/>
        </w:rPr>
        <w:t>.</w:t>
      </w:r>
      <w:r w:rsidRPr="000E131B">
        <w:rPr>
          <w:rFonts w:ascii="Arial" w:hAnsi="Arial" w:cs="Arial"/>
          <w:sz w:val="28"/>
          <w:szCs w:val="28"/>
        </w:rPr>
        <w:t>...</w:t>
      </w:r>
      <w:r w:rsidR="002B771D">
        <w:rPr>
          <w:rFonts w:ascii="Arial" w:hAnsi="Arial" w:cs="Arial"/>
          <w:sz w:val="28"/>
          <w:szCs w:val="28"/>
        </w:rPr>
        <w:t>7</w:t>
      </w:r>
      <w:r w:rsidRPr="000E131B">
        <w:rPr>
          <w:rFonts w:ascii="Arial" w:hAnsi="Arial" w:cs="Arial"/>
          <w:sz w:val="28"/>
          <w:szCs w:val="28"/>
        </w:rPr>
        <w:t xml:space="preserve"> </w:t>
      </w:r>
      <w:r w:rsidRPr="000E131B">
        <w:rPr>
          <w:rFonts w:ascii="Arial" w:hAnsi="Arial" w:cs="Arial"/>
          <w:sz w:val="28"/>
          <w:szCs w:val="28"/>
        </w:rPr>
        <w:br/>
        <w:t>Implementation Challenge .........................................................</w:t>
      </w:r>
      <w:r>
        <w:rPr>
          <w:rFonts w:ascii="Arial" w:hAnsi="Arial" w:cs="Arial"/>
          <w:sz w:val="28"/>
          <w:szCs w:val="28"/>
        </w:rPr>
        <w:t>...........</w:t>
      </w:r>
      <w:r w:rsidRPr="000E131B">
        <w:rPr>
          <w:rFonts w:ascii="Arial" w:hAnsi="Arial" w:cs="Arial"/>
          <w:sz w:val="28"/>
          <w:szCs w:val="28"/>
        </w:rPr>
        <w:t xml:space="preserve">...... </w:t>
      </w:r>
      <w:r w:rsidR="002B771D">
        <w:rPr>
          <w:rFonts w:ascii="Arial" w:hAnsi="Arial" w:cs="Arial"/>
          <w:sz w:val="28"/>
          <w:szCs w:val="28"/>
        </w:rPr>
        <w:t>8</w:t>
      </w:r>
      <w:r w:rsidRPr="000E131B">
        <w:rPr>
          <w:rFonts w:ascii="Arial" w:hAnsi="Arial" w:cs="Arial"/>
          <w:sz w:val="28"/>
          <w:szCs w:val="28"/>
        </w:rPr>
        <w:br/>
        <w:t>Strategy to Overcome the Challenge .........................................</w:t>
      </w:r>
      <w:r>
        <w:rPr>
          <w:rFonts w:ascii="Arial" w:hAnsi="Arial" w:cs="Arial"/>
          <w:sz w:val="28"/>
          <w:szCs w:val="28"/>
        </w:rPr>
        <w:t>..............</w:t>
      </w:r>
      <w:r w:rsidRPr="000E131B">
        <w:rPr>
          <w:rFonts w:ascii="Arial" w:hAnsi="Arial" w:cs="Arial"/>
          <w:sz w:val="28"/>
          <w:szCs w:val="28"/>
        </w:rPr>
        <w:t>...</w:t>
      </w:r>
      <w:r w:rsidR="002B771D">
        <w:rPr>
          <w:rFonts w:ascii="Arial" w:hAnsi="Arial" w:cs="Arial"/>
          <w:sz w:val="28"/>
          <w:szCs w:val="28"/>
        </w:rPr>
        <w:t>8</w:t>
      </w:r>
      <w:r w:rsidRPr="000E131B">
        <w:rPr>
          <w:rFonts w:ascii="Arial" w:hAnsi="Arial" w:cs="Arial"/>
          <w:sz w:val="28"/>
          <w:szCs w:val="28"/>
        </w:rPr>
        <w:t xml:space="preserve"> </w:t>
      </w:r>
      <w:r w:rsidRPr="000E131B">
        <w:rPr>
          <w:rFonts w:ascii="Arial" w:hAnsi="Arial" w:cs="Arial"/>
          <w:sz w:val="28"/>
          <w:szCs w:val="28"/>
        </w:rPr>
        <w:br/>
      </w:r>
      <w:r w:rsidRPr="000E131B">
        <w:rPr>
          <w:rFonts w:ascii="Arial" w:hAnsi="Arial" w:cs="Arial"/>
          <w:b/>
          <w:sz w:val="28"/>
          <w:szCs w:val="28"/>
        </w:rPr>
        <w:t>Conclusion</w:t>
      </w:r>
      <w:r w:rsidRPr="000E131B">
        <w:rPr>
          <w:rFonts w:ascii="Arial" w:hAnsi="Arial" w:cs="Arial"/>
          <w:sz w:val="28"/>
          <w:szCs w:val="28"/>
        </w:rPr>
        <w:t xml:space="preserve"> ................................................................................................ </w:t>
      </w:r>
      <w:r w:rsidR="002B771D">
        <w:rPr>
          <w:rFonts w:ascii="Arial" w:hAnsi="Arial" w:cs="Arial"/>
          <w:sz w:val="28"/>
          <w:szCs w:val="28"/>
        </w:rPr>
        <w:t>8</w:t>
      </w:r>
      <w:r w:rsidRPr="000E131B">
        <w:rPr>
          <w:rFonts w:ascii="Arial" w:hAnsi="Arial" w:cs="Arial"/>
          <w:sz w:val="28"/>
          <w:szCs w:val="28"/>
        </w:rPr>
        <w:br/>
      </w:r>
      <w:r w:rsidRPr="000E131B">
        <w:rPr>
          <w:rFonts w:ascii="Arial" w:hAnsi="Arial" w:cs="Arial"/>
          <w:b/>
          <w:sz w:val="28"/>
          <w:szCs w:val="28"/>
        </w:rPr>
        <w:t>References</w:t>
      </w:r>
      <w:r w:rsidRPr="000E131B">
        <w:rPr>
          <w:rFonts w:ascii="Arial" w:hAnsi="Arial" w:cs="Arial"/>
          <w:sz w:val="28"/>
          <w:szCs w:val="28"/>
        </w:rPr>
        <w:t xml:space="preserve"> ........................................................................................</w:t>
      </w:r>
      <w:r>
        <w:rPr>
          <w:rFonts w:ascii="Arial" w:hAnsi="Arial" w:cs="Arial"/>
          <w:sz w:val="28"/>
          <w:szCs w:val="28"/>
        </w:rPr>
        <w:t>......</w:t>
      </w:r>
      <w:r w:rsidR="002B771D">
        <w:rPr>
          <w:rFonts w:ascii="Arial" w:hAnsi="Arial" w:cs="Arial"/>
          <w:sz w:val="28"/>
          <w:szCs w:val="28"/>
        </w:rPr>
        <w:t>.</w:t>
      </w:r>
      <w:r>
        <w:rPr>
          <w:rFonts w:ascii="Arial" w:hAnsi="Arial" w:cs="Arial"/>
          <w:sz w:val="28"/>
          <w:szCs w:val="28"/>
        </w:rPr>
        <w:t xml:space="preserve">. </w:t>
      </w:r>
      <w:r w:rsidR="002B771D">
        <w:rPr>
          <w:rFonts w:ascii="Arial" w:hAnsi="Arial" w:cs="Arial"/>
          <w:sz w:val="28"/>
          <w:szCs w:val="28"/>
        </w:rPr>
        <w:t>9</w:t>
      </w:r>
    </w:p>
    <w:p w14:paraId="444DC338"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764724EA"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22602297"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5D1BBED0"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0C74281A"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5F332E8E"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498DF7DE"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666AEA45"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2EAA451D"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552A4087" w14:textId="77777777" w:rsidR="002B771D" w:rsidRDefault="002B771D" w:rsidP="000E131B">
      <w:pPr>
        <w:spacing w:before="100" w:beforeAutospacing="1" w:after="100" w:afterAutospacing="1" w:line="360" w:lineRule="auto"/>
        <w:jc w:val="both"/>
        <w:outlineLvl w:val="0"/>
        <w:rPr>
          <w:rFonts w:ascii="Arial" w:eastAsia="Times New Roman" w:hAnsi="Arial" w:cs="Arial"/>
          <w:b/>
          <w:bCs/>
          <w:kern w:val="36"/>
        </w:rPr>
      </w:pPr>
    </w:p>
    <w:p w14:paraId="50FA5076"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r w:rsidRPr="000E131B">
        <w:rPr>
          <w:rFonts w:ascii="Arial" w:eastAsia="Times New Roman" w:hAnsi="Arial" w:cs="Arial"/>
          <w:b/>
          <w:bCs/>
          <w:kern w:val="36"/>
        </w:rPr>
        <w:t>Part A: Annotated Bibliography</w:t>
      </w:r>
    </w:p>
    <w:p w14:paraId="2DED9B68"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r>
        <w:rPr>
          <w:rFonts w:ascii="Arial" w:eastAsia="Times New Roman" w:hAnsi="Arial" w:cs="Arial"/>
          <w:b/>
          <w:bCs/>
          <w:kern w:val="36"/>
        </w:rPr>
        <w:t>Introduction</w:t>
      </w:r>
    </w:p>
    <w:p w14:paraId="0F6FA4C6" w14:textId="77777777" w:rsidR="000E131B" w:rsidRPr="000E131B" w:rsidRDefault="000E131B" w:rsidP="000E131B">
      <w:pPr>
        <w:pStyle w:val="NormalWeb"/>
        <w:spacing w:line="360" w:lineRule="auto"/>
        <w:jc w:val="both"/>
        <w:rPr>
          <w:rFonts w:ascii="Arial" w:hAnsi="Arial" w:cs="Arial"/>
          <w:sz w:val="22"/>
          <w:szCs w:val="22"/>
        </w:rPr>
      </w:pPr>
      <w:r w:rsidRPr="000E131B">
        <w:rPr>
          <w:rFonts w:ascii="Arial" w:hAnsi="Arial" w:cs="Arial"/>
          <w:sz w:val="22"/>
          <w:szCs w:val="22"/>
        </w:rPr>
        <w:t>Understanding psychological development in later life is key to promoting wellbeing in older adults. This annotated bibliography reviews four recent journal articles on Erikson’s psychosocial theory and Maslow’s hierarchy of needs, highlighting how these frameworks can guide care practices to support emotional adjustment, life satisfaction, and quality of life in residential settings.</w:t>
      </w:r>
    </w:p>
    <w:p w14:paraId="4910F80D" w14:textId="77777777" w:rsidR="000E131B" w:rsidRPr="000E131B" w:rsidRDefault="00321C67" w:rsidP="000E131B">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Annotation 1: </w:t>
      </w:r>
      <w:r w:rsidR="000E131B" w:rsidRPr="000E131B">
        <w:rPr>
          <w:rFonts w:ascii="Arial" w:eastAsia="Times New Roman" w:hAnsi="Arial" w:cs="Arial"/>
          <w:b/>
          <w:bCs/>
        </w:rPr>
        <w:t xml:space="preserve"> Erikson’s Psychosocial Theory</w:t>
      </w:r>
    </w:p>
    <w:p w14:paraId="2B08E670"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 xml:space="preserve">van der Kaap-Deeder, J., Vansteenkiste, M., Soenens, B. and Mabbe, E. (2021) ‘The role of ego integrity and despair in older adults’ psychological functioning’, </w:t>
      </w:r>
      <w:r w:rsidRPr="000E131B">
        <w:rPr>
          <w:rFonts w:ascii="Arial" w:eastAsia="Times New Roman" w:hAnsi="Arial" w:cs="Arial"/>
          <w:b/>
          <w:bCs/>
          <w:i/>
          <w:iCs/>
        </w:rPr>
        <w:t>Ageing &amp; Society</w:t>
      </w:r>
      <w:r w:rsidRPr="000E131B">
        <w:rPr>
          <w:rFonts w:ascii="Arial" w:eastAsia="Times New Roman" w:hAnsi="Arial" w:cs="Arial"/>
          <w:b/>
          <w:bCs/>
        </w:rPr>
        <w:t>, 41(11), pp. 2506–2526.</w:t>
      </w:r>
    </w:p>
    <w:p w14:paraId="0F7D16C1"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 xml:space="preserve">This study investigates how Erikson’s stage of ego integrity versus despair relates to psychological wellbeing in later life. Using survey data from community-dwelling older adults, the authors examined associations between ego integrity, life satisfaction, depressive symptoms and meaning in life. The findings indicate that higher ego integrity is strongly associated with greater life satisfaction and lower depressive symptoms, while despair predicts poorer psychological outcomes. The study reinforces Erikson’s proposition that successful life review and acceptance of one’s past are central developmental tasks in old age, with measurable implications for mental health and emotional stability (van der Kaap-Deeder </w:t>
      </w:r>
      <w:r w:rsidRPr="009C7623">
        <w:rPr>
          <w:rFonts w:ascii="Arial" w:eastAsia="Times New Roman" w:hAnsi="Arial" w:cs="Arial"/>
          <w:iCs/>
        </w:rPr>
        <w:t>et al</w:t>
      </w:r>
      <w:r w:rsidRPr="000E131B">
        <w:rPr>
          <w:rFonts w:ascii="Arial" w:eastAsia="Times New Roman" w:hAnsi="Arial" w:cs="Arial"/>
          <w:i/>
          <w:iCs/>
        </w:rPr>
        <w:t>.</w:t>
      </w:r>
      <w:r w:rsidRPr="000E131B">
        <w:rPr>
          <w:rFonts w:ascii="Arial" w:eastAsia="Times New Roman" w:hAnsi="Arial" w:cs="Arial"/>
        </w:rPr>
        <w:t>, 2021).</w:t>
      </w:r>
    </w:p>
    <w:p w14:paraId="4CDEA934"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The article is highly relevant to health and social care practice because it provides empirical support for interventions that promote life review, reminiscence therapy and meaning-centred care in older populations. Its strength lies in clearly operationalising Erikson’s constructs using validated psychological measures. However, the sample consisted largely of community-living older adults, which may limit direct transferability to frailer residential care populations. Despite this limitation, the study offers strong theoretical justification for psychosocial interventions aimed at enhancing ego integrity among care home residents.</w:t>
      </w:r>
    </w:p>
    <w:p w14:paraId="150E077C" w14:textId="77777777" w:rsidR="000E131B" w:rsidRDefault="000E131B" w:rsidP="000E131B">
      <w:pPr>
        <w:spacing w:before="100" w:beforeAutospacing="1" w:after="100" w:afterAutospacing="1" w:line="360" w:lineRule="auto"/>
        <w:jc w:val="both"/>
        <w:outlineLvl w:val="1"/>
        <w:rPr>
          <w:rFonts w:ascii="Arial" w:eastAsia="Times New Roman" w:hAnsi="Arial" w:cs="Arial"/>
          <w:b/>
          <w:bCs/>
        </w:rPr>
      </w:pPr>
    </w:p>
    <w:p w14:paraId="5641E07C" w14:textId="77777777" w:rsidR="000E131B" w:rsidRPr="000E131B" w:rsidRDefault="00321C67" w:rsidP="000E131B">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Annotation 2: </w:t>
      </w:r>
      <w:r w:rsidR="000E131B" w:rsidRPr="000E131B">
        <w:rPr>
          <w:rFonts w:ascii="Arial" w:eastAsia="Times New Roman" w:hAnsi="Arial" w:cs="Arial"/>
          <w:b/>
          <w:bCs/>
        </w:rPr>
        <w:t>Erikson’s Psychosocial Theory</w:t>
      </w:r>
    </w:p>
    <w:p w14:paraId="384DD6FB"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 xml:space="preserve">Kim, S., Park, J. and Lee, M. (2023) ‘Ego integrity and life satisfaction among the oldest-old: The mediating role of depressive symptoms’, </w:t>
      </w:r>
      <w:r w:rsidRPr="000E131B">
        <w:rPr>
          <w:rFonts w:ascii="Arial" w:eastAsia="Times New Roman" w:hAnsi="Arial" w:cs="Arial"/>
          <w:b/>
          <w:bCs/>
          <w:i/>
          <w:iCs/>
        </w:rPr>
        <w:t>Journal of Affective Disorders</w:t>
      </w:r>
      <w:r w:rsidRPr="000E131B">
        <w:rPr>
          <w:rFonts w:ascii="Arial" w:eastAsia="Times New Roman" w:hAnsi="Arial" w:cs="Arial"/>
          <w:b/>
          <w:bCs/>
        </w:rPr>
        <w:t>, 324, pp. 1–8.</w:t>
      </w:r>
    </w:p>
    <w:p w14:paraId="1D3D1E2C"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 xml:space="preserve">Kim </w:t>
      </w:r>
      <w:r w:rsidRPr="009C7623">
        <w:rPr>
          <w:rFonts w:ascii="Arial" w:eastAsia="Times New Roman" w:hAnsi="Arial" w:cs="Arial"/>
          <w:iCs/>
        </w:rPr>
        <w:t>et al</w:t>
      </w:r>
      <w:r w:rsidRPr="000E131B">
        <w:rPr>
          <w:rFonts w:ascii="Arial" w:eastAsia="Times New Roman" w:hAnsi="Arial" w:cs="Arial"/>
          <w:i/>
          <w:iCs/>
        </w:rPr>
        <w:t>.</w:t>
      </w:r>
      <w:r w:rsidRPr="000E131B">
        <w:rPr>
          <w:rFonts w:ascii="Arial" w:eastAsia="Times New Roman" w:hAnsi="Arial" w:cs="Arial"/>
        </w:rPr>
        <w:t xml:space="preserve"> (2023) examine Erikson’s final psychosocial stage by analysing the relationship between ego integrity, depressive symptoms and life satisfaction among adults aged 80 years and above. Using quantitative survey methods and structural equation modelling, the study found that stronger ego integrity was significantly associated with higher life satisfaction, while depressive symptoms partially mediated this relationship. The findings support Erikson’s theoretical claim that achieving a sense of coherence and acceptance in later life contributes to emotional wellbeing. Importantly, the research highlights the psychological vulnerability of the oldest-old population and emphasises the protective role of positive life evaluation processes (Kim </w:t>
      </w:r>
      <w:r w:rsidRPr="009C7623">
        <w:rPr>
          <w:rFonts w:ascii="Arial" w:eastAsia="Times New Roman" w:hAnsi="Arial" w:cs="Arial"/>
          <w:iCs/>
        </w:rPr>
        <w:t>et al</w:t>
      </w:r>
      <w:r w:rsidRPr="000E131B">
        <w:rPr>
          <w:rFonts w:ascii="Arial" w:eastAsia="Times New Roman" w:hAnsi="Arial" w:cs="Arial"/>
          <w:i/>
          <w:iCs/>
        </w:rPr>
        <w:t>.</w:t>
      </w:r>
      <w:r w:rsidRPr="000E131B">
        <w:rPr>
          <w:rFonts w:ascii="Arial" w:eastAsia="Times New Roman" w:hAnsi="Arial" w:cs="Arial"/>
        </w:rPr>
        <w:t>, 2023).</w:t>
      </w:r>
    </w:p>
    <w:p w14:paraId="4CBB404C"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This article is particularly valuable for health and social care professionals working in residential settings because it focuses on the oldest-old group, who are highly represented in care homes. The use of advanced statistical modelling strengthens the credibility of the findings. However, the cross-sectional design limits causal interpretation, and cultural context may influence generalisability to UK care environments. Nevertheless, the study provides strong evidence that supporting reminiscence, identity continuity and emotional processing can enhance wellbeing in later life, aligning closely with person-centred care approaches.</w:t>
      </w:r>
    </w:p>
    <w:p w14:paraId="469E73EF" w14:textId="77777777" w:rsidR="000E131B" w:rsidRPr="000E131B" w:rsidRDefault="00321C67" w:rsidP="000E131B">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Annotation 3:</w:t>
      </w:r>
      <w:r w:rsidR="000E131B" w:rsidRPr="000E131B">
        <w:rPr>
          <w:rFonts w:ascii="Arial" w:eastAsia="Times New Roman" w:hAnsi="Arial" w:cs="Arial"/>
          <w:b/>
          <w:bCs/>
        </w:rPr>
        <w:t xml:space="preserve"> Maslow’s Hierarchy of Needs</w:t>
      </w:r>
    </w:p>
    <w:p w14:paraId="47D266E0"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 xml:space="preserve">Lopez, R.P., Smith, M.L. and Chen, Y. (2024) ‘Psychological wellbeing and quality of life among older adults: A longitudinal analysis’, </w:t>
      </w:r>
      <w:r w:rsidRPr="000E131B">
        <w:rPr>
          <w:rFonts w:ascii="Arial" w:eastAsia="Times New Roman" w:hAnsi="Arial" w:cs="Arial"/>
          <w:b/>
          <w:bCs/>
          <w:i/>
          <w:iCs/>
        </w:rPr>
        <w:t>BMC Geriatrics</w:t>
      </w:r>
      <w:r w:rsidRPr="000E131B">
        <w:rPr>
          <w:rFonts w:ascii="Arial" w:eastAsia="Times New Roman" w:hAnsi="Arial" w:cs="Arial"/>
          <w:b/>
          <w:bCs/>
        </w:rPr>
        <w:t>, 24, 118.</w:t>
      </w:r>
    </w:p>
    <w:p w14:paraId="6DC16B0D"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 xml:space="preserve">Lopez </w:t>
      </w:r>
      <w:r w:rsidRPr="009C7623">
        <w:rPr>
          <w:rFonts w:ascii="Arial" w:eastAsia="Times New Roman" w:hAnsi="Arial" w:cs="Arial"/>
          <w:iCs/>
        </w:rPr>
        <w:t>et al.</w:t>
      </w:r>
      <w:r w:rsidRPr="000E131B">
        <w:rPr>
          <w:rFonts w:ascii="Arial" w:eastAsia="Times New Roman" w:hAnsi="Arial" w:cs="Arial"/>
        </w:rPr>
        <w:t xml:space="preserve"> (2024) explore the relationship between psychological wellbeing and quality of life in older adults using longitudinal data. Although not exclusively framed around Maslow’s hierarchy, the study aligns strongly with higher-order need fulfilment by examining factors such as purpose in life, personal growth and social connectedness. The authors report that older adults who experienced stronger fulfilment of psychosocial and self-development needs demonstrated significantly higher overall quality of life across time. The findings support Maslow’s proposition that wellbeing in later life extends beyond basic physical care to include belonging, esteem and self-actualisation needs (Lopez </w:t>
      </w:r>
      <w:r w:rsidRPr="009C7623">
        <w:rPr>
          <w:rFonts w:ascii="Arial" w:eastAsia="Times New Roman" w:hAnsi="Arial" w:cs="Arial"/>
          <w:iCs/>
        </w:rPr>
        <w:t>et al.</w:t>
      </w:r>
      <w:r w:rsidRPr="009C7623">
        <w:rPr>
          <w:rFonts w:ascii="Arial" w:eastAsia="Times New Roman" w:hAnsi="Arial" w:cs="Arial"/>
        </w:rPr>
        <w:t>,</w:t>
      </w:r>
      <w:r w:rsidRPr="000E131B">
        <w:rPr>
          <w:rFonts w:ascii="Arial" w:eastAsia="Times New Roman" w:hAnsi="Arial" w:cs="Arial"/>
        </w:rPr>
        <w:t xml:space="preserve"> 2024).</w:t>
      </w:r>
    </w:p>
    <w:p w14:paraId="3034BD19"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This article is highly relevant to health and social care practice because it reinforces the importance of holistic, person-centred care that moves beyond meeting only physiological and safety needs in residential settings. A key strength is the longitudinal design, which strengthens the evidence for sustained wellbeing effects. However, the study does not explicitly operationalise Maslow’s full hierarchy, which slightly limits theoretical precision. Despite this, the research provides strong contemporary evidence that addressing higher psychological needs is essential for improving older adults’ wellbeing in care environments.</w:t>
      </w:r>
    </w:p>
    <w:p w14:paraId="724726CB" w14:textId="77777777" w:rsidR="000E131B" w:rsidRPr="000E131B" w:rsidRDefault="00321C67" w:rsidP="000E131B">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Annotation 4:</w:t>
      </w:r>
      <w:r w:rsidR="000E131B" w:rsidRPr="000E131B">
        <w:rPr>
          <w:rFonts w:ascii="Arial" w:eastAsia="Times New Roman" w:hAnsi="Arial" w:cs="Arial"/>
          <w:b/>
          <w:bCs/>
        </w:rPr>
        <w:t xml:space="preserve"> Maslow’s Hierarchy of Needs</w:t>
      </w:r>
    </w:p>
    <w:p w14:paraId="2EA83B39"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 xml:space="preserve">Horgan, F., Manning, F., O’Neill, D. and O’Shea, E. (2024) ‘Promoting mental health and wellbeing in older adults: A public health framework’, </w:t>
      </w:r>
      <w:r w:rsidRPr="000E131B">
        <w:rPr>
          <w:rFonts w:ascii="Arial" w:eastAsia="Times New Roman" w:hAnsi="Arial" w:cs="Arial"/>
          <w:b/>
          <w:bCs/>
          <w:i/>
          <w:iCs/>
        </w:rPr>
        <w:t>International Journal of Environmental Research and Public Health</w:t>
      </w:r>
      <w:r w:rsidRPr="000E131B">
        <w:rPr>
          <w:rFonts w:ascii="Arial" w:eastAsia="Times New Roman" w:hAnsi="Arial" w:cs="Arial"/>
          <w:b/>
          <w:bCs/>
        </w:rPr>
        <w:t>, 21(6), 664.</w:t>
      </w:r>
    </w:p>
    <w:p w14:paraId="06F4CEC1"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 xml:space="preserve">Horgan </w:t>
      </w:r>
      <w:r w:rsidRPr="009C7623">
        <w:rPr>
          <w:rFonts w:ascii="Arial" w:eastAsia="Times New Roman" w:hAnsi="Arial" w:cs="Arial"/>
          <w:iCs/>
        </w:rPr>
        <w:t>et al</w:t>
      </w:r>
      <w:r w:rsidRPr="000E131B">
        <w:rPr>
          <w:rFonts w:ascii="Arial" w:eastAsia="Times New Roman" w:hAnsi="Arial" w:cs="Arial"/>
          <w:i/>
          <w:iCs/>
        </w:rPr>
        <w:t>.</w:t>
      </w:r>
      <w:r w:rsidRPr="000E131B">
        <w:rPr>
          <w:rFonts w:ascii="Arial" w:eastAsia="Times New Roman" w:hAnsi="Arial" w:cs="Arial"/>
        </w:rPr>
        <w:t xml:space="preserve"> (2024) present a public health framework for improving mental health and wellbeing among older adults, with emphasis on social participation, autonomy, environmental support and access to meaningful activity. While Maslow’s hierarchy is not explicitly named, the framework closely reflects a needs-based progression consistent with Maslow’s model, particularly regarding belongingness, esteem and self-actualisation. The authors argue that wellbeing in later life is maximised when care systems move beyond risk management towards enabling purpose, connection and personal fulfilment. Their analysis highlights the multidimensional nature of wellbeing in ageing populations (Horgan </w:t>
      </w:r>
      <w:r w:rsidRPr="009C7623">
        <w:rPr>
          <w:rFonts w:ascii="Arial" w:eastAsia="Times New Roman" w:hAnsi="Arial" w:cs="Arial"/>
          <w:iCs/>
        </w:rPr>
        <w:t>et al.</w:t>
      </w:r>
      <w:r w:rsidRPr="009C7623">
        <w:rPr>
          <w:rFonts w:ascii="Arial" w:eastAsia="Times New Roman" w:hAnsi="Arial" w:cs="Arial"/>
        </w:rPr>
        <w:t>,</w:t>
      </w:r>
      <w:r w:rsidRPr="000E131B">
        <w:rPr>
          <w:rFonts w:ascii="Arial" w:eastAsia="Times New Roman" w:hAnsi="Arial" w:cs="Arial"/>
        </w:rPr>
        <w:t xml:space="preserve"> 2024).</w:t>
      </w:r>
    </w:p>
    <w:p w14:paraId="78AC7BCE"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This article is highly applicable to residential care practice because it translates psychological theory into system-level recommendations, including community engagement, supportive environments and empowerment-focused care. A major strength is its clear practice orientation and multidisciplinary perspective. However, the broad public health focus means that specific implementation guidance for individual care homes is somewhat limited. Nevertheless, the study provides strong contemporary support for Maslow-informed, holistic care approaches that prioritise higher-order psychological needs in older adults.</w:t>
      </w:r>
    </w:p>
    <w:p w14:paraId="0C1688CC" w14:textId="77777777" w:rsidR="000E131B" w:rsidRDefault="000E131B" w:rsidP="000E131B">
      <w:pPr>
        <w:spacing w:before="100" w:beforeAutospacing="1" w:after="100" w:afterAutospacing="1" w:line="360" w:lineRule="auto"/>
        <w:jc w:val="both"/>
        <w:outlineLvl w:val="0"/>
        <w:rPr>
          <w:rFonts w:ascii="Arial" w:eastAsia="Times New Roman" w:hAnsi="Arial" w:cs="Arial"/>
          <w:b/>
          <w:bCs/>
          <w:kern w:val="36"/>
        </w:rPr>
      </w:pPr>
    </w:p>
    <w:p w14:paraId="578AB06E" w14:textId="77777777" w:rsidR="000E131B" w:rsidRPr="000E131B" w:rsidRDefault="000E131B" w:rsidP="000E131B">
      <w:pPr>
        <w:spacing w:before="100" w:beforeAutospacing="1" w:after="100" w:afterAutospacing="1" w:line="360" w:lineRule="auto"/>
        <w:jc w:val="both"/>
        <w:outlineLvl w:val="0"/>
        <w:rPr>
          <w:rFonts w:ascii="Arial" w:eastAsia="Times New Roman" w:hAnsi="Arial" w:cs="Arial"/>
          <w:b/>
          <w:bCs/>
          <w:kern w:val="36"/>
        </w:rPr>
      </w:pPr>
      <w:r w:rsidRPr="000E131B">
        <w:rPr>
          <w:rFonts w:ascii="Arial" w:eastAsia="Times New Roman" w:hAnsi="Arial" w:cs="Arial"/>
          <w:b/>
          <w:bCs/>
          <w:kern w:val="36"/>
        </w:rPr>
        <w:t>Part B: Application of Maslow’s Hierarchy of Needs to Improve Psychological Wellbeing in Residential Care</w:t>
      </w:r>
    </w:p>
    <w:p w14:paraId="7E9F603F" w14:textId="77777777" w:rsidR="000E131B" w:rsidRPr="000E131B" w:rsidRDefault="000E131B" w:rsidP="000E131B">
      <w:pPr>
        <w:tabs>
          <w:tab w:val="left" w:pos="2220"/>
        </w:tabs>
        <w:spacing w:before="100" w:beforeAutospacing="1" w:after="100" w:afterAutospacing="1" w:line="360" w:lineRule="auto"/>
        <w:jc w:val="both"/>
        <w:outlineLvl w:val="2"/>
        <w:rPr>
          <w:rFonts w:ascii="Arial" w:eastAsia="Times New Roman" w:hAnsi="Arial" w:cs="Arial"/>
          <w:b/>
          <w:bCs/>
        </w:rPr>
      </w:pPr>
      <w:r w:rsidRPr="000E131B">
        <w:rPr>
          <w:rFonts w:ascii="Arial" w:eastAsia="Times New Roman" w:hAnsi="Arial" w:cs="Arial"/>
          <w:b/>
          <w:bCs/>
        </w:rPr>
        <w:t>1. Introduction</w:t>
      </w:r>
      <w:r w:rsidRPr="000E131B">
        <w:rPr>
          <w:rFonts w:ascii="Arial" w:eastAsia="Times New Roman" w:hAnsi="Arial" w:cs="Arial"/>
          <w:b/>
          <w:bCs/>
        </w:rPr>
        <w:tab/>
      </w:r>
    </w:p>
    <w:p w14:paraId="433C4D7E" w14:textId="77777777" w:rsid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Promoting psychological wellbeing among older adults living in residential care is a key responsibility for health and social care professionals. Ageing often brings changes in health, independence, and social roles, which can negatively impact emotional wellbeing and overall quality of life (Zhang et al., 2022). Maslow’s Hierarchy of Needs provides a framework for understanding human motivation, emphasising that wellbeing depends on fulfilling a sequence of needs: physiological, safety, belonging, esteem, and self-actualisation. Contemporary research continues to demonstrate its practical value for structuring holistic, person-centred care interventions (Gedik, 2025). This report explains how Maslow’s theory can be applied in residential care, illustrates its use through a case example, and discusses an implementation challenge with a strategy to address it.</w:t>
      </w:r>
    </w:p>
    <w:p w14:paraId="7B75B74E" w14:textId="77777777" w:rsidR="000E131B" w:rsidRPr="000E131B" w:rsidRDefault="000E131B" w:rsidP="00F340DB">
      <w:pPr>
        <w:spacing w:before="100" w:beforeAutospacing="1" w:after="100" w:afterAutospacing="1" w:line="360" w:lineRule="auto"/>
        <w:ind w:left="720"/>
        <w:jc w:val="both"/>
        <w:rPr>
          <w:rFonts w:ascii="Arial" w:eastAsia="Times New Roman" w:hAnsi="Arial" w:cs="Arial"/>
        </w:rPr>
      </w:pPr>
      <w:r w:rsidRPr="000E131B">
        <w:rPr>
          <w:rFonts w:ascii="Arial" w:eastAsia="Times New Roman" w:hAnsi="Arial" w:cs="Arial"/>
          <w:noProof/>
        </w:rPr>
        <w:drawing>
          <wp:inline distT="0" distB="0" distL="0" distR="0" wp14:anchorId="325B9E46" wp14:editId="7FD3C429">
            <wp:extent cx="4260850" cy="2298700"/>
            <wp:effectExtent l="0" t="0" r="6350" b="6350"/>
            <wp:docPr id="1" name="Picture 1" descr="How Maslow's Hierarchy of Needs Explains Human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ow Maslow's Hierarchy of Needs Explains Human Motiv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60850" cy="2298700"/>
                    </a:xfrm>
                    <a:prstGeom prst="rect">
                      <a:avLst/>
                    </a:prstGeom>
                    <a:noFill/>
                    <a:ln>
                      <a:noFill/>
                    </a:ln>
                  </pic:spPr>
                </pic:pic>
              </a:graphicData>
            </a:graphic>
          </wp:inline>
        </w:drawing>
      </w:r>
    </w:p>
    <w:p w14:paraId="6E06380C" w14:textId="77777777" w:rsidR="000E131B" w:rsidRDefault="000E131B" w:rsidP="000E131B">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(Cherry, 2025)</w:t>
      </w:r>
    </w:p>
    <w:p w14:paraId="7FA12934" w14:textId="77777777" w:rsidR="000E131B" w:rsidRDefault="000E131B" w:rsidP="000E131B">
      <w:pPr>
        <w:spacing w:before="100" w:beforeAutospacing="1" w:after="100" w:afterAutospacing="1" w:line="360" w:lineRule="auto"/>
        <w:jc w:val="both"/>
        <w:outlineLvl w:val="2"/>
        <w:rPr>
          <w:rFonts w:ascii="Arial" w:eastAsia="Times New Roman" w:hAnsi="Arial" w:cs="Arial"/>
          <w:b/>
          <w:bCs/>
        </w:rPr>
      </w:pPr>
      <w:r w:rsidRPr="000E131B">
        <w:rPr>
          <w:rFonts w:ascii="Arial" w:eastAsia="Times New Roman" w:hAnsi="Arial" w:cs="Arial"/>
          <w:b/>
          <w:bCs/>
        </w:rPr>
        <w:t>2. Application of Maslow’s Hierarchy in Residential Care</w:t>
      </w:r>
    </w:p>
    <w:p w14:paraId="64B6B20A" w14:textId="77777777" w:rsidR="00F340DB" w:rsidRPr="00F340DB" w:rsidRDefault="00F340DB" w:rsidP="00F340DB">
      <w:pPr>
        <w:pStyle w:val="NormalWeb"/>
        <w:spacing w:line="360" w:lineRule="auto"/>
        <w:jc w:val="both"/>
        <w:rPr>
          <w:rFonts w:ascii="Arial" w:hAnsi="Arial" w:cs="Arial"/>
          <w:sz w:val="22"/>
          <w:szCs w:val="22"/>
        </w:rPr>
      </w:pPr>
      <w:r w:rsidRPr="00F340DB">
        <w:rPr>
          <w:rFonts w:ascii="Arial" w:hAnsi="Arial" w:cs="Arial"/>
          <w:sz w:val="22"/>
          <w:szCs w:val="22"/>
        </w:rPr>
        <w:t>Maslow’s theory proposes that human wellbeing depends on the progressive fulfilment of physiological, safety, belonging, esteem and self-actualisation needs. In older adult care, this framework supports holistic assessment beyond purely medical needs.</w:t>
      </w:r>
    </w:p>
    <w:p w14:paraId="4FD9171A" w14:textId="77777777" w:rsidR="00F340DB" w:rsidRPr="00F340DB" w:rsidRDefault="00F340DB" w:rsidP="00F340DB">
      <w:pPr>
        <w:pStyle w:val="NormalWeb"/>
        <w:spacing w:line="360" w:lineRule="auto"/>
        <w:jc w:val="both"/>
        <w:rPr>
          <w:rFonts w:ascii="Arial" w:hAnsi="Arial" w:cs="Arial"/>
          <w:sz w:val="22"/>
          <w:szCs w:val="22"/>
        </w:rPr>
      </w:pPr>
      <w:r w:rsidRPr="00F340DB">
        <w:rPr>
          <w:rFonts w:ascii="Arial" w:hAnsi="Arial" w:cs="Arial"/>
          <w:sz w:val="22"/>
          <w:szCs w:val="22"/>
        </w:rPr>
        <w:t>Recent evidence indicates that care quality in long-term facilities improves when services are structured around Maslow’s need levels. For example, Zhang et al. (2022) developed comprehensive quality indicators for older adults in long-term care based explicitly on Maslow’s hierarchy, demonstrating that addressing multi-level needs supports person-centred outcomes. Their findings emphasise that phys</w:t>
      </w:r>
      <w:r w:rsidR="009C7623">
        <w:rPr>
          <w:rFonts w:ascii="Arial" w:hAnsi="Arial" w:cs="Arial"/>
          <w:sz w:val="22"/>
          <w:szCs w:val="22"/>
        </w:rPr>
        <w:t>ical care alone is insufficient,</w:t>
      </w:r>
      <w:r w:rsidRPr="00F340DB">
        <w:rPr>
          <w:rFonts w:ascii="Arial" w:hAnsi="Arial" w:cs="Arial"/>
          <w:sz w:val="22"/>
          <w:szCs w:val="22"/>
        </w:rPr>
        <w:t xml:space="preserve"> psychological and social needs must also be systematically met. </w:t>
      </w:r>
    </w:p>
    <w:p w14:paraId="565828BF" w14:textId="77777777" w:rsidR="00F340DB" w:rsidRPr="00321C67" w:rsidRDefault="00F340DB" w:rsidP="00F340DB">
      <w:pPr>
        <w:pStyle w:val="NormalWeb"/>
        <w:spacing w:line="360" w:lineRule="auto"/>
        <w:jc w:val="both"/>
        <w:rPr>
          <w:rFonts w:ascii="Arial" w:hAnsi="Arial" w:cs="Arial"/>
          <w:sz w:val="22"/>
          <w:szCs w:val="22"/>
        </w:rPr>
      </w:pPr>
      <w:r w:rsidRPr="00F340DB">
        <w:rPr>
          <w:rFonts w:ascii="Arial" w:hAnsi="Arial" w:cs="Arial"/>
          <w:sz w:val="22"/>
          <w:szCs w:val="22"/>
        </w:rPr>
        <w:t xml:space="preserve">At the </w:t>
      </w:r>
      <w:r w:rsidRPr="00321C67">
        <w:rPr>
          <w:rStyle w:val="Strong"/>
          <w:rFonts w:ascii="Arial" w:hAnsi="Arial" w:cs="Arial"/>
          <w:b w:val="0"/>
          <w:sz w:val="22"/>
          <w:szCs w:val="22"/>
        </w:rPr>
        <w:t>physiological and safety levels</w:t>
      </w:r>
      <w:r w:rsidRPr="00321C67">
        <w:rPr>
          <w:rFonts w:ascii="Arial" w:hAnsi="Arial" w:cs="Arial"/>
          <w:sz w:val="22"/>
          <w:szCs w:val="22"/>
        </w:rPr>
        <w:t>, residential homes must ensure adequate nutrition, pain management, medication safety and fall prevention. These foundational needs underpin emotional stability and reduce distress.</w:t>
      </w:r>
    </w:p>
    <w:p w14:paraId="0F1FFB3C" w14:textId="77777777" w:rsidR="00F340DB" w:rsidRPr="00321C67" w:rsidRDefault="00F340DB" w:rsidP="00F340DB">
      <w:pPr>
        <w:pStyle w:val="NormalWeb"/>
        <w:spacing w:line="360" w:lineRule="auto"/>
        <w:jc w:val="both"/>
        <w:rPr>
          <w:rFonts w:ascii="Arial" w:hAnsi="Arial" w:cs="Arial"/>
          <w:sz w:val="22"/>
          <w:szCs w:val="22"/>
        </w:rPr>
      </w:pPr>
      <w:r w:rsidRPr="00321C67">
        <w:rPr>
          <w:rFonts w:ascii="Arial" w:hAnsi="Arial" w:cs="Arial"/>
          <w:sz w:val="22"/>
          <w:szCs w:val="22"/>
        </w:rPr>
        <w:t xml:space="preserve">At the </w:t>
      </w:r>
      <w:r w:rsidRPr="00321C67">
        <w:rPr>
          <w:rStyle w:val="Strong"/>
          <w:rFonts w:ascii="Arial" w:hAnsi="Arial" w:cs="Arial"/>
          <w:b w:val="0"/>
          <w:sz w:val="22"/>
          <w:szCs w:val="22"/>
        </w:rPr>
        <w:t>love and belonging level</w:t>
      </w:r>
      <w:r w:rsidRPr="00321C67">
        <w:rPr>
          <w:rFonts w:ascii="Arial" w:hAnsi="Arial" w:cs="Arial"/>
          <w:sz w:val="22"/>
          <w:szCs w:val="22"/>
        </w:rPr>
        <w:t>, social connectedness becomes critical. Gedik (2025) found that support services guided by Maslow’s framework significantly enhanced both physical and psychological wellbeing among older adults by strengthening social relationships and emotional support systems. This highlights the importance of structured social activities, family involvement and meaningful staff–resident relationships.</w:t>
      </w:r>
    </w:p>
    <w:p w14:paraId="58F5EA16" w14:textId="77777777" w:rsidR="00F340DB" w:rsidRPr="00F340DB" w:rsidRDefault="00F340DB" w:rsidP="00F340DB">
      <w:pPr>
        <w:pStyle w:val="NormalWeb"/>
        <w:spacing w:line="360" w:lineRule="auto"/>
        <w:jc w:val="both"/>
        <w:rPr>
          <w:rFonts w:ascii="Arial" w:hAnsi="Arial" w:cs="Arial"/>
          <w:sz w:val="22"/>
          <w:szCs w:val="22"/>
        </w:rPr>
      </w:pPr>
      <w:r w:rsidRPr="00321C67">
        <w:rPr>
          <w:rFonts w:ascii="Arial" w:hAnsi="Arial" w:cs="Arial"/>
          <w:sz w:val="22"/>
          <w:szCs w:val="22"/>
        </w:rPr>
        <w:t xml:space="preserve">Higher-level needs </w:t>
      </w:r>
      <w:r w:rsidRPr="00321C67">
        <w:rPr>
          <w:rStyle w:val="Strong"/>
          <w:rFonts w:ascii="Arial" w:hAnsi="Arial" w:cs="Arial"/>
          <w:b w:val="0"/>
          <w:sz w:val="22"/>
          <w:szCs w:val="22"/>
        </w:rPr>
        <w:t>esteem and self-actualisation</w:t>
      </w:r>
      <w:r>
        <w:rPr>
          <w:rFonts w:ascii="Arial" w:hAnsi="Arial" w:cs="Arial"/>
          <w:sz w:val="22"/>
          <w:szCs w:val="22"/>
        </w:rPr>
        <w:t xml:space="preserve"> </w:t>
      </w:r>
      <w:r w:rsidRPr="00F340DB">
        <w:rPr>
          <w:rFonts w:ascii="Arial" w:hAnsi="Arial" w:cs="Arial"/>
          <w:sz w:val="22"/>
          <w:szCs w:val="22"/>
        </w:rPr>
        <w:t>are often neglected in institutional settings. However, Erdoğan and Mersin (2025) reported that greater satisfaction of Maslow-based needs was significantly associated with reduced loneliness and higher life satisfaction among older adults. This suggests that enabling autonomy, choice and purposeful activity is essential for psychological wellbeing in residential care.</w:t>
      </w:r>
    </w:p>
    <w:p w14:paraId="6D223E28" w14:textId="77777777" w:rsidR="000E131B" w:rsidRPr="000E131B" w:rsidRDefault="000E131B" w:rsidP="00F340DB">
      <w:pPr>
        <w:tabs>
          <w:tab w:val="center" w:pos="4680"/>
        </w:tabs>
        <w:spacing w:before="100" w:beforeAutospacing="1" w:after="100" w:afterAutospacing="1" w:line="360" w:lineRule="auto"/>
        <w:jc w:val="both"/>
        <w:outlineLvl w:val="2"/>
        <w:rPr>
          <w:rFonts w:ascii="Arial" w:eastAsia="Times New Roman" w:hAnsi="Arial" w:cs="Arial"/>
          <w:b/>
          <w:bCs/>
        </w:rPr>
      </w:pPr>
      <w:r w:rsidRPr="000E131B">
        <w:rPr>
          <w:rFonts w:ascii="Arial" w:eastAsia="Times New Roman" w:hAnsi="Arial" w:cs="Arial"/>
          <w:b/>
          <w:bCs/>
        </w:rPr>
        <w:t>3. Case Scenario</w:t>
      </w:r>
      <w:r w:rsidR="00F340DB">
        <w:rPr>
          <w:rFonts w:ascii="Arial" w:eastAsia="Times New Roman" w:hAnsi="Arial" w:cs="Arial"/>
          <w:b/>
          <w:bCs/>
        </w:rPr>
        <w:tab/>
      </w:r>
    </w:p>
    <w:p w14:paraId="55B78183" w14:textId="77777777" w:rsidR="000E131B" w:rsidRPr="000E131B" w:rsidRDefault="009C7623" w:rsidP="000E131B">
      <w:pPr>
        <w:spacing w:before="100" w:beforeAutospacing="1" w:after="100" w:afterAutospacing="1" w:line="360" w:lineRule="auto"/>
        <w:jc w:val="both"/>
        <w:rPr>
          <w:rFonts w:ascii="Arial" w:eastAsia="Times New Roman" w:hAnsi="Arial" w:cs="Arial"/>
        </w:rPr>
      </w:pPr>
      <w:r>
        <w:rPr>
          <w:rFonts w:ascii="Arial" w:eastAsia="Times New Roman" w:hAnsi="Arial" w:cs="Arial"/>
        </w:rPr>
        <w:t xml:space="preserve">Mrs Ahmed, </w:t>
      </w:r>
      <w:r w:rsidR="000E131B" w:rsidRPr="000E131B">
        <w:rPr>
          <w:rFonts w:ascii="Arial" w:eastAsia="Times New Roman" w:hAnsi="Arial" w:cs="Arial"/>
        </w:rPr>
        <w:t>82-year-old care home resident, displayed withdrawal and low mood despite her physical needs being met. Using Maslow’s framework, staff conducted a needs assessment:</w:t>
      </w:r>
    </w:p>
    <w:p w14:paraId="7BF05787" w14:textId="77777777" w:rsidR="000E131B" w:rsidRPr="000E131B" w:rsidRDefault="000E131B" w:rsidP="000E131B">
      <w:pPr>
        <w:numPr>
          <w:ilvl w:val="0"/>
          <w:numId w:val="1"/>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Physiological needs:</w:t>
      </w:r>
      <w:r w:rsidRPr="000E131B">
        <w:rPr>
          <w:rFonts w:ascii="Arial" w:eastAsia="Times New Roman" w:hAnsi="Arial" w:cs="Arial"/>
        </w:rPr>
        <w:t xml:space="preserve"> Adjusted her meals to accommodate dental issues.</w:t>
      </w:r>
    </w:p>
    <w:p w14:paraId="4E5AC72F" w14:textId="77777777" w:rsidR="000E131B" w:rsidRPr="000E131B" w:rsidRDefault="000E131B" w:rsidP="000E131B">
      <w:pPr>
        <w:numPr>
          <w:ilvl w:val="0"/>
          <w:numId w:val="1"/>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Safety needs:</w:t>
      </w:r>
      <w:r w:rsidRPr="000E131B">
        <w:rPr>
          <w:rFonts w:ascii="Arial" w:eastAsia="Times New Roman" w:hAnsi="Arial" w:cs="Arial"/>
        </w:rPr>
        <w:t xml:space="preserve"> Provided physiotherapy and environmental adaptations to reduce fall risk.</w:t>
      </w:r>
    </w:p>
    <w:p w14:paraId="0B983A8E" w14:textId="77777777" w:rsidR="000E131B" w:rsidRPr="000E131B" w:rsidRDefault="000E131B" w:rsidP="000E131B">
      <w:pPr>
        <w:numPr>
          <w:ilvl w:val="0"/>
          <w:numId w:val="1"/>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Belonging needs:</w:t>
      </w:r>
      <w:r w:rsidRPr="000E131B">
        <w:rPr>
          <w:rFonts w:ascii="Arial" w:eastAsia="Times New Roman" w:hAnsi="Arial" w:cs="Arial"/>
        </w:rPr>
        <w:t xml:space="preserve"> Introduced her to a peer social group and facilitated weekly video calls with family.</w:t>
      </w:r>
    </w:p>
    <w:p w14:paraId="6A0B2350" w14:textId="77777777" w:rsidR="000E131B" w:rsidRPr="000E131B" w:rsidRDefault="000E131B" w:rsidP="000E131B">
      <w:pPr>
        <w:numPr>
          <w:ilvl w:val="0"/>
          <w:numId w:val="1"/>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Esteem needs:</w:t>
      </w:r>
      <w:r w:rsidRPr="000E131B">
        <w:rPr>
          <w:rFonts w:ascii="Arial" w:eastAsia="Times New Roman" w:hAnsi="Arial" w:cs="Arial"/>
        </w:rPr>
        <w:t xml:space="preserve"> Invited her to lead a reading group, reflecting her prior teaching career.</w:t>
      </w:r>
    </w:p>
    <w:p w14:paraId="4856AA13" w14:textId="77777777" w:rsidR="000E131B" w:rsidRPr="000E131B" w:rsidRDefault="000E131B" w:rsidP="000E131B">
      <w:pPr>
        <w:numPr>
          <w:ilvl w:val="0"/>
          <w:numId w:val="1"/>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b/>
          <w:bCs/>
        </w:rPr>
        <w:t>Self-actualisation:</w:t>
      </w:r>
      <w:r w:rsidRPr="000E131B">
        <w:rPr>
          <w:rFonts w:ascii="Arial" w:eastAsia="Times New Roman" w:hAnsi="Arial" w:cs="Arial"/>
        </w:rPr>
        <w:t xml:space="preserve"> Supported participation in a poetry-writing programme.</w:t>
      </w:r>
    </w:p>
    <w:p w14:paraId="3FC777F7"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Over three months, Mrs Ahmed demonstrated improved mood, engagement, and relationships, illustrating how systematically addressing hierarchical needs enhances psychological wellbeing.</w:t>
      </w:r>
    </w:p>
    <w:p w14:paraId="62520922" w14:textId="77777777" w:rsidR="000E131B" w:rsidRPr="000E131B" w:rsidRDefault="000E131B" w:rsidP="000E131B">
      <w:pPr>
        <w:spacing w:before="100" w:beforeAutospacing="1" w:after="100" w:afterAutospacing="1" w:line="360" w:lineRule="auto"/>
        <w:jc w:val="both"/>
        <w:outlineLvl w:val="2"/>
        <w:rPr>
          <w:rFonts w:ascii="Arial" w:eastAsia="Times New Roman" w:hAnsi="Arial" w:cs="Arial"/>
          <w:b/>
          <w:bCs/>
        </w:rPr>
      </w:pPr>
      <w:r w:rsidRPr="000E131B">
        <w:rPr>
          <w:rFonts w:ascii="Arial" w:eastAsia="Times New Roman" w:hAnsi="Arial" w:cs="Arial"/>
          <w:b/>
          <w:bCs/>
        </w:rPr>
        <w:t>4. Implementation Challenge</w:t>
      </w:r>
    </w:p>
    <w:p w14:paraId="0035455B"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 xml:space="preserve">One common challenge in applying Maslow’s framework is </w:t>
      </w:r>
      <w:r w:rsidRPr="000E131B">
        <w:rPr>
          <w:rFonts w:ascii="Arial" w:eastAsia="Times New Roman" w:hAnsi="Arial" w:cs="Arial"/>
          <w:bCs/>
        </w:rPr>
        <w:t>staffing and time constraints</w:t>
      </w:r>
      <w:r w:rsidRPr="000E131B">
        <w:rPr>
          <w:rFonts w:ascii="Arial" w:eastAsia="Times New Roman" w:hAnsi="Arial" w:cs="Arial"/>
        </w:rPr>
        <w:t xml:space="preserve">, which often result in prioritising physical care over psychosocial needs. Routine-focused practices may limit the time available for social interaction, autonomy support, or personalised activity facilitation (Zhang et al., 2022). Another challenge is the </w:t>
      </w:r>
      <w:r w:rsidR="009C7623">
        <w:rPr>
          <w:rFonts w:ascii="Arial" w:eastAsia="Times New Roman" w:hAnsi="Arial" w:cs="Arial"/>
          <w:bCs/>
        </w:rPr>
        <w:t>variation in individual needs,</w:t>
      </w:r>
      <w:r w:rsidRPr="000E131B">
        <w:rPr>
          <w:rFonts w:ascii="Arial" w:eastAsia="Times New Roman" w:hAnsi="Arial" w:cs="Arial"/>
        </w:rPr>
        <w:t xml:space="preserve"> older adults may prioritise belonging or esteem needs even if some lower-level needs are not fully met (Erdoğan and Mersin, 2025).</w:t>
      </w:r>
    </w:p>
    <w:p w14:paraId="16B26C08" w14:textId="77777777" w:rsidR="000E131B" w:rsidRPr="000E131B" w:rsidRDefault="000E131B" w:rsidP="000E131B">
      <w:pPr>
        <w:spacing w:before="100" w:beforeAutospacing="1" w:after="100" w:afterAutospacing="1" w:line="360" w:lineRule="auto"/>
        <w:jc w:val="both"/>
        <w:outlineLvl w:val="2"/>
        <w:rPr>
          <w:rFonts w:ascii="Arial" w:eastAsia="Times New Roman" w:hAnsi="Arial" w:cs="Arial"/>
          <w:b/>
          <w:bCs/>
        </w:rPr>
      </w:pPr>
      <w:r w:rsidRPr="000E131B">
        <w:rPr>
          <w:rFonts w:ascii="Arial" w:eastAsia="Times New Roman" w:hAnsi="Arial" w:cs="Arial"/>
          <w:b/>
          <w:bCs/>
        </w:rPr>
        <w:t>5. Strategy to Overcome the Challenge</w:t>
      </w:r>
    </w:p>
    <w:p w14:paraId="55E73CAF"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 xml:space="preserve">A practical solution involves integrating </w:t>
      </w:r>
      <w:r w:rsidRPr="000E131B">
        <w:rPr>
          <w:rFonts w:ascii="Arial" w:eastAsia="Times New Roman" w:hAnsi="Arial" w:cs="Arial"/>
          <w:bCs/>
        </w:rPr>
        <w:t>structured person-centred care planning</w:t>
      </w:r>
      <w:r w:rsidRPr="000E131B">
        <w:rPr>
          <w:rFonts w:ascii="Arial" w:eastAsia="Times New Roman" w:hAnsi="Arial" w:cs="Arial"/>
        </w:rPr>
        <w:t xml:space="preserve"> aligned with Maslow’s hierarchy. Actions include:</w:t>
      </w:r>
    </w:p>
    <w:p w14:paraId="230FDC40" w14:textId="77777777" w:rsidR="000E131B" w:rsidRPr="000E131B" w:rsidRDefault="000E131B" w:rsidP="000E131B">
      <w:pPr>
        <w:numPr>
          <w:ilvl w:val="0"/>
          <w:numId w:val="2"/>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Mapping resident needs across all hierarchical levels using assessment tools.</w:t>
      </w:r>
    </w:p>
    <w:p w14:paraId="328144AA" w14:textId="77777777" w:rsidR="000E131B" w:rsidRPr="000E131B" w:rsidRDefault="000E131B" w:rsidP="000E131B">
      <w:pPr>
        <w:numPr>
          <w:ilvl w:val="0"/>
          <w:numId w:val="2"/>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Incorporating social, emotional, and activity goals into care plans.</w:t>
      </w:r>
    </w:p>
    <w:p w14:paraId="2433F731" w14:textId="77777777" w:rsidR="000E131B" w:rsidRPr="000E131B" w:rsidRDefault="000E131B" w:rsidP="000E131B">
      <w:pPr>
        <w:numPr>
          <w:ilvl w:val="0"/>
          <w:numId w:val="2"/>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Staff training on psychosocial care and person-centred interventions.</w:t>
      </w:r>
    </w:p>
    <w:p w14:paraId="789EC693" w14:textId="77777777" w:rsidR="000E131B" w:rsidRPr="000E131B" w:rsidRDefault="000E131B" w:rsidP="000E131B">
      <w:pPr>
        <w:numPr>
          <w:ilvl w:val="0"/>
          <w:numId w:val="2"/>
        </w:num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Team-based implementation to share responsibility for social and creative activities.</w:t>
      </w:r>
    </w:p>
    <w:p w14:paraId="7E34E2F2" w14:textId="77777777" w:rsidR="000E131B" w:rsidRPr="000E131B" w:rsidRDefault="000E131B" w:rsidP="000E131B">
      <w:pPr>
        <w:spacing w:before="100" w:beforeAutospacing="1" w:after="100" w:afterAutospacing="1" w:line="360" w:lineRule="auto"/>
        <w:jc w:val="both"/>
        <w:rPr>
          <w:rFonts w:ascii="Arial" w:eastAsia="Times New Roman" w:hAnsi="Arial" w:cs="Arial"/>
        </w:rPr>
      </w:pPr>
      <w:r w:rsidRPr="000E131B">
        <w:rPr>
          <w:rFonts w:ascii="Arial" w:eastAsia="Times New Roman" w:hAnsi="Arial" w:cs="Arial"/>
        </w:rPr>
        <w:t>These measures allow care teams to address higher-level needs without compromising physical care. Even small initiatives, such as resident choice in daily routines or group activity facilitation, can meaningfully improve belonging, esteem, and self-actualisation outcomes (Gedik, 2025).</w:t>
      </w:r>
    </w:p>
    <w:p w14:paraId="4DF34D2F" w14:textId="77777777" w:rsidR="00ED302F" w:rsidRPr="000E131B" w:rsidRDefault="000E131B" w:rsidP="000E131B">
      <w:pPr>
        <w:spacing w:line="360" w:lineRule="auto"/>
        <w:jc w:val="both"/>
        <w:rPr>
          <w:rFonts w:ascii="Arial" w:hAnsi="Arial" w:cs="Arial"/>
          <w:b/>
        </w:rPr>
      </w:pPr>
      <w:r w:rsidRPr="000E131B">
        <w:rPr>
          <w:rFonts w:ascii="Arial" w:hAnsi="Arial" w:cs="Arial"/>
          <w:b/>
        </w:rPr>
        <w:t>Conclusion</w:t>
      </w:r>
    </w:p>
    <w:p w14:paraId="09E4D3E0" w14:textId="77777777" w:rsidR="000E131B" w:rsidRDefault="000E131B" w:rsidP="000E131B">
      <w:pPr>
        <w:spacing w:line="360" w:lineRule="auto"/>
        <w:jc w:val="both"/>
        <w:rPr>
          <w:rFonts w:ascii="Arial" w:hAnsi="Arial" w:cs="Arial"/>
        </w:rPr>
      </w:pPr>
      <w:r w:rsidRPr="000E131B">
        <w:rPr>
          <w:rFonts w:ascii="Arial" w:hAnsi="Arial" w:cs="Arial"/>
        </w:rPr>
        <w:t>Maslow’s Hierarchy of Needs offers a practical framework for enhancing wellbeing in residential care. Beyond physiological and safety needs, addressing belonging, esteem, and self-actualisation improves mood, engagement, and life satisfaction. With structured care planning and staff training, Maslow-informed interventions can be effectively implemented despite staffing and individual variability.</w:t>
      </w:r>
    </w:p>
    <w:p w14:paraId="2AA0FD03" w14:textId="77777777" w:rsidR="000E131B" w:rsidRDefault="000E131B" w:rsidP="000E131B">
      <w:pPr>
        <w:spacing w:line="360" w:lineRule="auto"/>
        <w:jc w:val="both"/>
        <w:rPr>
          <w:rFonts w:ascii="Arial" w:hAnsi="Arial" w:cs="Arial"/>
        </w:rPr>
      </w:pPr>
    </w:p>
    <w:p w14:paraId="7D171E40" w14:textId="77777777" w:rsidR="000E131B" w:rsidRDefault="000E131B" w:rsidP="000E131B">
      <w:pPr>
        <w:spacing w:line="360" w:lineRule="auto"/>
        <w:jc w:val="both"/>
        <w:rPr>
          <w:rFonts w:ascii="Arial" w:hAnsi="Arial" w:cs="Arial"/>
        </w:rPr>
      </w:pPr>
    </w:p>
    <w:p w14:paraId="7AF065FF" w14:textId="77777777" w:rsidR="000E131B" w:rsidRDefault="000E131B" w:rsidP="000E131B">
      <w:pPr>
        <w:spacing w:line="360" w:lineRule="auto"/>
        <w:jc w:val="both"/>
        <w:rPr>
          <w:rFonts w:ascii="Arial" w:hAnsi="Arial" w:cs="Arial"/>
          <w:b/>
        </w:rPr>
      </w:pPr>
      <w:r w:rsidRPr="000E131B">
        <w:rPr>
          <w:rFonts w:ascii="Arial" w:hAnsi="Arial" w:cs="Arial"/>
          <w:b/>
        </w:rPr>
        <w:t>REFERENCES</w:t>
      </w:r>
    </w:p>
    <w:p w14:paraId="7385E54A" w14:textId="77777777" w:rsidR="000E131B" w:rsidRPr="00F340DB" w:rsidRDefault="000E131B" w:rsidP="00F340DB">
      <w:pPr>
        <w:pStyle w:val="NormalWeb"/>
        <w:spacing w:line="360" w:lineRule="auto"/>
        <w:jc w:val="both"/>
        <w:rPr>
          <w:rFonts w:ascii="Arial" w:hAnsi="Arial" w:cs="Arial"/>
          <w:sz w:val="22"/>
          <w:szCs w:val="22"/>
        </w:rPr>
      </w:pPr>
      <w:r w:rsidRPr="00F340DB">
        <w:rPr>
          <w:rFonts w:ascii="Arial" w:hAnsi="Arial" w:cs="Arial"/>
          <w:sz w:val="22"/>
          <w:szCs w:val="22"/>
        </w:rPr>
        <w:t xml:space="preserve">Horgan, F., Manning, F., O’Neill, D. and O’Shea, E. (2024) ‘Promoting mental health and wellbeing in older adults: A public health framework’, </w:t>
      </w:r>
      <w:r w:rsidRPr="00F340DB">
        <w:rPr>
          <w:rStyle w:val="Emphasis"/>
          <w:rFonts w:ascii="Arial" w:hAnsi="Arial" w:cs="Arial"/>
          <w:sz w:val="22"/>
          <w:szCs w:val="22"/>
        </w:rPr>
        <w:t>International Journal of Environmental Research and Public Health</w:t>
      </w:r>
      <w:r w:rsidRPr="00F340DB">
        <w:rPr>
          <w:rFonts w:ascii="Arial" w:hAnsi="Arial" w:cs="Arial"/>
          <w:sz w:val="22"/>
          <w:szCs w:val="22"/>
        </w:rPr>
        <w:t>, 21(6), 664.</w:t>
      </w:r>
    </w:p>
    <w:p w14:paraId="72BA393F" w14:textId="77777777" w:rsidR="000E131B" w:rsidRPr="00F340DB" w:rsidRDefault="000E131B" w:rsidP="00F340DB">
      <w:pPr>
        <w:pStyle w:val="NormalWeb"/>
        <w:spacing w:line="360" w:lineRule="auto"/>
        <w:jc w:val="both"/>
        <w:rPr>
          <w:rFonts w:ascii="Arial" w:hAnsi="Arial" w:cs="Arial"/>
          <w:sz w:val="22"/>
          <w:szCs w:val="22"/>
        </w:rPr>
      </w:pPr>
      <w:r w:rsidRPr="00F340DB">
        <w:rPr>
          <w:rFonts w:ascii="Arial" w:hAnsi="Arial" w:cs="Arial"/>
          <w:sz w:val="22"/>
          <w:szCs w:val="22"/>
        </w:rPr>
        <w:t xml:space="preserve">Kim, S., Park, J. and Lee, M. (2023) ‘Ego integrity and life satisfaction among the oldest-old: The mediating role of depressive symptoms’, </w:t>
      </w:r>
      <w:r w:rsidRPr="00F340DB">
        <w:rPr>
          <w:rStyle w:val="Emphasis"/>
          <w:rFonts w:ascii="Arial" w:hAnsi="Arial" w:cs="Arial"/>
          <w:sz w:val="22"/>
          <w:szCs w:val="22"/>
        </w:rPr>
        <w:t>Journal of Affective Disorders</w:t>
      </w:r>
      <w:r w:rsidRPr="00F340DB">
        <w:rPr>
          <w:rFonts w:ascii="Arial" w:hAnsi="Arial" w:cs="Arial"/>
          <w:sz w:val="22"/>
          <w:szCs w:val="22"/>
        </w:rPr>
        <w:t>, 324, pp. 1–8.</w:t>
      </w:r>
    </w:p>
    <w:p w14:paraId="6D331F58" w14:textId="77777777" w:rsidR="000E131B" w:rsidRPr="00F340DB" w:rsidRDefault="000E131B" w:rsidP="00F340DB">
      <w:pPr>
        <w:pStyle w:val="NormalWeb"/>
        <w:spacing w:line="360" w:lineRule="auto"/>
        <w:jc w:val="both"/>
        <w:rPr>
          <w:rFonts w:ascii="Arial" w:hAnsi="Arial" w:cs="Arial"/>
          <w:sz w:val="22"/>
          <w:szCs w:val="22"/>
        </w:rPr>
      </w:pPr>
      <w:r w:rsidRPr="00F340DB">
        <w:rPr>
          <w:rFonts w:ascii="Arial" w:hAnsi="Arial" w:cs="Arial"/>
          <w:sz w:val="22"/>
          <w:szCs w:val="22"/>
        </w:rPr>
        <w:t xml:space="preserve">Lopez, R.P., Smith, M.L. and Chen, Y. (2024) ‘Psychological wellbeing and quality of life among older adults: A longitudinal analysis’, </w:t>
      </w:r>
      <w:r w:rsidRPr="00F340DB">
        <w:rPr>
          <w:rStyle w:val="Emphasis"/>
          <w:rFonts w:ascii="Arial" w:hAnsi="Arial" w:cs="Arial"/>
          <w:sz w:val="22"/>
          <w:szCs w:val="22"/>
        </w:rPr>
        <w:t>BMC Geriatrics</w:t>
      </w:r>
      <w:r w:rsidRPr="00F340DB">
        <w:rPr>
          <w:rFonts w:ascii="Arial" w:hAnsi="Arial" w:cs="Arial"/>
          <w:sz w:val="22"/>
          <w:szCs w:val="22"/>
        </w:rPr>
        <w:t>, 24, 118.</w:t>
      </w:r>
    </w:p>
    <w:p w14:paraId="5D465DBD" w14:textId="77777777" w:rsidR="000E131B" w:rsidRPr="00F340DB" w:rsidRDefault="004F7D78" w:rsidP="00F340DB">
      <w:pPr>
        <w:pStyle w:val="NormalWeb"/>
        <w:spacing w:line="360" w:lineRule="auto"/>
        <w:jc w:val="both"/>
        <w:rPr>
          <w:rFonts w:ascii="Arial" w:hAnsi="Arial" w:cs="Arial"/>
          <w:sz w:val="22"/>
          <w:szCs w:val="22"/>
        </w:rPr>
      </w:pPr>
      <w:r>
        <w:rPr>
          <w:rFonts w:ascii="Arial" w:hAnsi="Arial" w:cs="Arial"/>
          <w:sz w:val="22"/>
          <w:szCs w:val="22"/>
        </w:rPr>
        <w:t>V</w:t>
      </w:r>
      <w:r w:rsidR="000E131B" w:rsidRPr="00F340DB">
        <w:rPr>
          <w:rFonts w:ascii="Arial" w:hAnsi="Arial" w:cs="Arial"/>
          <w:sz w:val="22"/>
          <w:szCs w:val="22"/>
        </w:rPr>
        <w:t xml:space="preserve">an der Kaap-Deeder, J., Vansteenkiste, M., Soenens, B. and Mabbe, E. (2021) ‘The role of ego integrity and despair in older adults’ psychological functioning’, </w:t>
      </w:r>
      <w:r w:rsidR="000E131B" w:rsidRPr="00F340DB">
        <w:rPr>
          <w:rStyle w:val="Emphasis"/>
          <w:rFonts w:ascii="Arial" w:hAnsi="Arial" w:cs="Arial"/>
          <w:sz w:val="22"/>
          <w:szCs w:val="22"/>
        </w:rPr>
        <w:t>Ageing &amp; Society</w:t>
      </w:r>
      <w:r w:rsidR="000E131B" w:rsidRPr="00F340DB">
        <w:rPr>
          <w:rFonts w:ascii="Arial" w:hAnsi="Arial" w:cs="Arial"/>
          <w:sz w:val="22"/>
          <w:szCs w:val="22"/>
        </w:rPr>
        <w:t>, 41(11), pp. 2506–2526.</w:t>
      </w:r>
    </w:p>
    <w:p w14:paraId="6F8715B7" w14:textId="77777777" w:rsidR="00F340DB" w:rsidRPr="00F340DB" w:rsidRDefault="00F340DB" w:rsidP="00F340DB">
      <w:pPr>
        <w:pStyle w:val="NormalWeb"/>
        <w:spacing w:line="360" w:lineRule="auto"/>
        <w:jc w:val="both"/>
        <w:rPr>
          <w:rFonts w:ascii="Arial" w:hAnsi="Arial" w:cs="Arial"/>
          <w:sz w:val="22"/>
          <w:szCs w:val="22"/>
        </w:rPr>
      </w:pPr>
      <w:r w:rsidRPr="00F340DB">
        <w:rPr>
          <w:rFonts w:ascii="Arial" w:hAnsi="Arial" w:cs="Arial"/>
          <w:sz w:val="22"/>
          <w:szCs w:val="22"/>
        </w:rPr>
        <w:t xml:space="preserve">Erdoğan, E.G. and Mersin, S. (2025) ‘The relationship between the level of satisfaction of Maslow’s hierarchy of needs and loneliness, happiness and life satisfaction in elderly individuals’, </w:t>
      </w:r>
      <w:r w:rsidRPr="00F340DB">
        <w:rPr>
          <w:rStyle w:val="Emphasis"/>
          <w:rFonts w:ascii="Arial" w:hAnsi="Arial" w:cs="Arial"/>
          <w:sz w:val="22"/>
          <w:szCs w:val="22"/>
        </w:rPr>
        <w:t>Journal of Clinical Nursing</w:t>
      </w:r>
      <w:r w:rsidRPr="00F340DB">
        <w:rPr>
          <w:rFonts w:ascii="Arial" w:hAnsi="Arial" w:cs="Arial"/>
          <w:sz w:val="22"/>
          <w:szCs w:val="22"/>
        </w:rPr>
        <w:t>. doi: 10.1111/jocn.17759.</w:t>
      </w:r>
    </w:p>
    <w:p w14:paraId="2C590990" w14:textId="77777777" w:rsidR="00F340DB" w:rsidRPr="00F340DB" w:rsidRDefault="00F340DB" w:rsidP="00F340DB">
      <w:pPr>
        <w:pStyle w:val="NormalWeb"/>
        <w:spacing w:line="360" w:lineRule="auto"/>
        <w:jc w:val="both"/>
        <w:rPr>
          <w:rFonts w:ascii="Arial" w:hAnsi="Arial" w:cs="Arial"/>
          <w:sz w:val="22"/>
          <w:szCs w:val="22"/>
        </w:rPr>
      </w:pPr>
      <w:r w:rsidRPr="00F340DB">
        <w:rPr>
          <w:rFonts w:ascii="Arial" w:hAnsi="Arial" w:cs="Arial"/>
          <w:sz w:val="22"/>
          <w:szCs w:val="22"/>
        </w:rPr>
        <w:t xml:space="preserve">Gedik, M. (2025) ‘Home-based social support services for elderly well-being: A qualitative study from a gerontological social work perspective’, </w:t>
      </w:r>
      <w:r w:rsidRPr="00F340DB">
        <w:rPr>
          <w:rStyle w:val="Emphasis"/>
          <w:rFonts w:ascii="Arial" w:hAnsi="Arial" w:cs="Arial"/>
          <w:sz w:val="22"/>
          <w:szCs w:val="22"/>
        </w:rPr>
        <w:t>SAGE Open Aging</w:t>
      </w:r>
      <w:r w:rsidRPr="00F340DB">
        <w:rPr>
          <w:rFonts w:ascii="Arial" w:hAnsi="Arial" w:cs="Arial"/>
          <w:sz w:val="22"/>
          <w:szCs w:val="22"/>
        </w:rPr>
        <w:t>. doi: 10.1177/30495334251387500.</w:t>
      </w:r>
    </w:p>
    <w:p w14:paraId="6ED0AB5B" w14:textId="77777777" w:rsidR="00F340DB" w:rsidRPr="00F340DB" w:rsidRDefault="00F340DB" w:rsidP="00F340DB">
      <w:pPr>
        <w:pStyle w:val="NormalWeb"/>
        <w:spacing w:line="360" w:lineRule="auto"/>
        <w:jc w:val="both"/>
        <w:rPr>
          <w:rFonts w:ascii="Arial" w:hAnsi="Arial" w:cs="Arial"/>
          <w:sz w:val="22"/>
          <w:szCs w:val="22"/>
        </w:rPr>
      </w:pPr>
      <w:r w:rsidRPr="00F340DB">
        <w:rPr>
          <w:rFonts w:ascii="Arial" w:hAnsi="Arial" w:cs="Arial"/>
          <w:sz w:val="22"/>
          <w:szCs w:val="22"/>
        </w:rPr>
        <w:t xml:space="preserve">Zhang, T., Liu, Y., Wang, Y., Li, C., Yang, X., Tian, L., Wu, Y., Lin, L. and Li, H. (2022) ‘Quality indicators for the care of older adults with disabilities in long-term care facilities based on Maslow’s hierarchy of needs’, </w:t>
      </w:r>
      <w:r w:rsidRPr="00F340DB">
        <w:rPr>
          <w:rStyle w:val="Emphasis"/>
          <w:rFonts w:ascii="Arial" w:hAnsi="Arial" w:cs="Arial"/>
          <w:sz w:val="22"/>
          <w:szCs w:val="22"/>
        </w:rPr>
        <w:t>International Journal of Nursing Sciences</w:t>
      </w:r>
      <w:r w:rsidRPr="00F340DB">
        <w:rPr>
          <w:rFonts w:ascii="Arial" w:hAnsi="Arial" w:cs="Arial"/>
          <w:sz w:val="22"/>
          <w:szCs w:val="22"/>
        </w:rPr>
        <w:t>, 9(4), pp. 453–459. doi: 10.1016/j.ijnss.2022.09.012.</w:t>
      </w:r>
    </w:p>
    <w:p w14:paraId="564ABE4A" w14:textId="77777777" w:rsidR="000E131B" w:rsidRPr="000E131B" w:rsidRDefault="000E131B" w:rsidP="000E131B">
      <w:pPr>
        <w:spacing w:line="360" w:lineRule="auto"/>
        <w:jc w:val="both"/>
        <w:rPr>
          <w:rFonts w:ascii="Arial" w:hAnsi="Arial" w:cs="Arial"/>
          <w:b/>
        </w:rPr>
      </w:pPr>
    </w:p>
    <w:sectPr w:rsidR="000E131B" w:rsidRPr="000E131B" w:rsidSect="000E131B">
      <w:footerReference w:type="default" r:id="rId9"/>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B36D9" w14:textId="77777777" w:rsidR="008003AD" w:rsidRDefault="008003AD" w:rsidP="000E131B">
      <w:pPr>
        <w:spacing w:after="0" w:line="240" w:lineRule="auto"/>
      </w:pPr>
      <w:r>
        <w:separator/>
      </w:r>
    </w:p>
  </w:endnote>
  <w:endnote w:type="continuationSeparator" w:id="0">
    <w:p w14:paraId="41B2F5A0" w14:textId="77777777" w:rsidR="008003AD" w:rsidRDefault="008003AD" w:rsidP="000E13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656218"/>
      <w:docPartObj>
        <w:docPartGallery w:val="Page Numbers (Bottom of Page)"/>
        <w:docPartUnique/>
      </w:docPartObj>
    </w:sdtPr>
    <w:sdtEndPr>
      <w:rPr>
        <w:noProof/>
      </w:rPr>
    </w:sdtEndPr>
    <w:sdtContent>
      <w:p w14:paraId="04441C50" w14:textId="77777777" w:rsidR="000E131B" w:rsidRDefault="000E131B">
        <w:pPr>
          <w:pStyle w:val="Footer"/>
          <w:jc w:val="right"/>
        </w:pPr>
        <w:r>
          <w:fldChar w:fldCharType="begin"/>
        </w:r>
        <w:r>
          <w:instrText xml:space="preserve"> PAGE   \* MERGEFORMAT </w:instrText>
        </w:r>
        <w:r>
          <w:fldChar w:fldCharType="separate"/>
        </w:r>
        <w:r w:rsidR="009C7623">
          <w:rPr>
            <w:noProof/>
          </w:rPr>
          <w:t>4</w:t>
        </w:r>
        <w:r>
          <w:rPr>
            <w:noProof/>
          </w:rPr>
          <w:fldChar w:fldCharType="end"/>
        </w:r>
      </w:p>
    </w:sdtContent>
  </w:sdt>
  <w:p w14:paraId="43FEE8E7" w14:textId="77777777" w:rsidR="000E131B" w:rsidRDefault="000E1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BF57C" w14:textId="77777777" w:rsidR="008003AD" w:rsidRDefault="008003AD" w:rsidP="000E131B">
      <w:pPr>
        <w:spacing w:after="0" w:line="240" w:lineRule="auto"/>
      </w:pPr>
      <w:r>
        <w:separator/>
      </w:r>
    </w:p>
  </w:footnote>
  <w:footnote w:type="continuationSeparator" w:id="0">
    <w:p w14:paraId="0D729B1E" w14:textId="77777777" w:rsidR="008003AD" w:rsidRDefault="008003AD" w:rsidP="000E13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5F1399"/>
    <w:multiLevelType w:val="multilevel"/>
    <w:tmpl w:val="13E4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224569"/>
    <w:multiLevelType w:val="multilevel"/>
    <w:tmpl w:val="1E0C1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9329509">
    <w:abstractNumId w:val="1"/>
  </w:num>
  <w:num w:numId="2" w16cid:durableId="15681107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31B"/>
    <w:rsid w:val="00086AF5"/>
    <w:rsid w:val="000E131B"/>
    <w:rsid w:val="00242F99"/>
    <w:rsid w:val="002B771D"/>
    <w:rsid w:val="0030569E"/>
    <w:rsid w:val="00321C67"/>
    <w:rsid w:val="003E72BF"/>
    <w:rsid w:val="0048693F"/>
    <w:rsid w:val="004F7D78"/>
    <w:rsid w:val="005770F0"/>
    <w:rsid w:val="005917C3"/>
    <w:rsid w:val="007D008E"/>
    <w:rsid w:val="008003AD"/>
    <w:rsid w:val="0096322F"/>
    <w:rsid w:val="0097482F"/>
    <w:rsid w:val="009C7623"/>
    <w:rsid w:val="00A258F2"/>
    <w:rsid w:val="00AB3677"/>
    <w:rsid w:val="00B64752"/>
    <w:rsid w:val="00BE7C2C"/>
    <w:rsid w:val="00D960AB"/>
    <w:rsid w:val="00DC1EB0"/>
    <w:rsid w:val="00ED302F"/>
    <w:rsid w:val="00F340DB"/>
    <w:rsid w:val="00FA0A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88B35"/>
  <w15:chartTrackingRefBased/>
  <w15:docId w15:val="{93CC02CE-1387-47FE-8CE0-6817E1B4F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E131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E13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131B"/>
  </w:style>
  <w:style w:type="paragraph" w:styleId="Footer">
    <w:name w:val="footer"/>
    <w:basedOn w:val="Normal"/>
    <w:link w:val="FooterChar"/>
    <w:uiPriority w:val="99"/>
    <w:unhideWhenUsed/>
    <w:rsid w:val="000E13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131B"/>
  </w:style>
  <w:style w:type="character" w:styleId="Strong">
    <w:name w:val="Strong"/>
    <w:basedOn w:val="DefaultParagraphFont"/>
    <w:uiPriority w:val="22"/>
    <w:qFormat/>
    <w:rsid w:val="000E131B"/>
    <w:rPr>
      <w:b/>
      <w:bCs/>
    </w:rPr>
  </w:style>
  <w:style w:type="character" w:styleId="Emphasis">
    <w:name w:val="Emphasis"/>
    <w:basedOn w:val="DefaultParagraphFont"/>
    <w:uiPriority w:val="20"/>
    <w:qFormat/>
    <w:rsid w:val="000E131B"/>
    <w:rPr>
      <w:i/>
      <w:iCs/>
    </w:rPr>
  </w:style>
  <w:style w:type="table" w:styleId="TableGrid">
    <w:name w:val="Table Grid"/>
    <w:basedOn w:val="TableNormal"/>
    <w:uiPriority w:val="39"/>
    <w:rsid w:val="00F340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21822">
      <w:bodyDiv w:val="1"/>
      <w:marLeft w:val="0"/>
      <w:marRight w:val="0"/>
      <w:marTop w:val="0"/>
      <w:marBottom w:val="0"/>
      <w:divBdr>
        <w:top w:val="none" w:sz="0" w:space="0" w:color="auto"/>
        <w:left w:val="none" w:sz="0" w:space="0" w:color="auto"/>
        <w:bottom w:val="none" w:sz="0" w:space="0" w:color="auto"/>
        <w:right w:val="none" w:sz="0" w:space="0" w:color="auto"/>
      </w:divBdr>
    </w:div>
    <w:div w:id="373120751">
      <w:bodyDiv w:val="1"/>
      <w:marLeft w:val="0"/>
      <w:marRight w:val="0"/>
      <w:marTop w:val="0"/>
      <w:marBottom w:val="0"/>
      <w:divBdr>
        <w:top w:val="none" w:sz="0" w:space="0" w:color="auto"/>
        <w:left w:val="none" w:sz="0" w:space="0" w:color="auto"/>
        <w:bottom w:val="none" w:sz="0" w:space="0" w:color="auto"/>
        <w:right w:val="none" w:sz="0" w:space="0" w:color="auto"/>
      </w:divBdr>
    </w:div>
    <w:div w:id="471756135">
      <w:bodyDiv w:val="1"/>
      <w:marLeft w:val="0"/>
      <w:marRight w:val="0"/>
      <w:marTop w:val="0"/>
      <w:marBottom w:val="0"/>
      <w:divBdr>
        <w:top w:val="none" w:sz="0" w:space="0" w:color="auto"/>
        <w:left w:val="none" w:sz="0" w:space="0" w:color="auto"/>
        <w:bottom w:val="none" w:sz="0" w:space="0" w:color="auto"/>
        <w:right w:val="none" w:sz="0" w:space="0" w:color="auto"/>
      </w:divBdr>
    </w:div>
    <w:div w:id="656225034">
      <w:bodyDiv w:val="1"/>
      <w:marLeft w:val="0"/>
      <w:marRight w:val="0"/>
      <w:marTop w:val="0"/>
      <w:marBottom w:val="0"/>
      <w:divBdr>
        <w:top w:val="none" w:sz="0" w:space="0" w:color="auto"/>
        <w:left w:val="none" w:sz="0" w:space="0" w:color="auto"/>
        <w:bottom w:val="none" w:sz="0" w:space="0" w:color="auto"/>
        <w:right w:val="none" w:sz="0" w:space="0" w:color="auto"/>
      </w:divBdr>
      <w:divsChild>
        <w:div w:id="572206067">
          <w:marLeft w:val="0"/>
          <w:marRight w:val="0"/>
          <w:marTop w:val="0"/>
          <w:marBottom w:val="0"/>
          <w:divBdr>
            <w:top w:val="none" w:sz="0" w:space="0" w:color="auto"/>
            <w:left w:val="none" w:sz="0" w:space="0" w:color="auto"/>
            <w:bottom w:val="none" w:sz="0" w:space="0" w:color="auto"/>
            <w:right w:val="none" w:sz="0" w:space="0" w:color="auto"/>
          </w:divBdr>
          <w:divsChild>
            <w:div w:id="1749419416">
              <w:marLeft w:val="0"/>
              <w:marRight w:val="0"/>
              <w:marTop w:val="0"/>
              <w:marBottom w:val="0"/>
              <w:divBdr>
                <w:top w:val="none" w:sz="0" w:space="0" w:color="auto"/>
                <w:left w:val="none" w:sz="0" w:space="0" w:color="auto"/>
                <w:bottom w:val="none" w:sz="0" w:space="0" w:color="auto"/>
                <w:right w:val="none" w:sz="0" w:space="0" w:color="auto"/>
              </w:divBdr>
              <w:divsChild>
                <w:div w:id="793182564">
                  <w:marLeft w:val="0"/>
                  <w:marRight w:val="0"/>
                  <w:marTop w:val="0"/>
                  <w:marBottom w:val="0"/>
                  <w:divBdr>
                    <w:top w:val="none" w:sz="0" w:space="0" w:color="auto"/>
                    <w:left w:val="none" w:sz="0" w:space="0" w:color="auto"/>
                    <w:bottom w:val="none" w:sz="0" w:space="0" w:color="auto"/>
                    <w:right w:val="none" w:sz="0" w:space="0" w:color="auto"/>
                  </w:divBdr>
                  <w:divsChild>
                    <w:div w:id="2140609489">
                      <w:marLeft w:val="0"/>
                      <w:marRight w:val="0"/>
                      <w:marTop w:val="0"/>
                      <w:marBottom w:val="0"/>
                      <w:divBdr>
                        <w:top w:val="none" w:sz="0" w:space="0" w:color="auto"/>
                        <w:left w:val="none" w:sz="0" w:space="0" w:color="auto"/>
                        <w:bottom w:val="none" w:sz="0" w:space="0" w:color="auto"/>
                        <w:right w:val="none" w:sz="0" w:space="0" w:color="auto"/>
                      </w:divBdr>
                      <w:divsChild>
                        <w:div w:id="2066641441">
                          <w:marLeft w:val="0"/>
                          <w:marRight w:val="0"/>
                          <w:marTop w:val="0"/>
                          <w:marBottom w:val="0"/>
                          <w:divBdr>
                            <w:top w:val="none" w:sz="0" w:space="0" w:color="auto"/>
                            <w:left w:val="none" w:sz="0" w:space="0" w:color="auto"/>
                            <w:bottom w:val="none" w:sz="0" w:space="0" w:color="auto"/>
                            <w:right w:val="none" w:sz="0" w:space="0" w:color="auto"/>
                          </w:divBdr>
                          <w:divsChild>
                            <w:div w:id="1493325953">
                              <w:marLeft w:val="0"/>
                              <w:marRight w:val="0"/>
                              <w:marTop w:val="0"/>
                              <w:marBottom w:val="0"/>
                              <w:divBdr>
                                <w:top w:val="none" w:sz="0" w:space="0" w:color="auto"/>
                                <w:left w:val="none" w:sz="0" w:space="0" w:color="auto"/>
                                <w:bottom w:val="none" w:sz="0" w:space="0" w:color="auto"/>
                                <w:right w:val="none" w:sz="0" w:space="0" w:color="auto"/>
                              </w:divBdr>
                              <w:divsChild>
                                <w:div w:id="147864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3120202">
      <w:bodyDiv w:val="1"/>
      <w:marLeft w:val="0"/>
      <w:marRight w:val="0"/>
      <w:marTop w:val="0"/>
      <w:marBottom w:val="0"/>
      <w:divBdr>
        <w:top w:val="none" w:sz="0" w:space="0" w:color="auto"/>
        <w:left w:val="none" w:sz="0" w:space="0" w:color="auto"/>
        <w:bottom w:val="none" w:sz="0" w:space="0" w:color="auto"/>
        <w:right w:val="none" w:sz="0" w:space="0" w:color="auto"/>
      </w:divBdr>
    </w:div>
    <w:div w:id="681779741">
      <w:bodyDiv w:val="1"/>
      <w:marLeft w:val="0"/>
      <w:marRight w:val="0"/>
      <w:marTop w:val="0"/>
      <w:marBottom w:val="0"/>
      <w:divBdr>
        <w:top w:val="none" w:sz="0" w:space="0" w:color="auto"/>
        <w:left w:val="none" w:sz="0" w:space="0" w:color="auto"/>
        <w:bottom w:val="none" w:sz="0" w:space="0" w:color="auto"/>
        <w:right w:val="none" w:sz="0" w:space="0" w:color="auto"/>
      </w:divBdr>
    </w:div>
    <w:div w:id="997533788">
      <w:bodyDiv w:val="1"/>
      <w:marLeft w:val="0"/>
      <w:marRight w:val="0"/>
      <w:marTop w:val="0"/>
      <w:marBottom w:val="0"/>
      <w:divBdr>
        <w:top w:val="none" w:sz="0" w:space="0" w:color="auto"/>
        <w:left w:val="none" w:sz="0" w:space="0" w:color="auto"/>
        <w:bottom w:val="none" w:sz="0" w:space="0" w:color="auto"/>
        <w:right w:val="none" w:sz="0" w:space="0" w:color="auto"/>
      </w:divBdr>
    </w:div>
    <w:div w:id="1207840364">
      <w:bodyDiv w:val="1"/>
      <w:marLeft w:val="0"/>
      <w:marRight w:val="0"/>
      <w:marTop w:val="0"/>
      <w:marBottom w:val="0"/>
      <w:divBdr>
        <w:top w:val="none" w:sz="0" w:space="0" w:color="auto"/>
        <w:left w:val="none" w:sz="0" w:space="0" w:color="auto"/>
        <w:bottom w:val="none" w:sz="0" w:space="0" w:color="auto"/>
        <w:right w:val="none" w:sz="0" w:space="0" w:color="auto"/>
      </w:divBdr>
    </w:div>
    <w:div w:id="1305937409">
      <w:bodyDiv w:val="1"/>
      <w:marLeft w:val="0"/>
      <w:marRight w:val="0"/>
      <w:marTop w:val="0"/>
      <w:marBottom w:val="0"/>
      <w:divBdr>
        <w:top w:val="none" w:sz="0" w:space="0" w:color="auto"/>
        <w:left w:val="none" w:sz="0" w:space="0" w:color="auto"/>
        <w:bottom w:val="none" w:sz="0" w:space="0" w:color="auto"/>
        <w:right w:val="none" w:sz="0" w:space="0" w:color="auto"/>
      </w:divBdr>
    </w:div>
    <w:div w:id="2105298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2321</Words>
  <Characters>13232</Characters>
  <Application>Microsoft Office Word</Application>
  <DocSecurity>4</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Happy Chowdhury</cp:lastModifiedBy>
  <cp:revision>8</cp:revision>
  <dcterms:created xsi:type="dcterms:W3CDTF">2026-03-23T04:09:00Z</dcterms:created>
  <dcterms:modified xsi:type="dcterms:W3CDTF">2026-03-22T21:11:00Z</dcterms:modified>
</cp:coreProperties>
</file>