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FA75CD" w14:textId="1B0EFDD8" w:rsidR="00800338" w:rsidRPr="007C5947" w:rsidRDefault="00800338" w:rsidP="00800338">
      <w:pPr>
        <w:rPr>
          <w:rFonts w:ascii="Arial" w:hAnsi="Arial" w:cs="Arial"/>
          <w:color w:val="58595B"/>
          <w:sz w:val="36"/>
          <w:szCs w:val="36"/>
        </w:rPr>
      </w:pPr>
      <w:r w:rsidRPr="007C5947">
        <w:rPr>
          <w:rFonts w:ascii="Arial" w:hAnsi="Arial" w:cs="Arial"/>
          <w:color w:val="58595B"/>
          <w:sz w:val="36"/>
          <w:szCs w:val="36"/>
        </w:rPr>
        <w:t>Qualification: CIPD Diploma in Applied Human Resources</w:t>
      </w:r>
    </w:p>
    <w:p w14:paraId="7385EE5F" w14:textId="77777777" w:rsidR="00800338" w:rsidRPr="007C5947" w:rsidRDefault="00800338" w:rsidP="00800338">
      <w:pPr>
        <w:rPr>
          <w:rFonts w:ascii="Arial" w:hAnsi="Arial" w:cs="Arial"/>
          <w:color w:val="58595B"/>
          <w:sz w:val="36"/>
          <w:szCs w:val="36"/>
        </w:rPr>
      </w:pPr>
    </w:p>
    <w:p w14:paraId="7416957D" w14:textId="33449BEB" w:rsidR="00800338" w:rsidRPr="007C5947" w:rsidRDefault="00800338" w:rsidP="00800338">
      <w:pPr>
        <w:rPr>
          <w:rFonts w:ascii="Arial" w:hAnsi="Arial" w:cs="Arial"/>
          <w:color w:val="58595B"/>
          <w:sz w:val="36"/>
          <w:szCs w:val="36"/>
        </w:rPr>
      </w:pPr>
      <w:r>
        <w:rPr>
          <w:rFonts w:ascii="Arial" w:hAnsi="Arial" w:cs="Arial"/>
          <w:color w:val="58595B"/>
          <w:sz w:val="36"/>
          <w:szCs w:val="36"/>
        </w:rPr>
        <w:t>M</w:t>
      </w:r>
      <w:r w:rsidRPr="007C5947">
        <w:rPr>
          <w:rFonts w:ascii="Arial" w:hAnsi="Arial" w:cs="Arial"/>
          <w:color w:val="58595B"/>
          <w:sz w:val="36"/>
          <w:szCs w:val="36"/>
        </w:rPr>
        <w:t xml:space="preserve">odule Name: </w:t>
      </w:r>
    </w:p>
    <w:p w14:paraId="0AB6BF38" w14:textId="77777777" w:rsidR="00971309" w:rsidRDefault="00971309" w:rsidP="00800338">
      <w:pPr>
        <w:rPr>
          <w:rFonts w:ascii="Arial" w:hAnsi="Arial" w:cs="Arial"/>
          <w:color w:val="58595B"/>
          <w:sz w:val="36"/>
          <w:szCs w:val="36"/>
        </w:rPr>
      </w:pPr>
    </w:p>
    <w:p w14:paraId="27DE8825" w14:textId="2455CD6E" w:rsidR="00800338" w:rsidRPr="007C5947" w:rsidRDefault="00800338" w:rsidP="00800338">
      <w:pPr>
        <w:rPr>
          <w:rFonts w:ascii="Arial" w:hAnsi="Arial" w:cs="Arial"/>
          <w:color w:val="58595B"/>
          <w:sz w:val="36"/>
          <w:szCs w:val="36"/>
        </w:rPr>
      </w:pPr>
      <w:r w:rsidRPr="007C5947">
        <w:rPr>
          <w:rFonts w:ascii="Arial" w:hAnsi="Arial" w:cs="Arial"/>
          <w:color w:val="58595B"/>
          <w:sz w:val="36"/>
          <w:szCs w:val="36"/>
        </w:rPr>
        <w:t>Word Count:</w:t>
      </w:r>
    </w:p>
    <w:p w14:paraId="68C73B92" w14:textId="77777777" w:rsidR="00971309" w:rsidRDefault="00971309" w:rsidP="00800338">
      <w:pPr>
        <w:rPr>
          <w:rFonts w:ascii="Arial" w:hAnsi="Arial" w:cs="Arial"/>
          <w:color w:val="58595B"/>
          <w:sz w:val="36"/>
          <w:szCs w:val="36"/>
        </w:rPr>
      </w:pPr>
    </w:p>
    <w:p w14:paraId="1F19CBDC" w14:textId="1393DD6C" w:rsidR="00800338" w:rsidRPr="007C5947" w:rsidRDefault="00971309" w:rsidP="00800338">
      <w:pPr>
        <w:rPr>
          <w:rFonts w:ascii="Arial" w:hAnsi="Arial" w:cs="Arial"/>
          <w:color w:val="58595B"/>
          <w:sz w:val="36"/>
          <w:szCs w:val="36"/>
        </w:rPr>
      </w:pPr>
      <w:r>
        <w:rPr>
          <w:rFonts w:ascii="Arial" w:hAnsi="Arial" w:cs="Arial"/>
          <w:color w:val="58595B"/>
          <w:sz w:val="36"/>
          <w:szCs w:val="36"/>
        </w:rPr>
        <w:t>Learning Objective</w:t>
      </w:r>
      <w:r w:rsidR="00800338" w:rsidRPr="007C5947">
        <w:rPr>
          <w:rFonts w:ascii="Arial" w:hAnsi="Arial" w:cs="Arial"/>
          <w:color w:val="58595B"/>
          <w:sz w:val="36"/>
          <w:szCs w:val="36"/>
        </w:rPr>
        <w:t xml:space="preserve"> 1: </w:t>
      </w:r>
      <w:r w:rsidR="00E506D9">
        <w:rPr>
          <w:rFonts w:ascii="Arial" w:hAnsi="Arial" w:cs="Arial"/>
          <w:color w:val="58595B"/>
          <w:sz w:val="36"/>
          <w:szCs w:val="36"/>
        </w:rPr>
        <w:t>6</w:t>
      </w:r>
      <w:r w:rsidR="00231CFD">
        <w:rPr>
          <w:rFonts w:ascii="Arial" w:hAnsi="Arial" w:cs="Arial"/>
          <w:color w:val="58595B"/>
          <w:sz w:val="36"/>
          <w:szCs w:val="36"/>
        </w:rPr>
        <w:t>59</w:t>
      </w:r>
    </w:p>
    <w:p w14:paraId="3BAE7749" w14:textId="27534554" w:rsidR="00800338" w:rsidRDefault="00971309" w:rsidP="00800338">
      <w:pPr>
        <w:rPr>
          <w:rFonts w:ascii="Arial" w:hAnsi="Arial" w:cs="Arial"/>
          <w:color w:val="58595B"/>
          <w:sz w:val="36"/>
          <w:szCs w:val="36"/>
        </w:rPr>
      </w:pPr>
      <w:r>
        <w:rPr>
          <w:rFonts w:ascii="Arial" w:hAnsi="Arial" w:cs="Arial"/>
          <w:color w:val="58595B"/>
          <w:sz w:val="36"/>
          <w:szCs w:val="36"/>
        </w:rPr>
        <w:t xml:space="preserve">Learning Objective </w:t>
      </w:r>
      <w:r w:rsidR="00800338" w:rsidRPr="007C5947">
        <w:rPr>
          <w:rFonts w:ascii="Arial" w:hAnsi="Arial" w:cs="Arial"/>
          <w:color w:val="58595B"/>
          <w:sz w:val="36"/>
          <w:szCs w:val="36"/>
        </w:rPr>
        <w:t>2:</w:t>
      </w:r>
      <w:r w:rsidR="00E506D9">
        <w:rPr>
          <w:rFonts w:ascii="Arial" w:hAnsi="Arial" w:cs="Arial"/>
          <w:color w:val="58595B"/>
          <w:sz w:val="36"/>
          <w:szCs w:val="36"/>
        </w:rPr>
        <w:t xml:space="preserve"> 810</w:t>
      </w:r>
    </w:p>
    <w:p w14:paraId="2F23067C" w14:textId="1FE543BA" w:rsidR="00800338" w:rsidRDefault="00971309" w:rsidP="00800338">
      <w:pPr>
        <w:rPr>
          <w:rFonts w:ascii="Arial" w:hAnsi="Arial" w:cs="Arial"/>
          <w:color w:val="58595B"/>
          <w:sz w:val="36"/>
          <w:szCs w:val="36"/>
        </w:rPr>
      </w:pPr>
      <w:r>
        <w:rPr>
          <w:rFonts w:ascii="Arial" w:hAnsi="Arial" w:cs="Arial"/>
          <w:color w:val="58595B"/>
          <w:sz w:val="36"/>
          <w:szCs w:val="36"/>
        </w:rPr>
        <w:t>Learning Objective</w:t>
      </w:r>
      <w:r w:rsidR="00800338">
        <w:rPr>
          <w:rFonts w:ascii="Arial" w:hAnsi="Arial" w:cs="Arial"/>
          <w:color w:val="58595B"/>
          <w:sz w:val="36"/>
          <w:szCs w:val="36"/>
        </w:rPr>
        <w:t xml:space="preserve"> 3:</w:t>
      </w:r>
      <w:r w:rsidR="004E0BF1">
        <w:rPr>
          <w:rFonts w:ascii="Arial" w:hAnsi="Arial" w:cs="Arial"/>
          <w:color w:val="58595B"/>
          <w:sz w:val="36"/>
          <w:szCs w:val="36"/>
        </w:rPr>
        <w:t xml:space="preserve"> 6</w:t>
      </w:r>
      <w:r w:rsidR="002E1C7E">
        <w:rPr>
          <w:rFonts w:ascii="Arial" w:hAnsi="Arial" w:cs="Arial"/>
          <w:color w:val="58595B"/>
          <w:sz w:val="36"/>
          <w:szCs w:val="36"/>
        </w:rPr>
        <w:t>49</w:t>
      </w:r>
    </w:p>
    <w:p w14:paraId="6DBC8A27" w14:textId="54778396" w:rsidR="00800338" w:rsidRDefault="00971309" w:rsidP="00800338">
      <w:pPr>
        <w:rPr>
          <w:rFonts w:ascii="Arial" w:hAnsi="Arial" w:cs="Arial"/>
          <w:color w:val="58595B"/>
          <w:sz w:val="36"/>
          <w:szCs w:val="36"/>
        </w:rPr>
      </w:pPr>
      <w:r>
        <w:rPr>
          <w:rFonts w:ascii="Arial" w:hAnsi="Arial" w:cs="Arial"/>
          <w:color w:val="58595B"/>
          <w:sz w:val="36"/>
          <w:szCs w:val="36"/>
        </w:rPr>
        <w:t>Learning Objective</w:t>
      </w:r>
      <w:r w:rsidR="00800338">
        <w:rPr>
          <w:rFonts w:ascii="Arial" w:hAnsi="Arial" w:cs="Arial"/>
          <w:color w:val="58595B"/>
          <w:sz w:val="36"/>
          <w:szCs w:val="36"/>
        </w:rPr>
        <w:t xml:space="preserve"> 4:</w:t>
      </w:r>
      <w:r w:rsidR="007F7813">
        <w:rPr>
          <w:rFonts w:ascii="Arial" w:hAnsi="Arial" w:cs="Arial"/>
          <w:color w:val="58595B"/>
          <w:sz w:val="36"/>
          <w:szCs w:val="36"/>
        </w:rPr>
        <w:t xml:space="preserve"> </w:t>
      </w:r>
      <w:r w:rsidR="00482371">
        <w:rPr>
          <w:rFonts w:ascii="Arial" w:hAnsi="Arial" w:cs="Arial"/>
          <w:color w:val="58595B"/>
          <w:sz w:val="36"/>
          <w:szCs w:val="36"/>
        </w:rPr>
        <w:t>725</w:t>
      </w:r>
    </w:p>
    <w:p w14:paraId="1000516C" w14:textId="77777777" w:rsidR="00800338" w:rsidRPr="007C5947" w:rsidRDefault="00800338" w:rsidP="00800338">
      <w:pPr>
        <w:rPr>
          <w:rFonts w:ascii="Arial" w:hAnsi="Arial" w:cs="Arial"/>
          <w:color w:val="58595B"/>
          <w:sz w:val="36"/>
          <w:szCs w:val="36"/>
        </w:rPr>
      </w:pPr>
    </w:p>
    <w:p w14:paraId="774046A4" w14:textId="77777777" w:rsidR="00800338" w:rsidRPr="007C5947" w:rsidRDefault="00800338" w:rsidP="00800338">
      <w:pPr>
        <w:rPr>
          <w:rFonts w:ascii="Arial" w:hAnsi="Arial" w:cs="Arial"/>
          <w:color w:val="58595B"/>
          <w:sz w:val="36"/>
          <w:szCs w:val="36"/>
        </w:rPr>
      </w:pPr>
      <w:r w:rsidRPr="007C5947">
        <w:rPr>
          <w:rFonts w:ascii="Arial" w:hAnsi="Arial" w:cs="Arial"/>
          <w:color w:val="58595B"/>
          <w:sz w:val="36"/>
          <w:szCs w:val="36"/>
        </w:rPr>
        <w:t>Student Name: Sharon Richards</w:t>
      </w:r>
    </w:p>
    <w:p w14:paraId="77E2FA6F" w14:textId="77777777" w:rsidR="00800338" w:rsidRPr="007C5947" w:rsidRDefault="00800338" w:rsidP="00800338">
      <w:pPr>
        <w:rPr>
          <w:rFonts w:ascii="Arial" w:hAnsi="Arial" w:cs="Arial"/>
          <w:color w:val="58595B"/>
          <w:sz w:val="36"/>
          <w:szCs w:val="36"/>
        </w:rPr>
      </w:pPr>
      <w:r w:rsidRPr="007C5947">
        <w:rPr>
          <w:rFonts w:ascii="Arial" w:hAnsi="Arial" w:cs="Arial"/>
          <w:color w:val="58595B"/>
          <w:sz w:val="36"/>
          <w:szCs w:val="36"/>
        </w:rPr>
        <w:t>Student Number: 2014447</w:t>
      </w:r>
    </w:p>
    <w:p w14:paraId="59AE7413" w14:textId="77777777" w:rsidR="00800338" w:rsidRPr="007C5947" w:rsidRDefault="00800338" w:rsidP="00800338">
      <w:pPr>
        <w:rPr>
          <w:rFonts w:ascii="Arial" w:hAnsi="Arial" w:cs="Arial"/>
          <w:color w:val="58595B"/>
          <w:sz w:val="36"/>
          <w:szCs w:val="36"/>
        </w:rPr>
      </w:pPr>
      <w:r w:rsidRPr="007C5947">
        <w:rPr>
          <w:rFonts w:ascii="Arial" w:hAnsi="Arial" w:cs="Arial"/>
          <w:color w:val="58595B"/>
          <w:sz w:val="36"/>
          <w:szCs w:val="36"/>
        </w:rPr>
        <w:t>CIPD Membership Number: 57493181</w:t>
      </w:r>
    </w:p>
    <w:p w14:paraId="14A7F192" w14:textId="77777777" w:rsidR="00800338" w:rsidRPr="007C5947" w:rsidRDefault="00800338" w:rsidP="00800338">
      <w:pPr>
        <w:rPr>
          <w:rFonts w:ascii="Arial" w:hAnsi="Arial" w:cs="Arial"/>
          <w:color w:val="58595B"/>
          <w:sz w:val="36"/>
          <w:szCs w:val="36"/>
        </w:rPr>
      </w:pPr>
    </w:p>
    <w:p w14:paraId="09EB1A66" w14:textId="77777777" w:rsidR="00800338" w:rsidRPr="007C5947" w:rsidRDefault="00800338" w:rsidP="00800338">
      <w:pPr>
        <w:rPr>
          <w:rFonts w:ascii="Arial" w:hAnsi="Arial" w:cs="Arial"/>
          <w:color w:val="58595B"/>
          <w:sz w:val="36"/>
          <w:szCs w:val="36"/>
        </w:rPr>
      </w:pPr>
      <w:r w:rsidRPr="007C5947">
        <w:rPr>
          <w:rFonts w:ascii="Arial" w:hAnsi="Arial" w:cs="Arial"/>
          <w:color w:val="58595B"/>
          <w:sz w:val="36"/>
          <w:szCs w:val="36"/>
        </w:rPr>
        <w:t>By signing below, I confirm that the work/evidence presented is my own, unaided work. I understand the regulations pertaining to candidate malpractice and the action that may be taken as a result.</w:t>
      </w:r>
    </w:p>
    <w:p w14:paraId="1B6082EA" w14:textId="77777777" w:rsidR="00800338" w:rsidRPr="007C5947" w:rsidRDefault="00800338" w:rsidP="00800338">
      <w:pPr>
        <w:rPr>
          <w:rFonts w:ascii="Arial" w:hAnsi="Arial" w:cs="Arial"/>
          <w:color w:val="58595B"/>
          <w:sz w:val="36"/>
          <w:szCs w:val="36"/>
        </w:rPr>
      </w:pPr>
    </w:p>
    <w:p w14:paraId="608B05E6" w14:textId="77777777" w:rsidR="00800338" w:rsidRPr="007C5947" w:rsidRDefault="00800338" w:rsidP="00800338">
      <w:pPr>
        <w:rPr>
          <w:rFonts w:ascii="Arial" w:hAnsi="Arial" w:cs="Arial"/>
          <w:color w:val="58595B"/>
          <w:sz w:val="36"/>
          <w:szCs w:val="36"/>
        </w:rPr>
      </w:pPr>
      <w:r w:rsidRPr="007C5947">
        <w:rPr>
          <w:rFonts w:ascii="Arial" w:hAnsi="Arial" w:cs="Arial"/>
          <w:color w:val="58595B"/>
          <w:sz w:val="36"/>
          <w:szCs w:val="36"/>
        </w:rPr>
        <w:t>Signed: S Richards</w:t>
      </w:r>
    </w:p>
    <w:p w14:paraId="506E3FEA" w14:textId="1E1C0FB5" w:rsidR="00800338" w:rsidRPr="0074538F" w:rsidRDefault="00800338" w:rsidP="00800338">
      <w:pPr>
        <w:rPr>
          <w:rFonts w:ascii="Arial" w:hAnsi="Arial" w:cs="Arial"/>
          <w:color w:val="58595B"/>
          <w:sz w:val="36"/>
          <w:szCs w:val="36"/>
        </w:rPr>
      </w:pPr>
      <w:r w:rsidRPr="007C5947">
        <w:rPr>
          <w:rFonts w:ascii="Arial" w:hAnsi="Arial" w:cs="Arial"/>
          <w:color w:val="58595B"/>
          <w:sz w:val="36"/>
          <w:szCs w:val="36"/>
        </w:rPr>
        <w:t xml:space="preserve">Date:  </w:t>
      </w:r>
      <w:r w:rsidR="007F7813">
        <w:rPr>
          <w:rFonts w:ascii="Arial" w:hAnsi="Arial" w:cs="Arial"/>
          <w:color w:val="58595B"/>
          <w:sz w:val="36"/>
          <w:szCs w:val="36"/>
        </w:rPr>
        <w:t>5th</w:t>
      </w:r>
      <w:r w:rsidR="00971309">
        <w:rPr>
          <w:rFonts w:ascii="Arial" w:hAnsi="Arial" w:cs="Arial"/>
          <w:color w:val="58595B"/>
          <w:sz w:val="36"/>
          <w:szCs w:val="36"/>
        </w:rPr>
        <w:t xml:space="preserve"> January </w:t>
      </w:r>
      <w:r w:rsidRPr="007C5947">
        <w:rPr>
          <w:rFonts w:ascii="Arial" w:hAnsi="Arial" w:cs="Arial"/>
          <w:color w:val="58595B"/>
          <w:sz w:val="36"/>
          <w:szCs w:val="36"/>
        </w:rPr>
        <w:t>202</w:t>
      </w:r>
      <w:r w:rsidR="00971309">
        <w:rPr>
          <w:rFonts w:ascii="Arial" w:hAnsi="Arial" w:cs="Arial"/>
          <w:color w:val="58595B"/>
          <w:sz w:val="36"/>
          <w:szCs w:val="36"/>
        </w:rPr>
        <w:t>2</w:t>
      </w:r>
    </w:p>
    <w:p w14:paraId="23439F67" w14:textId="77777777" w:rsidR="00800338" w:rsidRDefault="00800338">
      <w:pPr>
        <w:rPr>
          <w:rFonts w:ascii="Arial" w:eastAsia="Calibri" w:hAnsi="Arial" w:cs="Arial"/>
          <w:b/>
          <w:szCs w:val="20"/>
        </w:rPr>
      </w:pPr>
    </w:p>
    <w:p w14:paraId="1BE53F77" w14:textId="77777777" w:rsidR="00800338" w:rsidRDefault="00800338">
      <w:pPr>
        <w:rPr>
          <w:rFonts w:ascii="Arial" w:eastAsia="Calibri" w:hAnsi="Arial" w:cs="Arial"/>
          <w:b/>
          <w:szCs w:val="20"/>
        </w:rPr>
      </w:pPr>
      <w:r>
        <w:rPr>
          <w:rFonts w:cs="Arial"/>
          <w:b/>
          <w:szCs w:val="20"/>
        </w:rPr>
        <w:br w:type="page"/>
      </w:r>
    </w:p>
    <w:p w14:paraId="2A76AB41" w14:textId="77777777" w:rsidR="006E4C13" w:rsidRDefault="006E4C13" w:rsidP="00DC54E8">
      <w:pPr>
        <w:ind w:left="357"/>
        <w:rPr>
          <w:rFonts w:ascii="Arial" w:hAnsi="Arial" w:cs="Arial"/>
        </w:rPr>
      </w:pPr>
    </w:p>
    <w:p w14:paraId="71993560" w14:textId="77777777" w:rsidR="0080711D" w:rsidRPr="0080711D" w:rsidRDefault="00971309" w:rsidP="00B0415F">
      <w:pPr>
        <w:rPr>
          <w:rFonts w:ascii="Arial" w:hAnsi="Arial" w:cs="Arial"/>
          <w:b/>
          <w:bCs/>
        </w:rPr>
      </w:pPr>
      <w:r w:rsidRPr="0080711D">
        <w:rPr>
          <w:rFonts w:ascii="Arial" w:hAnsi="Arial" w:cs="Arial"/>
          <w:b/>
          <w:bCs/>
        </w:rPr>
        <w:t xml:space="preserve">Learning Objective 1 </w:t>
      </w:r>
      <w:r w:rsidR="0080711D" w:rsidRPr="0080711D">
        <w:rPr>
          <w:rFonts w:ascii="Arial" w:hAnsi="Arial" w:cs="Arial"/>
          <w:b/>
          <w:bCs/>
        </w:rPr>
        <w:t>–</w:t>
      </w:r>
      <w:r w:rsidRPr="0080711D">
        <w:rPr>
          <w:rFonts w:ascii="Arial" w:hAnsi="Arial" w:cs="Arial"/>
          <w:b/>
          <w:bCs/>
        </w:rPr>
        <w:t xml:space="preserve"> </w:t>
      </w:r>
      <w:r w:rsidR="0080711D" w:rsidRPr="0080711D">
        <w:rPr>
          <w:rFonts w:ascii="Arial" w:hAnsi="Arial" w:cs="Arial"/>
          <w:b/>
          <w:bCs/>
        </w:rPr>
        <w:t>Theoretical approaches to employment relations</w:t>
      </w:r>
    </w:p>
    <w:p w14:paraId="5BE9F2FA" w14:textId="77777777" w:rsidR="0080711D" w:rsidRPr="0080711D" w:rsidRDefault="0080711D" w:rsidP="00B0415F">
      <w:pPr>
        <w:rPr>
          <w:rFonts w:ascii="Arial" w:hAnsi="Arial" w:cs="Arial"/>
          <w:i/>
          <w:iCs/>
        </w:rPr>
      </w:pPr>
    </w:p>
    <w:p w14:paraId="14B2A49B" w14:textId="664BA386" w:rsidR="0080711D" w:rsidRPr="00392DDF" w:rsidRDefault="00392DDF" w:rsidP="00B0415F">
      <w:pPr>
        <w:rPr>
          <w:rFonts w:ascii="Arial" w:hAnsi="Arial" w:cs="Arial"/>
        </w:rPr>
      </w:pPr>
      <w:r w:rsidRPr="00392DDF">
        <w:rPr>
          <w:rFonts w:ascii="Arial" w:hAnsi="Arial" w:cs="Arial"/>
        </w:rPr>
        <w:t>1.1</w:t>
      </w:r>
      <w:r w:rsidRPr="00392DDF">
        <w:rPr>
          <w:rFonts w:ascii="Arial" w:hAnsi="Arial" w:cs="Arial"/>
        </w:rPr>
        <w:tab/>
      </w:r>
      <w:r w:rsidRPr="00392DDF">
        <w:rPr>
          <w:rFonts w:ascii="Arial" w:hAnsi="Arial" w:cs="Arial"/>
          <w:u w:val="single"/>
        </w:rPr>
        <w:t>E</w:t>
      </w:r>
      <w:r w:rsidR="0080711D" w:rsidRPr="00392DDF">
        <w:rPr>
          <w:rFonts w:ascii="Arial" w:hAnsi="Arial" w:cs="Arial"/>
          <w:u w:val="single"/>
        </w:rPr>
        <w:t>mployment relations and</w:t>
      </w:r>
      <w:r w:rsidRPr="00392DDF">
        <w:rPr>
          <w:rFonts w:ascii="Arial" w:hAnsi="Arial" w:cs="Arial"/>
          <w:u w:val="single"/>
        </w:rPr>
        <w:t xml:space="preserve"> </w:t>
      </w:r>
      <w:r w:rsidR="0080711D" w:rsidRPr="00392DDF">
        <w:rPr>
          <w:rFonts w:ascii="Arial" w:hAnsi="Arial" w:cs="Arial"/>
          <w:u w:val="single"/>
        </w:rPr>
        <w:t>the indeterminate nature of employment relations</w:t>
      </w:r>
    </w:p>
    <w:p w14:paraId="7939CA95" w14:textId="21B1CCDC" w:rsidR="00C419DD" w:rsidRDefault="00DF56E9" w:rsidP="00301C0F">
      <w:pPr>
        <w:ind w:firstLine="720"/>
        <w:rPr>
          <w:rFonts w:ascii="Arial" w:hAnsi="Arial" w:cs="Arial"/>
        </w:rPr>
      </w:pPr>
      <w:r>
        <w:rPr>
          <w:rFonts w:ascii="Arial" w:hAnsi="Arial" w:cs="Arial"/>
        </w:rPr>
        <w:t>Ellis (2016) offers two definitions of employee relations:</w:t>
      </w:r>
    </w:p>
    <w:p w14:paraId="3D0CD4BC" w14:textId="3EB05B8A" w:rsidR="00DF56E9" w:rsidRDefault="00DF56E9" w:rsidP="00231CFD">
      <w:pPr>
        <w:pStyle w:val="ListParagraph"/>
        <w:numPr>
          <w:ilvl w:val="0"/>
          <w:numId w:val="1"/>
        </w:numPr>
        <w:contextualSpacing w:val="0"/>
        <w:rPr>
          <w:rFonts w:cs="Arial"/>
        </w:rPr>
      </w:pPr>
      <w:r>
        <w:rPr>
          <w:rFonts w:cs="Arial"/>
        </w:rPr>
        <w:t xml:space="preserve">A regulatory focus </w:t>
      </w:r>
      <w:r w:rsidR="006D7DBD">
        <w:rPr>
          <w:rFonts w:cs="Arial"/>
        </w:rPr>
        <w:t>i.e. ‘t</w:t>
      </w:r>
      <w:r>
        <w:rPr>
          <w:rFonts w:cs="Arial"/>
        </w:rPr>
        <w:t>o establish rules, regulations and agreements to regulate the employment relationship’ (Gennard and Judge, 2010, p225); and</w:t>
      </w:r>
    </w:p>
    <w:p w14:paraId="485475B5" w14:textId="2B5AA614" w:rsidR="00DF56E9" w:rsidRPr="00DF56E9" w:rsidRDefault="006D7DBD" w:rsidP="00231CFD">
      <w:pPr>
        <w:pStyle w:val="ListParagraph"/>
        <w:numPr>
          <w:ilvl w:val="0"/>
          <w:numId w:val="1"/>
        </w:numPr>
        <w:contextualSpacing w:val="0"/>
        <w:rPr>
          <w:rFonts w:cs="Arial"/>
        </w:rPr>
      </w:pPr>
      <w:r>
        <w:rPr>
          <w:rFonts w:cs="Arial"/>
        </w:rPr>
        <w:t xml:space="preserve">A contemporary focus i.e. ‘to establish </w:t>
      </w:r>
      <w:r w:rsidR="00231CFD">
        <w:rPr>
          <w:rFonts w:cs="Arial"/>
        </w:rPr>
        <w:t>trust-based</w:t>
      </w:r>
      <w:r>
        <w:rPr>
          <w:rFonts w:cs="Arial"/>
        </w:rPr>
        <w:t xml:space="preserve"> relationships’ between employees and line mangers as well as with groups of employees. Employee relations is about ensuring that relationships are managed transparently and within the law. (CIPD, 2021)</w:t>
      </w:r>
    </w:p>
    <w:p w14:paraId="52CBC170" w14:textId="212250E9" w:rsidR="00392DDF" w:rsidRDefault="00392DDF" w:rsidP="00301C0F">
      <w:pPr>
        <w:ind w:left="720"/>
        <w:rPr>
          <w:rFonts w:ascii="Arial" w:hAnsi="Arial" w:cs="Arial"/>
        </w:rPr>
      </w:pPr>
    </w:p>
    <w:p w14:paraId="146F2A55" w14:textId="02CDF384" w:rsidR="00372CB0" w:rsidRDefault="00372CB0" w:rsidP="00301C0F">
      <w:pPr>
        <w:ind w:left="720"/>
        <w:rPr>
          <w:rFonts w:ascii="Arial" w:hAnsi="Arial" w:cs="Arial"/>
        </w:rPr>
      </w:pPr>
      <w:r>
        <w:rPr>
          <w:rFonts w:ascii="Arial" w:hAnsi="Arial" w:cs="Arial"/>
        </w:rPr>
        <w:t>Historically, employee relations comprised the relationship between organisations and trade unions (Ellis, 2016, p99); however, the transition from the manufacturing industry to a service-based industry and technological advances that enable international trade over the last 70 years (CIPD, 2013), employee relations have become more complex.</w:t>
      </w:r>
    </w:p>
    <w:p w14:paraId="3203B11F" w14:textId="52AEC582" w:rsidR="00C11F16" w:rsidRDefault="00C11F16" w:rsidP="00301C0F">
      <w:pPr>
        <w:ind w:left="720"/>
        <w:rPr>
          <w:rFonts w:ascii="Arial" w:hAnsi="Arial" w:cs="Arial"/>
        </w:rPr>
      </w:pPr>
    </w:p>
    <w:p w14:paraId="15DBF581" w14:textId="20BBC3AE" w:rsidR="00C11F16" w:rsidRDefault="00C11F16" w:rsidP="00301C0F">
      <w:pPr>
        <w:ind w:left="720"/>
        <w:rPr>
          <w:rFonts w:ascii="Arial" w:hAnsi="Arial" w:cs="Arial"/>
        </w:rPr>
      </w:pPr>
      <w:r>
        <w:rPr>
          <w:rFonts w:ascii="Arial" w:hAnsi="Arial" w:cs="Arial"/>
        </w:rPr>
        <w:t xml:space="preserve">The legislative framework, including the employment contract, set out the formal basis for the employee / employer relationship at an individual level (CIPD, 2021).  </w:t>
      </w:r>
    </w:p>
    <w:p w14:paraId="12B1CE13" w14:textId="427BF671" w:rsidR="00372CB0" w:rsidRPr="00301C0F" w:rsidRDefault="00C11F16" w:rsidP="00301C0F">
      <w:pPr>
        <w:ind w:left="720"/>
        <w:rPr>
          <w:rFonts w:ascii="Arial" w:hAnsi="Arial" w:cs="Arial"/>
        </w:rPr>
      </w:pPr>
      <w:r>
        <w:rPr>
          <w:rFonts w:ascii="Arial" w:hAnsi="Arial" w:cs="Arial"/>
        </w:rPr>
        <w:t>However, s</w:t>
      </w:r>
      <w:r w:rsidR="00372CB0" w:rsidRPr="00301C0F">
        <w:rPr>
          <w:rFonts w:ascii="Arial" w:hAnsi="Arial" w:cs="Arial"/>
        </w:rPr>
        <w:t xml:space="preserve">ocial, economic and political factors can </w:t>
      </w:r>
      <w:r>
        <w:rPr>
          <w:rFonts w:ascii="Arial" w:hAnsi="Arial" w:cs="Arial"/>
        </w:rPr>
        <w:t xml:space="preserve">influence individual </w:t>
      </w:r>
      <w:r w:rsidR="00372CB0" w:rsidRPr="00301C0F">
        <w:rPr>
          <w:rFonts w:ascii="Arial" w:hAnsi="Arial" w:cs="Arial"/>
        </w:rPr>
        <w:t xml:space="preserve">employee relations (Picincu, 2019). </w:t>
      </w:r>
      <w:r w:rsidR="00301C0F" w:rsidRPr="00301C0F">
        <w:rPr>
          <w:rFonts w:ascii="Arial" w:hAnsi="Arial" w:cs="Arial"/>
        </w:rPr>
        <w:t>Globalisation and advance</w:t>
      </w:r>
      <w:r w:rsidR="00301C0F">
        <w:rPr>
          <w:rFonts w:ascii="Arial" w:hAnsi="Arial" w:cs="Arial"/>
        </w:rPr>
        <w:t>s</w:t>
      </w:r>
      <w:r w:rsidR="00301C0F" w:rsidRPr="00301C0F">
        <w:rPr>
          <w:rFonts w:ascii="Arial" w:hAnsi="Arial" w:cs="Arial"/>
        </w:rPr>
        <w:t xml:space="preserve"> in technology have offered employees much more flexibility in terms of where and when they work, but </w:t>
      </w:r>
      <w:r w:rsidR="00301C0F">
        <w:rPr>
          <w:rFonts w:ascii="Arial" w:hAnsi="Arial" w:cs="Arial"/>
        </w:rPr>
        <w:t>the implications of</w:t>
      </w:r>
      <w:r w:rsidR="00301C0F" w:rsidRPr="00301C0F">
        <w:rPr>
          <w:rFonts w:ascii="Arial" w:hAnsi="Arial" w:cs="Arial"/>
        </w:rPr>
        <w:t xml:space="preserve"> becoming more available </w:t>
      </w:r>
      <w:r w:rsidR="00301C0F">
        <w:rPr>
          <w:rFonts w:ascii="Arial" w:hAnsi="Arial" w:cs="Arial"/>
        </w:rPr>
        <w:t xml:space="preserve">can negatively affect </w:t>
      </w:r>
      <w:r w:rsidR="00301C0F" w:rsidRPr="00301C0F">
        <w:rPr>
          <w:rFonts w:ascii="Arial" w:hAnsi="Arial" w:cs="Arial"/>
        </w:rPr>
        <w:t>work-life balance and wellbeing</w:t>
      </w:r>
      <w:r>
        <w:rPr>
          <w:rFonts w:ascii="Arial" w:hAnsi="Arial" w:cs="Arial"/>
        </w:rPr>
        <w:t xml:space="preserve"> and ultimately impact on employee relations</w:t>
      </w:r>
      <w:r w:rsidR="00301C0F" w:rsidRPr="00301C0F">
        <w:rPr>
          <w:rFonts w:ascii="Arial" w:hAnsi="Arial" w:cs="Arial"/>
        </w:rPr>
        <w:t xml:space="preserve">. </w:t>
      </w:r>
    </w:p>
    <w:p w14:paraId="2E038C72" w14:textId="28AA264B" w:rsidR="00301C0F" w:rsidRDefault="00301C0F" w:rsidP="00301C0F">
      <w:pPr>
        <w:rPr>
          <w:rFonts w:ascii="Arial" w:hAnsi="Arial" w:cs="Arial"/>
          <w:color w:val="FF0000"/>
        </w:rPr>
      </w:pPr>
    </w:p>
    <w:p w14:paraId="773D4C6B" w14:textId="050AE90F" w:rsidR="00372CB0" w:rsidRPr="004A1680" w:rsidRDefault="001C0E22" w:rsidP="00392DDF">
      <w:pPr>
        <w:ind w:left="720"/>
        <w:rPr>
          <w:rFonts w:ascii="Arial" w:hAnsi="Arial" w:cs="Arial"/>
        </w:rPr>
      </w:pPr>
      <w:r w:rsidRPr="004A1680">
        <w:rPr>
          <w:rFonts w:ascii="Arial" w:hAnsi="Arial" w:cs="Arial"/>
        </w:rPr>
        <w:t xml:space="preserve">Whilst the employment contract can set out the expectations of employees, it does not specify the level of effort required and the subsequent rewards that </w:t>
      </w:r>
      <w:r w:rsidR="004A1680" w:rsidRPr="004A1680">
        <w:rPr>
          <w:rFonts w:ascii="Arial" w:hAnsi="Arial" w:cs="Arial"/>
        </w:rPr>
        <w:t>can depend on and shape the</w:t>
      </w:r>
      <w:r w:rsidRPr="004A1680">
        <w:rPr>
          <w:rFonts w:ascii="Arial" w:hAnsi="Arial" w:cs="Arial"/>
        </w:rPr>
        <w:t xml:space="preserve"> employment relationship. </w:t>
      </w:r>
      <w:r w:rsidR="00B004C9" w:rsidRPr="004A1680">
        <w:rPr>
          <w:rFonts w:ascii="Arial" w:hAnsi="Arial" w:cs="Arial"/>
        </w:rPr>
        <w:t>Colling and Terry (2010) refer to th</w:t>
      </w:r>
      <w:r w:rsidRPr="004A1680">
        <w:rPr>
          <w:rFonts w:ascii="Arial" w:hAnsi="Arial" w:cs="Arial"/>
        </w:rPr>
        <w:t>is as th</w:t>
      </w:r>
      <w:r w:rsidR="00B004C9" w:rsidRPr="004A1680">
        <w:rPr>
          <w:rFonts w:ascii="Arial" w:hAnsi="Arial" w:cs="Arial"/>
        </w:rPr>
        <w:t>e indeterminate nature of employment relations</w:t>
      </w:r>
      <w:r w:rsidRPr="004A1680">
        <w:rPr>
          <w:rFonts w:ascii="Arial" w:hAnsi="Arial" w:cs="Arial"/>
        </w:rPr>
        <w:t>.</w:t>
      </w:r>
    </w:p>
    <w:p w14:paraId="15B17EF5" w14:textId="77777777" w:rsidR="00B004C9" w:rsidRDefault="00B004C9" w:rsidP="00392DDF">
      <w:pPr>
        <w:ind w:left="720"/>
        <w:rPr>
          <w:rFonts w:ascii="Arial" w:hAnsi="Arial" w:cs="Arial"/>
          <w:color w:val="FF0000"/>
        </w:rPr>
      </w:pPr>
    </w:p>
    <w:p w14:paraId="5590D507" w14:textId="07FFE68A" w:rsidR="001C0E22" w:rsidRDefault="001C0E22" w:rsidP="001C0E22">
      <w:pPr>
        <w:ind w:left="720"/>
        <w:rPr>
          <w:rFonts w:ascii="Arial" w:hAnsi="Arial" w:cs="Arial"/>
        </w:rPr>
      </w:pPr>
      <w:r w:rsidRPr="005E1409">
        <w:rPr>
          <w:rFonts w:ascii="Arial" w:hAnsi="Arial" w:cs="Arial"/>
        </w:rPr>
        <w:t>Whilst the more traditional approach of collective bargaining through union activity has declined in recent years (</w:t>
      </w:r>
      <w:r w:rsidRPr="005E1409">
        <w:rPr>
          <w:rFonts w:ascii="Arial" w:hAnsi="Arial" w:cs="Arial"/>
        </w:rPr>
        <w:tab/>
        <w:t>Marchington &amp; Wilkinson, 2008), Faragher’s article (2019) suggests that employees are becoming more politically motivated, with social media enabling a growth in social activism, offering employees an alternative platform to take collective action.</w:t>
      </w:r>
    </w:p>
    <w:p w14:paraId="7F3BF5D3" w14:textId="3A529A9C" w:rsidR="00482371" w:rsidRDefault="00482371" w:rsidP="001C0E22">
      <w:pPr>
        <w:ind w:left="720"/>
        <w:rPr>
          <w:rFonts w:ascii="Arial" w:hAnsi="Arial" w:cs="Arial"/>
        </w:rPr>
      </w:pPr>
    </w:p>
    <w:p w14:paraId="0E022F5D" w14:textId="2DC98BF5" w:rsidR="00482371" w:rsidRPr="005E1409" w:rsidRDefault="00482371" w:rsidP="001C0E22">
      <w:pPr>
        <w:ind w:left="720"/>
        <w:rPr>
          <w:rFonts w:ascii="Arial" w:hAnsi="Arial" w:cs="Arial"/>
        </w:rPr>
      </w:pPr>
      <w:r>
        <w:rPr>
          <w:rFonts w:ascii="Arial" w:hAnsi="Arial" w:cs="Arial"/>
        </w:rPr>
        <w:t xml:space="preserve">Employment relations can be influenced by many external factors. Adams (2017, p5) cites </w:t>
      </w:r>
      <w:r w:rsidR="00231CFD">
        <w:rPr>
          <w:rFonts w:ascii="Arial" w:hAnsi="Arial" w:cs="Arial"/>
        </w:rPr>
        <w:t xml:space="preserve">the </w:t>
      </w:r>
      <w:r>
        <w:rPr>
          <w:rFonts w:ascii="Arial" w:hAnsi="Arial" w:cs="Arial"/>
        </w:rPr>
        <w:t xml:space="preserve">‘VUCA’ (Volatile, uncertain, Complex and Ambiguous) </w:t>
      </w:r>
      <w:r w:rsidR="00231CFD">
        <w:rPr>
          <w:rFonts w:ascii="Arial" w:hAnsi="Arial" w:cs="Arial"/>
        </w:rPr>
        <w:t>environment as a driver for organisations to adapt to complex and fast-paced change. Adams suggests that ‘the old style of relationship’ organisations have with their employees is no longer relevant.</w:t>
      </w:r>
    </w:p>
    <w:p w14:paraId="4309F9D6" w14:textId="77777777" w:rsidR="00392DDF" w:rsidRDefault="00392DDF" w:rsidP="00392DDF">
      <w:pPr>
        <w:rPr>
          <w:rFonts w:ascii="Arial" w:hAnsi="Arial" w:cs="Arial"/>
          <w:i/>
          <w:iCs/>
        </w:rPr>
      </w:pPr>
    </w:p>
    <w:p w14:paraId="1588B9AE" w14:textId="71354651" w:rsidR="00392DDF" w:rsidRPr="00392DDF" w:rsidRDefault="00392DDF" w:rsidP="00392DDF">
      <w:pPr>
        <w:rPr>
          <w:rFonts w:ascii="Arial" w:hAnsi="Arial" w:cs="Arial"/>
        </w:rPr>
      </w:pPr>
      <w:r w:rsidRPr="00392DDF">
        <w:rPr>
          <w:rFonts w:ascii="Arial" w:hAnsi="Arial" w:cs="Arial"/>
        </w:rPr>
        <w:t>1.2</w:t>
      </w:r>
      <w:r w:rsidRPr="00392DDF">
        <w:rPr>
          <w:rFonts w:ascii="Arial" w:hAnsi="Arial" w:cs="Arial"/>
        </w:rPr>
        <w:tab/>
      </w:r>
      <w:r w:rsidRPr="00392DDF">
        <w:rPr>
          <w:rFonts w:ascii="Arial" w:hAnsi="Arial" w:cs="Arial"/>
          <w:u w:val="single"/>
        </w:rPr>
        <w:t>Unitarist and pluralist approaches to employment relations</w:t>
      </w:r>
    </w:p>
    <w:p w14:paraId="39480979" w14:textId="77777777" w:rsidR="00392DDF" w:rsidRDefault="00392DDF" w:rsidP="00392DDF">
      <w:pPr>
        <w:rPr>
          <w:rFonts w:ascii="Arial" w:hAnsi="Arial" w:cs="Arial"/>
        </w:rPr>
      </w:pPr>
    </w:p>
    <w:p w14:paraId="37D6669C" w14:textId="55812E0D" w:rsidR="009948B0" w:rsidRPr="006058F2" w:rsidRDefault="00A942AD" w:rsidP="002E1DA5">
      <w:pPr>
        <w:ind w:left="720"/>
        <w:rPr>
          <w:rFonts w:ascii="Arial" w:hAnsi="Arial" w:cs="Arial"/>
          <w:color w:val="FF0000"/>
        </w:rPr>
      </w:pPr>
      <w:r>
        <w:rPr>
          <w:rFonts w:ascii="Arial" w:hAnsi="Arial" w:cs="Arial"/>
        </w:rPr>
        <w:t>Ellis (2016, p101) points to</w:t>
      </w:r>
      <w:r w:rsidR="004A60A3">
        <w:rPr>
          <w:rFonts w:ascii="Arial" w:hAnsi="Arial" w:cs="Arial"/>
        </w:rPr>
        <w:t xml:space="preserve"> Fox</w:t>
      </w:r>
      <w:r>
        <w:rPr>
          <w:rFonts w:ascii="Arial" w:hAnsi="Arial" w:cs="Arial"/>
        </w:rPr>
        <w:t>’s suggestion back in the1960s</w:t>
      </w:r>
      <w:r w:rsidR="004A60A3">
        <w:rPr>
          <w:rFonts w:ascii="Arial" w:hAnsi="Arial" w:cs="Arial"/>
        </w:rPr>
        <w:t xml:space="preserve"> </w:t>
      </w:r>
      <w:r>
        <w:rPr>
          <w:rFonts w:ascii="Arial" w:hAnsi="Arial" w:cs="Arial"/>
        </w:rPr>
        <w:t xml:space="preserve">that there are two approaches to employment relations from a manager’s perspective - </w:t>
      </w:r>
      <w:r w:rsidR="004A60A3">
        <w:rPr>
          <w:rFonts w:ascii="Arial" w:hAnsi="Arial" w:cs="Arial"/>
        </w:rPr>
        <w:t xml:space="preserve">unitarist </w:t>
      </w:r>
      <w:r>
        <w:rPr>
          <w:rFonts w:ascii="Arial" w:hAnsi="Arial" w:cs="Arial"/>
        </w:rPr>
        <w:t>or</w:t>
      </w:r>
      <w:r w:rsidR="004A60A3">
        <w:rPr>
          <w:rFonts w:ascii="Arial" w:hAnsi="Arial" w:cs="Arial"/>
        </w:rPr>
        <w:t xml:space="preserve"> pluralist</w:t>
      </w:r>
      <w:r>
        <w:rPr>
          <w:rFonts w:ascii="Arial" w:hAnsi="Arial" w:cs="Arial"/>
        </w:rPr>
        <w:t xml:space="preserve">. Fox describes a unitarist approach as one where all parties in the </w:t>
      </w:r>
      <w:r w:rsidRPr="006058F2">
        <w:rPr>
          <w:rFonts w:ascii="Arial" w:hAnsi="Arial" w:cs="Arial"/>
        </w:rPr>
        <w:t xml:space="preserve">employment relationship work collectively to achieve common goals – a united team. </w:t>
      </w:r>
    </w:p>
    <w:p w14:paraId="10CC0F4F" w14:textId="13CF048C" w:rsidR="009948B0" w:rsidRPr="009A739F" w:rsidRDefault="006058F2" w:rsidP="002E1DA5">
      <w:pPr>
        <w:ind w:left="720"/>
        <w:rPr>
          <w:rFonts w:ascii="Arial" w:hAnsi="Arial" w:cs="Arial"/>
          <w:color w:val="FF0000"/>
        </w:rPr>
      </w:pPr>
      <w:r w:rsidRPr="006058F2">
        <w:rPr>
          <w:rFonts w:ascii="Arial" w:hAnsi="Arial" w:cs="Arial"/>
        </w:rPr>
        <w:t xml:space="preserve">Trade unionism does not feature in unitarist organisations and Cullinane and Dundon (2012) suggest that union involvement can weaken the employee – employer </w:t>
      </w:r>
      <w:r w:rsidRPr="00512B8A">
        <w:rPr>
          <w:rFonts w:ascii="Arial" w:hAnsi="Arial" w:cs="Arial"/>
        </w:rPr>
        <w:t>relationship as loyalties can become diluted.</w:t>
      </w:r>
      <w:r w:rsidR="009A739F" w:rsidRPr="00512B8A">
        <w:rPr>
          <w:rFonts w:ascii="Arial" w:hAnsi="Arial" w:cs="Arial"/>
        </w:rPr>
        <w:t xml:space="preserve"> </w:t>
      </w:r>
      <w:r w:rsidR="00512B8A" w:rsidRPr="00512B8A">
        <w:rPr>
          <w:rFonts w:ascii="Arial" w:hAnsi="Arial" w:cs="Arial"/>
        </w:rPr>
        <w:t>Amazon are an example of a non-unionised company in the UK. Amazon have previously tried to curb efforts for workers to establish their own union in response to poor working conditions, despite the law allowing for this</w:t>
      </w:r>
      <w:r w:rsidR="00512B8A">
        <w:rPr>
          <w:rFonts w:ascii="Arial" w:hAnsi="Arial" w:cs="Arial"/>
        </w:rPr>
        <w:t xml:space="preserve"> (BBC News, 2021)</w:t>
      </w:r>
      <w:r w:rsidR="00512B8A" w:rsidRPr="00512B8A">
        <w:rPr>
          <w:rFonts w:ascii="Arial" w:hAnsi="Arial" w:cs="Arial"/>
        </w:rPr>
        <w:t xml:space="preserve">. </w:t>
      </w:r>
    </w:p>
    <w:p w14:paraId="23706EBB" w14:textId="77777777" w:rsidR="009948B0" w:rsidRDefault="009948B0" w:rsidP="002E1DA5">
      <w:pPr>
        <w:ind w:left="720"/>
        <w:rPr>
          <w:rFonts w:ascii="Arial" w:hAnsi="Arial" w:cs="Arial"/>
        </w:rPr>
      </w:pPr>
    </w:p>
    <w:p w14:paraId="0FFFE684" w14:textId="37AF0D08" w:rsidR="009A739F" w:rsidRDefault="00E02BF2" w:rsidP="002E1DA5">
      <w:pPr>
        <w:ind w:left="720"/>
        <w:rPr>
          <w:rFonts w:ascii="Arial" w:hAnsi="Arial" w:cs="Arial"/>
        </w:rPr>
      </w:pPr>
      <w:r>
        <w:rPr>
          <w:rFonts w:ascii="Arial" w:hAnsi="Arial" w:cs="Arial"/>
        </w:rPr>
        <w:t>A</w:t>
      </w:r>
      <w:r w:rsidR="00A942AD">
        <w:rPr>
          <w:rFonts w:ascii="Arial" w:hAnsi="Arial" w:cs="Arial"/>
        </w:rPr>
        <w:t xml:space="preserve"> pluralist approach will be characterised </w:t>
      </w:r>
      <w:r>
        <w:rPr>
          <w:rFonts w:ascii="Arial" w:hAnsi="Arial" w:cs="Arial"/>
        </w:rPr>
        <w:t xml:space="preserve">by workers having both similar and different interests to the organisation which can result in tension and conflict, often needing to be resolved through formal procedures. </w:t>
      </w:r>
      <w:r w:rsidR="009948B0">
        <w:rPr>
          <w:rFonts w:ascii="Arial" w:hAnsi="Arial" w:cs="Arial"/>
        </w:rPr>
        <w:t xml:space="preserve">This approach </w:t>
      </w:r>
      <w:r w:rsidR="002E1DA5">
        <w:rPr>
          <w:rFonts w:ascii="Arial" w:hAnsi="Arial" w:cs="Arial"/>
        </w:rPr>
        <w:t xml:space="preserve">can be </w:t>
      </w:r>
      <w:r w:rsidR="009948B0">
        <w:rPr>
          <w:rFonts w:ascii="Arial" w:hAnsi="Arial" w:cs="Arial"/>
        </w:rPr>
        <w:t>beneficial</w:t>
      </w:r>
      <w:r w:rsidR="002E1DA5">
        <w:rPr>
          <w:rFonts w:ascii="Arial" w:hAnsi="Arial" w:cs="Arial"/>
        </w:rPr>
        <w:t xml:space="preserve"> in that in resolving issues, organisations need to engage and listen to workers to problem-solve in partnership (Bingham, 2016, p37).</w:t>
      </w:r>
      <w:r w:rsidR="009948B0">
        <w:rPr>
          <w:rFonts w:ascii="Arial" w:hAnsi="Arial" w:cs="Arial"/>
        </w:rPr>
        <w:t xml:space="preserve"> </w:t>
      </w:r>
      <w:r w:rsidR="009A739F">
        <w:rPr>
          <w:rFonts w:ascii="Arial" w:hAnsi="Arial" w:cs="Arial"/>
        </w:rPr>
        <w:t>Unions are often a third-party in a pluralist organisation, acting a mediator between employees and employers (Leonard, 2019).</w:t>
      </w:r>
      <w:r w:rsidR="00A86F9F">
        <w:rPr>
          <w:rFonts w:ascii="Arial" w:hAnsi="Arial" w:cs="Arial"/>
        </w:rPr>
        <w:t xml:space="preserve"> The National Health Service is a heavily unionised body in the UK, often supporting action to oppose the government’s proposed pay rise, no more so than recently with the unprecedented demands of the pandemic on healthcare workers (The Guardian, 2021).</w:t>
      </w:r>
    </w:p>
    <w:p w14:paraId="61AB92B0" w14:textId="77777777" w:rsidR="009A739F" w:rsidRDefault="009A739F" w:rsidP="002E1DA5">
      <w:pPr>
        <w:ind w:left="720"/>
        <w:rPr>
          <w:rFonts w:ascii="Arial" w:hAnsi="Arial" w:cs="Arial"/>
        </w:rPr>
      </w:pPr>
    </w:p>
    <w:p w14:paraId="3DF08ACA" w14:textId="1DE2E085" w:rsidR="00BB7CE5" w:rsidRPr="00BB7CE5" w:rsidRDefault="00BB7CE5" w:rsidP="002E1DA5">
      <w:pPr>
        <w:ind w:left="720"/>
        <w:rPr>
          <w:rFonts w:ascii="Arial" w:hAnsi="Arial" w:cs="Arial"/>
        </w:rPr>
      </w:pPr>
      <w:r w:rsidRPr="00BB7CE5">
        <w:rPr>
          <w:rFonts w:ascii="Arial" w:hAnsi="Arial" w:cs="Arial"/>
        </w:rPr>
        <w:t>In addition to these two</w:t>
      </w:r>
      <w:r w:rsidR="00646AA4">
        <w:rPr>
          <w:rFonts w:ascii="Arial" w:hAnsi="Arial" w:cs="Arial"/>
        </w:rPr>
        <w:t xml:space="preserve"> more</w:t>
      </w:r>
      <w:r w:rsidRPr="00BB7CE5">
        <w:rPr>
          <w:rFonts w:ascii="Arial" w:hAnsi="Arial" w:cs="Arial"/>
        </w:rPr>
        <w:t xml:space="preserve"> traditional perspectives on employment relationships, Ellis (2016, p102) offers two alternative approaches:</w:t>
      </w:r>
    </w:p>
    <w:p w14:paraId="4E5FB5D2" w14:textId="4FBCBE37" w:rsidR="00BB7CE5" w:rsidRDefault="00BB7CE5" w:rsidP="00231CFD">
      <w:pPr>
        <w:pStyle w:val="ListParagraph"/>
        <w:numPr>
          <w:ilvl w:val="0"/>
          <w:numId w:val="2"/>
        </w:numPr>
        <w:rPr>
          <w:rFonts w:cs="Arial"/>
        </w:rPr>
      </w:pPr>
      <w:r w:rsidRPr="00BB7CE5">
        <w:rPr>
          <w:rFonts w:cs="Arial"/>
        </w:rPr>
        <w:t>E</w:t>
      </w:r>
      <w:r w:rsidR="00BC5429" w:rsidRPr="00BB7CE5">
        <w:rPr>
          <w:rFonts w:cs="Arial"/>
        </w:rPr>
        <w:t>conomic</w:t>
      </w:r>
      <w:r w:rsidRPr="00BB7CE5">
        <w:rPr>
          <w:rFonts w:cs="Arial"/>
        </w:rPr>
        <w:t xml:space="preserve"> –a transactional relationship where employees work to earn a financial return. </w:t>
      </w:r>
      <w:r>
        <w:rPr>
          <w:rFonts w:cs="Arial"/>
        </w:rPr>
        <w:t xml:space="preserve">However, whilst </w:t>
      </w:r>
      <w:r w:rsidR="00646AA4">
        <w:rPr>
          <w:rFonts w:cs="Arial"/>
        </w:rPr>
        <w:t>remuneration is important, employee relations are important in terms of productivity, motivation and wellbeing (Brown, 2008).</w:t>
      </w:r>
    </w:p>
    <w:p w14:paraId="0AA33AA7" w14:textId="6FCCD032" w:rsidR="00646AA4" w:rsidRPr="00362870" w:rsidRDefault="00BB7CE5" w:rsidP="00231CFD">
      <w:pPr>
        <w:pStyle w:val="ListParagraph"/>
        <w:numPr>
          <w:ilvl w:val="0"/>
          <w:numId w:val="2"/>
        </w:numPr>
        <w:rPr>
          <w:rFonts w:cs="Arial"/>
        </w:rPr>
      </w:pPr>
      <w:r w:rsidRPr="00362870">
        <w:rPr>
          <w:rFonts w:cs="Arial"/>
        </w:rPr>
        <w:t>P</w:t>
      </w:r>
      <w:r w:rsidR="00BC5429" w:rsidRPr="00362870">
        <w:rPr>
          <w:rFonts w:cs="Arial"/>
        </w:rPr>
        <w:t>sychological</w:t>
      </w:r>
      <w:r w:rsidRPr="00362870">
        <w:rPr>
          <w:rFonts w:cs="Arial"/>
        </w:rPr>
        <w:t xml:space="preserve"> contract</w:t>
      </w:r>
      <w:r w:rsidR="00646AA4" w:rsidRPr="00362870">
        <w:rPr>
          <w:rFonts w:cs="Arial"/>
        </w:rPr>
        <w:t xml:space="preserve"> – in contrast to the economic approach, this focuses on the perceptions of both parties in terms of their </w:t>
      </w:r>
      <w:r w:rsidR="00362870" w:rsidRPr="00362870">
        <w:rPr>
          <w:rFonts w:cs="Arial"/>
        </w:rPr>
        <w:t xml:space="preserve">mutual </w:t>
      </w:r>
      <w:r w:rsidR="00646AA4" w:rsidRPr="00362870">
        <w:rPr>
          <w:rFonts w:cs="Arial"/>
        </w:rPr>
        <w:t>expectations, beliefs, asp</w:t>
      </w:r>
      <w:r w:rsidR="00362870" w:rsidRPr="00362870">
        <w:rPr>
          <w:rFonts w:cs="Arial"/>
        </w:rPr>
        <w:t>i</w:t>
      </w:r>
      <w:r w:rsidR="00646AA4" w:rsidRPr="00362870">
        <w:rPr>
          <w:rFonts w:cs="Arial"/>
        </w:rPr>
        <w:t xml:space="preserve">rations and </w:t>
      </w:r>
      <w:r w:rsidR="00362870" w:rsidRPr="00362870">
        <w:rPr>
          <w:rFonts w:cs="Arial"/>
        </w:rPr>
        <w:t>responsibilities (CIPD, 2021b). Ellis suggests that when the parties share perceptions, the relationship is likely to result in positive outcomes.</w:t>
      </w:r>
    </w:p>
    <w:p w14:paraId="2D31F9A7" w14:textId="714346D2" w:rsidR="006D7DBD" w:rsidRDefault="006D7DBD" w:rsidP="00B0415F">
      <w:pPr>
        <w:rPr>
          <w:rFonts w:ascii="Arial" w:hAnsi="Arial" w:cs="Arial"/>
        </w:rPr>
      </w:pPr>
    </w:p>
    <w:p w14:paraId="7396D938" w14:textId="77777777" w:rsidR="0080711D" w:rsidRPr="0080711D" w:rsidRDefault="0080711D" w:rsidP="00B0415F">
      <w:pPr>
        <w:rPr>
          <w:rFonts w:ascii="Arial" w:hAnsi="Arial" w:cs="Arial"/>
          <w:b/>
          <w:bCs/>
        </w:rPr>
      </w:pPr>
      <w:r w:rsidRPr="0080711D">
        <w:rPr>
          <w:rFonts w:ascii="Arial" w:hAnsi="Arial" w:cs="Arial"/>
          <w:b/>
          <w:bCs/>
        </w:rPr>
        <w:t>Learning Objective 2 – The roles of key parties involved in employment relations</w:t>
      </w:r>
    </w:p>
    <w:p w14:paraId="50DE7DE5" w14:textId="77777777" w:rsidR="0080711D" w:rsidRPr="00362870" w:rsidRDefault="0080711D" w:rsidP="00B0415F">
      <w:pPr>
        <w:rPr>
          <w:rFonts w:ascii="Arial" w:hAnsi="Arial" w:cs="Arial"/>
        </w:rPr>
      </w:pPr>
    </w:p>
    <w:p w14:paraId="3B1FD56B" w14:textId="20FD4915" w:rsidR="0080711D" w:rsidRPr="00362870" w:rsidRDefault="0080711D" w:rsidP="00B0415F">
      <w:pPr>
        <w:rPr>
          <w:rFonts w:ascii="Arial" w:hAnsi="Arial" w:cs="Arial"/>
        </w:rPr>
      </w:pPr>
      <w:r w:rsidRPr="00362870">
        <w:rPr>
          <w:rFonts w:ascii="Arial" w:hAnsi="Arial" w:cs="Arial"/>
        </w:rPr>
        <w:t>2.1</w:t>
      </w:r>
      <w:r w:rsidR="00362870">
        <w:rPr>
          <w:rFonts w:ascii="Arial" w:hAnsi="Arial" w:cs="Arial"/>
        </w:rPr>
        <w:tab/>
      </w:r>
      <w:r w:rsidR="00362870" w:rsidRPr="00362870">
        <w:rPr>
          <w:rFonts w:ascii="Arial" w:hAnsi="Arial" w:cs="Arial"/>
          <w:u w:val="single"/>
        </w:rPr>
        <w:t>T</w:t>
      </w:r>
      <w:r w:rsidRPr="00362870">
        <w:rPr>
          <w:rFonts w:ascii="Arial" w:hAnsi="Arial" w:cs="Arial"/>
          <w:u w:val="single"/>
        </w:rPr>
        <w:t>he purpose and key developments of the trade union movement</w:t>
      </w:r>
    </w:p>
    <w:p w14:paraId="725143BF" w14:textId="4C3827AD" w:rsidR="000160D4" w:rsidRPr="000160D4" w:rsidRDefault="000160D4" w:rsidP="00B32447">
      <w:pPr>
        <w:shd w:val="clear" w:color="auto" w:fill="FFFFFF"/>
        <w:ind w:left="720"/>
        <w:rPr>
          <w:rFonts w:ascii="Arial" w:eastAsia="Times New Roman" w:hAnsi="Arial" w:cs="Arial"/>
          <w:color w:val="0B0C0C"/>
          <w:lang w:eastAsia="en-GB"/>
        </w:rPr>
      </w:pPr>
      <w:r w:rsidRPr="00B32447">
        <w:rPr>
          <w:rFonts w:ascii="Arial" w:eastAsia="Times New Roman" w:hAnsi="Arial" w:cs="Arial"/>
          <w:color w:val="0B0C0C"/>
          <w:lang w:eastAsia="en-GB"/>
        </w:rPr>
        <w:t>In the UK, a</w:t>
      </w:r>
      <w:r w:rsidRPr="000160D4">
        <w:rPr>
          <w:rFonts w:ascii="Arial" w:eastAsia="Times New Roman" w:hAnsi="Arial" w:cs="Arial"/>
          <w:color w:val="0B0C0C"/>
          <w:lang w:eastAsia="en-GB"/>
        </w:rPr>
        <w:t xml:space="preserve"> trade union is an organisation with members who are usually workers or employees</w:t>
      </w:r>
      <w:r w:rsidRPr="00B32447">
        <w:rPr>
          <w:rFonts w:ascii="Arial" w:eastAsia="Times New Roman" w:hAnsi="Arial" w:cs="Arial"/>
          <w:color w:val="0B0C0C"/>
          <w:lang w:eastAsia="en-GB"/>
        </w:rPr>
        <w:t xml:space="preserve"> (Gov.uk, n.d.)</w:t>
      </w:r>
      <w:r w:rsidRPr="000160D4">
        <w:rPr>
          <w:rFonts w:ascii="Arial" w:eastAsia="Times New Roman" w:hAnsi="Arial" w:cs="Arial"/>
          <w:color w:val="0B0C0C"/>
          <w:lang w:eastAsia="en-GB"/>
        </w:rPr>
        <w:t>.</w:t>
      </w:r>
      <w:r w:rsidR="00B32447" w:rsidRPr="00B32447">
        <w:rPr>
          <w:rFonts w:ascii="Arial" w:eastAsia="Times New Roman" w:hAnsi="Arial" w:cs="Arial"/>
          <w:color w:val="0B0C0C"/>
          <w:lang w:eastAsia="en-GB"/>
        </w:rPr>
        <w:t xml:space="preserve"> </w:t>
      </w:r>
      <w:r w:rsidR="007A636E">
        <w:rPr>
          <w:rFonts w:ascii="Arial" w:eastAsia="Times New Roman" w:hAnsi="Arial" w:cs="Arial"/>
          <w:color w:val="0B0C0C"/>
          <w:lang w:eastAsia="en-GB"/>
        </w:rPr>
        <w:t xml:space="preserve">Whilst trade unions may act on behalf of individuals, they generally </w:t>
      </w:r>
      <w:r w:rsidR="006B527B">
        <w:rPr>
          <w:rFonts w:ascii="Arial" w:eastAsia="Times New Roman" w:hAnsi="Arial" w:cs="Arial"/>
          <w:color w:val="0B0C0C"/>
          <w:lang w:eastAsia="en-GB"/>
        </w:rPr>
        <w:t xml:space="preserve">exert more influence on management by </w:t>
      </w:r>
      <w:r w:rsidR="007A636E">
        <w:rPr>
          <w:rFonts w:ascii="Arial" w:eastAsia="Times New Roman" w:hAnsi="Arial" w:cs="Arial"/>
          <w:color w:val="0B0C0C"/>
          <w:lang w:eastAsia="en-GB"/>
        </w:rPr>
        <w:t>act</w:t>
      </w:r>
      <w:r w:rsidR="006B527B">
        <w:rPr>
          <w:rFonts w:ascii="Arial" w:eastAsia="Times New Roman" w:hAnsi="Arial" w:cs="Arial"/>
          <w:color w:val="0B0C0C"/>
          <w:lang w:eastAsia="en-GB"/>
        </w:rPr>
        <w:t>ing</w:t>
      </w:r>
      <w:r w:rsidR="007A636E">
        <w:rPr>
          <w:rFonts w:ascii="Arial" w:eastAsia="Times New Roman" w:hAnsi="Arial" w:cs="Arial"/>
          <w:color w:val="0B0C0C"/>
          <w:lang w:eastAsia="en-GB"/>
        </w:rPr>
        <w:t xml:space="preserve"> </w:t>
      </w:r>
      <w:r w:rsidR="006B527B">
        <w:rPr>
          <w:rFonts w:ascii="Arial" w:eastAsia="Times New Roman" w:hAnsi="Arial" w:cs="Arial"/>
          <w:color w:val="0B0C0C"/>
          <w:lang w:eastAsia="en-GB"/>
        </w:rPr>
        <w:t>collectively on behalf of</w:t>
      </w:r>
      <w:r w:rsidR="007A636E">
        <w:rPr>
          <w:rFonts w:ascii="Arial" w:eastAsia="Times New Roman" w:hAnsi="Arial" w:cs="Arial"/>
          <w:color w:val="0B0C0C"/>
          <w:lang w:eastAsia="en-GB"/>
        </w:rPr>
        <w:t xml:space="preserve"> groups of employees</w:t>
      </w:r>
      <w:r w:rsidR="006B527B">
        <w:rPr>
          <w:rFonts w:ascii="Arial" w:eastAsia="Times New Roman" w:hAnsi="Arial" w:cs="Arial"/>
          <w:color w:val="0B0C0C"/>
          <w:lang w:eastAsia="en-GB"/>
        </w:rPr>
        <w:t xml:space="preserve"> (Ellis, 2016, p105) on issues such as</w:t>
      </w:r>
      <w:r w:rsidR="006B527B" w:rsidRPr="00B32447">
        <w:rPr>
          <w:rFonts w:ascii="Arial" w:eastAsia="Times New Roman" w:hAnsi="Arial" w:cs="Arial"/>
          <w:color w:val="0B0C0C"/>
          <w:lang w:eastAsia="en-GB"/>
        </w:rPr>
        <w:t xml:space="preserve"> </w:t>
      </w:r>
      <w:r w:rsidR="006B527B" w:rsidRPr="000160D4">
        <w:rPr>
          <w:rFonts w:ascii="Arial" w:eastAsia="Times New Roman" w:hAnsi="Arial" w:cs="Arial"/>
          <w:color w:val="0B0C0C"/>
          <w:lang w:eastAsia="en-GB"/>
        </w:rPr>
        <w:t>negotiating pay and conditions</w:t>
      </w:r>
      <w:r w:rsidR="006B527B" w:rsidRPr="00B32447">
        <w:rPr>
          <w:rFonts w:ascii="Arial" w:eastAsia="Times New Roman" w:hAnsi="Arial" w:cs="Arial"/>
          <w:color w:val="0B0C0C"/>
          <w:lang w:eastAsia="en-GB"/>
        </w:rPr>
        <w:t>, redundancy, grievances and disciplinaries with employers</w:t>
      </w:r>
      <w:r w:rsidR="006B527B">
        <w:rPr>
          <w:rFonts w:ascii="Arial" w:eastAsia="Times New Roman" w:hAnsi="Arial" w:cs="Arial"/>
          <w:color w:val="0B0C0C"/>
          <w:lang w:eastAsia="en-GB"/>
        </w:rPr>
        <w:t>, often referred to a ‘collective bargaining’ (Acas, 2014, p9)</w:t>
      </w:r>
      <w:r w:rsidR="006B527B" w:rsidRPr="00B32447">
        <w:rPr>
          <w:rFonts w:ascii="Arial" w:eastAsia="Times New Roman" w:hAnsi="Arial" w:cs="Arial"/>
          <w:color w:val="0B0C0C"/>
          <w:lang w:eastAsia="en-GB"/>
        </w:rPr>
        <w:t>.</w:t>
      </w:r>
    </w:p>
    <w:p w14:paraId="45CC5928" w14:textId="0AB08CCB" w:rsidR="000160D4" w:rsidRDefault="000160D4" w:rsidP="000160D4">
      <w:pPr>
        <w:ind w:left="720"/>
        <w:rPr>
          <w:rFonts w:ascii="Arial" w:hAnsi="Arial" w:cs="Arial"/>
        </w:rPr>
      </w:pPr>
    </w:p>
    <w:p w14:paraId="2F33CE52" w14:textId="7C40D128" w:rsidR="006B527B" w:rsidRDefault="00B32447" w:rsidP="00F16837">
      <w:pPr>
        <w:ind w:left="720"/>
        <w:rPr>
          <w:rFonts w:ascii="Arial" w:hAnsi="Arial" w:cs="Arial"/>
        </w:rPr>
      </w:pPr>
      <w:r>
        <w:rPr>
          <w:rFonts w:ascii="Arial" w:hAnsi="Arial" w:cs="Arial"/>
        </w:rPr>
        <w:t>Trade unions were first</w:t>
      </w:r>
      <w:r w:rsidR="00F16837">
        <w:rPr>
          <w:rFonts w:ascii="Arial" w:hAnsi="Arial" w:cs="Arial"/>
        </w:rPr>
        <w:t xml:space="preserve"> established</w:t>
      </w:r>
      <w:r>
        <w:rPr>
          <w:rFonts w:ascii="Arial" w:hAnsi="Arial" w:cs="Arial"/>
        </w:rPr>
        <w:t xml:space="preserve"> </w:t>
      </w:r>
      <w:r w:rsidR="00F16837">
        <w:rPr>
          <w:rFonts w:ascii="Arial" w:hAnsi="Arial" w:cs="Arial"/>
        </w:rPr>
        <w:t>back in the 17</w:t>
      </w:r>
      <w:r w:rsidR="00F16837" w:rsidRPr="00F16837">
        <w:rPr>
          <w:rFonts w:ascii="Arial" w:hAnsi="Arial" w:cs="Arial"/>
          <w:vertAlign w:val="superscript"/>
        </w:rPr>
        <w:t>th</w:t>
      </w:r>
      <w:r w:rsidR="00F16837">
        <w:rPr>
          <w:rFonts w:ascii="Arial" w:hAnsi="Arial" w:cs="Arial"/>
        </w:rPr>
        <w:t xml:space="preserve"> century</w:t>
      </w:r>
      <w:r w:rsidR="00F16837" w:rsidRPr="00F16837">
        <w:rPr>
          <w:rFonts w:ascii="Arial" w:hAnsi="Arial" w:cs="Arial"/>
        </w:rPr>
        <w:t xml:space="preserve"> </w:t>
      </w:r>
      <w:r w:rsidR="00F16837">
        <w:rPr>
          <w:rFonts w:ascii="Arial" w:hAnsi="Arial" w:cs="Arial"/>
        </w:rPr>
        <w:t xml:space="preserve">by </w:t>
      </w:r>
      <w:r w:rsidR="00F16837" w:rsidRPr="00F16837">
        <w:rPr>
          <w:rFonts w:ascii="Arial" w:hAnsi="Arial" w:cs="Arial"/>
        </w:rPr>
        <w:t xml:space="preserve">workers </w:t>
      </w:r>
      <w:r w:rsidR="00F16837">
        <w:rPr>
          <w:rFonts w:ascii="Arial" w:hAnsi="Arial" w:cs="Arial"/>
        </w:rPr>
        <w:t>campaigning for</w:t>
      </w:r>
      <w:r w:rsidR="00F16837" w:rsidRPr="00F16837">
        <w:rPr>
          <w:rFonts w:ascii="Arial" w:hAnsi="Arial" w:cs="Arial"/>
          <w:color w:val="000000"/>
          <w:shd w:val="clear" w:color="auto" w:fill="FFFFFF"/>
        </w:rPr>
        <w:t xml:space="preserve"> better pay and working conditions</w:t>
      </w:r>
      <w:r w:rsidR="00F16837" w:rsidRPr="00F16837">
        <w:rPr>
          <w:rFonts w:ascii="Arial" w:hAnsi="Arial" w:cs="Arial"/>
        </w:rPr>
        <w:t>.</w:t>
      </w:r>
      <w:r w:rsidR="00F16837">
        <w:rPr>
          <w:rFonts w:ascii="Arial" w:hAnsi="Arial" w:cs="Arial"/>
        </w:rPr>
        <w:t xml:space="preserve"> During the industrial revolution in the 18</w:t>
      </w:r>
      <w:r w:rsidR="00F16837" w:rsidRPr="00F16837">
        <w:rPr>
          <w:rFonts w:ascii="Arial" w:hAnsi="Arial" w:cs="Arial"/>
          <w:vertAlign w:val="superscript"/>
        </w:rPr>
        <w:t>th</w:t>
      </w:r>
      <w:r w:rsidR="00F16837">
        <w:rPr>
          <w:rFonts w:ascii="Arial" w:hAnsi="Arial" w:cs="Arial"/>
        </w:rPr>
        <w:t xml:space="preserve"> century, the government banned industrial action although this was repealed in the early part of the 19</w:t>
      </w:r>
      <w:r w:rsidR="00F16837" w:rsidRPr="00F16837">
        <w:rPr>
          <w:rFonts w:ascii="Arial" w:hAnsi="Arial" w:cs="Arial"/>
          <w:vertAlign w:val="superscript"/>
        </w:rPr>
        <w:t>th</w:t>
      </w:r>
      <w:r w:rsidR="00F16837">
        <w:rPr>
          <w:rFonts w:ascii="Arial" w:hAnsi="Arial" w:cs="Arial"/>
        </w:rPr>
        <w:t xml:space="preserve"> century and trade unions started to be considered as a political force. Trade unions continued to grow prominence in the 19</w:t>
      </w:r>
      <w:r w:rsidR="00F16837" w:rsidRPr="00F16837">
        <w:rPr>
          <w:rFonts w:ascii="Arial" w:hAnsi="Arial" w:cs="Arial"/>
          <w:vertAlign w:val="superscript"/>
        </w:rPr>
        <w:t>th</w:t>
      </w:r>
      <w:r w:rsidR="00F16837">
        <w:rPr>
          <w:rFonts w:ascii="Arial" w:hAnsi="Arial" w:cs="Arial"/>
        </w:rPr>
        <w:t xml:space="preserve"> and 20</w:t>
      </w:r>
      <w:r w:rsidR="00F16837" w:rsidRPr="00F16837">
        <w:rPr>
          <w:rFonts w:ascii="Arial" w:hAnsi="Arial" w:cs="Arial"/>
          <w:vertAlign w:val="superscript"/>
        </w:rPr>
        <w:t>th</w:t>
      </w:r>
      <w:r w:rsidR="00F16837">
        <w:rPr>
          <w:rFonts w:ascii="Arial" w:hAnsi="Arial" w:cs="Arial"/>
        </w:rPr>
        <w:t xml:space="preserve"> century and gained legal status in 1871 with the implementation of the Trade Union Act (The National Archives, n.d.).</w:t>
      </w:r>
      <w:r w:rsidR="001B6543">
        <w:rPr>
          <w:rFonts w:ascii="Arial" w:hAnsi="Arial" w:cs="Arial"/>
        </w:rPr>
        <w:t xml:space="preserve"> Trade union membership was at its highest in 1979 (</w:t>
      </w:r>
      <w:r w:rsidR="003C373C">
        <w:rPr>
          <w:rFonts w:ascii="Arial" w:hAnsi="Arial" w:cs="Arial"/>
        </w:rPr>
        <w:t>E</w:t>
      </w:r>
      <w:r w:rsidR="001B6543">
        <w:rPr>
          <w:rFonts w:ascii="Arial" w:hAnsi="Arial" w:cs="Arial"/>
        </w:rPr>
        <w:t>llis, 2016, p105); their political influence on employment relations was no more evident tha</w:t>
      </w:r>
      <w:r w:rsidR="003C373C">
        <w:rPr>
          <w:rFonts w:ascii="Arial" w:hAnsi="Arial" w:cs="Arial"/>
        </w:rPr>
        <w:t>n</w:t>
      </w:r>
      <w:r w:rsidR="001B6543">
        <w:rPr>
          <w:rFonts w:ascii="Arial" w:hAnsi="Arial" w:cs="Arial"/>
        </w:rPr>
        <w:t xml:space="preserve"> during the miner’s strike in 1984-85 which led to a decline in union membership from 40% to 20% and </w:t>
      </w:r>
      <w:r w:rsidR="003C373C">
        <w:rPr>
          <w:rFonts w:ascii="Arial" w:hAnsi="Arial" w:cs="Arial"/>
        </w:rPr>
        <w:t>even lower</w:t>
      </w:r>
      <w:r w:rsidR="001B6543">
        <w:rPr>
          <w:rFonts w:ascii="Arial" w:hAnsi="Arial" w:cs="Arial"/>
        </w:rPr>
        <w:t xml:space="preserve"> </w:t>
      </w:r>
      <w:r w:rsidR="003C373C">
        <w:rPr>
          <w:rFonts w:ascii="Arial" w:hAnsi="Arial" w:cs="Arial"/>
        </w:rPr>
        <w:t>during</w:t>
      </w:r>
      <w:r w:rsidR="001B6543">
        <w:rPr>
          <w:rFonts w:ascii="Arial" w:hAnsi="Arial" w:cs="Arial"/>
        </w:rPr>
        <w:t xml:space="preserve"> future years</w:t>
      </w:r>
      <w:r w:rsidR="003C373C">
        <w:rPr>
          <w:rFonts w:ascii="Arial" w:hAnsi="Arial" w:cs="Arial"/>
        </w:rPr>
        <w:t xml:space="preserve"> (Pruitt, 2020)</w:t>
      </w:r>
      <w:r w:rsidR="001B6543">
        <w:rPr>
          <w:rFonts w:ascii="Arial" w:hAnsi="Arial" w:cs="Arial"/>
        </w:rPr>
        <w:t>.</w:t>
      </w:r>
      <w:r w:rsidR="001B6543" w:rsidRPr="001B6543">
        <w:rPr>
          <w:rFonts w:ascii="Arial" w:hAnsi="Arial" w:cs="Arial"/>
        </w:rPr>
        <w:t> </w:t>
      </w:r>
    </w:p>
    <w:p w14:paraId="0C7246D2" w14:textId="77777777" w:rsidR="003C373C" w:rsidRPr="004E4D59" w:rsidRDefault="003C373C" w:rsidP="003C373C">
      <w:pPr>
        <w:rPr>
          <w:rFonts w:ascii="Arial" w:hAnsi="Arial" w:cs="Arial"/>
        </w:rPr>
      </w:pPr>
    </w:p>
    <w:p w14:paraId="1713A681" w14:textId="176E7326" w:rsidR="003C373C" w:rsidRPr="004E4D59" w:rsidRDefault="003C373C" w:rsidP="004E4D59">
      <w:pPr>
        <w:ind w:left="720"/>
        <w:rPr>
          <w:rFonts w:ascii="Arial" w:hAnsi="Arial" w:cs="Arial"/>
        </w:rPr>
      </w:pPr>
      <w:r w:rsidRPr="004E4D59">
        <w:rPr>
          <w:rFonts w:ascii="Arial" w:hAnsi="Arial" w:cs="Arial"/>
        </w:rPr>
        <w:t xml:space="preserve">The </w:t>
      </w:r>
      <w:r w:rsidRPr="004E4D59">
        <w:rPr>
          <w:rFonts w:ascii="Arial" w:hAnsi="Arial" w:cs="Arial"/>
          <w:i/>
          <w:iCs/>
        </w:rPr>
        <w:t>Trade Union Act 2016</w:t>
      </w:r>
      <w:r w:rsidRPr="004E4D59">
        <w:rPr>
          <w:rFonts w:ascii="Arial" w:hAnsi="Arial" w:cs="Arial"/>
        </w:rPr>
        <w:t xml:space="preserve"> introduced new rules for trade unions in terms </w:t>
      </w:r>
      <w:r w:rsidR="004E4D59">
        <w:rPr>
          <w:rFonts w:ascii="Arial" w:hAnsi="Arial" w:cs="Arial"/>
        </w:rPr>
        <w:t>of thresholds for ballot turnouts, the balloting process, notification of industrial action and the contribution to political funds.</w:t>
      </w:r>
    </w:p>
    <w:p w14:paraId="2D781B77" w14:textId="77777777" w:rsidR="006B527B" w:rsidRDefault="006B527B" w:rsidP="000160D4">
      <w:pPr>
        <w:ind w:left="720"/>
        <w:rPr>
          <w:rFonts w:ascii="Arial" w:hAnsi="Arial" w:cs="Arial"/>
        </w:rPr>
      </w:pPr>
    </w:p>
    <w:p w14:paraId="0D1C6006" w14:textId="7DF9CEAD" w:rsidR="00362870" w:rsidRDefault="003C373C" w:rsidP="000160D4">
      <w:pPr>
        <w:ind w:left="720"/>
        <w:rPr>
          <w:rFonts w:ascii="Arial" w:hAnsi="Arial" w:cs="Arial"/>
        </w:rPr>
      </w:pPr>
      <w:r>
        <w:rPr>
          <w:rFonts w:ascii="Arial" w:hAnsi="Arial" w:cs="Arial"/>
        </w:rPr>
        <w:t>In summary, t</w:t>
      </w:r>
      <w:r w:rsidR="00C30BCF">
        <w:rPr>
          <w:rFonts w:ascii="Arial" w:hAnsi="Arial" w:cs="Arial"/>
        </w:rPr>
        <w:t xml:space="preserve">rade unions </w:t>
      </w:r>
      <w:r w:rsidR="000160D4">
        <w:rPr>
          <w:rFonts w:ascii="Arial" w:hAnsi="Arial" w:cs="Arial"/>
        </w:rPr>
        <w:t xml:space="preserve">have historically been </w:t>
      </w:r>
      <w:r w:rsidR="00C30BCF">
        <w:rPr>
          <w:rFonts w:ascii="Arial" w:hAnsi="Arial" w:cs="Arial"/>
        </w:rPr>
        <w:t>a key party to the employment relationship</w:t>
      </w:r>
      <w:r w:rsidR="000160D4">
        <w:rPr>
          <w:rFonts w:ascii="Arial" w:hAnsi="Arial" w:cs="Arial"/>
        </w:rPr>
        <w:t>, although their influence and membership has declined since the 1980’s (Marchington and Wilkinson, 2008, pp384-385)</w:t>
      </w:r>
      <w:r w:rsidR="004E4D59">
        <w:rPr>
          <w:rFonts w:ascii="Arial" w:hAnsi="Arial" w:cs="Arial"/>
        </w:rPr>
        <w:t>,</w:t>
      </w:r>
      <w:r w:rsidR="009B5142">
        <w:rPr>
          <w:rFonts w:ascii="Arial" w:hAnsi="Arial" w:cs="Arial"/>
        </w:rPr>
        <w:t xml:space="preserve"> </w:t>
      </w:r>
      <w:r>
        <w:rPr>
          <w:rFonts w:ascii="Arial" w:hAnsi="Arial" w:cs="Arial"/>
        </w:rPr>
        <w:t xml:space="preserve">no more so than in </w:t>
      </w:r>
      <w:r w:rsidR="009B5142">
        <w:rPr>
          <w:rFonts w:ascii="Arial" w:hAnsi="Arial" w:cs="Arial"/>
        </w:rPr>
        <w:t>the public sector (Gautrey, 2016).</w:t>
      </w:r>
      <w:r w:rsidR="00B905FE">
        <w:rPr>
          <w:rFonts w:ascii="Arial" w:hAnsi="Arial" w:cs="Arial"/>
        </w:rPr>
        <w:t xml:space="preserve"> </w:t>
      </w:r>
      <w:r w:rsidR="00415A01">
        <w:rPr>
          <w:rFonts w:ascii="Arial" w:hAnsi="Arial" w:cs="Arial"/>
        </w:rPr>
        <w:t>The 2011 Workplace Employment Relations Study showed that union activity largely now focuses on individual disputes such as disciplinaries and grievances (Van Wanrooy et al, 2013, p16).</w:t>
      </w:r>
    </w:p>
    <w:p w14:paraId="45AB5CDC" w14:textId="737AC6F2" w:rsidR="0080711D" w:rsidRPr="00362870" w:rsidRDefault="00F45C96" w:rsidP="00B0415F">
      <w:pPr>
        <w:rPr>
          <w:rFonts w:ascii="Arial" w:hAnsi="Arial" w:cs="Arial"/>
        </w:rPr>
      </w:pPr>
      <w:r>
        <w:rPr>
          <w:rFonts w:ascii="Arial" w:hAnsi="Arial" w:cs="Arial"/>
        </w:rPr>
        <w:br w:type="page"/>
      </w:r>
      <w:r w:rsidR="0080711D" w:rsidRPr="00362870">
        <w:rPr>
          <w:rFonts w:ascii="Arial" w:hAnsi="Arial" w:cs="Arial"/>
        </w:rPr>
        <w:t>2.2</w:t>
      </w:r>
      <w:r w:rsidR="00362870">
        <w:rPr>
          <w:rFonts w:ascii="Arial" w:hAnsi="Arial" w:cs="Arial"/>
        </w:rPr>
        <w:tab/>
      </w:r>
      <w:r w:rsidR="00362870" w:rsidRPr="00362870">
        <w:rPr>
          <w:rFonts w:ascii="Arial" w:hAnsi="Arial" w:cs="Arial"/>
          <w:u w:val="single"/>
        </w:rPr>
        <w:t xml:space="preserve">A comparison of </w:t>
      </w:r>
      <w:r w:rsidR="0080711D" w:rsidRPr="00362870">
        <w:rPr>
          <w:rFonts w:ascii="Arial" w:hAnsi="Arial" w:cs="Arial"/>
          <w:u w:val="single"/>
        </w:rPr>
        <w:t>different management approaches to employment relations</w:t>
      </w:r>
    </w:p>
    <w:p w14:paraId="290EB9E6" w14:textId="507E5820" w:rsidR="0082361C" w:rsidRPr="00F45C96" w:rsidRDefault="0082361C" w:rsidP="00F45C96">
      <w:pPr>
        <w:ind w:left="720"/>
        <w:rPr>
          <w:rFonts w:ascii="Arial" w:hAnsi="Arial" w:cs="Arial"/>
        </w:rPr>
      </w:pPr>
      <w:r w:rsidRPr="00F45C96">
        <w:rPr>
          <w:rFonts w:ascii="Arial" w:hAnsi="Arial" w:cs="Arial"/>
        </w:rPr>
        <w:t xml:space="preserve">Ellis (2016, p103) describes management </w:t>
      </w:r>
      <w:r w:rsidR="00F45C96" w:rsidRPr="00F45C96">
        <w:rPr>
          <w:rFonts w:ascii="Arial" w:hAnsi="Arial" w:cs="Arial"/>
        </w:rPr>
        <w:t>as a collective system that contributes to employment relations via</w:t>
      </w:r>
      <w:r w:rsidR="004C3E65">
        <w:rPr>
          <w:rFonts w:ascii="Arial" w:hAnsi="Arial" w:cs="Arial"/>
        </w:rPr>
        <w:t>:</w:t>
      </w:r>
    </w:p>
    <w:p w14:paraId="2A173F79" w14:textId="7BC37CF6" w:rsidR="0082361C" w:rsidRPr="00F45C96" w:rsidRDefault="0082361C" w:rsidP="00231CFD">
      <w:pPr>
        <w:pStyle w:val="ListParagraph"/>
        <w:numPr>
          <w:ilvl w:val="0"/>
          <w:numId w:val="3"/>
        </w:numPr>
        <w:rPr>
          <w:rFonts w:cs="Arial"/>
        </w:rPr>
      </w:pPr>
      <w:r w:rsidRPr="00F45C96">
        <w:rPr>
          <w:rFonts w:cs="Arial"/>
        </w:rPr>
        <w:t>a process</w:t>
      </w:r>
      <w:r w:rsidR="00F45C96" w:rsidRPr="00F45C96">
        <w:rPr>
          <w:rFonts w:cs="Arial"/>
        </w:rPr>
        <w:t xml:space="preserve"> for organising people and work.</w:t>
      </w:r>
    </w:p>
    <w:p w14:paraId="4C66E6F3" w14:textId="630CC369" w:rsidR="0082361C" w:rsidRDefault="0082361C" w:rsidP="00231CFD">
      <w:pPr>
        <w:pStyle w:val="ListParagraph"/>
        <w:numPr>
          <w:ilvl w:val="0"/>
          <w:numId w:val="3"/>
        </w:numPr>
        <w:rPr>
          <w:rFonts w:cs="Arial"/>
        </w:rPr>
      </w:pPr>
      <w:r w:rsidRPr="00F45C96">
        <w:rPr>
          <w:rFonts w:cs="Arial"/>
        </w:rPr>
        <w:t>a system of authority</w:t>
      </w:r>
      <w:r w:rsidR="00F45C96" w:rsidRPr="00F45C96">
        <w:rPr>
          <w:rFonts w:cs="Arial"/>
        </w:rPr>
        <w:t>, or rules</w:t>
      </w:r>
      <w:r w:rsidR="00F45C96">
        <w:rPr>
          <w:rFonts w:cs="Arial"/>
        </w:rPr>
        <w:t>, often implemented through policies’</w:t>
      </w:r>
    </w:p>
    <w:p w14:paraId="6B1FE6A4" w14:textId="7BBA2A0A" w:rsidR="0082361C" w:rsidRDefault="0082361C" w:rsidP="00231CFD">
      <w:pPr>
        <w:pStyle w:val="ListParagraph"/>
        <w:numPr>
          <w:ilvl w:val="0"/>
          <w:numId w:val="3"/>
        </w:numPr>
        <w:rPr>
          <w:rFonts w:cs="Arial"/>
        </w:rPr>
      </w:pPr>
      <w:r w:rsidRPr="0082361C">
        <w:rPr>
          <w:rFonts w:cs="Arial"/>
        </w:rPr>
        <w:t>a group of people</w:t>
      </w:r>
      <w:r w:rsidR="00F45C96">
        <w:rPr>
          <w:rFonts w:cs="Arial"/>
        </w:rPr>
        <w:t xml:space="preserve"> responsible for the effective running of the organisation.</w:t>
      </w:r>
    </w:p>
    <w:p w14:paraId="4B328D5F" w14:textId="77777777" w:rsidR="0082361C" w:rsidRPr="0082361C" w:rsidRDefault="0082361C" w:rsidP="0082361C">
      <w:pPr>
        <w:rPr>
          <w:rFonts w:cs="Arial"/>
        </w:rPr>
      </w:pPr>
    </w:p>
    <w:p w14:paraId="21E7C25B" w14:textId="4773198A" w:rsidR="00362870" w:rsidRDefault="0082361C" w:rsidP="0082361C">
      <w:pPr>
        <w:ind w:left="720"/>
        <w:rPr>
          <w:rFonts w:ascii="Arial" w:hAnsi="Arial" w:cs="Arial"/>
        </w:rPr>
      </w:pPr>
      <w:r>
        <w:rPr>
          <w:rFonts w:ascii="Arial" w:hAnsi="Arial" w:cs="Arial"/>
        </w:rPr>
        <w:t>Sissons (2010) suggests that whilst, during trade union prominence, management did not have a significant influence on employment relationships, it is now considered to be ‘the major force for change in the arrangements governing the employment relationship’.</w:t>
      </w:r>
    </w:p>
    <w:p w14:paraId="29A64630" w14:textId="77777777" w:rsidR="00042282" w:rsidRDefault="00042282" w:rsidP="00042282">
      <w:pPr>
        <w:ind w:left="720"/>
        <w:rPr>
          <w:rFonts w:ascii="Arial" w:hAnsi="Arial" w:cs="Arial"/>
          <w:lang w:val="en-US"/>
        </w:rPr>
      </w:pPr>
    </w:p>
    <w:p w14:paraId="0947A1A2" w14:textId="66035A26" w:rsidR="00042282" w:rsidRPr="00042282" w:rsidRDefault="00042282" w:rsidP="00042282">
      <w:pPr>
        <w:ind w:left="720"/>
        <w:rPr>
          <w:rFonts w:ascii="Arial" w:hAnsi="Arial" w:cs="Arial"/>
        </w:rPr>
      </w:pPr>
      <w:r>
        <w:rPr>
          <w:rFonts w:ascii="Arial" w:hAnsi="Arial" w:cs="Arial"/>
          <w:lang w:val="en-US"/>
        </w:rPr>
        <w:t>Rather than being the role for a specialist, employment relations will often form part of a m</w:t>
      </w:r>
      <w:r w:rsidRPr="00042282">
        <w:rPr>
          <w:rFonts w:ascii="Arial" w:hAnsi="Arial" w:cs="Arial"/>
          <w:lang w:val="en-US"/>
        </w:rPr>
        <w:t>anager</w:t>
      </w:r>
      <w:r>
        <w:rPr>
          <w:rFonts w:ascii="Arial" w:hAnsi="Arial" w:cs="Arial"/>
          <w:lang w:val="en-US"/>
        </w:rPr>
        <w:t>’</w:t>
      </w:r>
      <w:r w:rsidRPr="00042282">
        <w:rPr>
          <w:rFonts w:ascii="Arial" w:hAnsi="Arial" w:cs="Arial"/>
          <w:lang w:val="en-US"/>
        </w:rPr>
        <w:t xml:space="preserve">s </w:t>
      </w:r>
      <w:r>
        <w:rPr>
          <w:rFonts w:ascii="Arial" w:hAnsi="Arial" w:cs="Arial"/>
          <w:lang w:val="en-US"/>
        </w:rPr>
        <w:t>role (</w:t>
      </w:r>
      <w:r>
        <w:rPr>
          <w:rFonts w:ascii="Arial" w:hAnsi="Arial" w:cs="Arial"/>
        </w:rPr>
        <w:t>Gennard and Judge, 2010)</w:t>
      </w:r>
      <w:r w:rsidRPr="00042282">
        <w:rPr>
          <w:rFonts w:ascii="Arial" w:hAnsi="Arial" w:cs="Arial"/>
          <w:lang w:val="en-US"/>
        </w:rPr>
        <w:t xml:space="preserve">. </w:t>
      </w:r>
    </w:p>
    <w:p w14:paraId="25A79076" w14:textId="285DC3BA" w:rsidR="00F45C96" w:rsidRDefault="00F45C96" w:rsidP="0082361C">
      <w:pPr>
        <w:ind w:left="720"/>
        <w:rPr>
          <w:rFonts w:ascii="Arial" w:hAnsi="Arial" w:cs="Arial"/>
        </w:rPr>
      </w:pPr>
    </w:p>
    <w:p w14:paraId="302A8DA3" w14:textId="4F3AA46A" w:rsidR="00F45C96" w:rsidRDefault="00C428B3" w:rsidP="0082361C">
      <w:pPr>
        <w:ind w:left="720"/>
        <w:rPr>
          <w:rFonts w:ascii="Arial" w:hAnsi="Arial" w:cs="Arial"/>
        </w:rPr>
      </w:pPr>
      <w:r>
        <w:rPr>
          <w:rFonts w:ascii="Arial" w:hAnsi="Arial" w:cs="Arial"/>
        </w:rPr>
        <w:t>Kilroy and Dundon (2015, pp412-414) suggest that there are three types of management style (Ellis, 2016, p103), each having different implications for employment relations:</w:t>
      </w:r>
    </w:p>
    <w:p w14:paraId="65001D4F" w14:textId="0BB38B4C" w:rsidR="00C428B3" w:rsidRDefault="00C428B3" w:rsidP="00231CFD">
      <w:pPr>
        <w:pStyle w:val="ListParagraph"/>
        <w:numPr>
          <w:ilvl w:val="0"/>
          <w:numId w:val="4"/>
        </w:numPr>
        <w:rPr>
          <w:rFonts w:cs="Arial"/>
        </w:rPr>
      </w:pPr>
      <w:r>
        <w:rPr>
          <w:rFonts w:cs="Arial"/>
        </w:rPr>
        <w:t xml:space="preserve">Organisational leader – </w:t>
      </w:r>
      <w:r w:rsidR="004C3E65">
        <w:rPr>
          <w:rFonts w:cs="Arial"/>
        </w:rPr>
        <w:t>manages via HR policies but will apply discretion if required.</w:t>
      </w:r>
    </w:p>
    <w:p w14:paraId="7A14FDED" w14:textId="30175F66" w:rsidR="00C428B3" w:rsidRDefault="00C428B3" w:rsidP="00231CFD">
      <w:pPr>
        <w:pStyle w:val="ListParagraph"/>
        <w:numPr>
          <w:ilvl w:val="0"/>
          <w:numId w:val="4"/>
        </w:numPr>
        <w:rPr>
          <w:rFonts w:cs="Arial"/>
        </w:rPr>
      </w:pPr>
      <w:r>
        <w:rPr>
          <w:rFonts w:cs="Arial"/>
        </w:rPr>
        <w:t xml:space="preserve">Policy enactor – </w:t>
      </w:r>
      <w:r w:rsidR="004C3E65">
        <w:rPr>
          <w:rFonts w:cs="Arial"/>
        </w:rPr>
        <w:t>manages via enacting HR policies.</w:t>
      </w:r>
    </w:p>
    <w:p w14:paraId="2BD43C9F" w14:textId="7137CA5E" w:rsidR="00C428B3" w:rsidRDefault="00C428B3" w:rsidP="00231CFD">
      <w:pPr>
        <w:pStyle w:val="ListParagraph"/>
        <w:numPr>
          <w:ilvl w:val="0"/>
          <w:numId w:val="4"/>
        </w:numPr>
        <w:rPr>
          <w:rFonts w:cs="Arial"/>
        </w:rPr>
      </w:pPr>
      <w:r>
        <w:rPr>
          <w:rFonts w:cs="Arial"/>
        </w:rPr>
        <w:t>Employee coach</w:t>
      </w:r>
      <w:r w:rsidR="004C3E65">
        <w:rPr>
          <w:rFonts w:cs="Arial"/>
        </w:rPr>
        <w:t xml:space="preserve"> – uses HR policies as a tool to support individual employee development.</w:t>
      </w:r>
    </w:p>
    <w:p w14:paraId="56DE0474" w14:textId="7A92077C" w:rsidR="00362870" w:rsidRDefault="00362870" w:rsidP="00B0415F">
      <w:pPr>
        <w:rPr>
          <w:rFonts w:ascii="Arial" w:hAnsi="Arial" w:cs="Arial"/>
        </w:rPr>
      </w:pPr>
    </w:p>
    <w:p w14:paraId="76298FA9" w14:textId="116C8C96" w:rsidR="00042282" w:rsidRDefault="004905BC" w:rsidP="00042282">
      <w:pPr>
        <w:ind w:left="720"/>
        <w:rPr>
          <w:rFonts w:ascii="Arial" w:hAnsi="Arial" w:cs="Arial"/>
        </w:rPr>
      </w:pPr>
      <w:r>
        <w:rPr>
          <w:rFonts w:ascii="Arial" w:hAnsi="Arial" w:cs="Arial"/>
        </w:rPr>
        <w:t xml:space="preserve">Ellis (2016) suggests that </w:t>
      </w:r>
      <w:r w:rsidR="001D3A01">
        <w:rPr>
          <w:rFonts w:ascii="Arial" w:hAnsi="Arial" w:cs="Arial"/>
        </w:rPr>
        <w:t xml:space="preserve">many different types of management styles exist. Indeed, </w:t>
      </w:r>
      <w:r w:rsidR="004C3E65">
        <w:rPr>
          <w:rFonts w:ascii="Arial" w:hAnsi="Arial" w:cs="Arial"/>
        </w:rPr>
        <w:t>Gennard and Judge (201</w:t>
      </w:r>
      <w:r w:rsidR="00042282">
        <w:rPr>
          <w:rFonts w:ascii="Arial" w:hAnsi="Arial" w:cs="Arial"/>
        </w:rPr>
        <w:t>0</w:t>
      </w:r>
      <w:r w:rsidR="004C3E65">
        <w:rPr>
          <w:rFonts w:ascii="Arial" w:hAnsi="Arial" w:cs="Arial"/>
        </w:rPr>
        <w:t xml:space="preserve">) </w:t>
      </w:r>
      <w:r w:rsidR="00E9703F">
        <w:rPr>
          <w:rFonts w:ascii="Arial" w:hAnsi="Arial" w:cs="Arial"/>
        </w:rPr>
        <w:t>suggest alternative</w:t>
      </w:r>
      <w:r w:rsidR="004C3E65">
        <w:rPr>
          <w:rFonts w:ascii="Arial" w:hAnsi="Arial" w:cs="Arial"/>
        </w:rPr>
        <w:t xml:space="preserve"> s</w:t>
      </w:r>
      <w:r w:rsidR="00042282">
        <w:rPr>
          <w:rFonts w:ascii="Arial" w:hAnsi="Arial" w:cs="Arial"/>
        </w:rPr>
        <w:t>tyles</w:t>
      </w:r>
      <w:r w:rsidR="001D3A01">
        <w:rPr>
          <w:rFonts w:ascii="Arial" w:hAnsi="Arial" w:cs="Arial"/>
        </w:rPr>
        <w:t xml:space="preserve"> as </w:t>
      </w:r>
      <w:r w:rsidR="00042282" w:rsidRPr="00081CB6">
        <w:rPr>
          <w:rFonts w:ascii="Arial" w:hAnsi="Arial" w:cs="Arial"/>
        </w:rPr>
        <w:t>Paternalistic; Consultative; Traditionalist; Opportunistic and Constitutional</w:t>
      </w:r>
      <w:r w:rsidR="00081CB6" w:rsidRPr="00081CB6">
        <w:rPr>
          <w:rFonts w:ascii="Arial" w:hAnsi="Arial" w:cs="Arial"/>
        </w:rPr>
        <w:t>.</w:t>
      </w:r>
      <w:r w:rsidR="00972174">
        <w:rPr>
          <w:rFonts w:ascii="Arial" w:hAnsi="Arial" w:cs="Arial"/>
        </w:rPr>
        <w:t xml:space="preserve"> </w:t>
      </w:r>
      <w:r w:rsidR="001D3A01">
        <w:rPr>
          <w:rFonts w:ascii="Arial" w:hAnsi="Arial" w:cs="Arial"/>
        </w:rPr>
        <w:t xml:space="preserve">Ellis concludes that as organisations will embody different management styles, adopting a fluid approach between them will be beneficial in terms of maintaining positive employee relationships. </w:t>
      </w:r>
    </w:p>
    <w:p w14:paraId="645A7118" w14:textId="7CB191D6" w:rsidR="00E9703F" w:rsidRDefault="00E9703F" w:rsidP="00042282">
      <w:pPr>
        <w:ind w:left="720"/>
        <w:rPr>
          <w:rFonts w:ascii="Arial" w:hAnsi="Arial" w:cs="Arial"/>
        </w:rPr>
      </w:pPr>
    </w:p>
    <w:p w14:paraId="0BF872D3" w14:textId="2131B2A3" w:rsidR="0080711D" w:rsidRPr="00362870" w:rsidRDefault="0080711D" w:rsidP="00362870">
      <w:pPr>
        <w:ind w:left="720" w:hanging="720"/>
        <w:rPr>
          <w:rFonts w:ascii="Arial" w:hAnsi="Arial" w:cs="Arial"/>
          <w:u w:val="single"/>
        </w:rPr>
      </w:pPr>
      <w:r w:rsidRPr="00362870">
        <w:rPr>
          <w:rFonts w:ascii="Arial" w:hAnsi="Arial" w:cs="Arial"/>
        </w:rPr>
        <w:t>2.3</w:t>
      </w:r>
      <w:r w:rsidR="00362870">
        <w:rPr>
          <w:rFonts w:ascii="Arial" w:hAnsi="Arial" w:cs="Arial"/>
        </w:rPr>
        <w:tab/>
      </w:r>
      <w:r w:rsidR="00362870" w:rsidRPr="00362870">
        <w:rPr>
          <w:rFonts w:ascii="Arial" w:hAnsi="Arial" w:cs="Arial"/>
          <w:u w:val="single"/>
        </w:rPr>
        <w:t>T</w:t>
      </w:r>
      <w:r w:rsidRPr="00362870">
        <w:rPr>
          <w:rFonts w:ascii="Arial" w:hAnsi="Arial" w:cs="Arial"/>
          <w:u w:val="single"/>
        </w:rPr>
        <w:t xml:space="preserve">he role of UK and EU government, and the </w:t>
      </w:r>
      <w:r w:rsidR="007E3333" w:rsidRPr="00362870">
        <w:rPr>
          <w:rFonts w:ascii="Arial" w:hAnsi="Arial" w:cs="Arial"/>
          <w:u w:val="single"/>
        </w:rPr>
        <w:t>principal</w:t>
      </w:r>
      <w:r w:rsidRPr="00362870">
        <w:rPr>
          <w:rFonts w:ascii="Arial" w:hAnsi="Arial" w:cs="Arial"/>
          <w:u w:val="single"/>
        </w:rPr>
        <w:t xml:space="preserve"> employment relations agencies of the state, in managing employment relations</w:t>
      </w:r>
    </w:p>
    <w:p w14:paraId="709E381F" w14:textId="49DF55C3" w:rsidR="0080711D" w:rsidRDefault="00313AAF" w:rsidP="00313AAF">
      <w:pPr>
        <w:ind w:left="720"/>
        <w:rPr>
          <w:rFonts w:ascii="Arial" w:hAnsi="Arial" w:cs="Arial"/>
        </w:rPr>
      </w:pPr>
      <w:r>
        <w:rPr>
          <w:rFonts w:ascii="Arial" w:hAnsi="Arial" w:cs="Arial"/>
        </w:rPr>
        <w:t>The government and government agencies are other key parties to the employment relationship. As well as being an employer itself, the government</w:t>
      </w:r>
      <w:r w:rsidR="00042BB2">
        <w:rPr>
          <w:rFonts w:ascii="Arial" w:hAnsi="Arial" w:cs="Arial"/>
        </w:rPr>
        <w:t xml:space="preserve"> has a responsibility through legislation to manage the employment relationship effectively (Ellis, 2016, pp106-107).</w:t>
      </w:r>
    </w:p>
    <w:p w14:paraId="17E9E632" w14:textId="0330C32A" w:rsidR="00042BB2" w:rsidRDefault="00042BB2" w:rsidP="00313AAF">
      <w:pPr>
        <w:ind w:left="720"/>
        <w:rPr>
          <w:rFonts w:ascii="Arial" w:hAnsi="Arial" w:cs="Arial"/>
        </w:rPr>
      </w:pPr>
    </w:p>
    <w:p w14:paraId="4BF4F006" w14:textId="3CA53D2B" w:rsidR="00A27C1B" w:rsidRDefault="00042BB2" w:rsidP="00313AAF">
      <w:pPr>
        <w:ind w:left="720"/>
        <w:rPr>
          <w:rFonts w:ascii="Arial" w:hAnsi="Arial" w:cs="Arial"/>
        </w:rPr>
      </w:pPr>
      <w:r>
        <w:rPr>
          <w:rFonts w:ascii="Arial" w:hAnsi="Arial" w:cs="Arial"/>
        </w:rPr>
        <w:t xml:space="preserve">There are a number of pieces of legislation brought in by various governments that regulate the relationship between employees and employers (CIPD, </w:t>
      </w:r>
      <w:r w:rsidR="00A27C1B">
        <w:rPr>
          <w:rFonts w:ascii="Arial" w:hAnsi="Arial" w:cs="Arial"/>
        </w:rPr>
        <w:t>n.d). Some of the key pieces of legislation that impact on employment relations are:</w:t>
      </w:r>
    </w:p>
    <w:p w14:paraId="16DBF151" w14:textId="6E44B8B0" w:rsidR="00A27C1B" w:rsidRDefault="00A27C1B" w:rsidP="00231CFD">
      <w:pPr>
        <w:pStyle w:val="ListParagraph"/>
        <w:numPr>
          <w:ilvl w:val="0"/>
          <w:numId w:val="5"/>
        </w:numPr>
        <w:rPr>
          <w:rFonts w:cs="Arial"/>
        </w:rPr>
      </w:pPr>
      <w:r>
        <w:rPr>
          <w:rFonts w:cs="Arial"/>
          <w:i/>
        </w:rPr>
        <w:t>Employment Rights Act 1996</w:t>
      </w:r>
      <w:r w:rsidRPr="00A27C1B">
        <w:rPr>
          <w:rFonts w:cs="Arial"/>
        </w:rPr>
        <w:t xml:space="preserve"> </w:t>
      </w:r>
      <w:r>
        <w:rPr>
          <w:rFonts w:cs="Arial"/>
        </w:rPr>
        <w:t>– sets out statutory rights of employees.</w:t>
      </w:r>
    </w:p>
    <w:p w14:paraId="00BBE22D" w14:textId="2315010D" w:rsidR="00042BB2" w:rsidRPr="00A27C1B" w:rsidRDefault="00A27C1B" w:rsidP="00231CFD">
      <w:pPr>
        <w:pStyle w:val="ListParagraph"/>
        <w:numPr>
          <w:ilvl w:val="0"/>
          <w:numId w:val="5"/>
        </w:numPr>
        <w:rPr>
          <w:rFonts w:cs="Arial"/>
        </w:rPr>
      </w:pPr>
      <w:r w:rsidRPr="00A27C1B">
        <w:rPr>
          <w:rFonts w:cs="Arial"/>
          <w:bCs/>
          <w:i/>
          <w:shd w:val="clear" w:color="auto" w:fill="FFFFFF"/>
        </w:rPr>
        <w:t>Equality Act 2010</w:t>
      </w:r>
      <w:r>
        <w:rPr>
          <w:rFonts w:cs="Arial"/>
          <w:bCs/>
          <w:shd w:val="clear" w:color="auto" w:fill="FFFFFF"/>
        </w:rPr>
        <w:t xml:space="preserve"> - protects individuals with protected characteristics from discrimination.</w:t>
      </w:r>
    </w:p>
    <w:p w14:paraId="701FC66E" w14:textId="033D8470" w:rsidR="00A27C1B" w:rsidRDefault="00A27C1B" w:rsidP="00231CFD">
      <w:pPr>
        <w:pStyle w:val="ListParagraph"/>
        <w:numPr>
          <w:ilvl w:val="0"/>
          <w:numId w:val="5"/>
        </w:numPr>
        <w:rPr>
          <w:rFonts w:cs="Arial"/>
        </w:rPr>
      </w:pPr>
      <w:r>
        <w:rPr>
          <w:rFonts w:cs="Arial"/>
          <w:i/>
        </w:rPr>
        <w:t>National Minimum Wage Act 1998</w:t>
      </w:r>
      <w:r>
        <w:rPr>
          <w:rFonts w:cs="Arial"/>
        </w:rPr>
        <w:t xml:space="preserve"> - legislates for a minimum hourly wage for all workers.</w:t>
      </w:r>
    </w:p>
    <w:p w14:paraId="6A0E6C31" w14:textId="032319A2" w:rsidR="00A27C1B" w:rsidRPr="00A27C1B" w:rsidRDefault="00A27C1B" w:rsidP="00231CFD">
      <w:pPr>
        <w:pStyle w:val="ListParagraph"/>
        <w:numPr>
          <w:ilvl w:val="0"/>
          <w:numId w:val="5"/>
        </w:numPr>
        <w:rPr>
          <w:rFonts w:cs="Arial"/>
        </w:rPr>
      </w:pPr>
      <w:r>
        <w:rPr>
          <w:rFonts w:cs="Arial"/>
          <w:i/>
          <w:lang w:val="en"/>
        </w:rPr>
        <w:t xml:space="preserve">Flexible Working Regulations 2014 - </w:t>
      </w:r>
      <w:r>
        <w:rPr>
          <w:rFonts w:cs="Arial"/>
          <w:lang w:val="en"/>
        </w:rPr>
        <w:t>gives the right for employees to request flexible working</w:t>
      </w:r>
    </w:p>
    <w:p w14:paraId="64EEB6BC" w14:textId="6898D37E" w:rsidR="00042BB2" w:rsidRDefault="00042BB2" w:rsidP="00313AAF">
      <w:pPr>
        <w:ind w:left="720"/>
        <w:rPr>
          <w:rFonts w:ascii="Arial" w:hAnsi="Arial" w:cs="Arial"/>
        </w:rPr>
      </w:pPr>
    </w:p>
    <w:p w14:paraId="49F6787E" w14:textId="64BA2B61" w:rsidR="00BE32F4" w:rsidRDefault="00BE32F4" w:rsidP="00313AAF">
      <w:pPr>
        <w:ind w:left="720"/>
      </w:pPr>
      <w:r>
        <w:rPr>
          <w:rFonts w:ascii="Arial" w:hAnsi="Arial" w:cs="Arial"/>
        </w:rPr>
        <w:t xml:space="preserve">The withdrawal of the UK from the European Market in 2020, may have a potential impact on </w:t>
      </w:r>
      <w:r w:rsidR="005F7E86">
        <w:rPr>
          <w:rFonts w:ascii="Arial" w:hAnsi="Arial" w:cs="Arial"/>
        </w:rPr>
        <w:t xml:space="preserve">the </w:t>
      </w:r>
      <w:r>
        <w:rPr>
          <w:rFonts w:ascii="Arial" w:hAnsi="Arial" w:cs="Arial"/>
        </w:rPr>
        <w:t>employment rights</w:t>
      </w:r>
      <w:r w:rsidR="005F7E86">
        <w:rPr>
          <w:rFonts w:ascii="Arial" w:hAnsi="Arial" w:cs="Arial"/>
        </w:rPr>
        <w:t xml:space="preserve"> framework</w:t>
      </w:r>
      <w:r>
        <w:rPr>
          <w:rFonts w:ascii="Arial" w:hAnsi="Arial" w:cs="Arial"/>
        </w:rPr>
        <w:t xml:space="preserve">, according to </w:t>
      </w:r>
      <w:r w:rsidR="005F7E86">
        <w:rPr>
          <w:rFonts w:ascii="Arial" w:hAnsi="Arial" w:cs="Arial"/>
        </w:rPr>
        <w:t>Saundry</w:t>
      </w:r>
      <w:r w:rsidR="00B41677">
        <w:rPr>
          <w:rFonts w:ascii="Arial" w:hAnsi="Arial" w:cs="Arial"/>
        </w:rPr>
        <w:t xml:space="preserve"> (2017)</w:t>
      </w:r>
      <w:r w:rsidR="005F7E86">
        <w:rPr>
          <w:rFonts w:ascii="Arial" w:hAnsi="Arial" w:cs="Arial"/>
        </w:rPr>
        <w:t>, not least due to the uncertainty for employees in terms of the future protection of these rights. However, Saundry suggests that there may be opportunities for employees to take a more proactive approach to enforcing employment rights and to workers having more of a voice in the workplace, such as a place on Boards</w:t>
      </w:r>
      <w:r w:rsidR="00B41677">
        <w:rPr>
          <w:rFonts w:ascii="Arial" w:hAnsi="Arial" w:cs="Arial"/>
        </w:rPr>
        <w:t xml:space="preserve"> of Directors</w:t>
      </w:r>
      <w:r w:rsidR="005F7E86">
        <w:rPr>
          <w:rFonts w:ascii="Arial" w:hAnsi="Arial" w:cs="Arial"/>
        </w:rPr>
        <w:t>.</w:t>
      </w:r>
      <w:r w:rsidR="005F7E86" w:rsidRPr="005F7E86">
        <w:t xml:space="preserve"> </w:t>
      </w:r>
    </w:p>
    <w:p w14:paraId="551F0C31" w14:textId="2323997B" w:rsidR="00B41677" w:rsidRPr="00B41677" w:rsidRDefault="00B41677" w:rsidP="00313AAF">
      <w:pPr>
        <w:ind w:left="720"/>
        <w:rPr>
          <w:rFonts w:ascii="Arial" w:hAnsi="Arial" w:cs="Arial"/>
        </w:rPr>
      </w:pPr>
    </w:p>
    <w:p w14:paraId="27C3C9D1" w14:textId="312226D6" w:rsidR="00B41677" w:rsidRPr="00B97CEA" w:rsidRDefault="00B41677" w:rsidP="00313AAF">
      <w:pPr>
        <w:ind w:left="720"/>
        <w:rPr>
          <w:rFonts w:ascii="Arial" w:hAnsi="Arial" w:cs="Arial"/>
        </w:rPr>
      </w:pPr>
      <w:r w:rsidRPr="00B97CEA">
        <w:rPr>
          <w:rFonts w:ascii="Arial" w:hAnsi="Arial" w:cs="Arial"/>
        </w:rPr>
        <w:t>More recent regulations introduced as a result of the pandemic such as social distancing, working from home and furlough will further test the management of employment relations (CIPD, 2021).</w:t>
      </w:r>
    </w:p>
    <w:p w14:paraId="2CEDCE33" w14:textId="3A0C502C" w:rsidR="00B41677" w:rsidRPr="00B97CEA" w:rsidRDefault="00B41677" w:rsidP="00313AAF">
      <w:pPr>
        <w:ind w:left="720"/>
        <w:rPr>
          <w:rFonts w:ascii="Arial" w:hAnsi="Arial" w:cs="Arial"/>
        </w:rPr>
      </w:pPr>
    </w:p>
    <w:p w14:paraId="36D4D702" w14:textId="0FCF65C1" w:rsidR="008C062C" w:rsidRPr="008C062C" w:rsidRDefault="008C062C" w:rsidP="008C062C">
      <w:pPr>
        <w:ind w:left="720"/>
        <w:rPr>
          <w:rFonts w:ascii="Arial" w:eastAsia="Times New Roman" w:hAnsi="Arial" w:cs="Arial"/>
          <w:color w:val="0B0C0C"/>
          <w:lang w:eastAsia="en-GB"/>
        </w:rPr>
      </w:pPr>
      <w:r w:rsidRPr="00B97CEA">
        <w:rPr>
          <w:rFonts w:ascii="Arial" w:hAnsi="Arial" w:cs="Arial"/>
        </w:rPr>
        <w:t>N</w:t>
      </w:r>
      <w:r w:rsidRPr="00B97CEA">
        <w:rPr>
          <w:rFonts w:ascii="Arial" w:hAnsi="Arial" w:cs="Arial"/>
          <w:shd w:val="clear" w:color="auto" w:fill="FFFFFF"/>
        </w:rPr>
        <w:t>on-departmental public bodies</w:t>
      </w:r>
      <w:r w:rsidRPr="00B97CEA">
        <w:rPr>
          <w:rFonts w:ascii="Arial" w:hAnsi="Arial" w:cs="Arial"/>
        </w:rPr>
        <w:t xml:space="preserve">, such as the Advisory, Conciliation and Arbitration Service (Acas) and the Equality and Human Rights Commission (EHRC), act as government agencies to implement employee relations policies on improving working life </w:t>
      </w:r>
      <w:r w:rsidRPr="00B97CEA">
        <w:rPr>
          <w:rFonts w:ascii="Arial" w:hAnsi="Arial" w:cs="Arial"/>
          <w:shd w:val="clear" w:color="auto" w:fill="FFFFFF"/>
        </w:rPr>
        <w:t xml:space="preserve">enforcing the laws that protect </w:t>
      </w:r>
      <w:r w:rsidRPr="00995B5B">
        <w:rPr>
          <w:rFonts w:ascii="Arial" w:hAnsi="Arial" w:cs="Arial"/>
          <w:shd w:val="clear" w:color="auto" w:fill="FFFFFF"/>
        </w:rPr>
        <w:t>people’s rights to fairness, dignity and respect (Ellis, 2016, p106).</w:t>
      </w:r>
    </w:p>
    <w:p w14:paraId="73D1DD8A" w14:textId="292E329D" w:rsidR="008C062C" w:rsidRDefault="008C062C" w:rsidP="00B0415F">
      <w:pPr>
        <w:rPr>
          <w:rFonts w:ascii="Arial" w:hAnsi="Arial" w:cs="Arial"/>
        </w:rPr>
      </w:pPr>
    </w:p>
    <w:p w14:paraId="38FF913B" w14:textId="61E23DEE" w:rsidR="008C062C" w:rsidRDefault="00E506D9" w:rsidP="00B0415F">
      <w:pPr>
        <w:rPr>
          <w:rFonts w:ascii="Arial" w:hAnsi="Arial" w:cs="Arial"/>
        </w:rPr>
      </w:pPr>
      <w:r>
        <w:rPr>
          <w:rFonts w:ascii="Arial" w:hAnsi="Arial" w:cs="Arial"/>
        </w:rPr>
        <w:t>These three parties contribute to the management of employee relations through the employee, organisation and wider government agendas.</w:t>
      </w:r>
    </w:p>
    <w:p w14:paraId="297886A5" w14:textId="77777777" w:rsidR="0080711D" w:rsidRDefault="0080711D" w:rsidP="00B0415F">
      <w:pPr>
        <w:rPr>
          <w:rFonts w:ascii="Arial" w:hAnsi="Arial" w:cs="Arial"/>
        </w:rPr>
      </w:pPr>
    </w:p>
    <w:p w14:paraId="53D04617" w14:textId="77777777" w:rsidR="0080711D" w:rsidRPr="0080711D" w:rsidRDefault="0080711D" w:rsidP="00B0415F">
      <w:pPr>
        <w:rPr>
          <w:rFonts w:ascii="Arial" w:hAnsi="Arial" w:cs="Arial"/>
          <w:b/>
          <w:bCs/>
        </w:rPr>
      </w:pPr>
      <w:r w:rsidRPr="0080711D">
        <w:rPr>
          <w:rFonts w:ascii="Arial" w:hAnsi="Arial" w:cs="Arial"/>
          <w:b/>
          <w:bCs/>
        </w:rPr>
        <w:t>Learning Objective 3 – Models of employee representation</w:t>
      </w:r>
    </w:p>
    <w:p w14:paraId="2AA77D5E" w14:textId="77777777" w:rsidR="0080711D" w:rsidRDefault="0080711D" w:rsidP="00B0415F">
      <w:pPr>
        <w:rPr>
          <w:rFonts w:ascii="Arial" w:hAnsi="Arial" w:cs="Arial"/>
        </w:rPr>
      </w:pPr>
    </w:p>
    <w:p w14:paraId="21561A67" w14:textId="77777777" w:rsidR="00C17B85" w:rsidRDefault="005B5EC7" w:rsidP="00B0415F">
      <w:pPr>
        <w:rPr>
          <w:rFonts w:ascii="Arial" w:hAnsi="Arial" w:cs="Arial"/>
        </w:rPr>
      </w:pPr>
      <w:r>
        <w:rPr>
          <w:rFonts w:ascii="Arial" w:hAnsi="Arial" w:cs="Arial"/>
        </w:rPr>
        <w:t>As discussed above, historically, employee representation has been through trade union involvement, although with the decline in membership there has been a growth in alternative forms of ‘employee voice’ (Ellis, 2016, p114). The CIPD (2021c) define employee voice as the way in which employees ‘</w:t>
      </w:r>
      <w:r w:rsidRPr="005B5EC7">
        <w:rPr>
          <w:rFonts w:ascii="Arial" w:hAnsi="Arial" w:cs="Arial"/>
        </w:rPr>
        <w:t>communicate their views to their employer and influence matters that affect them at work’ which</w:t>
      </w:r>
      <w:r>
        <w:rPr>
          <w:rFonts w:ascii="Arial" w:hAnsi="Arial" w:cs="Arial"/>
        </w:rPr>
        <w:t>, in turn,</w:t>
      </w:r>
      <w:r w:rsidRPr="005B5EC7">
        <w:rPr>
          <w:rFonts w:ascii="Arial" w:hAnsi="Arial" w:cs="Arial"/>
        </w:rPr>
        <w:t xml:space="preserve"> contributes to stronger employment relationships and </w:t>
      </w:r>
      <w:r>
        <w:rPr>
          <w:rFonts w:ascii="Arial" w:hAnsi="Arial" w:cs="Arial"/>
        </w:rPr>
        <w:t xml:space="preserve">ultimately organisational </w:t>
      </w:r>
      <w:r w:rsidRPr="005B5EC7">
        <w:rPr>
          <w:rFonts w:ascii="Arial" w:hAnsi="Arial" w:cs="Arial"/>
        </w:rPr>
        <w:t xml:space="preserve">success. </w:t>
      </w:r>
    </w:p>
    <w:p w14:paraId="492839DC" w14:textId="77777777" w:rsidR="00C17B85" w:rsidRDefault="00C17B85" w:rsidP="00B0415F">
      <w:pPr>
        <w:rPr>
          <w:rFonts w:ascii="Arial" w:hAnsi="Arial" w:cs="Arial"/>
        </w:rPr>
      </w:pPr>
    </w:p>
    <w:p w14:paraId="26D28CEF" w14:textId="037175DA" w:rsidR="00C17B85" w:rsidRDefault="00C17B85" w:rsidP="00B0415F">
      <w:pPr>
        <w:rPr>
          <w:rFonts w:ascii="Arial" w:hAnsi="Arial" w:cs="Arial"/>
        </w:rPr>
      </w:pPr>
      <w:r>
        <w:rPr>
          <w:rFonts w:ascii="Arial" w:hAnsi="Arial" w:cs="Arial"/>
        </w:rPr>
        <w:t xml:space="preserve">Until the introduction of the </w:t>
      </w:r>
      <w:r w:rsidRPr="00C17B85">
        <w:rPr>
          <w:rFonts w:ascii="Arial" w:hAnsi="Arial" w:cs="Arial"/>
        </w:rPr>
        <w:t xml:space="preserve">Information and Consultation of Employees Regulations 2004 in </w:t>
      </w:r>
      <w:r>
        <w:rPr>
          <w:rFonts w:ascii="Arial" w:hAnsi="Arial" w:cs="Arial"/>
        </w:rPr>
        <w:t xml:space="preserve">2005, organisations were not mandated to use employee voice practices to inform or consult employees about employment issues (Ellis, 2016, p115). </w:t>
      </w:r>
    </w:p>
    <w:p w14:paraId="10FEF002" w14:textId="77777777" w:rsidR="00C17B85" w:rsidRDefault="00C17B85" w:rsidP="00B0415F">
      <w:pPr>
        <w:rPr>
          <w:rFonts w:ascii="Arial" w:hAnsi="Arial" w:cs="Arial"/>
        </w:rPr>
      </w:pPr>
    </w:p>
    <w:p w14:paraId="08C07074" w14:textId="4D1AE0DF" w:rsidR="00BF4157" w:rsidRPr="00D83DA0" w:rsidRDefault="005B5EC7" w:rsidP="00B0415F">
      <w:pPr>
        <w:rPr>
          <w:rFonts w:ascii="Arial" w:hAnsi="Arial" w:cs="Arial"/>
        </w:rPr>
      </w:pPr>
      <w:r>
        <w:rPr>
          <w:rFonts w:ascii="Arial" w:hAnsi="Arial" w:cs="Arial"/>
        </w:rPr>
        <w:t>Ellis considers there to be two forms of employee voice - participation and involvement.</w:t>
      </w:r>
      <w:r w:rsidR="00C17B85">
        <w:rPr>
          <w:rFonts w:ascii="Arial" w:hAnsi="Arial" w:cs="Arial"/>
        </w:rPr>
        <w:t xml:space="preserve"> </w:t>
      </w:r>
      <w:r>
        <w:rPr>
          <w:rFonts w:ascii="Arial" w:hAnsi="Arial" w:cs="Arial"/>
        </w:rPr>
        <w:t xml:space="preserve">Employee participation </w:t>
      </w:r>
      <w:r w:rsidR="006511B2">
        <w:rPr>
          <w:rFonts w:ascii="Arial" w:hAnsi="Arial" w:cs="Arial"/>
        </w:rPr>
        <w:t xml:space="preserve">is where employees contribute to decision-making within an </w:t>
      </w:r>
      <w:r w:rsidR="006511B2" w:rsidRPr="00D83DA0">
        <w:rPr>
          <w:rFonts w:ascii="Arial" w:hAnsi="Arial" w:cs="Arial"/>
        </w:rPr>
        <w:t xml:space="preserve">organisation </w:t>
      </w:r>
      <w:r w:rsidR="009F177F" w:rsidRPr="00D83DA0">
        <w:rPr>
          <w:rFonts w:ascii="Arial" w:hAnsi="Arial" w:cs="Arial"/>
        </w:rPr>
        <w:t>via delegation to representatives. This may be facilitated in a number of ways</w:t>
      </w:r>
      <w:r w:rsidR="00D83DA0" w:rsidRPr="00D83DA0">
        <w:rPr>
          <w:rFonts w:ascii="Arial" w:hAnsi="Arial" w:cs="Arial"/>
        </w:rPr>
        <w:t xml:space="preserve"> (CIPD, 2021c)</w:t>
      </w:r>
      <w:r w:rsidR="00BF4157" w:rsidRPr="00D83DA0">
        <w:rPr>
          <w:rFonts w:ascii="Arial" w:hAnsi="Arial" w:cs="Arial"/>
        </w:rPr>
        <w:t>:</w:t>
      </w:r>
    </w:p>
    <w:p w14:paraId="6C4EA335" w14:textId="77777777" w:rsidR="00BF4157" w:rsidRPr="00D83DA0" w:rsidRDefault="00BF4157" w:rsidP="00B0415F">
      <w:pPr>
        <w:rPr>
          <w:rFonts w:ascii="Arial" w:hAnsi="Arial" w:cs="Arial"/>
        </w:rPr>
      </w:pPr>
    </w:p>
    <w:p w14:paraId="5166E2ED" w14:textId="789AD15F" w:rsidR="004B441C" w:rsidRPr="00D83DA0" w:rsidRDefault="00BF4157" w:rsidP="00231CFD">
      <w:pPr>
        <w:pStyle w:val="ListParagraph"/>
        <w:numPr>
          <w:ilvl w:val="0"/>
          <w:numId w:val="7"/>
        </w:numPr>
        <w:rPr>
          <w:rFonts w:cs="Arial"/>
        </w:rPr>
      </w:pPr>
      <w:r w:rsidRPr="00D83DA0">
        <w:t xml:space="preserve">Collective representation – </w:t>
      </w:r>
      <w:r w:rsidR="004B441C" w:rsidRPr="00D83DA0">
        <w:t>managers and employee representatives negotiate on issues such as pay and terms and conditions of employment.</w:t>
      </w:r>
    </w:p>
    <w:p w14:paraId="15CFAEBE" w14:textId="50331195" w:rsidR="004B441C" w:rsidRPr="00D83DA0" w:rsidRDefault="00BF4157" w:rsidP="00231CFD">
      <w:pPr>
        <w:pStyle w:val="ListParagraph"/>
        <w:numPr>
          <w:ilvl w:val="0"/>
          <w:numId w:val="7"/>
        </w:numPr>
        <w:rPr>
          <w:rFonts w:cs="Arial"/>
        </w:rPr>
      </w:pPr>
      <w:r w:rsidRPr="00D83DA0">
        <w:t xml:space="preserve">Partnership schemes – </w:t>
      </w:r>
      <w:r w:rsidR="004B441C" w:rsidRPr="00D83DA0">
        <w:t>managers and employee representatives jointly discuss and agree actions together. This requires openness facilitated through information sharing.</w:t>
      </w:r>
    </w:p>
    <w:p w14:paraId="7A70C1B2" w14:textId="6F06334A" w:rsidR="00BF4157" w:rsidRPr="00D83DA0" w:rsidRDefault="00BF4157" w:rsidP="00231CFD">
      <w:pPr>
        <w:pStyle w:val="ListParagraph"/>
        <w:numPr>
          <w:ilvl w:val="0"/>
          <w:numId w:val="7"/>
        </w:numPr>
        <w:rPr>
          <w:rFonts w:cs="Arial"/>
        </w:rPr>
      </w:pPr>
      <w:r w:rsidRPr="00D83DA0">
        <w:t xml:space="preserve">Joint consultation – </w:t>
      </w:r>
      <w:r w:rsidR="004B441C" w:rsidRPr="00D83DA0">
        <w:t xml:space="preserve">issues discussed are considered to be of relevance to all organisations, whether unionised or not. Some organisations may have </w:t>
      </w:r>
      <w:r w:rsidRPr="00D83DA0">
        <w:t xml:space="preserve">Joint Consultation Committees to </w:t>
      </w:r>
      <w:r w:rsidR="004B441C" w:rsidRPr="00D83DA0">
        <w:t>consider iss</w:t>
      </w:r>
      <w:r w:rsidRPr="00D83DA0">
        <w:t xml:space="preserve">ues that are not </w:t>
      </w:r>
      <w:r w:rsidR="00D83DA0" w:rsidRPr="00D83DA0">
        <w:t xml:space="preserve">dealt with through </w:t>
      </w:r>
      <w:r w:rsidRPr="00D83DA0">
        <w:t xml:space="preserve">collective bargaining. </w:t>
      </w:r>
    </w:p>
    <w:p w14:paraId="5D4ABBBD" w14:textId="77777777" w:rsidR="00D83DA0" w:rsidRPr="00D83DA0" w:rsidRDefault="00BF4157" w:rsidP="00231CFD">
      <w:pPr>
        <w:pStyle w:val="ListParagraph"/>
        <w:numPr>
          <w:ilvl w:val="0"/>
          <w:numId w:val="7"/>
        </w:numPr>
        <w:rPr>
          <w:rFonts w:cs="Arial"/>
        </w:rPr>
      </w:pPr>
      <w:r w:rsidRPr="00D83DA0">
        <w:t xml:space="preserve">Employee forums – </w:t>
      </w:r>
      <w:r w:rsidR="00D83DA0" w:rsidRPr="00D83DA0">
        <w:t>managers meet with all employees, regardless of union status, to consult and share information.</w:t>
      </w:r>
    </w:p>
    <w:p w14:paraId="0DC87EC4" w14:textId="77777777" w:rsidR="00D83DA0" w:rsidRDefault="00D83DA0" w:rsidP="00D83DA0">
      <w:pPr>
        <w:pStyle w:val="NormalWeb"/>
        <w:shd w:val="clear" w:color="auto" w:fill="FFFFFF"/>
        <w:spacing w:after="0"/>
        <w:contextualSpacing/>
        <w:rPr>
          <w:rFonts w:ascii="Arial" w:hAnsi="Arial" w:cs="Arial"/>
          <w:color w:val="FF0000"/>
          <w:sz w:val="22"/>
          <w:szCs w:val="22"/>
        </w:rPr>
      </w:pPr>
    </w:p>
    <w:p w14:paraId="6BFCF448" w14:textId="263D1952" w:rsidR="00D83DA0" w:rsidRPr="00EE70EE" w:rsidRDefault="00BF4157" w:rsidP="00D83DA0">
      <w:pPr>
        <w:pStyle w:val="NormalWeb"/>
        <w:shd w:val="clear" w:color="auto" w:fill="FFFFFF"/>
        <w:spacing w:after="0"/>
        <w:contextualSpacing/>
        <w:rPr>
          <w:rFonts w:ascii="Arial" w:hAnsi="Arial" w:cs="Arial"/>
          <w:sz w:val="22"/>
          <w:szCs w:val="22"/>
        </w:rPr>
      </w:pPr>
      <w:r w:rsidRPr="00EE70EE">
        <w:rPr>
          <w:rFonts w:ascii="Arial" w:hAnsi="Arial" w:cs="Arial"/>
          <w:sz w:val="22"/>
          <w:szCs w:val="22"/>
        </w:rPr>
        <w:t xml:space="preserve">European Works Councils (EWCs) – </w:t>
      </w:r>
      <w:r w:rsidR="00D83DA0" w:rsidRPr="00EE70EE">
        <w:rPr>
          <w:rFonts w:ascii="Arial" w:hAnsi="Arial" w:cs="Arial"/>
          <w:sz w:val="22"/>
          <w:szCs w:val="22"/>
        </w:rPr>
        <w:t>where organisations operate across the European Economic Area, these bodies</w:t>
      </w:r>
      <w:r w:rsidR="00EE70EE" w:rsidRPr="00EE70EE">
        <w:rPr>
          <w:rFonts w:ascii="Arial" w:hAnsi="Arial" w:cs="Arial"/>
          <w:sz w:val="22"/>
          <w:szCs w:val="22"/>
        </w:rPr>
        <w:t xml:space="preserve"> can be established to </w:t>
      </w:r>
      <w:r w:rsidR="00D83DA0" w:rsidRPr="00EE70EE">
        <w:rPr>
          <w:rFonts w:ascii="Arial" w:hAnsi="Arial" w:cs="Arial"/>
          <w:sz w:val="22"/>
          <w:szCs w:val="22"/>
        </w:rPr>
        <w:t xml:space="preserve">inform and consult with employees where an issue </w:t>
      </w:r>
      <w:r w:rsidR="00EE70EE" w:rsidRPr="00EE70EE">
        <w:rPr>
          <w:rFonts w:ascii="Arial" w:hAnsi="Arial" w:cs="Arial"/>
          <w:sz w:val="22"/>
          <w:szCs w:val="22"/>
        </w:rPr>
        <w:t>affects more than one country (Gov.UK, 2020)</w:t>
      </w:r>
    </w:p>
    <w:p w14:paraId="0A218398" w14:textId="0E45088C" w:rsidR="00D83DA0" w:rsidRPr="00D83DA0" w:rsidRDefault="00D83DA0" w:rsidP="00EE70EE">
      <w:pPr>
        <w:pStyle w:val="ListParagraph"/>
        <w:rPr>
          <w:rFonts w:cs="Arial"/>
          <w:color w:val="FF0000"/>
        </w:rPr>
      </w:pPr>
    </w:p>
    <w:p w14:paraId="18244482" w14:textId="157E846E" w:rsidR="006511B2" w:rsidRPr="008A093C" w:rsidRDefault="00EE70EE" w:rsidP="00B0415F">
      <w:pPr>
        <w:rPr>
          <w:rFonts w:ascii="Arial" w:hAnsi="Arial" w:cs="Arial"/>
        </w:rPr>
      </w:pPr>
      <w:r>
        <w:rPr>
          <w:rFonts w:ascii="Arial" w:hAnsi="Arial" w:cs="Arial"/>
        </w:rPr>
        <w:t>Employee participation is evident i</w:t>
      </w:r>
      <w:r w:rsidR="008A093C">
        <w:rPr>
          <w:rFonts w:ascii="Arial" w:hAnsi="Arial" w:cs="Arial"/>
        </w:rPr>
        <w:t>n my own organisation, perhaps in response to the decline in trade union influence since the 1980’s. T</w:t>
      </w:r>
      <w:r w:rsidR="006511B2" w:rsidRPr="008A093C">
        <w:rPr>
          <w:rFonts w:ascii="Arial" w:hAnsi="Arial" w:cs="Arial"/>
        </w:rPr>
        <w:t xml:space="preserve">he Health Board established </w:t>
      </w:r>
      <w:r w:rsidR="008A093C">
        <w:rPr>
          <w:rFonts w:ascii="Arial" w:hAnsi="Arial" w:cs="Arial"/>
        </w:rPr>
        <w:t xml:space="preserve">a </w:t>
      </w:r>
      <w:r w:rsidR="006511B2" w:rsidRPr="008A093C">
        <w:rPr>
          <w:rFonts w:ascii="Arial" w:hAnsi="Arial" w:cs="Arial"/>
        </w:rPr>
        <w:t>Staff Partnership Forum in 2009 to provide assurance to the Board on the Health Board’s compliance with legislation, guidance and best practice around its agenda</w:t>
      </w:r>
      <w:r w:rsidR="008A093C">
        <w:rPr>
          <w:rFonts w:ascii="Arial" w:hAnsi="Arial" w:cs="Arial"/>
        </w:rPr>
        <w:t>,</w:t>
      </w:r>
      <w:r w:rsidR="006511B2" w:rsidRPr="008A093C">
        <w:rPr>
          <w:rFonts w:ascii="Arial" w:hAnsi="Arial" w:cs="Arial"/>
        </w:rPr>
        <w:t xml:space="preserve"> including </w:t>
      </w:r>
    </w:p>
    <w:p w14:paraId="4A040995" w14:textId="77777777" w:rsidR="006511B2" w:rsidRPr="008A093C" w:rsidRDefault="006511B2" w:rsidP="00231CFD">
      <w:pPr>
        <w:pStyle w:val="ListParagraph"/>
        <w:numPr>
          <w:ilvl w:val="0"/>
          <w:numId w:val="6"/>
        </w:numPr>
        <w:rPr>
          <w:rFonts w:cs="Arial"/>
        </w:rPr>
      </w:pPr>
      <w:r w:rsidRPr="008A093C">
        <w:rPr>
          <w:rFonts w:cs="Arial"/>
        </w:rPr>
        <w:t>Establishing a regular and formal dialogue between the Board’s Executive and the Trade Unions on matters relating to workforce and health service issues.</w:t>
      </w:r>
    </w:p>
    <w:p w14:paraId="546F5093" w14:textId="77777777" w:rsidR="006511B2" w:rsidRPr="008A093C" w:rsidRDefault="006511B2" w:rsidP="00231CFD">
      <w:pPr>
        <w:pStyle w:val="ListParagraph"/>
        <w:numPr>
          <w:ilvl w:val="0"/>
          <w:numId w:val="6"/>
        </w:numPr>
        <w:rPr>
          <w:rFonts w:cs="Arial"/>
        </w:rPr>
      </w:pPr>
      <w:r w:rsidRPr="008A093C">
        <w:rPr>
          <w:rFonts w:cs="Arial"/>
        </w:rPr>
        <w:t>Enabling employers and staff organisations to put forward issues affecting the workforce</w:t>
      </w:r>
    </w:p>
    <w:p w14:paraId="6E76722D" w14:textId="77777777" w:rsidR="006511B2" w:rsidRPr="008A093C" w:rsidRDefault="006511B2" w:rsidP="00231CFD">
      <w:pPr>
        <w:pStyle w:val="ListParagraph"/>
        <w:numPr>
          <w:ilvl w:val="0"/>
          <w:numId w:val="6"/>
        </w:numPr>
        <w:rPr>
          <w:rFonts w:cs="Arial"/>
        </w:rPr>
      </w:pPr>
      <w:r w:rsidRPr="008A093C">
        <w:rPr>
          <w:rFonts w:cs="Arial"/>
        </w:rPr>
        <w:t>Providing opportunities for staff organisations and managers to input into organisation service development plans at an early stage</w:t>
      </w:r>
    </w:p>
    <w:p w14:paraId="44CFB8CD" w14:textId="4CD88B6F" w:rsidR="006511B2" w:rsidRPr="008A093C" w:rsidRDefault="006511B2" w:rsidP="00231CFD">
      <w:pPr>
        <w:pStyle w:val="ListParagraph"/>
        <w:numPr>
          <w:ilvl w:val="0"/>
          <w:numId w:val="6"/>
        </w:numPr>
        <w:rPr>
          <w:rFonts w:cs="Arial"/>
        </w:rPr>
      </w:pPr>
      <w:r w:rsidRPr="008A093C">
        <w:rPr>
          <w:rFonts w:cs="Arial"/>
        </w:rPr>
        <w:t>Consider</w:t>
      </w:r>
      <w:r w:rsidR="008A093C" w:rsidRPr="008A093C">
        <w:rPr>
          <w:rFonts w:cs="Arial"/>
        </w:rPr>
        <w:t>ing</w:t>
      </w:r>
      <w:r w:rsidRPr="008A093C">
        <w:rPr>
          <w:rFonts w:cs="Arial"/>
        </w:rPr>
        <w:t xml:space="preserve"> the implications for staff of NHS reorganisations at a national or local level and to work in partnership to achieve mutually successful implementation</w:t>
      </w:r>
    </w:p>
    <w:p w14:paraId="22F0372D" w14:textId="149A37D8" w:rsidR="005B5EC7" w:rsidRPr="008A093C" w:rsidRDefault="006511B2" w:rsidP="00231CFD">
      <w:pPr>
        <w:pStyle w:val="ListParagraph"/>
        <w:numPr>
          <w:ilvl w:val="0"/>
          <w:numId w:val="6"/>
        </w:numPr>
        <w:rPr>
          <w:rFonts w:cs="Arial"/>
        </w:rPr>
      </w:pPr>
      <w:r w:rsidRPr="008A093C">
        <w:rPr>
          <w:rFonts w:cs="Arial"/>
        </w:rPr>
        <w:t xml:space="preserve">Negotiate on matters subject to local determination. </w:t>
      </w:r>
      <w:r w:rsidR="008A093C">
        <w:rPr>
          <w:rFonts w:cs="Arial"/>
        </w:rPr>
        <w:t>(Hywel Dda University Health Board, 2020).</w:t>
      </w:r>
    </w:p>
    <w:p w14:paraId="5786044C" w14:textId="50993545" w:rsidR="005B5EC7" w:rsidRDefault="005B5EC7" w:rsidP="00B0415F">
      <w:pPr>
        <w:rPr>
          <w:rFonts w:ascii="Arial" w:hAnsi="Arial" w:cs="Arial"/>
        </w:rPr>
      </w:pPr>
    </w:p>
    <w:p w14:paraId="209D737B" w14:textId="53E3249D" w:rsidR="008A093C" w:rsidRDefault="008A093C" w:rsidP="00B0415F">
      <w:pPr>
        <w:rPr>
          <w:rFonts w:ascii="Arial" w:hAnsi="Arial" w:cs="Arial"/>
        </w:rPr>
      </w:pPr>
      <w:r w:rsidRPr="00D55349">
        <w:rPr>
          <w:rFonts w:ascii="Arial" w:hAnsi="Arial" w:cs="Arial"/>
        </w:rPr>
        <w:t xml:space="preserve">Employee involvement </w:t>
      </w:r>
      <w:r w:rsidR="00D55349" w:rsidRPr="00D55349">
        <w:rPr>
          <w:rFonts w:ascii="Arial" w:hAnsi="Arial" w:cs="Arial"/>
        </w:rPr>
        <w:t xml:space="preserve">differs to participation in that manages adopt methods to directly engage with employees to get agreement and co-operation on matters, for example using suggestion schemes, consultation committees, newsletters and briefings. </w:t>
      </w:r>
      <w:r w:rsidR="00D55349">
        <w:rPr>
          <w:rFonts w:ascii="Arial" w:hAnsi="Arial" w:cs="Arial"/>
        </w:rPr>
        <w:t xml:space="preserve">Gifford et al (2005, p1) </w:t>
      </w:r>
      <w:r w:rsidR="00D55349" w:rsidRPr="00D55349">
        <w:rPr>
          <w:rFonts w:ascii="Arial" w:hAnsi="Arial" w:cs="Arial"/>
        </w:rPr>
        <w:t xml:space="preserve">suggest that these techniques can succeed in improving motivation and commitment and can identify employees with the relevant skills to drive improvement. </w:t>
      </w:r>
      <w:r w:rsidR="00995B5B">
        <w:rPr>
          <w:rFonts w:ascii="Arial" w:hAnsi="Arial" w:cs="Arial"/>
        </w:rPr>
        <w:t xml:space="preserve">This claim appears to be backed up by Van Wanrooy et al (2013, p19) who identify a link between employee involvement and decision-making, citing that 91% of participants in their study who indicated they were satisfied with their involvement felt loyal to their organisation and 87% felt proud to work for their organisation. These outcomes were both significantly higher than those employees who had declared themselves not satisfied with their opportunity to be involved in decision making. </w:t>
      </w:r>
    </w:p>
    <w:p w14:paraId="4C008D13" w14:textId="4C30FD46" w:rsidR="00EE70EE" w:rsidRDefault="00EE70EE" w:rsidP="00B0415F">
      <w:pPr>
        <w:rPr>
          <w:rFonts w:ascii="Arial" w:hAnsi="Arial" w:cs="Arial"/>
        </w:rPr>
      </w:pPr>
    </w:p>
    <w:p w14:paraId="0E714B70" w14:textId="6527B247" w:rsidR="00EE70EE" w:rsidRDefault="00EE70EE" w:rsidP="00B0415F">
      <w:pPr>
        <w:rPr>
          <w:rFonts w:ascii="Arial" w:hAnsi="Arial" w:cs="Arial"/>
        </w:rPr>
      </w:pPr>
      <w:r>
        <w:rPr>
          <w:rFonts w:ascii="Arial" w:hAnsi="Arial" w:cs="Arial"/>
        </w:rPr>
        <w:t xml:space="preserve">However, according to Quain (2018), employee involvement better suits organisations with a flat structure as </w:t>
      </w:r>
      <w:r w:rsidR="004E0BF1">
        <w:rPr>
          <w:rFonts w:ascii="Arial" w:hAnsi="Arial" w:cs="Arial"/>
        </w:rPr>
        <w:t>having fewer reporting lines can facilitate wider teamworking which leads to more employee involvement in decision-making. This can prove more difficult in hierarchical organisations where more complex reporting lines can lead to resistance from employees as managers can take a more authoritative approach to decision-making.</w:t>
      </w:r>
    </w:p>
    <w:p w14:paraId="3EEF3E56" w14:textId="7B373C56" w:rsidR="004E0BF1" w:rsidRDefault="004E0BF1" w:rsidP="00B0415F">
      <w:pPr>
        <w:rPr>
          <w:rFonts w:ascii="Arial" w:hAnsi="Arial" w:cs="Arial"/>
        </w:rPr>
      </w:pPr>
    </w:p>
    <w:p w14:paraId="111299F1" w14:textId="4B9395E7" w:rsidR="004E0BF1" w:rsidRDefault="002B5609" w:rsidP="00B0415F">
      <w:pPr>
        <w:rPr>
          <w:rFonts w:ascii="Arial" w:hAnsi="Arial" w:cs="Arial"/>
        </w:rPr>
      </w:pPr>
      <w:r>
        <w:rPr>
          <w:rFonts w:ascii="Arial" w:hAnsi="Arial" w:cs="Arial"/>
        </w:rPr>
        <w:t>Whatever approach an organisation takes, there is no doubt that the global pandemic and the subsequent changes to the way in which we work</w:t>
      </w:r>
      <w:r w:rsidR="002E1C7E">
        <w:rPr>
          <w:rFonts w:ascii="Arial" w:hAnsi="Arial" w:cs="Arial"/>
        </w:rPr>
        <w:t>, and the potential for different models of working</w:t>
      </w:r>
      <w:r>
        <w:rPr>
          <w:rFonts w:ascii="Arial" w:hAnsi="Arial" w:cs="Arial"/>
        </w:rPr>
        <w:t>, will impact on how</w:t>
      </w:r>
      <w:r w:rsidR="002E1C7E">
        <w:rPr>
          <w:rFonts w:ascii="Arial" w:hAnsi="Arial" w:cs="Arial"/>
        </w:rPr>
        <w:t xml:space="preserve"> managers ensure that the</w:t>
      </w:r>
      <w:r>
        <w:rPr>
          <w:rFonts w:ascii="Arial" w:hAnsi="Arial" w:cs="Arial"/>
        </w:rPr>
        <w:t xml:space="preserve"> employee voice </w:t>
      </w:r>
      <w:r w:rsidR="002E1C7E">
        <w:rPr>
          <w:rFonts w:ascii="Arial" w:hAnsi="Arial" w:cs="Arial"/>
        </w:rPr>
        <w:t>is</w:t>
      </w:r>
      <w:r>
        <w:rPr>
          <w:rFonts w:ascii="Arial" w:hAnsi="Arial" w:cs="Arial"/>
        </w:rPr>
        <w:t xml:space="preserve"> heard (Warstom, 2021). </w:t>
      </w:r>
    </w:p>
    <w:p w14:paraId="497679BD" w14:textId="61292A30" w:rsidR="002B5609" w:rsidRDefault="002B5609" w:rsidP="00B0415F">
      <w:pPr>
        <w:rPr>
          <w:rFonts w:ascii="Arial" w:hAnsi="Arial" w:cs="Arial"/>
        </w:rPr>
      </w:pPr>
    </w:p>
    <w:p w14:paraId="090C9E78" w14:textId="77777777" w:rsidR="004111E9" w:rsidRDefault="0080711D" w:rsidP="00B0415F">
      <w:pPr>
        <w:rPr>
          <w:rFonts w:ascii="Arial" w:hAnsi="Arial" w:cs="Arial"/>
          <w:b/>
          <w:bCs/>
        </w:rPr>
      </w:pPr>
      <w:r w:rsidRPr="0080711D">
        <w:rPr>
          <w:rFonts w:ascii="Arial" w:hAnsi="Arial" w:cs="Arial"/>
          <w:b/>
          <w:bCs/>
        </w:rPr>
        <w:t>Learning Objective 4 – Conflict behaviour and dispute resolution</w:t>
      </w:r>
    </w:p>
    <w:p w14:paraId="525832B7" w14:textId="77777777" w:rsidR="004111E9" w:rsidRDefault="004111E9" w:rsidP="00B0415F">
      <w:pPr>
        <w:rPr>
          <w:rFonts w:ascii="Arial" w:hAnsi="Arial" w:cs="Arial"/>
          <w:b/>
          <w:bCs/>
        </w:rPr>
      </w:pPr>
    </w:p>
    <w:p w14:paraId="35B120D6" w14:textId="77777777" w:rsidR="002E1C7E" w:rsidRDefault="002E1C7E" w:rsidP="00B0415F">
      <w:pPr>
        <w:rPr>
          <w:rFonts w:ascii="Arial" w:hAnsi="Arial" w:cs="Arial"/>
          <w:u w:val="single"/>
        </w:rPr>
      </w:pPr>
      <w:r w:rsidRPr="002E1C7E">
        <w:rPr>
          <w:rFonts w:ascii="Arial" w:hAnsi="Arial" w:cs="Arial"/>
        </w:rPr>
        <w:t>4.1</w:t>
      </w:r>
      <w:r>
        <w:rPr>
          <w:rFonts w:ascii="Arial" w:hAnsi="Arial" w:cs="Arial"/>
        </w:rPr>
        <w:tab/>
      </w:r>
      <w:r w:rsidRPr="002E1C7E">
        <w:rPr>
          <w:rFonts w:ascii="Arial" w:hAnsi="Arial" w:cs="Arial"/>
          <w:u w:val="single"/>
        </w:rPr>
        <w:t>Conflict and misbehaviour and official and unofficial industrial action</w:t>
      </w:r>
    </w:p>
    <w:p w14:paraId="648B5C72" w14:textId="77777777" w:rsidR="00FD5FE6" w:rsidRDefault="00FD5FE6" w:rsidP="00FD5FE6">
      <w:pPr>
        <w:ind w:left="720"/>
        <w:rPr>
          <w:rFonts w:ascii="Arial" w:hAnsi="Arial" w:cs="Arial"/>
        </w:rPr>
      </w:pPr>
      <w:r>
        <w:rPr>
          <w:rFonts w:ascii="Arial" w:hAnsi="Arial" w:cs="Arial"/>
        </w:rPr>
        <w:t>Ellis (2016, p116) considers conflict in the workplace as inevitable given that the parties to employment relations will have competing interests but that organisations can manage this effectively with the appropriate processes in place.</w:t>
      </w:r>
    </w:p>
    <w:p w14:paraId="26BC2D02" w14:textId="4D8BC9E2" w:rsidR="000074B3" w:rsidRDefault="000074B3" w:rsidP="00792E41">
      <w:pPr>
        <w:ind w:left="720"/>
        <w:rPr>
          <w:rFonts w:ascii="Arial" w:hAnsi="Arial" w:cs="Arial"/>
        </w:rPr>
      </w:pPr>
    </w:p>
    <w:p w14:paraId="06CCCBA1" w14:textId="04EAB4A5" w:rsidR="00FD5FE6" w:rsidRDefault="00FD5FE6" w:rsidP="00792E41">
      <w:pPr>
        <w:ind w:left="720"/>
        <w:rPr>
          <w:rFonts w:ascii="Arial" w:hAnsi="Arial" w:cs="Arial"/>
        </w:rPr>
      </w:pPr>
      <w:r>
        <w:rPr>
          <w:rFonts w:ascii="Arial" w:hAnsi="Arial" w:cs="Arial"/>
        </w:rPr>
        <w:t>Conflict may be caused by poor management, lack of communication or personality differences and can manifest itself through bullying, lack of co-operation or anger. This in turn can give rise to lower productivity and performance and ultimately can be damaging to the organisation (SHRM, n.d.).</w:t>
      </w:r>
    </w:p>
    <w:p w14:paraId="61206341" w14:textId="77777777" w:rsidR="00FD5FE6" w:rsidRDefault="00FD5FE6" w:rsidP="00792E41">
      <w:pPr>
        <w:ind w:left="720"/>
        <w:rPr>
          <w:rFonts w:ascii="Arial" w:hAnsi="Arial" w:cs="Arial"/>
        </w:rPr>
      </w:pPr>
    </w:p>
    <w:p w14:paraId="2DA723EA" w14:textId="3551D801" w:rsidR="00792E41" w:rsidRDefault="00792E41" w:rsidP="00792E41">
      <w:pPr>
        <w:ind w:left="720"/>
        <w:rPr>
          <w:rFonts w:ascii="Arial" w:hAnsi="Arial" w:cs="Arial"/>
        </w:rPr>
      </w:pPr>
      <w:r>
        <w:rPr>
          <w:rFonts w:ascii="Arial" w:hAnsi="Arial" w:cs="Arial"/>
        </w:rPr>
        <w:t>Hann and Nash (2020) state that workplace disputes are a common and regular occurrence in the workplace</w:t>
      </w:r>
      <w:r w:rsidR="00262748">
        <w:rPr>
          <w:rFonts w:ascii="Arial" w:hAnsi="Arial" w:cs="Arial"/>
        </w:rPr>
        <w:t>. In their survey of conflict in British workplaces, they concluded that informal disagreements and grievance and disciplinary cases are the most common disputes with very few ending up going to an employment tribunal. They also found that collective disputes within the private sector had become rare.</w:t>
      </w:r>
    </w:p>
    <w:p w14:paraId="589C0E03" w14:textId="77777777" w:rsidR="000074B3" w:rsidRDefault="000074B3" w:rsidP="00792E41">
      <w:pPr>
        <w:ind w:left="720"/>
        <w:rPr>
          <w:rFonts w:ascii="Arial" w:hAnsi="Arial" w:cs="Arial"/>
        </w:rPr>
      </w:pPr>
    </w:p>
    <w:p w14:paraId="098B0119" w14:textId="4499241D" w:rsidR="0009478E" w:rsidRDefault="0009478E" w:rsidP="0009478E">
      <w:pPr>
        <w:ind w:left="720"/>
        <w:rPr>
          <w:rFonts w:ascii="Arial" w:hAnsi="Arial" w:cs="Arial"/>
        </w:rPr>
      </w:pPr>
      <w:r w:rsidRPr="001F7BAD">
        <w:rPr>
          <w:rFonts w:ascii="Arial" w:hAnsi="Arial" w:cs="Arial"/>
        </w:rPr>
        <w:t>Misbehaviour in the workplace differs from conflict. Misbehaviour happens when an employee deliberately acts in a way that goes against the organisation</w:t>
      </w:r>
      <w:r>
        <w:rPr>
          <w:rFonts w:ascii="Arial" w:hAnsi="Arial" w:cs="Arial"/>
        </w:rPr>
        <w:t>’</w:t>
      </w:r>
      <w:r w:rsidRPr="001F7BAD">
        <w:rPr>
          <w:rFonts w:ascii="Arial" w:hAnsi="Arial" w:cs="Arial"/>
        </w:rPr>
        <w:t>s requirements or values (Thomas et al, 2019)</w:t>
      </w:r>
      <w:r w:rsidR="00FD5FE6">
        <w:rPr>
          <w:rFonts w:ascii="Arial" w:hAnsi="Arial" w:cs="Arial"/>
        </w:rPr>
        <w:t>;</w:t>
      </w:r>
      <w:r w:rsidRPr="001F7BAD">
        <w:rPr>
          <w:rFonts w:ascii="Arial" w:hAnsi="Arial" w:cs="Arial"/>
        </w:rPr>
        <w:t xml:space="preserve"> for example, bullying, incivility, sexual harassment, sabotage or fraud. They suggest that misbehaviour stems from employees being dissatisfied in their jobs due to boredom, low pay, uncertainty or feeling undervalued. </w:t>
      </w:r>
      <w:r w:rsidR="00457EE9" w:rsidRPr="00457EE9">
        <w:rPr>
          <w:rFonts w:ascii="Arial" w:hAnsi="Arial" w:cs="Arial"/>
        </w:rPr>
        <w:t>Ellis (2016, p116) describes misbehaviour as ‘unorganised’ conflict that is generally unlawful but short-term.</w:t>
      </w:r>
      <w:r w:rsidR="00457EE9">
        <w:rPr>
          <w:rFonts w:ascii="Arial" w:hAnsi="Arial" w:cs="Arial"/>
        </w:rPr>
        <w:t xml:space="preserve"> </w:t>
      </w:r>
      <w:r>
        <w:rPr>
          <w:rFonts w:ascii="Arial" w:hAnsi="Arial" w:cs="Arial"/>
        </w:rPr>
        <w:t>Misbehaviour in the workplace is likely to be dealt with through the organisation’s disciplinary or grievance procedures (Acas, n.d</w:t>
      </w:r>
      <w:r w:rsidR="00A6327F">
        <w:rPr>
          <w:rFonts w:ascii="Arial" w:hAnsi="Arial" w:cs="Arial"/>
        </w:rPr>
        <w:t>.(a)</w:t>
      </w:r>
      <w:r>
        <w:rPr>
          <w:rFonts w:ascii="Arial" w:hAnsi="Arial" w:cs="Arial"/>
        </w:rPr>
        <w:t>)</w:t>
      </w:r>
      <w:r w:rsidR="00FD5FE6">
        <w:rPr>
          <w:rFonts w:ascii="Arial" w:hAnsi="Arial" w:cs="Arial"/>
        </w:rPr>
        <w:t>.</w:t>
      </w:r>
    </w:p>
    <w:p w14:paraId="01E9455C" w14:textId="6E831A1D" w:rsidR="00FD5FE6" w:rsidRDefault="00FD5FE6" w:rsidP="0009478E">
      <w:pPr>
        <w:ind w:left="720"/>
        <w:rPr>
          <w:rFonts w:ascii="Arial" w:hAnsi="Arial" w:cs="Arial"/>
        </w:rPr>
      </w:pPr>
    </w:p>
    <w:p w14:paraId="167464AE" w14:textId="34738B4E" w:rsidR="00B97CEA" w:rsidRDefault="00457EE9" w:rsidP="00B97CEA">
      <w:pPr>
        <w:pStyle w:val="NormalWeb"/>
        <w:spacing w:after="0"/>
        <w:ind w:left="720"/>
        <w:rPr>
          <w:rFonts w:ascii="Arial" w:hAnsi="Arial" w:cs="Arial"/>
          <w:sz w:val="22"/>
          <w:szCs w:val="22"/>
        </w:rPr>
      </w:pPr>
      <w:r w:rsidRPr="00B97CEA">
        <w:rPr>
          <w:rFonts w:ascii="Arial" w:hAnsi="Arial" w:cs="Arial"/>
          <w:sz w:val="22"/>
          <w:szCs w:val="22"/>
        </w:rPr>
        <w:t xml:space="preserve">Conflict at work can result in official industrial action, such as strikes, or unofficial industrial action, which may include organised ‘go slows’ or ‘working to rule’ (UNISON, n.d.). </w:t>
      </w:r>
      <w:r w:rsidR="00B97CEA" w:rsidRPr="00B97CEA">
        <w:rPr>
          <w:rFonts w:ascii="Arial" w:hAnsi="Arial" w:cs="Arial"/>
          <w:sz w:val="22"/>
          <w:szCs w:val="22"/>
        </w:rPr>
        <w:t xml:space="preserve"> Whilst s</w:t>
      </w:r>
      <w:r w:rsidR="00B97CEA" w:rsidRPr="00B97CEA">
        <w:rPr>
          <w:rFonts w:ascii="Arial" w:hAnsi="Arial" w:cs="Arial"/>
          <w:color w:val="333333"/>
          <w:sz w:val="22"/>
          <w:szCs w:val="22"/>
        </w:rPr>
        <w:t>trike action organised by trade unions is lawful, as mentioned in 2.1 above, t</w:t>
      </w:r>
      <w:r w:rsidR="00B97CEA" w:rsidRPr="00B97CEA">
        <w:rPr>
          <w:rFonts w:ascii="Arial" w:hAnsi="Arial" w:cs="Arial"/>
          <w:sz w:val="22"/>
          <w:szCs w:val="22"/>
        </w:rPr>
        <w:t xml:space="preserve">he </w:t>
      </w:r>
      <w:r w:rsidR="00B97CEA" w:rsidRPr="00B97CEA">
        <w:rPr>
          <w:rFonts w:ascii="Arial" w:hAnsi="Arial" w:cs="Arial"/>
          <w:i/>
          <w:iCs/>
          <w:sz w:val="22"/>
          <w:szCs w:val="22"/>
        </w:rPr>
        <w:t xml:space="preserve">Trade Union Act 2016 </w:t>
      </w:r>
      <w:r w:rsidR="00B97CEA" w:rsidRPr="00B97CEA">
        <w:rPr>
          <w:rFonts w:ascii="Arial" w:hAnsi="Arial" w:cs="Arial"/>
          <w:sz w:val="22"/>
          <w:szCs w:val="22"/>
        </w:rPr>
        <w:t>places restrictions in terms of the balloting process.</w:t>
      </w:r>
      <w:r w:rsidR="00F15C68">
        <w:rPr>
          <w:rFonts w:ascii="Arial" w:hAnsi="Arial" w:cs="Arial"/>
          <w:sz w:val="22"/>
          <w:szCs w:val="22"/>
        </w:rPr>
        <w:t xml:space="preserve"> Examples of </w:t>
      </w:r>
      <w:r w:rsidR="005950D5">
        <w:rPr>
          <w:rFonts w:ascii="Arial" w:hAnsi="Arial" w:cs="Arial"/>
          <w:sz w:val="22"/>
          <w:szCs w:val="22"/>
        </w:rPr>
        <w:t>h</w:t>
      </w:r>
      <w:r w:rsidR="00F15C68">
        <w:rPr>
          <w:rFonts w:ascii="Arial" w:hAnsi="Arial" w:cs="Arial"/>
          <w:sz w:val="22"/>
          <w:szCs w:val="22"/>
        </w:rPr>
        <w:t>igh</w:t>
      </w:r>
      <w:r w:rsidR="005950D5">
        <w:rPr>
          <w:rFonts w:ascii="Arial" w:hAnsi="Arial" w:cs="Arial"/>
          <w:sz w:val="22"/>
          <w:szCs w:val="22"/>
        </w:rPr>
        <w:t>-</w:t>
      </w:r>
      <w:r w:rsidR="00F15C68">
        <w:rPr>
          <w:rFonts w:ascii="Arial" w:hAnsi="Arial" w:cs="Arial"/>
          <w:sz w:val="22"/>
          <w:szCs w:val="22"/>
        </w:rPr>
        <w:t>profile strike action in the UK include:</w:t>
      </w:r>
    </w:p>
    <w:p w14:paraId="7A9A7E25" w14:textId="13E63DA4" w:rsidR="00B97CEA" w:rsidRDefault="00B97CEA" w:rsidP="00B97CEA">
      <w:pPr>
        <w:pStyle w:val="NormalWeb"/>
        <w:spacing w:after="0"/>
        <w:ind w:left="720"/>
        <w:rPr>
          <w:rFonts w:ascii="Arial" w:hAnsi="Arial" w:cs="Arial"/>
          <w:sz w:val="22"/>
          <w:szCs w:val="22"/>
        </w:rPr>
      </w:pPr>
    </w:p>
    <w:p w14:paraId="02D77B26" w14:textId="2AED3C01" w:rsidR="00B97CEA" w:rsidRDefault="00B97CEA" w:rsidP="00231CFD">
      <w:pPr>
        <w:pStyle w:val="NormalWeb"/>
        <w:numPr>
          <w:ilvl w:val="0"/>
          <w:numId w:val="8"/>
        </w:numPr>
        <w:spacing w:after="0"/>
        <w:rPr>
          <w:rFonts w:ascii="Arial" w:hAnsi="Arial" w:cs="Arial"/>
          <w:sz w:val="22"/>
          <w:szCs w:val="22"/>
        </w:rPr>
      </w:pPr>
      <w:r>
        <w:rPr>
          <w:rFonts w:ascii="Arial" w:hAnsi="Arial" w:cs="Arial"/>
          <w:sz w:val="22"/>
          <w:szCs w:val="22"/>
        </w:rPr>
        <w:t xml:space="preserve">In December 2021, Tesco depot workers threatened to strike over Christmas over a pay deal. Strike action was averted following trade union negotiation with Tesco to agree a higher pay offer (Reuters, 2021). </w:t>
      </w:r>
    </w:p>
    <w:p w14:paraId="6A23B306" w14:textId="351006EE" w:rsidR="00F15C68" w:rsidRPr="00B97CEA" w:rsidRDefault="00F15C68" w:rsidP="00231CFD">
      <w:pPr>
        <w:pStyle w:val="NormalWeb"/>
        <w:numPr>
          <w:ilvl w:val="0"/>
          <w:numId w:val="8"/>
        </w:numPr>
        <w:spacing w:after="0"/>
        <w:rPr>
          <w:rFonts w:ascii="Arial" w:hAnsi="Arial" w:cs="Arial"/>
          <w:sz w:val="22"/>
          <w:szCs w:val="22"/>
        </w:rPr>
      </w:pPr>
      <w:r>
        <w:rPr>
          <w:rFonts w:ascii="Arial" w:hAnsi="Arial" w:cs="Arial"/>
          <w:sz w:val="22"/>
          <w:szCs w:val="22"/>
        </w:rPr>
        <w:t>In September 2017, McDonald’s workers held their first strike in the UK over claims of workplace bullying and in protest against zero-hour contracts. This was followed up further strikes during 2018 and 2019, with each strike getting bigger</w:t>
      </w:r>
      <w:r w:rsidR="005950D5">
        <w:rPr>
          <w:rFonts w:ascii="Arial" w:hAnsi="Arial" w:cs="Arial"/>
          <w:sz w:val="22"/>
          <w:szCs w:val="22"/>
        </w:rPr>
        <w:t xml:space="preserve"> (BBC News, 2019).</w:t>
      </w:r>
      <w:r>
        <w:rPr>
          <w:rFonts w:ascii="Arial" w:hAnsi="Arial" w:cs="Arial"/>
          <w:sz w:val="22"/>
          <w:szCs w:val="22"/>
        </w:rPr>
        <w:t xml:space="preserve"> </w:t>
      </w:r>
    </w:p>
    <w:p w14:paraId="1402B88F" w14:textId="0A4721BC" w:rsidR="00B97CEA" w:rsidRPr="00B97CEA" w:rsidRDefault="00B97CEA" w:rsidP="00B97CEA">
      <w:pPr>
        <w:pStyle w:val="NormalWeb"/>
        <w:spacing w:after="0"/>
        <w:ind w:left="720"/>
        <w:rPr>
          <w:rFonts w:ascii="Arial" w:hAnsi="Arial" w:cs="Arial"/>
          <w:color w:val="333333"/>
          <w:sz w:val="22"/>
          <w:szCs w:val="22"/>
        </w:rPr>
      </w:pPr>
    </w:p>
    <w:p w14:paraId="005021FE" w14:textId="77777777" w:rsidR="00457EE9" w:rsidRDefault="002E1C7E" w:rsidP="00B0415F">
      <w:pPr>
        <w:rPr>
          <w:rFonts w:ascii="Arial" w:hAnsi="Arial" w:cs="Arial"/>
          <w:u w:val="single"/>
        </w:rPr>
      </w:pPr>
      <w:r>
        <w:rPr>
          <w:rFonts w:ascii="Arial" w:hAnsi="Arial" w:cs="Arial"/>
        </w:rPr>
        <w:t>4.2</w:t>
      </w:r>
      <w:r>
        <w:rPr>
          <w:rFonts w:ascii="Arial" w:hAnsi="Arial" w:cs="Arial"/>
        </w:rPr>
        <w:tab/>
      </w:r>
      <w:r>
        <w:rPr>
          <w:rFonts w:ascii="Arial" w:hAnsi="Arial" w:cs="Arial"/>
          <w:u w:val="single"/>
        </w:rPr>
        <w:t>Third party conciliation, mediation and arbitration</w:t>
      </w:r>
    </w:p>
    <w:p w14:paraId="0EC2E34E" w14:textId="66391BEE" w:rsidR="005950D5" w:rsidRDefault="005950D5" w:rsidP="005950D5">
      <w:pPr>
        <w:ind w:left="720"/>
        <w:rPr>
          <w:rFonts w:ascii="Arial" w:hAnsi="Arial" w:cs="Arial"/>
        </w:rPr>
      </w:pPr>
      <w:r w:rsidRPr="005950D5">
        <w:rPr>
          <w:rFonts w:ascii="Arial" w:hAnsi="Arial" w:cs="Arial"/>
        </w:rPr>
        <w:t>Conflict is a costly and timely issue for organisations. In 2018/19, the estimated cost of conflict in the UK was £28.5 billion and almost 10 million employees experienced conflict (Saundry, 2021</w:t>
      </w:r>
      <w:r>
        <w:rPr>
          <w:rFonts w:ascii="Arial" w:hAnsi="Arial" w:cs="Arial"/>
        </w:rPr>
        <w:t>, p1</w:t>
      </w:r>
      <w:r w:rsidRPr="005950D5">
        <w:rPr>
          <w:rFonts w:ascii="Arial" w:hAnsi="Arial" w:cs="Arial"/>
        </w:rPr>
        <w:t>).</w:t>
      </w:r>
      <w:r>
        <w:rPr>
          <w:rFonts w:ascii="Arial" w:hAnsi="Arial" w:cs="Arial"/>
        </w:rPr>
        <w:t xml:space="preserve"> In addition, almost 1 million employees had a period of absence from work, half a million resigned and 300,000 were dismissed. Saundry advocates </w:t>
      </w:r>
      <w:r w:rsidR="00BD479A">
        <w:rPr>
          <w:rFonts w:ascii="Arial" w:hAnsi="Arial" w:cs="Arial"/>
        </w:rPr>
        <w:t xml:space="preserve">that organisations adopt </w:t>
      </w:r>
      <w:r>
        <w:rPr>
          <w:rFonts w:ascii="Arial" w:hAnsi="Arial" w:cs="Arial"/>
        </w:rPr>
        <w:t xml:space="preserve">early intervention </w:t>
      </w:r>
      <w:r w:rsidR="00BD479A">
        <w:rPr>
          <w:rFonts w:ascii="Arial" w:hAnsi="Arial" w:cs="Arial"/>
        </w:rPr>
        <w:t xml:space="preserve">practices to avoid the cost of conflict both in terms of financial and wellbeing aspects. </w:t>
      </w:r>
    </w:p>
    <w:p w14:paraId="37F17671" w14:textId="10A09087" w:rsidR="00BD479A" w:rsidRDefault="00BD479A" w:rsidP="005950D5">
      <w:pPr>
        <w:ind w:left="720"/>
        <w:rPr>
          <w:rFonts w:ascii="Arial" w:hAnsi="Arial" w:cs="Arial"/>
        </w:rPr>
      </w:pPr>
    </w:p>
    <w:p w14:paraId="4801DE55" w14:textId="26374D90" w:rsidR="005950D5" w:rsidRDefault="00143E0A" w:rsidP="00143E0A">
      <w:pPr>
        <w:ind w:left="720"/>
        <w:rPr>
          <w:rFonts w:ascii="Arial" w:hAnsi="Arial" w:cs="Arial"/>
        </w:rPr>
      </w:pPr>
      <w:r w:rsidRPr="00143E0A">
        <w:rPr>
          <w:rFonts w:ascii="Arial" w:hAnsi="Arial" w:cs="Arial"/>
        </w:rPr>
        <w:t>If not dealt with early, c</w:t>
      </w:r>
      <w:r w:rsidR="00BD479A" w:rsidRPr="00143E0A">
        <w:rPr>
          <w:rFonts w:ascii="Arial" w:hAnsi="Arial" w:cs="Arial"/>
        </w:rPr>
        <w:t xml:space="preserve">onflict </w:t>
      </w:r>
      <w:r w:rsidRPr="00143E0A">
        <w:rPr>
          <w:rFonts w:ascii="Arial" w:hAnsi="Arial" w:cs="Arial"/>
        </w:rPr>
        <w:t>will undoubtedly escalate; equipping managers with the skills to be able to resolve issues proactively and positively is crucial to maintain employee performance and satisfaction (CIPD, 2021d, p4)</w:t>
      </w:r>
      <w:r w:rsidR="00BD479A" w:rsidRPr="00143E0A">
        <w:rPr>
          <w:rFonts w:ascii="Arial" w:hAnsi="Arial" w:cs="Arial"/>
        </w:rPr>
        <w:t xml:space="preserve">. </w:t>
      </w:r>
      <w:r>
        <w:rPr>
          <w:rFonts w:ascii="Arial" w:hAnsi="Arial" w:cs="Arial"/>
        </w:rPr>
        <w:t>The CIPD suggest a number of actions that managers can take to avoid conflict in the workplace:</w:t>
      </w:r>
    </w:p>
    <w:p w14:paraId="32A75445" w14:textId="5D463F16" w:rsidR="00143E0A" w:rsidRDefault="00143E0A" w:rsidP="00231CFD">
      <w:pPr>
        <w:pStyle w:val="ListParagraph"/>
        <w:numPr>
          <w:ilvl w:val="0"/>
          <w:numId w:val="9"/>
        </w:numPr>
        <w:rPr>
          <w:rFonts w:cs="Arial"/>
        </w:rPr>
      </w:pPr>
      <w:r>
        <w:rPr>
          <w:rFonts w:cs="Arial"/>
        </w:rPr>
        <w:t>Understanding your team through building individual relationships;</w:t>
      </w:r>
    </w:p>
    <w:p w14:paraId="05931472" w14:textId="1F655C93" w:rsidR="00143E0A" w:rsidRDefault="00143E0A" w:rsidP="00231CFD">
      <w:pPr>
        <w:pStyle w:val="ListParagraph"/>
        <w:numPr>
          <w:ilvl w:val="0"/>
          <w:numId w:val="9"/>
        </w:numPr>
        <w:rPr>
          <w:rFonts w:cs="Arial"/>
        </w:rPr>
      </w:pPr>
      <w:r>
        <w:rPr>
          <w:rFonts w:cs="Arial"/>
        </w:rPr>
        <w:t>Be aware of how tension may manifest itself in individuals;</w:t>
      </w:r>
    </w:p>
    <w:p w14:paraId="0E9D38B7" w14:textId="00AE6FBA" w:rsidR="00143E0A" w:rsidRDefault="00143E0A" w:rsidP="00231CFD">
      <w:pPr>
        <w:pStyle w:val="ListParagraph"/>
        <w:numPr>
          <w:ilvl w:val="0"/>
          <w:numId w:val="9"/>
        </w:numPr>
        <w:rPr>
          <w:rFonts w:cs="Arial"/>
        </w:rPr>
      </w:pPr>
      <w:r>
        <w:rPr>
          <w:rFonts w:cs="Arial"/>
        </w:rPr>
        <w:t xml:space="preserve">Deal with individuals who may be </w:t>
      </w:r>
      <w:r w:rsidR="000C0062">
        <w:rPr>
          <w:rFonts w:cs="Arial"/>
        </w:rPr>
        <w:t>causing tension;</w:t>
      </w:r>
    </w:p>
    <w:p w14:paraId="3F00F46F" w14:textId="5EDE8409" w:rsidR="000C0062" w:rsidRDefault="000C0062" w:rsidP="00231CFD">
      <w:pPr>
        <w:pStyle w:val="ListParagraph"/>
        <w:numPr>
          <w:ilvl w:val="0"/>
          <w:numId w:val="9"/>
        </w:numPr>
        <w:rPr>
          <w:rFonts w:cs="Arial"/>
        </w:rPr>
      </w:pPr>
      <w:r>
        <w:rPr>
          <w:rFonts w:cs="Arial"/>
        </w:rPr>
        <w:t>Set out your expectations in terms of conduct; and</w:t>
      </w:r>
    </w:p>
    <w:p w14:paraId="783ECE3B" w14:textId="4C2E80BF" w:rsidR="000C0062" w:rsidRDefault="000C0062" w:rsidP="00231CFD">
      <w:pPr>
        <w:pStyle w:val="ListParagraph"/>
        <w:numPr>
          <w:ilvl w:val="0"/>
          <w:numId w:val="9"/>
        </w:numPr>
        <w:rPr>
          <w:rFonts w:cs="Arial"/>
        </w:rPr>
      </w:pPr>
      <w:r>
        <w:rPr>
          <w:rFonts w:cs="Arial"/>
        </w:rPr>
        <w:t>Avoid office politics.</w:t>
      </w:r>
    </w:p>
    <w:p w14:paraId="748D94C2" w14:textId="77777777" w:rsidR="000C0062" w:rsidRPr="000C0062" w:rsidRDefault="000C0062" w:rsidP="000C0062">
      <w:pPr>
        <w:rPr>
          <w:rFonts w:cs="Arial"/>
        </w:rPr>
      </w:pPr>
    </w:p>
    <w:p w14:paraId="4A7D02E1" w14:textId="09E49BA3" w:rsidR="005950D5" w:rsidRPr="007F7813" w:rsidRDefault="000C0062" w:rsidP="000C0062">
      <w:pPr>
        <w:ind w:left="720"/>
        <w:rPr>
          <w:rFonts w:ascii="Arial" w:hAnsi="Arial" w:cs="Arial"/>
        </w:rPr>
      </w:pPr>
      <w:r w:rsidRPr="007F7813">
        <w:rPr>
          <w:rFonts w:ascii="Arial" w:hAnsi="Arial" w:cs="Arial"/>
        </w:rPr>
        <w:t>However, there will be times when conflict escalates and has to be dealt with through other interventions</w:t>
      </w:r>
      <w:r w:rsidR="007F7813" w:rsidRPr="007F7813">
        <w:rPr>
          <w:rFonts w:ascii="Arial" w:hAnsi="Arial" w:cs="Arial"/>
        </w:rPr>
        <w:t xml:space="preserve"> </w:t>
      </w:r>
      <w:r w:rsidR="007F7813" w:rsidRPr="007F7813">
        <w:rPr>
          <w:rFonts w:ascii="Arial" w:eastAsia="Times New Roman" w:hAnsi="Arial" w:cs="Arial"/>
          <w:lang w:eastAsia="en-GB"/>
        </w:rPr>
        <w:t>(Acas, n.d. (b))</w:t>
      </w:r>
      <w:r w:rsidR="007F7813" w:rsidRPr="007F7813">
        <w:rPr>
          <w:rFonts w:ascii="Arial" w:eastAsia="Times New Roman" w:hAnsi="Arial" w:cs="Arial"/>
          <w:lang w:eastAsia="en-GB"/>
        </w:rPr>
        <w:t>. These are</w:t>
      </w:r>
      <w:r w:rsidRPr="007F7813">
        <w:rPr>
          <w:rFonts w:ascii="Arial" w:hAnsi="Arial" w:cs="Arial"/>
        </w:rPr>
        <w:t>:</w:t>
      </w:r>
    </w:p>
    <w:p w14:paraId="21E93ED9" w14:textId="3A159710" w:rsidR="000C0062" w:rsidRPr="007F7813" w:rsidRDefault="007F7813" w:rsidP="00231CFD">
      <w:pPr>
        <w:pStyle w:val="ListParagraph"/>
        <w:numPr>
          <w:ilvl w:val="0"/>
          <w:numId w:val="9"/>
        </w:numPr>
        <w:rPr>
          <w:rFonts w:cs="Arial"/>
        </w:rPr>
      </w:pPr>
      <w:r w:rsidRPr="007F7813">
        <w:rPr>
          <w:rFonts w:cs="Arial"/>
        </w:rPr>
        <w:t>C</w:t>
      </w:r>
      <w:r w:rsidR="000C0062" w:rsidRPr="007F7813">
        <w:rPr>
          <w:rFonts w:cs="Arial"/>
        </w:rPr>
        <w:t xml:space="preserve">onciliation – in the UK, conciliation is offered by Acas to </w:t>
      </w:r>
      <w:r w:rsidR="00231CFD" w:rsidRPr="007F7813">
        <w:rPr>
          <w:rFonts w:cs="Arial"/>
        </w:rPr>
        <w:t>employees</w:t>
      </w:r>
      <w:r w:rsidR="000C0062" w:rsidRPr="007F7813">
        <w:rPr>
          <w:rFonts w:cs="Arial"/>
        </w:rPr>
        <w:t xml:space="preserve"> who are considering making a claim to an employment tribunal. Acas will discuss </w:t>
      </w:r>
      <w:r w:rsidR="00A6327F" w:rsidRPr="007F7813">
        <w:rPr>
          <w:rFonts w:cs="Arial"/>
        </w:rPr>
        <w:t xml:space="preserve">the dispute with both the employee and organisation to try to resolve the issue without having to go down a more formal route. </w:t>
      </w:r>
    </w:p>
    <w:p w14:paraId="1469C876" w14:textId="4A5820B8" w:rsidR="00A6327F" w:rsidRPr="007F7813" w:rsidRDefault="00A6327F" w:rsidP="00231CFD">
      <w:pPr>
        <w:pStyle w:val="ListParagraph"/>
        <w:numPr>
          <w:ilvl w:val="0"/>
          <w:numId w:val="9"/>
        </w:numPr>
        <w:rPr>
          <w:rFonts w:cs="Arial"/>
        </w:rPr>
      </w:pPr>
      <w:r w:rsidRPr="007F7813">
        <w:rPr>
          <w:rFonts w:cs="Arial"/>
        </w:rPr>
        <w:t xml:space="preserve">Mediation </w:t>
      </w:r>
      <w:r w:rsidRPr="00A6327F">
        <w:rPr>
          <w:rFonts w:cs="Arial"/>
        </w:rPr>
        <w:t>– conducted by a ‘neutral’ and impartial person, mediation</w:t>
      </w:r>
      <w:r>
        <w:rPr>
          <w:rFonts w:cs="Arial"/>
        </w:rPr>
        <w:t xml:space="preserve"> is voluntary and </w:t>
      </w:r>
      <w:r w:rsidRPr="00A6327F">
        <w:rPr>
          <w:rFonts w:cs="Arial"/>
        </w:rPr>
        <w:t>attempts to repair relationships in the workplace and agree on how the</w:t>
      </w:r>
      <w:r>
        <w:rPr>
          <w:rFonts w:cs="Arial"/>
        </w:rPr>
        <w:t xml:space="preserve"> parties </w:t>
      </w:r>
      <w:r w:rsidRPr="00A6327F">
        <w:rPr>
          <w:rFonts w:cs="Arial"/>
        </w:rPr>
        <w:t>will work together moving forward.</w:t>
      </w:r>
      <w:r w:rsidRPr="007F7813">
        <w:rPr>
          <w:rFonts w:cs="Arial"/>
        </w:rPr>
        <w:t xml:space="preserve"> </w:t>
      </w:r>
      <w:r w:rsidRPr="007F7813">
        <w:rPr>
          <w:rFonts w:cs="Arial"/>
        </w:rPr>
        <w:t xml:space="preserve">Mediators can be </w:t>
      </w:r>
      <w:r w:rsidRPr="007F7813">
        <w:rPr>
          <w:rFonts w:cs="Arial"/>
        </w:rPr>
        <w:t xml:space="preserve">trained internal colleagues </w:t>
      </w:r>
      <w:r w:rsidRPr="007F7813">
        <w:rPr>
          <w:rFonts w:cs="Arial"/>
        </w:rPr>
        <w:t>or external professionals.</w:t>
      </w:r>
    </w:p>
    <w:p w14:paraId="6082AB1B" w14:textId="2CABC006" w:rsidR="00A6327F" w:rsidRPr="007F7813" w:rsidRDefault="00A6327F" w:rsidP="00231CFD">
      <w:pPr>
        <w:pStyle w:val="ListParagraph"/>
        <w:numPr>
          <w:ilvl w:val="0"/>
          <w:numId w:val="9"/>
        </w:numPr>
        <w:rPr>
          <w:rFonts w:cs="Arial"/>
        </w:rPr>
      </w:pPr>
      <w:r w:rsidRPr="007F7813">
        <w:rPr>
          <w:rFonts w:cs="Arial"/>
        </w:rPr>
        <w:t xml:space="preserve">Arbitration </w:t>
      </w:r>
      <w:r w:rsidR="007F7813" w:rsidRPr="007F7813">
        <w:rPr>
          <w:rFonts w:cs="Arial"/>
        </w:rPr>
        <w:t>–</w:t>
      </w:r>
      <w:r w:rsidRPr="007F7813">
        <w:rPr>
          <w:rFonts w:cs="Arial"/>
        </w:rPr>
        <w:t xml:space="preserve"> </w:t>
      </w:r>
      <w:r w:rsidR="007F7813" w:rsidRPr="007F7813">
        <w:rPr>
          <w:rFonts w:cs="Arial"/>
        </w:rPr>
        <w:t xml:space="preserve">conducted by an independent third party who considers both sides of the dispute and makes a decision on how to settle the matter. Arbitration must be agreed by both parties before the process starts and both must agree to accept the final decision of the arbitrator. </w:t>
      </w:r>
    </w:p>
    <w:p w14:paraId="7C119CCA" w14:textId="77777777" w:rsidR="007F7813" w:rsidRDefault="007F7813" w:rsidP="00B0415F">
      <w:pPr>
        <w:rPr>
          <w:rFonts w:ascii="Arial" w:hAnsi="Arial" w:cs="Arial"/>
          <w:b/>
          <w:bCs/>
        </w:rPr>
      </w:pPr>
    </w:p>
    <w:p w14:paraId="781221D7" w14:textId="2A5A4A9A" w:rsidR="00770740" w:rsidRPr="00A6327F" w:rsidRDefault="007F7813" w:rsidP="00B0415F">
      <w:pPr>
        <w:rPr>
          <w:rFonts w:ascii="Arial" w:hAnsi="Arial" w:cs="Arial"/>
          <w:b/>
          <w:bCs/>
        </w:rPr>
      </w:pPr>
      <w:r>
        <w:rPr>
          <w:rFonts w:ascii="Arial" w:hAnsi="Arial" w:cs="Arial"/>
        </w:rPr>
        <w:t>Ultimately, if conflict cannot be resolved through the above more formal routes, organisations run the risk of having to respond to more formal action such as industrial action or being taken to an employment tribunal.</w:t>
      </w:r>
      <w:r w:rsidR="00770740" w:rsidRPr="00A6327F">
        <w:rPr>
          <w:rFonts w:ascii="Arial" w:hAnsi="Arial" w:cs="Arial"/>
          <w:b/>
          <w:bCs/>
        </w:rPr>
        <w:br w:type="page"/>
      </w:r>
    </w:p>
    <w:p w14:paraId="3835A8CC" w14:textId="77777777" w:rsidR="00457EE9" w:rsidRPr="0080711D" w:rsidRDefault="00457EE9" w:rsidP="00B0415F">
      <w:pPr>
        <w:rPr>
          <w:rFonts w:ascii="Arial" w:hAnsi="Arial" w:cs="Arial"/>
          <w:b/>
          <w:bCs/>
        </w:rPr>
      </w:pPr>
    </w:p>
    <w:p w14:paraId="645B7176" w14:textId="77777777" w:rsidR="00B3447C" w:rsidRPr="00B3447C" w:rsidRDefault="00B3447C" w:rsidP="002B6020">
      <w:pPr>
        <w:rPr>
          <w:rFonts w:ascii="Arial" w:hAnsi="Arial" w:cs="Arial"/>
          <w:u w:val="single"/>
        </w:rPr>
      </w:pPr>
    </w:p>
    <w:sectPr w:rsidR="00B3447C" w:rsidRPr="00B344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9C06B9" w14:textId="77777777" w:rsidR="005950D5" w:rsidRDefault="005950D5" w:rsidP="00025375">
      <w:r>
        <w:separator/>
      </w:r>
    </w:p>
  </w:endnote>
  <w:endnote w:type="continuationSeparator" w:id="0">
    <w:p w14:paraId="603627E4" w14:textId="77777777" w:rsidR="005950D5" w:rsidRDefault="005950D5" w:rsidP="00025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DD2025" w14:textId="77777777" w:rsidR="005950D5" w:rsidRDefault="005950D5" w:rsidP="00025375">
      <w:r>
        <w:separator/>
      </w:r>
    </w:p>
  </w:footnote>
  <w:footnote w:type="continuationSeparator" w:id="0">
    <w:p w14:paraId="506A13AF" w14:textId="77777777" w:rsidR="005950D5" w:rsidRDefault="005950D5" w:rsidP="000253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A8039F"/>
    <w:multiLevelType w:val="hybridMultilevel"/>
    <w:tmpl w:val="19D2F1A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226B1BCB"/>
    <w:multiLevelType w:val="hybridMultilevel"/>
    <w:tmpl w:val="176A9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492422"/>
    <w:multiLevelType w:val="hybridMultilevel"/>
    <w:tmpl w:val="DEAACF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264364A"/>
    <w:multiLevelType w:val="hybridMultilevel"/>
    <w:tmpl w:val="ED883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7026C3"/>
    <w:multiLevelType w:val="hybridMultilevel"/>
    <w:tmpl w:val="925ECA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8585E34"/>
    <w:multiLevelType w:val="hybridMultilevel"/>
    <w:tmpl w:val="6C1CDF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17227C3"/>
    <w:multiLevelType w:val="hybridMultilevel"/>
    <w:tmpl w:val="980A1E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609133B"/>
    <w:multiLevelType w:val="hybridMultilevel"/>
    <w:tmpl w:val="E5CC44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DA5750E"/>
    <w:multiLevelType w:val="hybridMultilevel"/>
    <w:tmpl w:val="E10AF4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6"/>
  </w:num>
  <w:num w:numId="3">
    <w:abstractNumId w:val="7"/>
  </w:num>
  <w:num w:numId="4">
    <w:abstractNumId w:val="4"/>
  </w:num>
  <w:num w:numId="5">
    <w:abstractNumId w:val="0"/>
  </w:num>
  <w:num w:numId="6">
    <w:abstractNumId w:val="3"/>
  </w:num>
  <w:num w:numId="7">
    <w:abstractNumId w:val="1"/>
  </w:num>
  <w:num w:numId="8">
    <w:abstractNumId w:val="8"/>
  </w:num>
  <w:num w:numId="9">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375"/>
    <w:rsid w:val="00000C6C"/>
    <w:rsid w:val="000074B3"/>
    <w:rsid w:val="00013516"/>
    <w:rsid w:val="000160D4"/>
    <w:rsid w:val="00017831"/>
    <w:rsid w:val="000224A2"/>
    <w:rsid w:val="00025375"/>
    <w:rsid w:val="00025ACF"/>
    <w:rsid w:val="00042282"/>
    <w:rsid w:val="00042BB2"/>
    <w:rsid w:val="00043832"/>
    <w:rsid w:val="00047607"/>
    <w:rsid w:val="00047F07"/>
    <w:rsid w:val="00072E91"/>
    <w:rsid w:val="00081CB6"/>
    <w:rsid w:val="0009478E"/>
    <w:rsid w:val="000C0062"/>
    <w:rsid w:val="000D37B2"/>
    <w:rsid w:val="000E22DC"/>
    <w:rsid w:val="000E7CB0"/>
    <w:rsid w:val="000F510B"/>
    <w:rsid w:val="00114F1D"/>
    <w:rsid w:val="00115C42"/>
    <w:rsid w:val="001244DB"/>
    <w:rsid w:val="001437E4"/>
    <w:rsid w:val="00143E0A"/>
    <w:rsid w:val="00165CCC"/>
    <w:rsid w:val="0016618A"/>
    <w:rsid w:val="00174627"/>
    <w:rsid w:val="001879CD"/>
    <w:rsid w:val="0019294F"/>
    <w:rsid w:val="00196755"/>
    <w:rsid w:val="00197692"/>
    <w:rsid w:val="001A6785"/>
    <w:rsid w:val="001B5332"/>
    <w:rsid w:val="001B6543"/>
    <w:rsid w:val="001C0E22"/>
    <w:rsid w:val="001D0FE1"/>
    <w:rsid w:val="001D2AEF"/>
    <w:rsid w:val="001D3A01"/>
    <w:rsid w:val="001F1572"/>
    <w:rsid w:val="001F7BAD"/>
    <w:rsid w:val="002007F9"/>
    <w:rsid w:val="00202B15"/>
    <w:rsid w:val="00206A63"/>
    <w:rsid w:val="00210ED7"/>
    <w:rsid w:val="00221C9B"/>
    <w:rsid w:val="00222089"/>
    <w:rsid w:val="00222B82"/>
    <w:rsid w:val="00225F2A"/>
    <w:rsid w:val="00231CFD"/>
    <w:rsid w:val="0023548A"/>
    <w:rsid w:val="00262748"/>
    <w:rsid w:val="00270DA2"/>
    <w:rsid w:val="00282DBE"/>
    <w:rsid w:val="002B21C1"/>
    <w:rsid w:val="002B5609"/>
    <w:rsid w:val="002B6020"/>
    <w:rsid w:val="002D2213"/>
    <w:rsid w:val="002E1C7E"/>
    <w:rsid w:val="002E1DA5"/>
    <w:rsid w:val="002E631F"/>
    <w:rsid w:val="002F07F8"/>
    <w:rsid w:val="00301C0F"/>
    <w:rsid w:val="003022F0"/>
    <w:rsid w:val="00310321"/>
    <w:rsid w:val="00313AAF"/>
    <w:rsid w:val="00336F42"/>
    <w:rsid w:val="00352C3A"/>
    <w:rsid w:val="00354DE4"/>
    <w:rsid w:val="00357FF6"/>
    <w:rsid w:val="00362870"/>
    <w:rsid w:val="00372CB0"/>
    <w:rsid w:val="0037307D"/>
    <w:rsid w:val="00392DDF"/>
    <w:rsid w:val="003950C9"/>
    <w:rsid w:val="003B0959"/>
    <w:rsid w:val="003B2205"/>
    <w:rsid w:val="003C373C"/>
    <w:rsid w:val="003C3BB6"/>
    <w:rsid w:val="003D66FC"/>
    <w:rsid w:val="003E2DF3"/>
    <w:rsid w:val="003E3E59"/>
    <w:rsid w:val="003E45B9"/>
    <w:rsid w:val="003E679B"/>
    <w:rsid w:val="003E7490"/>
    <w:rsid w:val="003F1C23"/>
    <w:rsid w:val="004111E9"/>
    <w:rsid w:val="00415A01"/>
    <w:rsid w:val="00450A5B"/>
    <w:rsid w:val="00457EE9"/>
    <w:rsid w:val="00464F59"/>
    <w:rsid w:val="00482371"/>
    <w:rsid w:val="004905BC"/>
    <w:rsid w:val="0049123A"/>
    <w:rsid w:val="004A1680"/>
    <w:rsid w:val="004A26B7"/>
    <w:rsid w:val="004A60A3"/>
    <w:rsid w:val="004B441C"/>
    <w:rsid w:val="004C12FD"/>
    <w:rsid w:val="004C3E65"/>
    <w:rsid w:val="004E0BF1"/>
    <w:rsid w:val="004E4D59"/>
    <w:rsid w:val="004F58BD"/>
    <w:rsid w:val="004F7B45"/>
    <w:rsid w:val="00502C4B"/>
    <w:rsid w:val="005034F5"/>
    <w:rsid w:val="00512B8A"/>
    <w:rsid w:val="005175CC"/>
    <w:rsid w:val="00545001"/>
    <w:rsid w:val="005569C0"/>
    <w:rsid w:val="00560273"/>
    <w:rsid w:val="00580A08"/>
    <w:rsid w:val="005948F4"/>
    <w:rsid w:val="005950D5"/>
    <w:rsid w:val="005A6DFC"/>
    <w:rsid w:val="005B533C"/>
    <w:rsid w:val="005B5EC7"/>
    <w:rsid w:val="005D0E3F"/>
    <w:rsid w:val="005E0CD5"/>
    <w:rsid w:val="005E1409"/>
    <w:rsid w:val="005F3107"/>
    <w:rsid w:val="005F7E86"/>
    <w:rsid w:val="006058F2"/>
    <w:rsid w:val="00613EE7"/>
    <w:rsid w:val="00643275"/>
    <w:rsid w:val="00643AB0"/>
    <w:rsid w:val="00646AA4"/>
    <w:rsid w:val="006511B2"/>
    <w:rsid w:val="00675083"/>
    <w:rsid w:val="006774BA"/>
    <w:rsid w:val="006B527B"/>
    <w:rsid w:val="006B7B4E"/>
    <w:rsid w:val="006D6A23"/>
    <w:rsid w:val="006D7DBD"/>
    <w:rsid w:val="006E2E54"/>
    <w:rsid w:val="006E4C13"/>
    <w:rsid w:val="006F274B"/>
    <w:rsid w:val="00710FCE"/>
    <w:rsid w:val="0071384F"/>
    <w:rsid w:val="00735257"/>
    <w:rsid w:val="00736877"/>
    <w:rsid w:val="00770740"/>
    <w:rsid w:val="007735B4"/>
    <w:rsid w:val="00777529"/>
    <w:rsid w:val="007839C6"/>
    <w:rsid w:val="00783C00"/>
    <w:rsid w:val="00783E91"/>
    <w:rsid w:val="00787B4E"/>
    <w:rsid w:val="00792E41"/>
    <w:rsid w:val="007A3700"/>
    <w:rsid w:val="007A636E"/>
    <w:rsid w:val="007A6F8C"/>
    <w:rsid w:val="007B0B42"/>
    <w:rsid w:val="007B48E2"/>
    <w:rsid w:val="007B7A98"/>
    <w:rsid w:val="007C78C3"/>
    <w:rsid w:val="007D3971"/>
    <w:rsid w:val="007E3333"/>
    <w:rsid w:val="007E657E"/>
    <w:rsid w:val="007F7813"/>
    <w:rsid w:val="00800338"/>
    <w:rsid w:val="00803978"/>
    <w:rsid w:val="0080411F"/>
    <w:rsid w:val="0080711D"/>
    <w:rsid w:val="0082361C"/>
    <w:rsid w:val="00855C86"/>
    <w:rsid w:val="008716DD"/>
    <w:rsid w:val="008A093C"/>
    <w:rsid w:val="008B4B9B"/>
    <w:rsid w:val="008B5A68"/>
    <w:rsid w:val="008B73FA"/>
    <w:rsid w:val="008B78A7"/>
    <w:rsid w:val="008C062C"/>
    <w:rsid w:val="008D470C"/>
    <w:rsid w:val="008F22D2"/>
    <w:rsid w:val="008F313D"/>
    <w:rsid w:val="00900959"/>
    <w:rsid w:val="009223E3"/>
    <w:rsid w:val="009434E6"/>
    <w:rsid w:val="0094474D"/>
    <w:rsid w:val="00946E9F"/>
    <w:rsid w:val="00952622"/>
    <w:rsid w:val="00965D91"/>
    <w:rsid w:val="0096796B"/>
    <w:rsid w:val="00971309"/>
    <w:rsid w:val="00972174"/>
    <w:rsid w:val="00976A02"/>
    <w:rsid w:val="00985107"/>
    <w:rsid w:val="009948B0"/>
    <w:rsid w:val="00995B5B"/>
    <w:rsid w:val="009A5403"/>
    <w:rsid w:val="009A68DA"/>
    <w:rsid w:val="009A739F"/>
    <w:rsid w:val="009B5142"/>
    <w:rsid w:val="009C1F5F"/>
    <w:rsid w:val="009C5E2B"/>
    <w:rsid w:val="009F177F"/>
    <w:rsid w:val="009F23EF"/>
    <w:rsid w:val="00A07DBD"/>
    <w:rsid w:val="00A131D9"/>
    <w:rsid w:val="00A13A7C"/>
    <w:rsid w:val="00A20456"/>
    <w:rsid w:val="00A27C1B"/>
    <w:rsid w:val="00A37D92"/>
    <w:rsid w:val="00A472C3"/>
    <w:rsid w:val="00A52F7C"/>
    <w:rsid w:val="00A6327F"/>
    <w:rsid w:val="00A75118"/>
    <w:rsid w:val="00A8050E"/>
    <w:rsid w:val="00A834F0"/>
    <w:rsid w:val="00A868CC"/>
    <w:rsid w:val="00A86F9F"/>
    <w:rsid w:val="00A942AD"/>
    <w:rsid w:val="00AA03B4"/>
    <w:rsid w:val="00AA1C32"/>
    <w:rsid w:val="00AB412F"/>
    <w:rsid w:val="00AC5CDB"/>
    <w:rsid w:val="00AC79F8"/>
    <w:rsid w:val="00AD6166"/>
    <w:rsid w:val="00AF29A7"/>
    <w:rsid w:val="00B004C9"/>
    <w:rsid w:val="00B0330F"/>
    <w:rsid w:val="00B0415F"/>
    <w:rsid w:val="00B075E9"/>
    <w:rsid w:val="00B100B7"/>
    <w:rsid w:val="00B32447"/>
    <w:rsid w:val="00B3447C"/>
    <w:rsid w:val="00B34861"/>
    <w:rsid w:val="00B41677"/>
    <w:rsid w:val="00B55E8C"/>
    <w:rsid w:val="00B61B99"/>
    <w:rsid w:val="00B67265"/>
    <w:rsid w:val="00B77E72"/>
    <w:rsid w:val="00B834EA"/>
    <w:rsid w:val="00B905FE"/>
    <w:rsid w:val="00B94ED6"/>
    <w:rsid w:val="00B97140"/>
    <w:rsid w:val="00B97CEA"/>
    <w:rsid w:val="00BB7BA1"/>
    <w:rsid w:val="00BB7CE5"/>
    <w:rsid w:val="00BC5429"/>
    <w:rsid w:val="00BD479A"/>
    <w:rsid w:val="00BE1801"/>
    <w:rsid w:val="00BE32F4"/>
    <w:rsid w:val="00BE6581"/>
    <w:rsid w:val="00BF4157"/>
    <w:rsid w:val="00BF6215"/>
    <w:rsid w:val="00C064B2"/>
    <w:rsid w:val="00C11F16"/>
    <w:rsid w:val="00C16615"/>
    <w:rsid w:val="00C16CBB"/>
    <w:rsid w:val="00C17B85"/>
    <w:rsid w:val="00C235CE"/>
    <w:rsid w:val="00C30BCF"/>
    <w:rsid w:val="00C323DF"/>
    <w:rsid w:val="00C3285E"/>
    <w:rsid w:val="00C419DD"/>
    <w:rsid w:val="00C428B3"/>
    <w:rsid w:val="00C9140C"/>
    <w:rsid w:val="00C930F9"/>
    <w:rsid w:val="00C9347E"/>
    <w:rsid w:val="00CA537A"/>
    <w:rsid w:val="00CB3538"/>
    <w:rsid w:val="00CB523C"/>
    <w:rsid w:val="00CB61C8"/>
    <w:rsid w:val="00CB7613"/>
    <w:rsid w:val="00CF28D8"/>
    <w:rsid w:val="00CF686B"/>
    <w:rsid w:val="00D26718"/>
    <w:rsid w:val="00D318A0"/>
    <w:rsid w:val="00D45E23"/>
    <w:rsid w:val="00D51208"/>
    <w:rsid w:val="00D55349"/>
    <w:rsid w:val="00D7016E"/>
    <w:rsid w:val="00D71E82"/>
    <w:rsid w:val="00D7233E"/>
    <w:rsid w:val="00D74E6E"/>
    <w:rsid w:val="00D83DA0"/>
    <w:rsid w:val="00D96143"/>
    <w:rsid w:val="00D96B7B"/>
    <w:rsid w:val="00DB44A5"/>
    <w:rsid w:val="00DC54E8"/>
    <w:rsid w:val="00DF56E9"/>
    <w:rsid w:val="00E02BF2"/>
    <w:rsid w:val="00E21251"/>
    <w:rsid w:val="00E3285B"/>
    <w:rsid w:val="00E437C9"/>
    <w:rsid w:val="00E457C3"/>
    <w:rsid w:val="00E506D9"/>
    <w:rsid w:val="00E54FFC"/>
    <w:rsid w:val="00E818B8"/>
    <w:rsid w:val="00E96687"/>
    <w:rsid w:val="00E967F4"/>
    <w:rsid w:val="00E9698A"/>
    <w:rsid w:val="00E9703F"/>
    <w:rsid w:val="00EB6AF8"/>
    <w:rsid w:val="00EB7B3D"/>
    <w:rsid w:val="00EE21EB"/>
    <w:rsid w:val="00EE6CE3"/>
    <w:rsid w:val="00EE70EE"/>
    <w:rsid w:val="00EF1686"/>
    <w:rsid w:val="00F07CD3"/>
    <w:rsid w:val="00F15C68"/>
    <w:rsid w:val="00F16837"/>
    <w:rsid w:val="00F23A86"/>
    <w:rsid w:val="00F32C36"/>
    <w:rsid w:val="00F348FB"/>
    <w:rsid w:val="00F359B6"/>
    <w:rsid w:val="00F376E5"/>
    <w:rsid w:val="00F45C96"/>
    <w:rsid w:val="00F573CD"/>
    <w:rsid w:val="00F57499"/>
    <w:rsid w:val="00F86CA0"/>
    <w:rsid w:val="00F87D00"/>
    <w:rsid w:val="00FA2396"/>
    <w:rsid w:val="00FA590A"/>
    <w:rsid w:val="00FB1538"/>
    <w:rsid w:val="00FC51CB"/>
    <w:rsid w:val="00FD5816"/>
    <w:rsid w:val="00FD5FE6"/>
    <w:rsid w:val="00FE23D0"/>
    <w:rsid w:val="00FF145C"/>
    <w:rsid w:val="00FF4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5A0DE6"/>
  <w15:chartTrackingRefBased/>
  <w15:docId w15:val="{C356C62B-7EF4-4EBC-99DC-2F2555C6D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AA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72CB0"/>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C11F16"/>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5375"/>
    <w:pPr>
      <w:ind w:left="720"/>
      <w:contextualSpacing/>
    </w:pPr>
    <w:rPr>
      <w:rFonts w:ascii="Arial" w:eastAsia="Calibri" w:hAnsi="Arial" w:cs="Times New Roman"/>
    </w:rPr>
  </w:style>
  <w:style w:type="paragraph" w:styleId="Header">
    <w:name w:val="header"/>
    <w:basedOn w:val="Normal"/>
    <w:link w:val="HeaderChar"/>
    <w:uiPriority w:val="99"/>
    <w:unhideWhenUsed/>
    <w:rsid w:val="00025375"/>
    <w:pPr>
      <w:tabs>
        <w:tab w:val="center" w:pos="4513"/>
        <w:tab w:val="right" w:pos="9026"/>
      </w:tabs>
    </w:pPr>
  </w:style>
  <w:style w:type="character" w:customStyle="1" w:styleId="HeaderChar">
    <w:name w:val="Header Char"/>
    <w:basedOn w:val="DefaultParagraphFont"/>
    <w:link w:val="Header"/>
    <w:uiPriority w:val="99"/>
    <w:rsid w:val="00025375"/>
  </w:style>
  <w:style w:type="paragraph" w:styleId="Footer">
    <w:name w:val="footer"/>
    <w:basedOn w:val="Normal"/>
    <w:link w:val="FooterChar"/>
    <w:uiPriority w:val="99"/>
    <w:unhideWhenUsed/>
    <w:rsid w:val="00025375"/>
    <w:pPr>
      <w:tabs>
        <w:tab w:val="center" w:pos="4513"/>
        <w:tab w:val="right" w:pos="9026"/>
      </w:tabs>
    </w:pPr>
  </w:style>
  <w:style w:type="character" w:customStyle="1" w:styleId="FooterChar">
    <w:name w:val="Footer Char"/>
    <w:basedOn w:val="DefaultParagraphFont"/>
    <w:link w:val="Footer"/>
    <w:uiPriority w:val="99"/>
    <w:rsid w:val="00025375"/>
  </w:style>
  <w:style w:type="paragraph" w:styleId="NormalWeb">
    <w:name w:val="Normal (Web)"/>
    <w:basedOn w:val="Normal"/>
    <w:uiPriority w:val="99"/>
    <w:unhideWhenUsed/>
    <w:rsid w:val="003022F0"/>
    <w:pPr>
      <w:spacing w:after="150"/>
    </w:pPr>
    <w:rPr>
      <w:rFonts w:ascii="Open Sans" w:eastAsia="Times New Roman" w:hAnsi="Open Sans" w:cs="Times New Roman"/>
      <w:sz w:val="27"/>
      <w:szCs w:val="27"/>
      <w:lang w:eastAsia="en-GB"/>
    </w:rPr>
  </w:style>
  <w:style w:type="character" w:styleId="Hyperlink">
    <w:name w:val="Hyperlink"/>
    <w:basedOn w:val="DefaultParagraphFont"/>
    <w:uiPriority w:val="99"/>
    <w:unhideWhenUsed/>
    <w:rsid w:val="00D71E82"/>
    <w:rPr>
      <w:color w:val="0563C1" w:themeColor="hyperlink"/>
      <w:u w:val="single"/>
    </w:rPr>
  </w:style>
  <w:style w:type="character" w:styleId="Strong">
    <w:name w:val="Strong"/>
    <w:basedOn w:val="DefaultParagraphFont"/>
    <w:uiPriority w:val="22"/>
    <w:qFormat/>
    <w:rsid w:val="00464F59"/>
    <w:rPr>
      <w:b/>
      <w:bCs/>
    </w:rPr>
  </w:style>
  <w:style w:type="character" w:customStyle="1" w:styleId="titletitle">
    <w:name w:val="title__title"/>
    <w:basedOn w:val="DefaultParagraphFont"/>
    <w:rsid w:val="00B94ED6"/>
  </w:style>
  <w:style w:type="character" w:styleId="CommentReference">
    <w:name w:val="annotation reference"/>
    <w:basedOn w:val="DefaultParagraphFont"/>
    <w:uiPriority w:val="99"/>
    <w:semiHidden/>
    <w:unhideWhenUsed/>
    <w:rsid w:val="00197692"/>
    <w:rPr>
      <w:sz w:val="16"/>
      <w:szCs w:val="16"/>
    </w:rPr>
  </w:style>
  <w:style w:type="paragraph" w:styleId="CommentText">
    <w:name w:val="annotation text"/>
    <w:basedOn w:val="Normal"/>
    <w:link w:val="CommentTextChar"/>
    <w:uiPriority w:val="99"/>
    <w:semiHidden/>
    <w:unhideWhenUsed/>
    <w:rsid w:val="00197692"/>
    <w:rPr>
      <w:sz w:val="20"/>
      <w:szCs w:val="20"/>
    </w:rPr>
  </w:style>
  <w:style w:type="character" w:customStyle="1" w:styleId="CommentTextChar">
    <w:name w:val="Comment Text Char"/>
    <w:basedOn w:val="DefaultParagraphFont"/>
    <w:link w:val="CommentText"/>
    <w:uiPriority w:val="99"/>
    <w:semiHidden/>
    <w:rsid w:val="00197692"/>
    <w:rPr>
      <w:sz w:val="20"/>
      <w:szCs w:val="20"/>
    </w:rPr>
  </w:style>
  <w:style w:type="paragraph" w:styleId="CommentSubject">
    <w:name w:val="annotation subject"/>
    <w:basedOn w:val="CommentText"/>
    <w:next w:val="CommentText"/>
    <w:link w:val="CommentSubjectChar"/>
    <w:uiPriority w:val="99"/>
    <w:semiHidden/>
    <w:unhideWhenUsed/>
    <w:rsid w:val="00197692"/>
    <w:rPr>
      <w:b/>
      <w:bCs/>
    </w:rPr>
  </w:style>
  <w:style w:type="character" w:customStyle="1" w:styleId="CommentSubjectChar">
    <w:name w:val="Comment Subject Char"/>
    <w:basedOn w:val="CommentTextChar"/>
    <w:link w:val="CommentSubject"/>
    <w:uiPriority w:val="99"/>
    <w:semiHidden/>
    <w:rsid w:val="00197692"/>
    <w:rPr>
      <w:b/>
      <w:bCs/>
      <w:sz w:val="20"/>
      <w:szCs w:val="20"/>
    </w:rPr>
  </w:style>
  <w:style w:type="paragraph" w:styleId="BalloonText">
    <w:name w:val="Balloon Text"/>
    <w:basedOn w:val="Normal"/>
    <w:link w:val="BalloonTextChar"/>
    <w:uiPriority w:val="99"/>
    <w:semiHidden/>
    <w:unhideWhenUsed/>
    <w:rsid w:val="0019769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7692"/>
    <w:rPr>
      <w:rFonts w:ascii="Segoe UI" w:hAnsi="Segoe UI" w:cs="Segoe UI"/>
      <w:sz w:val="18"/>
      <w:szCs w:val="18"/>
    </w:rPr>
  </w:style>
  <w:style w:type="character" w:styleId="FollowedHyperlink">
    <w:name w:val="FollowedHyperlink"/>
    <w:basedOn w:val="DefaultParagraphFont"/>
    <w:uiPriority w:val="99"/>
    <w:semiHidden/>
    <w:unhideWhenUsed/>
    <w:rsid w:val="004C12FD"/>
    <w:rPr>
      <w:color w:val="954F72" w:themeColor="followedHyperlink"/>
      <w:u w:val="single"/>
    </w:rPr>
  </w:style>
  <w:style w:type="paragraph" w:styleId="Revision">
    <w:name w:val="Revision"/>
    <w:hidden/>
    <w:uiPriority w:val="99"/>
    <w:semiHidden/>
    <w:rsid w:val="007B0B42"/>
  </w:style>
  <w:style w:type="table" w:styleId="TableGrid">
    <w:name w:val="Table Grid"/>
    <w:basedOn w:val="TableNormal"/>
    <w:uiPriority w:val="39"/>
    <w:rsid w:val="00AC79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72CB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C11F16"/>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646AA4"/>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4A1680"/>
    <w:rPr>
      <w:color w:val="605E5C"/>
      <w:shd w:val="clear" w:color="auto" w:fill="E1DFDD"/>
    </w:rPr>
  </w:style>
  <w:style w:type="character" w:customStyle="1" w:styleId="smalltext">
    <w:name w:val="smalltext"/>
    <w:basedOn w:val="DefaultParagraphFont"/>
    <w:rsid w:val="00F16837"/>
  </w:style>
  <w:style w:type="paragraph" w:customStyle="1" w:styleId="large">
    <w:name w:val="large"/>
    <w:basedOn w:val="Normal"/>
    <w:rsid w:val="00042BB2"/>
    <w:pPr>
      <w:spacing w:before="100" w:beforeAutospacing="1" w:after="100" w:afterAutospacing="1"/>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B560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4832">
      <w:bodyDiv w:val="1"/>
      <w:marLeft w:val="0"/>
      <w:marRight w:val="0"/>
      <w:marTop w:val="0"/>
      <w:marBottom w:val="0"/>
      <w:divBdr>
        <w:top w:val="none" w:sz="0" w:space="0" w:color="auto"/>
        <w:left w:val="none" w:sz="0" w:space="0" w:color="auto"/>
        <w:bottom w:val="none" w:sz="0" w:space="0" w:color="auto"/>
        <w:right w:val="none" w:sz="0" w:space="0" w:color="auto"/>
      </w:divBdr>
      <w:divsChild>
        <w:div w:id="1210268139">
          <w:marLeft w:val="0"/>
          <w:marRight w:val="0"/>
          <w:marTop w:val="0"/>
          <w:marBottom w:val="0"/>
          <w:divBdr>
            <w:top w:val="none" w:sz="0" w:space="0" w:color="auto"/>
            <w:left w:val="none" w:sz="0" w:space="0" w:color="auto"/>
            <w:bottom w:val="none" w:sz="0" w:space="0" w:color="auto"/>
            <w:right w:val="none" w:sz="0" w:space="0" w:color="auto"/>
          </w:divBdr>
          <w:divsChild>
            <w:div w:id="1897161136">
              <w:marLeft w:val="0"/>
              <w:marRight w:val="0"/>
              <w:marTop w:val="0"/>
              <w:marBottom w:val="0"/>
              <w:divBdr>
                <w:top w:val="none" w:sz="0" w:space="0" w:color="auto"/>
                <w:left w:val="none" w:sz="0" w:space="0" w:color="auto"/>
                <w:bottom w:val="none" w:sz="0" w:space="0" w:color="auto"/>
                <w:right w:val="none" w:sz="0" w:space="0" w:color="auto"/>
              </w:divBdr>
              <w:divsChild>
                <w:div w:id="2091391744">
                  <w:marLeft w:val="0"/>
                  <w:marRight w:val="0"/>
                  <w:marTop w:val="0"/>
                  <w:marBottom w:val="0"/>
                  <w:divBdr>
                    <w:top w:val="none" w:sz="0" w:space="0" w:color="auto"/>
                    <w:left w:val="none" w:sz="0" w:space="0" w:color="auto"/>
                    <w:bottom w:val="none" w:sz="0" w:space="0" w:color="auto"/>
                    <w:right w:val="none" w:sz="0" w:space="0" w:color="auto"/>
                  </w:divBdr>
                  <w:divsChild>
                    <w:div w:id="1824588099">
                      <w:marLeft w:val="0"/>
                      <w:marRight w:val="0"/>
                      <w:marTop w:val="0"/>
                      <w:marBottom w:val="0"/>
                      <w:divBdr>
                        <w:top w:val="none" w:sz="0" w:space="0" w:color="auto"/>
                        <w:left w:val="none" w:sz="0" w:space="0" w:color="auto"/>
                        <w:bottom w:val="none" w:sz="0" w:space="0" w:color="auto"/>
                        <w:right w:val="none" w:sz="0" w:space="0" w:color="auto"/>
                      </w:divBdr>
                      <w:divsChild>
                        <w:div w:id="1606497103">
                          <w:marLeft w:val="0"/>
                          <w:marRight w:val="0"/>
                          <w:marTop w:val="0"/>
                          <w:marBottom w:val="0"/>
                          <w:divBdr>
                            <w:top w:val="none" w:sz="0" w:space="0" w:color="auto"/>
                            <w:left w:val="none" w:sz="0" w:space="0" w:color="auto"/>
                            <w:bottom w:val="none" w:sz="0" w:space="0" w:color="auto"/>
                            <w:right w:val="none" w:sz="0" w:space="0" w:color="auto"/>
                          </w:divBdr>
                          <w:divsChild>
                            <w:div w:id="1862351638">
                              <w:marLeft w:val="0"/>
                              <w:marRight w:val="0"/>
                              <w:marTop w:val="0"/>
                              <w:marBottom w:val="0"/>
                              <w:divBdr>
                                <w:top w:val="none" w:sz="0" w:space="0" w:color="auto"/>
                                <w:left w:val="none" w:sz="0" w:space="0" w:color="auto"/>
                                <w:bottom w:val="none" w:sz="0" w:space="0" w:color="auto"/>
                                <w:right w:val="none" w:sz="0" w:space="0" w:color="auto"/>
                              </w:divBdr>
                              <w:divsChild>
                                <w:div w:id="1259948273">
                                  <w:marLeft w:val="0"/>
                                  <w:marRight w:val="0"/>
                                  <w:marTop w:val="0"/>
                                  <w:marBottom w:val="0"/>
                                  <w:divBdr>
                                    <w:top w:val="none" w:sz="0" w:space="0" w:color="auto"/>
                                    <w:left w:val="none" w:sz="0" w:space="0" w:color="auto"/>
                                    <w:bottom w:val="none" w:sz="0" w:space="0" w:color="auto"/>
                                    <w:right w:val="none" w:sz="0" w:space="0" w:color="auto"/>
                                  </w:divBdr>
                                  <w:divsChild>
                                    <w:div w:id="164979417">
                                      <w:marLeft w:val="0"/>
                                      <w:marRight w:val="0"/>
                                      <w:marTop w:val="0"/>
                                      <w:marBottom w:val="0"/>
                                      <w:divBdr>
                                        <w:top w:val="none" w:sz="0" w:space="0" w:color="auto"/>
                                        <w:left w:val="none" w:sz="0" w:space="0" w:color="auto"/>
                                        <w:bottom w:val="none" w:sz="0" w:space="0" w:color="auto"/>
                                        <w:right w:val="none" w:sz="0" w:space="0" w:color="auto"/>
                                      </w:divBdr>
                                      <w:divsChild>
                                        <w:div w:id="549607811">
                                          <w:marLeft w:val="0"/>
                                          <w:marRight w:val="0"/>
                                          <w:marTop w:val="0"/>
                                          <w:marBottom w:val="0"/>
                                          <w:divBdr>
                                            <w:top w:val="none" w:sz="0" w:space="0" w:color="auto"/>
                                            <w:left w:val="none" w:sz="0" w:space="0" w:color="auto"/>
                                            <w:bottom w:val="none" w:sz="0" w:space="0" w:color="auto"/>
                                            <w:right w:val="none" w:sz="0" w:space="0" w:color="auto"/>
                                          </w:divBdr>
                                          <w:divsChild>
                                            <w:div w:id="6422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099982">
      <w:bodyDiv w:val="1"/>
      <w:marLeft w:val="0"/>
      <w:marRight w:val="0"/>
      <w:marTop w:val="0"/>
      <w:marBottom w:val="0"/>
      <w:divBdr>
        <w:top w:val="none" w:sz="0" w:space="0" w:color="auto"/>
        <w:left w:val="none" w:sz="0" w:space="0" w:color="auto"/>
        <w:bottom w:val="none" w:sz="0" w:space="0" w:color="auto"/>
        <w:right w:val="none" w:sz="0" w:space="0" w:color="auto"/>
      </w:divBdr>
    </w:div>
    <w:div w:id="138496633">
      <w:bodyDiv w:val="1"/>
      <w:marLeft w:val="0"/>
      <w:marRight w:val="0"/>
      <w:marTop w:val="0"/>
      <w:marBottom w:val="0"/>
      <w:divBdr>
        <w:top w:val="none" w:sz="0" w:space="0" w:color="auto"/>
        <w:left w:val="none" w:sz="0" w:space="0" w:color="auto"/>
        <w:bottom w:val="none" w:sz="0" w:space="0" w:color="auto"/>
        <w:right w:val="none" w:sz="0" w:space="0" w:color="auto"/>
      </w:divBdr>
    </w:div>
    <w:div w:id="156699171">
      <w:bodyDiv w:val="1"/>
      <w:marLeft w:val="0"/>
      <w:marRight w:val="0"/>
      <w:marTop w:val="0"/>
      <w:marBottom w:val="0"/>
      <w:divBdr>
        <w:top w:val="none" w:sz="0" w:space="0" w:color="auto"/>
        <w:left w:val="none" w:sz="0" w:space="0" w:color="auto"/>
        <w:bottom w:val="none" w:sz="0" w:space="0" w:color="auto"/>
        <w:right w:val="none" w:sz="0" w:space="0" w:color="auto"/>
      </w:divBdr>
    </w:div>
    <w:div w:id="182209664">
      <w:bodyDiv w:val="1"/>
      <w:marLeft w:val="0"/>
      <w:marRight w:val="0"/>
      <w:marTop w:val="0"/>
      <w:marBottom w:val="0"/>
      <w:divBdr>
        <w:top w:val="none" w:sz="0" w:space="0" w:color="auto"/>
        <w:left w:val="none" w:sz="0" w:space="0" w:color="auto"/>
        <w:bottom w:val="none" w:sz="0" w:space="0" w:color="auto"/>
        <w:right w:val="none" w:sz="0" w:space="0" w:color="auto"/>
      </w:divBdr>
    </w:div>
    <w:div w:id="279653331">
      <w:bodyDiv w:val="1"/>
      <w:marLeft w:val="0"/>
      <w:marRight w:val="0"/>
      <w:marTop w:val="0"/>
      <w:marBottom w:val="0"/>
      <w:divBdr>
        <w:top w:val="none" w:sz="0" w:space="0" w:color="auto"/>
        <w:left w:val="none" w:sz="0" w:space="0" w:color="auto"/>
        <w:bottom w:val="none" w:sz="0" w:space="0" w:color="auto"/>
        <w:right w:val="none" w:sz="0" w:space="0" w:color="auto"/>
      </w:divBdr>
    </w:div>
    <w:div w:id="311175941">
      <w:bodyDiv w:val="1"/>
      <w:marLeft w:val="0"/>
      <w:marRight w:val="0"/>
      <w:marTop w:val="0"/>
      <w:marBottom w:val="0"/>
      <w:divBdr>
        <w:top w:val="none" w:sz="0" w:space="0" w:color="auto"/>
        <w:left w:val="none" w:sz="0" w:space="0" w:color="auto"/>
        <w:bottom w:val="none" w:sz="0" w:space="0" w:color="auto"/>
        <w:right w:val="none" w:sz="0" w:space="0" w:color="auto"/>
      </w:divBdr>
    </w:div>
    <w:div w:id="391347283">
      <w:bodyDiv w:val="1"/>
      <w:marLeft w:val="0"/>
      <w:marRight w:val="0"/>
      <w:marTop w:val="0"/>
      <w:marBottom w:val="0"/>
      <w:divBdr>
        <w:top w:val="none" w:sz="0" w:space="0" w:color="auto"/>
        <w:left w:val="none" w:sz="0" w:space="0" w:color="auto"/>
        <w:bottom w:val="none" w:sz="0" w:space="0" w:color="auto"/>
        <w:right w:val="none" w:sz="0" w:space="0" w:color="auto"/>
      </w:divBdr>
    </w:div>
    <w:div w:id="429619018">
      <w:bodyDiv w:val="1"/>
      <w:marLeft w:val="0"/>
      <w:marRight w:val="0"/>
      <w:marTop w:val="0"/>
      <w:marBottom w:val="0"/>
      <w:divBdr>
        <w:top w:val="none" w:sz="0" w:space="0" w:color="auto"/>
        <w:left w:val="none" w:sz="0" w:space="0" w:color="auto"/>
        <w:bottom w:val="none" w:sz="0" w:space="0" w:color="auto"/>
        <w:right w:val="none" w:sz="0" w:space="0" w:color="auto"/>
      </w:divBdr>
      <w:divsChild>
        <w:div w:id="900478390">
          <w:marLeft w:val="0"/>
          <w:marRight w:val="0"/>
          <w:marTop w:val="0"/>
          <w:marBottom w:val="0"/>
          <w:divBdr>
            <w:top w:val="none" w:sz="0" w:space="0" w:color="auto"/>
            <w:left w:val="none" w:sz="0" w:space="0" w:color="auto"/>
            <w:bottom w:val="none" w:sz="0" w:space="0" w:color="auto"/>
            <w:right w:val="none" w:sz="0" w:space="0" w:color="auto"/>
          </w:divBdr>
          <w:divsChild>
            <w:div w:id="1532453896">
              <w:marLeft w:val="0"/>
              <w:marRight w:val="0"/>
              <w:marTop w:val="480"/>
              <w:marBottom w:val="360"/>
              <w:divBdr>
                <w:top w:val="none" w:sz="0" w:space="0" w:color="auto"/>
                <w:left w:val="none" w:sz="0" w:space="0" w:color="auto"/>
                <w:bottom w:val="none" w:sz="0" w:space="0" w:color="auto"/>
                <w:right w:val="none" w:sz="0" w:space="0" w:color="auto"/>
              </w:divBdr>
              <w:divsChild>
                <w:div w:id="1671062911">
                  <w:marLeft w:val="0"/>
                  <w:marRight w:val="0"/>
                  <w:marTop w:val="0"/>
                  <w:marBottom w:val="0"/>
                  <w:divBdr>
                    <w:top w:val="none" w:sz="0" w:space="0" w:color="auto"/>
                    <w:left w:val="none" w:sz="0" w:space="0" w:color="auto"/>
                    <w:bottom w:val="none" w:sz="0" w:space="0" w:color="auto"/>
                    <w:right w:val="none" w:sz="0" w:space="0" w:color="auto"/>
                  </w:divBdr>
                  <w:divsChild>
                    <w:div w:id="33030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607898">
      <w:bodyDiv w:val="1"/>
      <w:marLeft w:val="0"/>
      <w:marRight w:val="0"/>
      <w:marTop w:val="0"/>
      <w:marBottom w:val="0"/>
      <w:divBdr>
        <w:top w:val="none" w:sz="0" w:space="0" w:color="auto"/>
        <w:left w:val="none" w:sz="0" w:space="0" w:color="auto"/>
        <w:bottom w:val="none" w:sz="0" w:space="0" w:color="auto"/>
        <w:right w:val="none" w:sz="0" w:space="0" w:color="auto"/>
      </w:divBdr>
      <w:divsChild>
        <w:div w:id="1091394190">
          <w:marLeft w:val="0"/>
          <w:marRight w:val="0"/>
          <w:marTop w:val="0"/>
          <w:marBottom w:val="0"/>
          <w:divBdr>
            <w:top w:val="none" w:sz="0" w:space="0" w:color="auto"/>
            <w:left w:val="none" w:sz="0" w:space="0" w:color="auto"/>
            <w:bottom w:val="none" w:sz="0" w:space="0" w:color="auto"/>
            <w:right w:val="none" w:sz="0" w:space="0" w:color="auto"/>
          </w:divBdr>
          <w:divsChild>
            <w:div w:id="349449824">
              <w:marLeft w:val="0"/>
              <w:marRight w:val="0"/>
              <w:marTop w:val="0"/>
              <w:marBottom w:val="0"/>
              <w:divBdr>
                <w:top w:val="none" w:sz="0" w:space="0" w:color="auto"/>
                <w:left w:val="none" w:sz="0" w:space="0" w:color="auto"/>
                <w:bottom w:val="none" w:sz="0" w:space="0" w:color="auto"/>
                <w:right w:val="none" w:sz="0" w:space="0" w:color="auto"/>
              </w:divBdr>
              <w:divsChild>
                <w:div w:id="865676058">
                  <w:marLeft w:val="0"/>
                  <w:marRight w:val="0"/>
                  <w:marTop w:val="0"/>
                  <w:marBottom w:val="0"/>
                  <w:divBdr>
                    <w:top w:val="none" w:sz="0" w:space="0" w:color="auto"/>
                    <w:left w:val="none" w:sz="0" w:space="0" w:color="auto"/>
                    <w:bottom w:val="none" w:sz="0" w:space="0" w:color="auto"/>
                    <w:right w:val="none" w:sz="0" w:space="0" w:color="auto"/>
                  </w:divBdr>
                  <w:divsChild>
                    <w:div w:id="1934775680">
                      <w:marLeft w:val="0"/>
                      <w:marRight w:val="0"/>
                      <w:marTop w:val="0"/>
                      <w:marBottom w:val="0"/>
                      <w:divBdr>
                        <w:top w:val="none" w:sz="0" w:space="0" w:color="auto"/>
                        <w:left w:val="none" w:sz="0" w:space="0" w:color="auto"/>
                        <w:bottom w:val="none" w:sz="0" w:space="0" w:color="auto"/>
                        <w:right w:val="none" w:sz="0" w:space="0" w:color="auto"/>
                      </w:divBdr>
                      <w:divsChild>
                        <w:div w:id="178221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7899234">
      <w:bodyDiv w:val="1"/>
      <w:marLeft w:val="0"/>
      <w:marRight w:val="0"/>
      <w:marTop w:val="0"/>
      <w:marBottom w:val="0"/>
      <w:divBdr>
        <w:top w:val="none" w:sz="0" w:space="0" w:color="auto"/>
        <w:left w:val="none" w:sz="0" w:space="0" w:color="auto"/>
        <w:bottom w:val="none" w:sz="0" w:space="0" w:color="auto"/>
        <w:right w:val="none" w:sz="0" w:space="0" w:color="auto"/>
      </w:divBdr>
    </w:div>
    <w:div w:id="842936766">
      <w:bodyDiv w:val="1"/>
      <w:marLeft w:val="0"/>
      <w:marRight w:val="0"/>
      <w:marTop w:val="0"/>
      <w:marBottom w:val="0"/>
      <w:divBdr>
        <w:top w:val="none" w:sz="0" w:space="0" w:color="auto"/>
        <w:left w:val="none" w:sz="0" w:space="0" w:color="auto"/>
        <w:bottom w:val="none" w:sz="0" w:space="0" w:color="auto"/>
        <w:right w:val="none" w:sz="0" w:space="0" w:color="auto"/>
      </w:divBdr>
    </w:div>
    <w:div w:id="882593263">
      <w:bodyDiv w:val="1"/>
      <w:marLeft w:val="0"/>
      <w:marRight w:val="0"/>
      <w:marTop w:val="0"/>
      <w:marBottom w:val="0"/>
      <w:divBdr>
        <w:top w:val="none" w:sz="0" w:space="0" w:color="auto"/>
        <w:left w:val="none" w:sz="0" w:space="0" w:color="auto"/>
        <w:bottom w:val="none" w:sz="0" w:space="0" w:color="auto"/>
        <w:right w:val="none" w:sz="0" w:space="0" w:color="auto"/>
      </w:divBdr>
      <w:divsChild>
        <w:div w:id="630285901">
          <w:marLeft w:val="0"/>
          <w:marRight w:val="0"/>
          <w:marTop w:val="0"/>
          <w:marBottom w:val="0"/>
          <w:divBdr>
            <w:top w:val="none" w:sz="0" w:space="0" w:color="auto"/>
            <w:left w:val="none" w:sz="0" w:space="0" w:color="auto"/>
            <w:bottom w:val="none" w:sz="0" w:space="0" w:color="auto"/>
            <w:right w:val="none" w:sz="0" w:space="0" w:color="auto"/>
          </w:divBdr>
          <w:divsChild>
            <w:div w:id="2024014439">
              <w:marLeft w:val="0"/>
              <w:marRight w:val="0"/>
              <w:marTop w:val="0"/>
              <w:marBottom w:val="0"/>
              <w:divBdr>
                <w:top w:val="none" w:sz="0" w:space="0" w:color="auto"/>
                <w:left w:val="none" w:sz="0" w:space="0" w:color="auto"/>
                <w:bottom w:val="none" w:sz="0" w:space="0" w:color="auto"/>
                <w:right w:val="none" w:sz="0" w:space="0" w:color="auto"/>
              </w:divBdr>
              <w:divsChild>
                <w:div w:id="1719546550">
                  <w:marLeft w:val="0"/>
                  <w:marRight w:val="0"/>
                  <w:marTop w:val="0"/>
                  <w:marBottom w:val="0"/>
                  <w:divBdr>
                    <w:top w:val="none" w:sz="0" w:space="0" w:color="auto"/>
                    <w:left w:val="none" w:sz="0" w:space="0" w:color="auto"/>
                    <w:bottom w:val="none" w:sz="0" w:space="0" w:color="auto"/>
                    <w:right w:val="none" w:sz="0" w:space="0" w:color="auto"/>
                  </w:divBdr>
                  <w:divsChild>
                    <w:div w:id="1170563839">
                      <w:marLeft w:val="0"/>
                      <w:marRight w:val="0"/>
                      <w:marTop w:val="0"/>
                      <w:marBottom w:val="0"/>
                      <w:divBdr>
                        <w:top w:val="none" w:sz="0" w:space="0" w:color="auto"/>
                        <w:left w:val="none" w:sz="0" w:space="0" w:color="auto"/>
                        <w:bottom w:val="none" w:sz="0" w:space="0" w:color="auto"/>
                        <w:right w:val="none" w:sz="0" w:space="0" w:color="auto"/>
                      </w:divBdr>
                      <w:divsChild>
                        <w:div w:id="1883664400">
                          <w:marLeft w:val="0"/>
                          <w:marRight w:val="0"/>
                          <w:marTop w:val="0"/>
                          <w:marBottom w:val="0"/>
                          <w:divBdr>
                            <w:top w:val="none" w:sz="0" w:space="0" w:color="auto"/>
                            <w:left w:val="none" w:sz="0" w:space="0" w:color="auto"/>
                            <w:bottom w:val="none" w:sz="0" w:space="0" w:color="auto"/>
                            <w:right w:val="none" w:sz="0" w:space="0" w:color="auto"/>
                          </w:divBdr>
                          <w:divsChild>
                            <w:div w:id="2114282806">
                              <w:marLeft w:val="0"/>
                              <w:marRight w:val="0"/>
                              <w:marTop w:val="0"/>
                              <w:marBottom w:val="0"/>
                              <w:divBdr>
                                <w:top w:val="none" w:sz="0" w:space="0" w:color="auto"/>
                                <w:left w:val="none" w:sz="0" w:space="0" w:color="auto"/>
                                <w:bottom w:val="none" w:sz="0" w:space="0" w:color="auto"/>
                                <w:right w:val="none" w:sz="0" w:space="0" w:color="auto"/>
                              </w:divBdr>
                              <w:divsChild>
                                <w:div w:id="1485583624">
                                  <w:marLeft w:val="0"/>
                                  <w:marRight w:val="0"/>
                                  <w:marTop w:val="0"/>
                                  <w:marBottom w:val="0"/>
                                  <w:divBdr>
                                    <w:top w:val="none" w:sz="0" w:space="0" w:color="auto"/>
                                    <w:left w:val="none" w:sz="0" w:space="0" w:color="auto"/>
                                    <w:bottom w:val="none" w:sz="0" w:space="0" w:color="auto"/>
                                    <w:right w:val="none" w:sz="0" w:space="0" w:color="auto"/>
                                  </w:divBdr>
                                  <w:divsChild>
                                    <w:div w:id="1348554880">
                                      <w:marLeft w:val="0"/>
                                      <w:marRight w:val="0"/>
                                      <w:marTop w:val="0"/>
                                      <w:marBottom w:val="0"/>
                                      <w:divBdr>
                                        <w:top w:val="none" w:sz="0" w:space="0" w:color="auto"/>
                                        <w:left w:val="none" w:sz="0" w:space="0" w:color="auto"/>
                                        <w:bottom w:val="none" w:sz="0" w:space="0" w:color="auto"/>
                                        <w:right w:val="none" w:sz="0" w:space="0" w:color="auto"/>
                                      </w:divBdr>
                                      <w:divsChild>
                                        <w:div w:id="810515770">
                                          <w:marLeft w:val="0"/>
                                          <w:marRight w:val="0"/>
                                          <w:marTop w:val="0"/>
                                          <w:marBottom w:val="0"/>
                                          <w:divBdr>
                                            <w:top w:val="none" w:sz="0" w:space="0" w:color="auto"/>
                                            <w:left w:val="none" w:sz="0" w:space="0" w:color="auto"/>
                                            <w:bottom w:val="none" w:sz="0" w:space="0" w:color="auto"/>
                                            <w:right w:val="none" w:sz="0" w:space="0" w:color="auto"/>
                                          </w:divBdr>
                                          <w:divsChild>
                                            <w:div w:id="45864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0763680">
      <w:bodyDiv w:val="1"/>
      <w:marLeft w:val="0"/>
      <w:marRight w:val="0"/>
      <w:marTop w:val="0"/>
      <w:marBottom w:val="0"/>
      <w:divBdr>
        <w:top w:val="none" w:sz="0" w:space="0" w:color="auto"/>
        <w:left w:val="none" w:sz="0" w:space="0" w:color="auto"/>
        <w:bottom w:val="none" w:sz="0" w:space="0" w:color="auto"/>
        <w:right w:val="none" w:sz="0" w:space="0" w:color="auto"/>
      </w:divBdr>
    </w:div>
    <w:div w:id="1094016594">
      <w:bodyDiv w:val="1"/>
      <w:marLeft w:val="0"/>
      <w:marRight w:val="0"/>
      <w:marTop w:val="0"/>
      <w:marBottom w:val="0"/>
      <w:divBdr>
        <w:top w:val="none" w:sz="0" w:space="0" w:color="auto"/>
        <w:left w:val="none" w:sz="0" w:space="0" w:color="auto"/>
        <w:bottom w:val="none" w:sz="0" w:space="0" w:color="auto"/>
        <w:right w:val="none" w:sz="0" w:space="0" w:color="auto"/>
      </w:divBdr>
    </w:div>
    <w:div w:id="1096289425">
      <w:bodyDiv w:val="1"/>
      <w:marLeft w:val="0"/>
      <w:marRight w:val="0"/>
      <w:marTop w:val="0"/>
      <w:marBottom w:val="0"/>
      <w:divBdr>
        <w:top w:val="none" w:sz="0" w:space="0" w:color="auto"/>
        <w:left w:val="none" w:sz="0" w:space="0" w:color="auto"/>
        <w:bottom w:val="none" w:sz="0" w:space="0" w:color="auto"/>
        <w:right w:val="none" w:sz="0" w:space="0" w:color="auto"/>
      </w:divBdr>
    </w:div>
    <w:div w:id="1198007657">
      <w:bodyDiv w:val="1"/>
      <w:marLeft w:val="0"/>
      <w:marRight w:val="0"/>
      <w:marTop w:val="0"/>
      <w:marBottom w:val="0"/>
      <w:divBdr>
        <w:top w:val="none" w:sz="0" w:space="0" w:color="auto"/>
        <w:left w:val="none" w:sz="0" w:space="0" w:color="auto"/>
        <w:bottom w:val="none" w:sz="0" w:space="0" w:color="auto"/>
        <w:right w:val="none" w:sz="0" w:space="0" w:color="auto"/>
      </w:divBdr>
      <w:divsChild>
        <w:div w:id="1784423578">
          <w:marLeft w:val="0"/>
          <w:marRight w:val="0"/>
          <w:marTop w:val="0"/>
          <w:marBottom w:val="0"/>
          <w:divBdr>
            <w:top w:val="none" w:sz="0" w:space="0" w:color="auto"/>
            <w:left w:val="none" w:sz="0" w:space="0" w:color="auto"/>
            <w:bottom w:val="none" w:sz="0" w:space="0" w:color="auto"/>
            <w:right w:val="none" w:sz="0" w:space="0" w:color="auto"/>
          </w:divBdr>
          <w:divsChild>
            <w:div w:id="643509664">
              <w:marLeft w:val="0"/>
              <w:marRight w:val="0"/>
              <w:marTop w:val="0"/>
              <w:marBottom w:val="0"/>
              <w:divBdr>
                <w:top w:val="none" w:sz="0" w:space="0" w:color="auto"/>
                <w:left w:val="none" w:sz="0" w:space="0" w:color="auto"/>
                <w:bottom w:val="none" w:sz="0" w:space="0" w:color="auto"/>
                <w:right w:val="none" w:sz="0" w:space="0" w:color="auto"/>
              </w:divBdr>
              <w:divsChild>
                <w:div w:id="364065032">
                  <w:marLeft w:val="0"/>
                  <w:marRight w:val="0"/>
                  <w:marTop w:val="0"/>
                  <w:marBottom w:val="0"/>
                  <w:divBdr>
                    <w:top w:val="none" w:sz="0" w:space="0" w:color="auto"/>
                    <w:left w:val="none" w:sz="0" w:space="0" w:color="auto"/>
                    <w:bottom w:val="none" w:sz="0" w:space="0" w:color="auto"/>
                    <w:right w:val="none" w:sz="0" w:space="0" w:color="auto"/>
                  </w:divBdr>
                  <w:divsChild>
                    <w:div w:id="2090689603">
                      <w:marLeft w:val="0"/>
                      <w:marRight w:val="0"/>
                      <w:marTop w:val="0"/>
                      <w:marBottom w:val="0"/>
                      <w:divBdr>
                        <w:top w:val="none" w:sz="0" w:space="0" w:color="auto"/>
                        <w:left w:val="none" w:sz="0" w:space="0" w:color="auto"/>
                        <w:bottom w:val="none" w:sz="0" w:space="0" w:color="auto"/>
                        <w:right w:val="none" w:sz="0" w:space="0" w:color="auto"/>
                      </w:divBdr>
                      <w:divsChild>
                        <w:div w:id="18802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252294">
      <w:bodyDiv w:val="1"/>
      <w:marLeft w:val="0"/>
      <w:marRight w:val="0"/>
      <w:marTop w:val="0"/>
      <w:marBottom w:val="0"/>
      <w:divBdr>
        <w:top w:val="none" w:sz="0" w:space="0" w:color="auto"/>
        <w:left w:val="none" w:sz="0" w:space="0" w:color="auto"/>
        <w:bottom w:val="none" w:sz="0" w:space="0" w:color="auto"/>
        <w:right w:val="none" w:sz="0" w:space="0" w:color="auto"/>
      </w:divBdr>
    </w:div>
    <w:div w:id="1299264791">
      <w:bodyDiv w:val="1"/>
      <w:marLeft w:val="0"/>
      <w:marRight w:val="0"/>
      <w:marTop w:val="0"/>
      <w:marBottom w:val="0"/>
      <w:divBdr>
        <w:top w:val="none" w:sz="0" w:space="0" w:color="auto"/>
        <w:left w:val="none" w:sz="0" w:space="0" w:color="auto"/>
        <w:bottom w:val="none" w:sz="0" w:space="0" w:color="auto"/>
        <w:right w:val="none" w:sz="0" w:space="0" w:color="auto"/>
      </w:divBdr>
    </w:div>
    <w:div w:id="1361979856">
      <w:bodyDiv w:val="1"/>
      <w:marLeft w:val="0"/>
      <w:marRight w:val="0"/>
      <w:marTop w:val="0"/>
      <w:marBottom w:val="0"/>
      <w:divBdr>
        <w:top w:val="none" w:sz="0" w:space="0" w:color="auto"/>
        <w:left w:val="none" w:sz="0" w:space="0" w:color="auto"/>
        <w:bottom w:val="none" w:sz="0" w:space="0" w:color="auto"/>
        <w:right w:val="none" w:sz="0" w:space="0" w:color="auto"/>
      </w:divBdr>
      <w:divsChild>
        <w:div w:id="714352796">
          <w:marLeft w:val="547"/>
          <w:marRight w:val="0"/>
          <w:marTop w:val="115"/>
          <w:marBottom w:val="0"/>
          <w:divBdr>
            <w:top w:val="none" w:sz="0" w:space="0" w:color="auto"/>
            <w:left w:val="none" w:sz="0" w:space="0" w:color="auto"/>
            <w:bottom w:val="none" w:sz="0" w:space="0" w:color="auto"/>
            <w:right w:val="none" w:sz="0" w:space="0" w:color="auto"/>
          </w:divBdr>
        </w:div>
        <w:div w:id="996877836">
          <w:marLeft w:val="547"/>
          <w:marRight w:val="0"/>
          <w:marTop w:val="115"/>
          <w:marBottom w:val="0"/>
          <w:divBdr>
            <w:top w:val="none" w:sz="0" w:space="0" w:color="auto"/>
            <w:left w:val="none" w:sz="0" w:space="0" w:color="auto"/>
            <w:bottom w:val="none" w:sz="0" w:space="0" w:color="auto"/>
            <w:right w:val="none" w:sz="0" w:space="0" w:color="auto"/>
          </w:divBdr>
        </w:div>
        <w:div w:id="20739664">
          <w:marLeft w:val="547"/>
          <w:marRight w:val="0"/>
          <w:marTop w:val="115"/>
          <w:marBottom w:val="0"/>
          <w:divBdr>
            <w:top w:val="none" w:sz="0" w:space="0" w:color="auto"/>
            <w:left w:val="none" w:sz="0" w:space="0" w:color="auto"/>
            <w:bottom w:val="none" w:sz="0" w:space="0" w:color="auto"/>
            <w:right w:val="none" w:sz="0" w:space="0" w:color="auto"/>
          </w:divBdr>
        </w:div>
        <w:div w:id="102313283">
          <w:marLeft w:val="547"/>
          <w:marRight w:val="0"/>
          <w:marTop w:val="115"/>
          <w:marBottom w:val="0"/>
          <w:divBdr>
            <w:top w:val="none" w:sz="0" w:space="0" w:color="auto"/>
            <w:left w:val="none" w:sz="0" w:space="0" w:color="auto"/>
            <w:bottom w:val="none" w:sz="0" w:space="0" w:color="auto"/>
            <w:right w:val="none" w:sz="0" w:space="0" w:color="auto"/>
          </w:divBdr>
        </w:div>
        <w:div w:id="246042428">
          <w:marLeft w:val="547"/>
          <w:marRight w:val="0"/>
          <w:marTop w:val="115"/>
          <w:marBottom w:val="0"/>
          <w:divBdr>
            <w:top w:val="none" w:sz="0" w:space="0" w:color="auto"/>
            <w:left w:val="none" w:sz="0" w:space="0" w:color="auto"/>
            <w:bottom w:val="none" w:sz="0" w:space="0" w:color="auto"/>
            <w:right w:val="none" w:sz="0" w:space="0" w:color="auto"/>
          </w:divBdr>
        </w:div>
      </w:divsChild>
    </w:div>
    <w:div w:id="1365330643">
      <w:bodyDiv w:val="1"/>
      <w:marLeft w:val="0"/>
      <w:marRight w:val="0"/>
      <w:marTop w:val="0"/>
      <w:marBottom w:val="0"/>
      <w:divBdr>
        <w:top w:val="none" w:sz="0" w:space="0" w:color="auto"/>
        <w:left w:val="none" w:sz="0" w:space="0" w:color="auto"/>
        <w:bottom w:val="none" w:sz="0" w:space="0" w:color="auto"/>
        <w:right w:val="none" w:sz="0" w:space="0" w:color="auto"/>
      </w:divBdr>
    </w:div>
    <w:div w:id="1376463575">
      <w:bodyDiv w:val="1"/>
      <w:marLeft w:val="0"/>
      <w:marRight w:val="0"/>
      <w:marTop w:val="0"/>
      <w:marBottom w:val="0"/>
      <w:divBdr>
        <w:top w:val="none" w:sz="0" w:space="0" w:color="auto"/>
        <w:left w:val="none" w:sz="0" w:space="0" w:color="auto"/>
        <w:bottom w:val="none" w:sz="0" w:space="0" w:color="auto"/>
        <w:right w:val="none" w:sz="0" w:space="0" w:color="auto"/>
      </w:divBdr>
      <w:divsChild>
        <w:div w:id="481625584">
          <w:marLeft w:val="0"/>
          <w:marRight w:val="0"/>
          <w:marTop w:val="0"/>
          <w:marBottom w:val="0"/>
          <w:divBdr>
            <w:top w:val="none" w:sz="0" w:space="0" w:color="auto"/>
            <w:left w:val="none" w:sz="0" w:space="0" w:color="auto"/>
            <w:bottom w:val="none" w:sz="0" w:space="0" w:color="auto"/>
            <w:right w:val="none" w:sz="0" w:space="0" w:color="auto"/>
          </w:divBdr>
          <w:divsChild>
            <w:div w:id="1931086359">
              <w:marLeft w:val="0"/>
              <w:marRight w:val="0"/>
              <w:marTop w:val="0"/>
              <w:marBottom w:val="0"/>
              <w:divBdr>
                <w:top w:val="none" w:sz="0" w:space="0" w:color="auto"/>
                <w:left w:val="none" w:sz="0" w:space="0" w:color="auto"/>
                <w:bottom w:val="none" w:sz="0" w:space="0" w:color="auto"/>
                <w:right w:val="none" w:sz="0" w:space="0" w:color="auto"/>
              </w:divBdr>
              <w:divsChild>
                <w:div w:id="1982273310">
                  <w:marLeft w:val="0"/>
                  <w:marRight w:val="0"/>
                  <w:marTop w:val="0"/>
                  <w:marBottom w:val="0"/>
                  <w:divBdr>
                    <w:top w:val="none" w:sz="0" w:space="0" w:color="auto"/>
                    <w:left w:val="none" w:sz="0" w:space="0" w:color="auto"/>
                    <w:bottom w:val="none" w:sz="0" w:space="0" w:color="auto"/>
                    <w:right w:val="none" w:sz="0" w:space="0" w:color="auto"/>
                  </w:divBdr>
                  <w:divsChild>
                    <w:div w:id="1647319408">
                      <w:marLeft w:val="0"/>
                      <w:marRight w:val="0"/>
                      <w:marTop w:val="0"/>
                      <w:marBottom w:val="0"/>
                      <w:divBdr>
                        <w:top w:val="none" w:sz="0" w:space="0" w:color="auto"/>
                        <w:left w:val="none" w:sz="0" w:space="0" w:color="auto"/>
                        <w:bottom w:val="none" w:sz="0" w:space="0" w:color="auto"/>
                        <w:right w:val="none" w:sz="0" w:space="0" w:color="auto"/>
                      </w:divBdr>
                      <w:divsChild>
                        <w:div w:id="211887222">
                          <w:marLeft w:val="0"/>
                          <w:marRight w:val="0"/>
                          <w:marTop w:val="0"/>
                          <w:marBottom w:val="0"/>
                          <w:divBdr>
                            <w:top w:val="none" w:sz="0" w:space="0" w:color="auto"/>
                            <w:left w:val="none" w:sz="0" w:space="0" w:color="auto"/>
                            <w:bottom w:val="none" w:sz="0" w:space="0" w:color="auto"/>
                            <w:right w:val="none" w:sz="0" w:space="0" w:color="auto"/>
                          </w:divBdr>
                          <w:divsChild>
                            <w:div w:id="1950576391">
                              <w:marLeft w:val="0"/>
                              <w:marRight w:val="0"/>
                              <w:marTop w:val="0"/>
                              <w:marBottom w:val="0"/>
                              <w:divBdr>
                                <w:top w:val="none" w:sz="0" w:space="0" w:color="auto"/>
                                <w:left w:val="none" w:sz="0" w:space="0" w:color="auto"/>
                                <w:bottom w:val="none" w:sz="0" w:space="0" w:color="auto"/>
                                <w:right w:val="none" w:sz="0" w:space="0" w:color="auto"/>
                              </w:divBdr>
                              <w:divsChild>
                                <w:div w:id="2060090743">
                                  <w:marLeft w:val="0"/>
                                  <w:marRight w:val="0"/>
                                  <w:marTop w:val="0"/>
                                  <w:marBottom w:val="0"/>
                                  <w:divBdr>
                                    <w:top w:val="none" w:sz="0" w:space="0" w:color="auto"/>
                                    <w:left w:val="none" w:sz="0" w:space="0" w:color="auto"/>
                                    <w:bottom w:val="none" w:sz="0" w:space="0" w:color="auto"/>
                                    <w:right w:val="none" w:sz="0" w:space="0" w:color="auto"/>
                                  </w:divBdr>
                                  <w:divsChild>
                                    <w:div w:id="70934838">
                                      <w:marLeft w:val="0"/>
                                      <w:marRight w:val="0"/>
                                      <w:marTop w:val="0"/>
                                      <w:marBottom w:val="0"/>
                                      <w:divBdr>
                                        <w:top w:val="none" w:sz="0" w:space="0" w:color="auto"/>
                                        <w:left w:val="none" w:sz="0" w:space="0" w:color="auto"/>
                                        <w:bottom w:val="none" w:sz="0" w:space="0" w:color="auto"/>
                                        <w:right w:val="none" w:sz="0" w:space="0" w:color="auto"/>
                                      </w:divBdr>
                                      <w:divsChild>
                                        <w:div w:id="394622834">
                                          <w:marLeft w:val="0"/>
                                          <w:marRight w:val="0"/>
                                          <w:marTop w:val="0"/>
                                          <w:marBottom w:val="0"/>
                                          <w:divBdr>
                                            <w:top w:val="none" w:sz="0" w:space="0" w:color="auto"/>
                                            <w:left w:val="none" w:sz="0" w:space="0" w:color="auto"/>
                                            <w:bottom w:val="none" w:sz="0" w:space="0" w:color="auto"/>
                                            <w:right w:val="none" w:sz="0" w:space="0" w:color="auto"/>
                                          </w:divBdr>
                                          <w:divsChild>
                                            <w:div w:id="1871646004">
                                              <w:marLeft w:val="0"/>
                                              <w:marRight w:val="0"/>
                                              <w:marTop w:val="0"/>
                                              <w:marBottom w:val="0"/>
                                              <w:divBdr>
                                                <w:top w:val="none" w:sz="0" w:space="0" w:color="auto"/>
                                                <w:left w:val="none" w:sz="0" w:space="0" w:color="auto"/>
                                                <w:bottom w:val="none" w:sz="0" w:space="0" w:color="auto"/>
                                                <w:right w:val="none" w:sz="0" w:space="0" w:color="auto"/>
                                              </w:divBdr>
                                              <w:divsChild>
                                                <w:div w:id="870920642">
                                                  <w:marLeft w:val="0"/>
                                                  <w:marRight w:val="0"/>
                                                  <w:marTop w:val="0"/>
                                                  <w:marBottom w:val="0"/>
                                                  <w:divBdr>
                                                    <w:top w:val="none" w:sz="0" w:space="0" w:color="auto"/>
                                                    <w:left w:val="none" w:sz="0" w:space="0" w:color="auto"/>
                                                    <w:bottom w:val="none" w:sz="0" w:space="0" w:color="auto"/>
                                                    <w:right w:val="none" w:sz="0" w:space="0" w:color="auto"/>
                                                  </w:divBdr>
                                                  <w:divsChild>
                                                    <w:div w:id="136911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89186147">
      <w:bodyDiv w:val="1"/>
      <w:marLeft w:val="0"/>
      <w:marRight w:val="0"/>
      <w:marTop w:val="0"/>
      <w:marBottom w:val="0"/>
      <w:divBdr>
        <w:top w:val="none" w:sz="0" w:space="0" w:color="auto"/>
        <w:left w:val="none" w:sz="0" w:space="0" w:color="auto"/>
        <w:bottom w:val="none" w:sz="0" w:space="0" w:color="auto"/>
        <w:right w:val="none" w:sz="0" w:space="0" w:color="auto"/>
      </w:divBdr>
    </w:div>
    <w:div w:id="1448574613">
      <w:bodyDiv w:val="1"/>
      <w:marLeft w:val="0"/>
      <w:marRight w:val="0"/>
      <w:marTop w:val="0"/>
      <w:marBottom w:val="0"/>
      <w:divBdr>
        <w:top w:val="none" w:sz="0" w:space="0" w:color="auto"/>
        <w:left w:val="none" w:sz="0" w:space="0" w:color="auto"/>
        <w:bottom w:val="none" w:sz="0" w:space="0" w:color="auto"/>
        <w:right w:val="none" w:sz="0" w:space="0" w:color="auto"/>
      </w:divBdr>
    </w:div>
    <w:div w:id="1473904684">
      <w:bodyDiv w:val="1"/>
      <w:marLeft w:val="0"/>
      <w:marRight w:val="0"/>
      <w:marTop w:val="0"/>
      <w:marBottom w:val="0"/>
      <w:divBdr>
        <w:top w:val="none" w:sz="0" w:space="0" w:color="auto"/>
        <w:left w:val="none" w:sz="0" w:space="0" w:color="auto"/>
        <w:bottom w:val="none" w:sz="0" w:space="0" w:color="auto"/>
        <w:right w:val="none" w:sz="0" w:space="0" w:color="auto"/>
      </w:divBdr>
    </w:div>
    <w:div w:id="1478959931">
      <w:bodyDiv w:val="1"/>
      <w:marLeft w:val="0"/>
      <w:marRight w:val="0"/>
      <w:marTop w:val="0"/>
      <w:marBottom w:val="0"/>
      <w:divBdr>
        <w:top w:val="none" w:sz="0" w:space="0" w:color="auto"/>
        <w:left w:val="none" w:sz="0" w:space="0" w:color="auto"/>
        <w:bottom w:val="none" w:sz="0" w:space="0" w:color="auto"/>
        <w:right w:val="none" w:sz="0" w:space="0" w:color="auto"/>
      </w:divBdr>
      <w:divsChild>
        <w:div w:id="1880820018">
          <w:marLeft w:val="0"/>
          <w:marRight w:val="0"/>
          <w:marTop w:val="0"/>
          <w:marBottom w:val="0"/>
          <w:divBdr>
            <w:top w:val="none" w:sz="0" w:space="0" w:color="auto"/>
            <w:left w:val="none" w:sz="0" w:space="0" w:color="auto"/>
            <w:bottom w:val="none" w:sz="0" w:space="0" w:color="auto"/>
            <w:right w:val="none" w:sz="0" w:space="0" w:color="auto"/>
          </w:divBdr>
          <w:divsChild>
            <w:div w:id="1477064137">
              <w:marLeft w:val="0"/>
              <w:marRight w:val="0"/>
              <w:marTop w:val="0"/>
              <w:marBottom w:val="0"/>
              <w:divBdr>
                <w:top w:val="none" w:sz="0" w:space="0" w:color="auto"/>
                <w:left w:val="none" w:sz="0" w:space="0" w:color="auto"/>
                <w:bottom w:val="none" w:sz="0" w:space="0" w:color="auto"/>
                <w:right w:val="none" w:sz="0" w:space="0" w:color="auto"/>
              </w:divBdr>
              <w:divsChild>
                <w:div w:id="546141374">
                  <w:marLeft w:val="0"/>
                  <w:marRight w:val="0"/>
                  <w:marTop w:val="0"/>
                  <w:marBottom w:val="0"/>
                  <w:divBdr>
                    <w:top w:val="none" w:sz="0" w:space="0" w:color="auto"/>
                    <w:left w:val="none" w:sz="0" w:space="0" w:color="auto"/>
                    <w:bottom w:val="none" w:sz="0" w:space="0" w:color="auto"/>
                    <w:right w:val="none" w:sz="0" w:space="0" w:color="auto"/>
                  </w:divBdr>
                  <w:divsChild>
                    <w:div w:id="54047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404843">
      <w:bodyDiv w:val="1"/>
      <w:marLeft w:val="0"/>
      <w:marRight w:val="0"/>
      <w:marTop w:val="0"/>
      <w:marBottom w:val="0"/>
      <w:divBdr>
        <w:top w:val="none" w:sz="0" w:space="0" w:color="auto"/>
        <w:left w:val="none" w:sz="0" w:space="0" w:color="auto"/>
        <w:bottom w:val="none" w:sz="0" w:space="0" w:color="auto"/>
        <w:right w:val="none" w:sz="0" w:space="0" w:color="auto"/>
      </w:divBdr>
      <w:divsChild>
        <w:div w:id="1831674307">
          <w:marLeft w:val="0"/>
          <w:marRight w:val="0"/>
          <w:marTop w:val="0"/>
          <w:marBottom w:val="0"/>
          <w:divBdr>
            <w:top w:val="none" w:sz="0" w:space="0" w:color="auto"/>
            <w:left w:val="none" w:sz="0" w:space="0" w:color="auto"/>
            <w:bottom w:val="none" w:sz="0" w:space="0" w:color="auto"/>
            <w:right w:val="none" w:sz="0" w:space="0" w:color="auto"/>
          </w:divBdr>
          <w:divsChild>
            <w:div w:id="557936520">
              <w:marLeft w:val="0"/>
              <w:marRight w:val="0"/>
              <w:marTop w:val="0"/>
              <w:marBottom w:val="0"/>
              <w:divBdr>
                <w:top w:val="none" w:sz="0" w:space="0" w:color="auto"/>
                <w:left w:val="none" w:sz="0" w:space="0" w:color="auto"/>
                <w:bottom w:val="none" w:sz="0" w:space="0" w:color="auto"/>
                <w:right w:val="none" w:sz="0" w:space="0" w:color="auto"/>
              </w:divBdr>
              <w:divsChild>
                <w:div w:id="67925988">
                  <w:marLeft w:val="-225"/>
                  <w:marRight w:val="-225"/>
                  <w:marTop w:val="0"/>
                  <w:marBottom w:val="0"/>
                  <w:divBdr>
                    <w:top w:val="none" w:sz="0" w:space="0" w:color="auto"/>
                    <w:left w:val="none" w:sz="0" w:space="0" w:color="auto"/>
                    <w:bottom w:val="none" w:sz="0" w:space="0" w:color="auto"/>
                    <w:right w:val="none" w:sz="0" w:space="0" w:color="auto"/>
                  </w:divBdr>
                  <w:divsChild>
                    <w:div w:id="1626035456">
                      <w:marLeft w:val="0"/>
                      <w:marRight w:val="0"/>
                      <w:marTop w:val="0"/>
                      <w:marBottom w:val="0"/>
                      <w:divBdr>
                        <w:top w:val="none" w:sz="0" w:space="0" w:color="auto"/>
                        <w:left w:val="none" w:sz="0" w:space="0" w:color="auto"/>
                        <w:bottom w:val="none" w:sz="0" w:space="0" w:color="auto"/>
                        <w:right w:val="none" w:sz="0" w:space="0" w:color="auto"/>
                      </w:divBdr>
                      <w:divsChild>
                        <w:div w:id="435711777">
                          <w:marLeft w:val="0"/>
                          <w:marRight w:val="0"/>
                          <w:marTop w:val="0"/>
                          <w:marBottom w:val="0"/>
                          <w:divBdr>
                            <w:top w:val="none" w:sz="0" w:space="0" w:color="auto"/>
                            <w:left w:val="none" w:sz="0" w:space="0" w:color="auto"/>
                            <w:bottom w:val="none" w:sz="0" w:space="0" w:color="auto"/>
                            <w:right w:val="none" w:sz="0" w:space="0" w:color="auto"/>
                          </w:divBdr>
                          <w:divsChild>
                            <w:div w:id="970479629">
                              <w:marLeft w:val="0"/>
                              <w:marRight w:val="0"/>
                              <w:marTop w:val="0"/>
                              <w:marBottom w:val="0"/>
                              <w:divBdr>
                                <w:top w:val="none" w:sz="0" w:space="0" w:color="auto"/>
                                <w:left w:val="none" w:sz="0" w:space="0" w:color="auto"/>
                                <w:bottom w:val="none" w:sz="0" w:space="0" w:color="auto"/>
                                <w:right w:val="none" w:sz="0" w:space="0" w:color="auto"/>
                              </w:divBdr>
                              <w:divsChild>
                                <w:div w:id="1909341450">
                                  <w:marLeft w:val="0"/>
                                  <w:marRight w:val="0"/>
                                  <w:marTop w:val="0"/>
                                  <w:marBottom w:val="0"/>
                                  <w:divBdr>
                                    <w:top w:val="none" w:sz="0" w:space="0" w:color="auto"/>
                                    <w:left w:val="none" w:sz="0" w:space="0" w:color="auto"/>
                                    <w:bottom w:val="none" w:sz="0" w:space="0" w:color="auto"/>
                                    <w:right w:val="none" w:sz="0" w:space="0" w:color="auto"/>
                                  </w:divBdr>
                                  <w:divsChild>
                                    <w:div w:id="1576629519">
                                      <w:marLeft w:val="0"/>
                                      <w:marRight w:val="0"/>
                                      <w:marTop w:val="0"/>
                                      <w:marBottom w:val="0"/>
                                      <w:divBdr>
                                        <w:top w:val="none" w:sz="0" w:space="0" w:color="auto"/>
                                        <w:left w:val="none" w:sz="0" w:space="0" w:color="auto"/>
                                        <w:bottom w:val="none" w:sz="0" w:space="0" w:color="auto"/>
                                        <w:right w:val="none" w:sz="0" w:space="0" w:color="auto"/>
                                      </w:divBdr>
                                      <w:divsChild>
                                        <w:div w:id="1810509906">
                                          <w:marLeft w:val="0"/>
                                          <w:marRight w:val="0"/>
                                          <w:marTop w:val="0"/>
                                          <w:marBottom w:val="0"/>
                                          <w:divBdr>
                                            <w:top w:val="none" w:sz="0" w:space="0" w:color="auto"/>
                                            <w:left w:val="none" w:sz="0" w:space="0" w:color="auto"/>
                                            <w:bottom w:val="none" w:sz="0" w:space="0" w:color="auto"/>
                                            <w:right w:val="none" w:sz="0" w:space="0" w:color="auto"/>
                                          </w:divBdr>
                                          <w:divsChild>
                                            <w:div w:id="38372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20239896">
      <w:bodyDiv w:val="1"/>
      <w:marLeft w:val="0"/>
      <w:marRight w:val="0"/>
      <w:marTop w:val="0"/>
      <w:marBottom w:val="0"/>
      <w:divBdr>
        <w:top w:val="none" w:sz="0" w:space="0" w:color="auto"/>
        <w:left w:val="none" w:sz="0" w:space="0" w:color="auto"/>
        <w:bottom w:val="none" w:sz="0" w:space="0" w:color="auto"/>
        <w:right w:val="none" w:sz="0" w:space="0" w:color="auto"/>
      </w:divBdr>
    </w:div>
    <w:div w:id="1574965798">
      <w:bodyDiv w:val="1"/>
      <w:marLeft w:val="0"/>
      <w:marRight w:val="0"/>
      <w:marTop w:val="0"/>
      <w:marBottom w:val="0"/>
      <w:divBdr>
        <w:top w:val="none" w:sz="0" w:space="0" w:color="auto"/>
        <w:left w:val="none" w:sz="0" w:space="0" w:color="auto"/>
        <w:bottom w:val="none" w:sz="0" w:space="0" w:color="auto"/>
        <w:right w:val="none" w:sz="0" w:space="0" w:color="auto"/>
      </w:divBdr>
    </w:div>
    <w:div w:id="1577126282">
      <w:bodyDiv w:val="1"/>
      <w:marLeft w:val="0"/>
      <w:marRight w:val="0"/>
      <w:marTop w:val="0"/>
      <w:marBottom w:val="0"/>
      <w:divBdr>
        <w:top w:val="none" w:sz="0" w:space="0" w:color="auto"/>
        <w:left w:val="none" w:sz="0" w:space="0" w:color="auto"/>
        <w:bottom w:val="none" w:sz="0" w:space="0" w:color="auto"/>
        <w:right w:val="none" w:sz="0" w:space="0" w:color="auto"/>
      </w:divBdr>
    </w:div>
    <w:div w:id="1686785907">
      <w:bodyDiv w:val="1"/>
      <w:marLeft w:val="0"/>
      <w:marRight w:val="0"/>
      <w:marTop w:val="0"/>
      <w:marBottom w:val="0"/>
      <w:divBdr>
        <w:top w:val="none" w:sz="0" w:space="0" w:color="auto"/>
        <w:left w:val="none" w:sz="0" w:space="0" w:color="auto"/>
        <w:bottom w:val="none" w:sz="0" w:space="0" w:color="auto"/>
        <w:right w:val="none" w:sz="0" w:space="0" w:color="auto"/>
      </w:divBdr>
    </w:div>
    <w:div w:id="1706830509">
      <w:bodyDiv w:val="1"/>
      <w:marLeft w:val="0"/>
      <w:marRight w:val="0"/>
      <w:marTop w:val="0"/>
      <w:marBottom w:val="0"/>
      <w:divBdr>
        <w:top w:val="none" w:sz="0" w:space="0" w:color="auto"/>
        <w:left w:val="none" w:sz="0" w:space="0" w:color="auto"/>
        <w:bottom w:val="none" w:sz="0" w:space="0" w:color="auto"/>
        <w:right w:val="none" w:sz="0" w:space="0" w:color="auto"/>
      </w:divBdr>
      <w:divsChild>
        <w:div w:id="1327242191">
          <w:marLeft w:val="360"/>
          <w:marRight w:val="0"/>
          <w:marTop w:val="200"/>
          <w:marBottom w:val="0"/>
          <w:divBdr>
            <w:top w:val="none" w:sz="0" w:space="0" w:color="auto"/>
            <w:left w:val="none" w:sz="0" w:space="0" w:color="auto"/>
            <w:bottom w:val="none" w:sz="0" w:space="0" w:color="auto"/>
            <w:right w:val="none" w:sz="0" w:space="0" w:color="auto"/>
          </w:divBdr>
        </w:div>
      </w:divsChild>
    </w:div>
    <w:div w:id="1711690211">
      <w:bodyDiv w:val="1"/>
      <w:marLeft w:val="0"/>
      <w:marRight w:val="0"/>
      <w:marTop w:val="0"/>
      <w:marBottom w:val="0"/>
      <w:divBdr>
        <w:top w:val="none" w:sz="0" w:space="0" w:color="auto"/>
        <w:left w:val="none" w:sz="0" w:space="0" w:color="auto"/>
        <w:bottom w:val="none" w:sz="0" w:space="0" w:color="auto"/>
        <w:right w:val="none" w:sz="0" w:space="0" w:color="auto"/>
      </w:divBdr>
    </w:div>
    <w:div w:id="1756704884">
      <w:bodyDiv w:val="1"/>
      <w:marLeft w:val="0"/>
      <w:marRight w:val="0"/>
      <w:marTop w:val="0"/>
      <w:marBottom w:val="0"/>
      <w:divBdr>
        <w:top w:val="none" w:sz="0" w:space="0" w:color="auto"/>
        <w:left w:val="none" w:sz="0" w:space="0" w:color="auto"/>
        <w:bottom w:val="none" w:sz="0" w:space="0" w:color="auto"/>
        <w:right w:val="none" w:sz="0" w:space="0" w:color="auto"/>
      </w:divBdr>
    </w:div>
    <w:div w:id="1769961177">
      <w:bodyDiv w:val="1"/>
      <w:marLeft w:val="0"/>
      <w:marRight w:val="0"/>
      <w:marTop w:val="0"/>
      <w:marBottom w:val="0"/>
      <w:divBdr>
        <w:top w:val="none" w:sz="0" w:space="0" w:color="auto"/>
        <w:left w:val="none" w:sz="0" w:space="0" w:color="auto"/>
        <w:bottom w:val="none" w:sz="0" w:space="0" w:color="auto"/>
        <w:right w:val="none" w:sz="0" w:space="0" w:color="auto"/>
      </w:divBdr>
      <w:divsChild>
        <w:div w:id="1924535200">
          <w:marLeft w:val="0"/>
          <w:marRight w:val="0"/>
          <w:marTop w:val="0"/>
          <w:marBottom w:val="0"/>
          <w:divBdr>
            <w:top w:val="none" w:sz="0" w:space="0" w:color="auto"/>
            <w:left w:val="none" w:sz="0" w:space="0" w:color="auto"/>
            <w:bottom w:val="none" w:sz="0" w:space="0" w:color="auto"/>
            <w:right w:val="none" w:sz="0" w:space="0" w:color="auto"/>
          </w:divBdr>
          <w:divsChild>
            <w:div w:id="1356151365">
              <w:marLeft w:val="0"/>
              <w:marRight w:val="0"/>
              <w:marTop w:val="0"/>
              <w:marBottom w:val="0"/>
              <w:divBdr>
                <w:top w:val="none" w:sz="0" w:space="0" w:color="auto"/>
                <w:left w:val="none" w:sz="0" w:space="0" w:color="auto"/>
                <w:bottom w:val="none" w:sz="0" w:space="0" w:color="auto"/>
                <w:right w:val="none" w:sz="0" w:space="0" w:color="auto"/>
              </w:divBdr>
              <w:divsChild>
                <w:div w:id="511989781">
                  <w:marLeft w:val="-225"/>
                  <w:marRight w:val="-225"/>
                  <w:marTop w:val="0"/>
                  <w:marBottom w:val="0"/>
                  <w:divBdr>
                    <w:top w:val="none" w:sz="0" w:space="0" w:color="auto"/>
                    <w:left w:val="none" w:sz="0" w:space="0" w:color="auto"/>
                    <w:bottom w:val="none" w:sz="0" w:space="0" w:color="auto"/>
                    <w:right w:val="none" w:sz="0" w:space="0" w:color="auto"/>
                  </w:divBdr>
                  <w:divsChild>
                    <w:div w:id="150757840">
                      <w:marLeft w:val="0"/>
                      <w:marRight w:val="0"/>
                      <w:marTop w:val="0"/>
                      <w:marBottom w:val="0"/>
                      <w:divBdr>
                        <w:top w:val="none" w:sz="0" w:space="0" w:color="auto"/>
                        <w:left w:val="none" w:sz="0" w:space="0" w:color="auto"/>
                        <w:bottom w:val="none" w:sz="0" w:space="0" w:color="auto"/>
                        <w:right w:val="none" w:sz="0" w:space="0" w:color="auto"/>
                      </w:divBdr>
                      <w:divsChild>
                        <w:div w:id="563641980">
                          <w:marLeft w:val="0"/>
                          <w:marRight w:val="0"/>
                          <w:marTop w:val="0"/>
                          <w:marBottom w:val="0"/>
                          <w:divBdr>
                            <w:top w:val="none" w:sz="0" w:space="0" w:color="auto"/>
                            <w:left w:val="none" w:sz="0" w:space="0" w:color="auto"/>
                            <w:bottom w:val="none" w:sz="0" w:space="0" w:color="auto"/>
                            <w:right w:val="none" w:sz="0" w:space="0" w:color="auto"/>
                          </w:divBdr>
                          <w:divsChild>
                            <w:div w:id="1539202446">
                              <w:marLeft w:val="0"/>
                              <w:marRight w:val="0"/>
                              <w:marTop w:val="0"/>
                              <w:marBottom w:val="0"/>
                              <w:divBdr>
                                <w:top w:val="none" w:sz="0" w:space="0" w:color="auto"/>
                                <w:left w:val="none" w:sz="0" w:space="0" w:color="auto"/>
                                <w:bottom w:val="none" w:sz="0" w:space="0" w:color="auto"/>
                                <w:right w:val="none" w:sz="0" w:space="0" w:color="auto"/>
                              </w:divBdr>
                              <w:divsChild>
                                <w:div w:id="182762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631499">
      <w:bodyDiv w:val="1"/>
      <w:marLeft w:val="0"/>
      <w:marRight w:val="0"/>
      <w:marTop w:val="0"/>
      <w:marBottom w:val="0"/>
      <w:divBdr>
        <w:top w:val="none" w:sz="0" w:space="0" w:color="auto"/>
        <w:left w:val="none" w:sz="0" w:space="0" w:color="auto"/>
        <w:bottom w:val="none" w:sz="0" w:space="0" w:color="auto"/>
        <w:right w:val="none" w:sz="0" w:space="0" w:color="auto"/>
      </w:divBdr>
    </w:div>
    <w:div w:id="1891066842">
      <w:bodyDiv w:val="1"/>
      <w:marLeft w:val="0"/>
      <w:marRight w:val="0"/>
      <w:marTop w:val="0"/>
      <w:marBottom w:val="0"/>
      <w:divBdr>
        <w:top w:val="none" w:sz="0" w:space="0" w:color="auto"/>
        <w:left w:val="none" w:sz="0" w:space="0" w:color="auto"/>
        <w:bottom w:val="none" w:sz="0" w:space="0" w:color="auto"/>
        <w:right w:val="none" w:sz="0" w:space="0" w:color="auto"/>
      </w:divBdr>
      <w:divsChild>
        <w:div w:id="1766538891">
          <w:marLeft w:val="0"/>
          <w:marRight w:val="0"/>
          <w:marTop w:val="0"/>
          <w:marBottom w:val="0"/>
          <w:divBdr>
            <w:top w:val="none" w:sz="0" w:space="0" w:color="auto"/>
            <w:left w:val="none" w:sz="0" w:space="0" w:color="auto"/>
            <w:bottom w:val="none" w:sz="0" w:space="0" w:color="auto"/>
            <w:right w:val="none" w:sz="0" w:space="0" w:color="auto"/>
          </w:divBdr>
          <w:divsChild>
            <w:div w:id="1936471407">
              <w:marLeft w:val="0"/>
              <w:marRight w:val="0"/>
              <w:marTop w:val="0"/>
              <w:marBottom w:val="0"/>
              <w:divBdr>
                <w:top w:val="none" w:sz="0" w:space="0" w:color="auto"/>
                <w:left w:val="none" w:sz="0" w:space="0" w:color="auto"/>
                <w:bottom w:val="none" w:sz="0" w:space="0" w:color="auto"/>
                <w:right w:val="none" w:sz="0" w:space="0" w:color="auto"/>
              </w:divBdr>
              <w:divsChild>
                <w:div w:id="788202559">
                  <w:marLeft w:val="0"/>
                  <w:marRight w:val="0"/>
                  <w:marTop w:val="0"/>
                  <w:marBottom w:val="0"/>
                  <w:divBdr>
                    <w:top w:val="none" w:sz="0" w:space="0" w:color="auto"/>
                    <w:left w:val="none" w:sz="0" w:space="0" w:color="auto"/>
                    <w:bottom w:val="none" w:sz="0" w:space="0" w:color="auto"/>
                    <w:right w:val="none" w:sz="0" w:space="0" w:color="auto"/>
                  </w:divBdr>
                  <w:divsChild>
                    <w:div w:id="1279069409">
                      <w:marLeft w:val="-225"/>
                      <w:marRight w:val="-225"/>
                      <w:marTop w:val="0"/>
                      <w:marBottom w:val="0"/>
                      <w:divBdr>
                        <w:top w:val="none" w:sz="0" w:space="0" w:color="auto"/>
                        <w:left w:val="none" w:sz="0" w:space="0" w:color="auto"/>
                        <w:bottom w:val="none" w:sz="0" w:space="0" w:color="auto"/>
                        <w:right w:val="none" w:sz="0" w:space="0" w:color="auto"/>
                      </w:divBdr>
                      <w:divsChild>
                        <w:div w:id="1735355438">
                          <w:marLeft w:val="0"/>
                          <w:marRight w:val="0"/>
                          <w:marTop w:val="0"/>
                          <w:marBottom w:val="0"/>
                          <w:divBdr>
                            <w:top w:val="none" w:sz="0" w:space="0" w:color="auto"/>
                            <w:left w:val="none" w:sz="0" w:space="0" w:color="auto"/>
                            <w:bottom w:val="none" w:sz="0" w:space="0" w:color="auto"/>
                            <w:right w:val="none" w:sz="0" w:space="0" w:color="auto"/>
                          </w:divBdr>
                          <w:divsChild>
                            <w:div w:id="3836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8322732">
      <w:bodyDiv w:val="1"/>
      <w:marLeft w:val="0"/>
      <w:marRight w:val="0"/>
      <w:marTop w:val="0"/>
      <w:marBottom w:val="0"/>
      <w:divBdr>
        <w:top w:val="none" w:sz="0" w:space="0" w:color="auto"/>
        <w:left w:val="none" w:sz="0" w:space="0" w:color="auto"/>
        <w:bottom w:val="none" w:sz="0" w:space="0" w:color="auto"/>
        <w:right w:val="none" w:sz="0" w:space="0" w:color="auto"/>
      </w:divBdr>
    </w:div>
    <w:div w:id="2103649713">
      <w:bodyDiv w:val="1"/>
      <w:marLeft w:val="0"/>
      <w:marRight w:val="0"/>
      <w:marTop w:val="0"/>
      <w:marBottom w:val="0"/>
      <w:divBdr>
        <w:top w:val="none" w:sz="0" w:space="0" w:color="auto"/>
        <w:left w:val="none" w:sz="0" w:space="0" w:color="auto"/>
        <w:bottom w:val="none" w:sz="0" w:space="0" w:color="auto"/>
        <w:right w:val="none" w:sz="0" w:space="0" w:color="auto"/>
      </w:divBdr>
      <w:divsChild>
        <w:div w:id="354766638">
          <w:marLeft w:val="0"/>
          <w:marRight w:val="0"/>
          <w:marTop w:val="0"/>
          <w:marBottom w:val="0"/>
          <w:divBdr>
            <w:top w:val="none" w:sz="0" w:space="0" w:color="auto"/>
            <w:left w:val="none" w:sz="0" w:space="0" w:color="auto"/>
            <w:bottom w:val="none" w:sz="0" w:space="0" w:color="auto"/>
            <w:right w:val="none" w:sz="0" w:space="0" w:color="auto"/>
          </w:divBdr>
        </w:div>
        <w:div w:id="880090061">
          <w:marLeft w:val="0"/>
          <w:marRight w:val="0"/>
          <w:marTop w:val="0"/>
          <w:marBottom w:val="0"/>
          <w:divBdr>
            <w:top w:val="none" w:sz="0" w:space="0" w:color="auto"/>
            <w:left w:val="none" w:sz="0" w:space="0" w:color="auto"/>
            <w:bottom w:val="none" w:sz="0" w:space="0" w:color="auto"/>
            <w:right w:val="none" w:sz="0" w:space="0" w:color="auto"/>
          </w:divBdr>
        </w:div>
        <w:div w:id="576011512">
          <w:marLeft w:val="0"/>
          <w:marRight w:val="0"/>
          <w:marTop w:val="0"/>
          <w:marBottom w:val="0"/>
          <w:divBdr>
            <w:top w:val="none" w:sz="0" w:space="0" w:color="auto"/>
            <w:left w:val="none" w:sz="0" w:space="0" w:color="auto"/>
            <w:bottom w:val="none" w:sz="0" w:space="0" w:color="auto"/>
            <w:right w:val="none" w:sz="0" w:space="0" w:color="auto"/>
          </w:divBdr>
        </w:div>
        <w:div w:id="168566102">
          <w:marLeft w:val="0"/>
          <w:marRight w:val="0"/>
          <w:marTop w:val="0"/>
          <w:marBottom w:val="0"/>
          <w:divBdr>
            <w:top w:val="none" w:sz="0" w:space="0" w:color="auto"/>
            <w:left w:val="none" w:sz="0" w:space="0" w:color="auto"/>
            <w:bottom w:val="none" w:sz="0" w:space="0" w:color="auto"/>
            <w:right w:val="none" w:sz="0" w:space="0" w:color="auto"/>
          </w:divBdr>
        </w:div>
        <w:div w:id="2092701657">
          <w:marLeft w:val="0"/>
          <w:marRight w:val="0"/>
          <w:marTop w:val="0"/>
          <w:marBottom w:val="0"/>
          <w:divBdr>
            <w:top w:val="none" w:sz="0" w:space="0" w:color="auto"/>
            <w:left w:val="none" w:sz="0" w:space="0" w:color="auto"/>
            <w:bottom w:val="none" w:sz="0" w:space="0" w:color="auto"/>
            <w:right w:val="none" w:sz="0" w:space="0" w:color="auto"/>
          </w:divBdr>
        </w:div>
        <w:div w:id="17535787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6FCB5-3F42-4DCB-B08F-C44A2EE90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3082</Words>
  <Characters>17573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20614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Richards (Hywel Dda UHB - Principal Project Manager)</dc:creator>
  <cp:keywords/>
  <dc:description/>
  <cp:lastModifiedBy>Sharon Richards (Hywel Dda UHB - Senior Workforce Manager: Efficiency, Job Evaluation and Business Support)</cp:lastModifiedBy>
  <cp:revision>2</cp:revision>
  <dcterms:created xsi:type="dcterms:W3CDTF">2022-01-05T15:13:00Z</dcterms:created>
  <dcterms:modified xsi:type="dcterms:W3CDTF">2022-01-05T15:13:00Z</dcterms:modified>
</cp:coreProperties>
</file>