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1D09" w14:textId="1E970FF2" w:rsidR="00FE1B5B" w:rsidRPr="00D170D0" w:rsidRDefault="00D63CAD" w:rsidP="00D63CAD">
      <w:pPr>
        <w:spacing w:line="276" w:lineRule="auto"/>
        <w:jc w:val="both"/>
        <w:rPr>
          <w:rFonts w:ascii="Arial" w:hAnsi="Arial" w:cs="Arial"/>
          <w:b/>
          <w:bCs/>
          <w:u w:val="single"/>
        </w:rPr>
      </w:pPr>
      <w:r w:rsidRPr="00D63CAD">
        <w:rPr>
          <w:rFonts w:ascii="Arial" w:hAnsi="Arial" w:cs="Arial"/>
          <w:b/>
          <w:bCs/>
          <w:u w:val="single"/>
        </w:rPr>
        <w:t>AC1.1</w:t>
      </w:r>
    </w:p>
    <w:p w14:paraId="3D873A01" w14:textId="77777777" w:rsidR="00FE1B5B" w:rsidRDefault="00FE1B5B" w:rsidP="00D63CAD">
      <w:pPr>
        <w:spacing w:line="276" w:lineRule="auto"/>
        <w:jc w:val="both"/>
        <w:rPr>
          <w:rFonts w:ascii="Arial" w:hAnsi="Arial" w:cs="Arial"/>
        </w:rPr>
      </w:pPr>
    </w:p>
    <w:p w14:paraId="32047E61" w14:textId="77777777" w:rsidR="00D170D0" w:rsidRDefault="00D170D0" w:rsidP="00D170D0">
      <w:pPr>
        <w:spacing w:line="276" w:lineRule="auto"/>
        <w:jc w:val="both"/>
        <w:rPr>
          <w:rFonts w:ascii="Arial" w:hAnsi="Arial" w:cs="Arial"/>
        </w:rPr>
      </w:pPr>
      <w:r w:rsidRPr="00FC5512">
        <w:rPr>
          <w:rFonts w:ascii="Arial" w:hAnsi="Arial" w:cs="Arial"/>
        </w:rPr>
        <w:t xml:space="preserve">Employment law encompasses the legislation, regulations and case law that helps govern the relationship between employers and employees within the UK. The fundamental reason for employment law is to provide a framework that ensures fair treatment and outlines the responsibilities of both employers and employees. </w:t>
      </w:r>
    </w:p>
    <w:p w14:paraId="170F42F3" w14:textId="77777777" w:rsidR="00D170D0" w:rsidRDefault="00D170D0" w:rsidP="00D170D0">
      <w:pPr>
        <w:spacing w:line="276" w:lineRule="auto"/>
        <w:jc w:val="both"/>
        <w:rPr>
          <w:rFonts w:ascii="Arial" w:hAnsi="Arial" w:cs="Arial"/>
        </w:rPr>
      </w:pPr>
    </w:p>
    <w:p w14:paraId="3D579B26" w14:textId="6BA868BF" w:rsidR="00D170D0" w:rsidRDefault="00D170D0" w:rsidP="00D170D0">
      <w:pPr>
        <w:spacing w:line="276" w:lineRule="auto"/>
        <w:jc w:val="both"/>
        <w:rPr>
          <w:rFonts w:ascii="Arial" w:hAnsi="Arial" w:cs="Arial"/>
        </w:rPr>
      </w:pPr>
      <w:r>
        <w:rPr>
          <w:rFonts w:ascii="Arial" w:hAnsi="Arial" w:cs="Arial"/>
        </w:rPr>
        <w:t>One of the primary objectives of employment law is to protect employees from an environment that is deemed unfair or unsafe, both in a physical and emotional sense (Daniels, 2025). Employers naturally have more power as employment largely dictates most people’s lives. Therefore, legislation exists to help prevent exploitation. For example, the Working Time Regulations 1998 transformed the world of employment in terms of health and safety.</w:t>
      </w:r>
    </w:p>
    <w:p w14:paraId="2D292436" w14:textId="77777777" w:rsidR="00D170D0" w:rsidRDefault="00D170D0" w:rsidP="00D170D0">
      <w:pPr>
        <w:spacing w:line="276" w:lineRule="auto"/>
        <w:jc w:val="both"/>
        <w:rPr>
          <w:rFonts w:ascii="Arial" w:hAnsi="Arial" w:cs="Arial"/>
        </w:rPr>
      </w:pPr>
    </w:p>
    <w:p w14:paraId="633216B7" w14:textId="497F6192" w:rsidR="00D170D0" w:rsidRDefault="00D170D0" w:rsidP="00D170D0">
      <w:pPr>
        <w:spacing w:line="276" w:lineRule="auto"/>
        <w:jc w:val="both"/>
        <w:rPr>
          <w:rFonts w:ascii="Arial" w:hAnsi="Arial" w:cs="Arial"/>
        </w:rPr>
      </w:pPr>
      <w:r>
        <w:rPr>
          <w:rFonts w:ascii="Arial" w:hAnsi="Arial" w:cs="Arial"/>
        </w:rPr>
        <w:t>However, employment law can often be seen as an inconvenience or a barrier for employers, especially recently as legislation appears to be in favour of the employee. For example, t</w:t>
      </w:r>
      <w:r>
        <w:rPr>
          <w:rFonts w:ascii="Arial" w:hAnsi="Arial" w:cs="Arial"/>
        </w:rPr>
        <w:t xml:space="preserve">he Employment Relations (Flexible Working) Act 2023 </w:t>
      </w:r>
      <w:r>
        <w:rPr>
          <w:rFonts w:ascii="Arial" w:hAnsi="Arial" w:cs="Arial"/>
        </w:rPr>
        <w:t>meant that the statutory right to request flexible working became a day one right (Acas, 2024). Employers presume that this can only cause detriment to their business and are consequently less likely to hire new workers (Jackson, 2024). However, it can surprisingly have the opposite effect. When employees feel valued and are treated fairly in good quality jobs, they are happier, healthier and more likely to drive productivity (Young, 2024).</w:t>
      </w:r>
    </w:p>
    <w:p w14:paraId="1EC44BC7" w14:textId="77777777" w:rsidR="00D170D0" w:rsidRDefault="00D170D0" w:rsidP="00D170D0">
      <w:pPr>
        <w:spacing w:line="276" w:lineRule="auto"/>
        <w:jc w:val="both"/>
        <w:rPr>
          <w:rFonts w:ascii="Arial" w:hAnsi="Arial" w:cs="Arial"/>
        </w:rPr>
      </w:pPr>
    </w:p>
    <w:p w14:paraId="529C0271" w14:textId="072FE451" w:rsidR="00D170D0" w:rsidRPr="00FC5512" w:rsidRDefault="00D170D0" w:rsidP="00D170D0">
      <w:pPr>
        <w:spacing w:line="276" w:lineRule="auto"/>
        <w:jc w:val="both"/>
        <w:rPr>
          <w:rFonts w:ascii="Arial" w:hAnsi="Arial" w:cs="Arial"/>
        </w:rPr>
      </w:pPr>
      <w:r>
        <w:rPr>
          <w:rFonts w:ascii="Arial" w:hAnsi="Arial" w:cs="Arial"/>
        </w:rPr>
        <w:t>In response to resistance to employment law, one should ask themselves what the world would look like without any legislation. This is particularly poignant for anyone with a protected characteristic as outlined in The Equality Act 2010.</w:t>
      </w:r>
    </w:p>
    <w:p w14:paraId="7C658E30" w14:textId="77777777" w:rsidR="00D170D0" w:rsidRDefault="00D170D0" w:rsidP="00D63CAD">
      <w:pPr>
        <w:spacing w:line="276" w:lineRule="auto"/>
        <w:jc w:val="both"/>
        <w:rPr>
          <w:rFonts w:ascii="Arial" w:hAnsi="Arial" w:cs="Arial"/>
        </w:rPr>
      </w:pPr>
    </w:p>
    <w:p w14:paraId="3B992BC6" w14:textId="54706B02" w:rsidR="00D170D0" w:rsidRPr="00FC5512" w:rsidRDefault="00D170D0" w:rsidP="00D170D0">
      <w:pPr>
        <w:spacing w:line="276" w:lineRule="auto"/>
        <w:jc w:val="both"/>
        <w:rPr>
          <w:rFonts w:ascii="Arial" w:hAnsi="Arial" w:cs="Arial"/>
        </w:rPr>
      </w:pPr>
      <w:r w:rsidRPr="00FC5512">
        <w:rPr>
          <w:rFonts w:ascii="Arial" w:hAnsi="Arial" w:cs="Arial"/>
        </w:rPr>
        <w:t>The Equality Act 2010 (Gender Pay Gap Information) Regulations 2017 made it mandatory for organisations with over 250 employees to report annually on their gender pay gap</w:t>
      </w:r>
      <w:r>
        <w:rPr>
          <w:rFonts w:ascii="Arial" w:hAnsi="Arial" w:cs="Arial"/>
        </w:rPr>
        <w:t xml:space="preserve">, which </w:t>
      </w:r>
      <w:r w:rsidRPr="00FC5512">
        <w:rPr>
          <w:rFonts w:ascii="Arial" w:hAnsi="Arial" w:cs="Arial"/>
        </w:rPr>
        <w:t xml:space="preserve">shows the difference in average pay between all men and women in their workforce. </w:t>
      </w:r>
      <w:r>
        <w:rPr>
          <w:rFonts w:ascii="Arial" w:hAnsi="Arial" w:cs="Arial"/>
        </w:rPr>
        <w:t>This gap exists due to a multitude of reasons, such as roles being assigned genders prior to women entering the workspace and the ‘motherhood pay penalty’</w:t>
      </w:r>
      <w:r w:rsidRPr="00FC5512">
        <w:rPr>
          <w:rFonts w:ascii="Arial" w:hAnsi="Arial" w:cs="Arial"/>
        </w:rPr>
        <w:t xml:space="preserve"> (</w:t>
      </w:r>
      <w:proofErr w:type="spellStart"/>
      <w:r w:rsidRPr="00FC5512">
        <w:rPr>
          <w:rFonts w:ascii="Arial" w:hAnsi="Arial" w:cs="Arial"/>
        </w:rPr>
        <w:t>Adeusi</w:t>
      </w:r>
      <w:proofErr w:type="spellEnd"/>
      <w:r w:rsidRPr="00FC5512">
        <w:rPr>
          <w:rFonts w:ascii="Arial" w:hAnsi="Arial" w:cs="Arial"/>
        </w:rPr>
        <w:t>, 2022)</w:t>
      </w:r>
      <w:r>
        <w:rPr>
          <w:rFonts w:ascii="Arial" w:hAnsi="Arial" w:cs="Arial"/>
        </w:rPr>
        <w:t>.</w:t>
      </w:r>
    </w:p>
    <w:p w14:paraId="7E312E35" w14:textId="77777777" w:rsidR="00D170D0" w:rsidRPr="00FC5512" w:rsidRDefault="00D170D0" w:rsidP="00D170D0">
      <w:pPr>
        <w:spacing w:line="276" w:lineRule="auto"/>
        <w:jc w:val="both"/>
        <w:rPr>
          <w:rFonts w:ascii="Arial" w:hAnsi="Arial" w:cs="Arial"/>
        </w:rPr>
      </w:pPr>
    </w:p>
    <w:p w14:paraId="3FC69AF2" w14:textId="5E7B3811" w:rsidR="00D170D0" w:rsidRPr="00FC5512" w:rsidRDefault="00D170D0" w:rsidP="00D170D0">
      <w:pPr>
        <w:spacing w:line="276" w:lineRule="auto"/>
        <w:jc w:val="both"/>
        <w:rPr>
          <w:rFonts w:ascii="Arial" w:hAnsi="Arial" w:cs="Arial"/>
        </w:rPr>
      </w:pPr>
      <w:r w:rsidRPr="00FC5512">
        <w:rPr>
          <w:rFonts w:ascii="Arial" w:hAnsi="Arial" w:cs="Arial"/>
        </w:rPr>
        <w:t>Despite this, a gender pay gap still exists</w:t>
      </w:r>
      <w:r>
        <w:rPr>
          <w:rFonts w:ascii="Arial" w:hAnsi="Arial" w:cs="Arial"/>
        </w:rPr>
        <w:t>. It should be considered what this gap would look like without any legislation, particularly as this ensures large organisations are held accountable for their figures which can affect their reputation and performance.</w:t>
      </w:r>
    </w:p>
    <w:p w14:paraId="6D6AF72B" w14:textId="77777777" w:rsidR="00D170D0" w:rsidRDefault="00D170D0" w:rsidP="00D63CAD">
      <w:pPr>
        <w:spacing w:line="276" w:lineRule="auto"/>
        <w:jc w:val="both"/>
        <w:rPr>
          <w:rFonts w:ascii="Arial" w:hAnsi="Arial" w:cs="Arial"/>
        </w:rPr>
      </w:pPr>
    </w:p>
    <w:p w14:paraId="306A3355" w14:textId="4209FEB2" w:rsidR="00FE1B5B" w:rsidRPr="00FE1B5B" w:rsidRDefault="00FE1B5B" w:rsidP="00D63CAD">
      <w:pPr>
        <w:spacing w:line="276" w:lineRule="auto"/>
        <w:jc w:val="both"/>
        <w:rPr>
          <w:rFonts w:ascii="Arial" w:hAnsi="Arial" w:cs="Arial"/>
        </w:rPr>
      </w:pPr>
      <w:r>
        <w:rPr>
          <w:rFonts w:ascii="Arial" w:hAnsi="Arial" w:cs="Arial"/>
        </w:rPr>
        <w:t>Ultimately, all societies need rules and agreed ways of working which is what employment law brings to workplaces</w:t>
      </w:r>
      <w:r w:rsidR="00D170D0">
        <w:rPr>
          <w:rFonts w:ascii="Arial" w:hAnsi="Arial" w:cs="Arial"/>
        </w:rPr>
        <w:t>. Legislation helps ensure</w:t>
      </w:r>
      <w:r>
        <w:rPr>
          <w:rFonts w:ascii="Arial" w:hAnsi="Arial" w:cs="Arial"/>
        </w:rPr>
        <w:t xml:space="preserve"> that there is a balance between employee wellbeing, fair treatment and optimal organisational </w:t>
      </w:r>
      <w:r w:rsidR="00D170D0">
        <w:rPr>
          <w:rFonts w:ascii="Arial" w:hAnsi="Arial" w:cs="Arial"/>
        </w:rPr>
        <w:t xml:space="preserve">performance. Therefore, the strategic value of compliance cannot be underestimated </w:t>
      </w:r>
      <w:r>
        <w:rPr>
          <w:rFonts w:ascii="Arial" w:hAnsi="Arial" w:cs="Arial"/>
        </w:rPr>
        <w:t>(Daniels, 2025).</w:t>
      </w:r>
    </w:p>
    <w:p w14:paraId="366DBCC7" w14:textId="77777777" w:rsidR="00FE1B5B" w:rsidRPr="00FE1B5B" w:rsidRDefault="00FE1B5B" w:rsidP="00D63CAD">
      <w:pPr>
        <w:spacing w:line="276" w:lineRule="auto"/>
        <w:jc w:val="both"/>
        <w:rPr>
          <w:rFonts w:ascii="Arial" w:hAnsi="Arial" w:cs="Arial"/>
        </w:rPr>
      </w:pPr>
    </w:p>
    <w:p w14:paraId="5A84962F" w14:textId="5E993015" w:rsidR="00D63CAD" w:rsidRDefault="00D63CAD" w:rsidP="00D63CAD">
      <w:pPr>
        <w:spacing w:line="276" w:lineRule="auto"/>
        <w:jc w:val="both"/>
        <w:rPr>
          <w:rFonts w:ascii="Arial" w:hAnsi="Arial" w:cs="Arial"/>
          <w:b/>
          <w:bCs/>
          <w:u w:val="single"/>
        </w:rPr>
      </w:pPr>
      <w:r w:rsidRPr="00D63CAD">
        <w:rPr>
          <w:rFonts w:ascii="Arial" w:hAnsi="Arial" w:cs="Arial"/>
          <w:b/>
          <w:bCs/>
          <w:u w:val="single"/>
        </w:rPr>
        <w:t>AC1.2</w:t>
      </w:r>
    </w:p>
    <w:p w14:paraId="7F027F65" w14:textId="77777777" w:rsidR="00D6742E" w:rsidRDefault="00D6742E" w:rsidP="00D63CAD">
      <w:pPr>
        <w:spacing w:line="276" w:lineRule="auto"/>
        <w:jc w:val="both"/>
        <w:rPr>
          <w:rFonts w:ascii="Arial" w:hAnsi="Arial" w:cs="Arial"/>
          <w:b/>
          <w:bCs/>
          <w:u w:val="single"/>
        </w:rPr>
      </w:pPr>
    </w:p>
    <w:p w14:paraId="70C7EF68" w14:textId="74694A85" w:rsidR="00D6742E" w:rsidRDefault="00D6742E" w:rsidP="00D63CAD">
      <w:pPr>
        <w:spacing w:line="276" w:lineRule="auto"/>
        <w:jc w:val="both"/>
        <w:rPr>
          <w:rFonts w:ascii="Arial" w:hAnsi="Arial" w:cs="Arial"/>
        </w:rPr>
      </w:pPr>
      <w:r>
        <w:rPr>
          <w:rFonts w:ascii="Arial" w:hAnsi="Arial" w:cs="Arial"/>
        </w:rPr>
        <w:t>Since the UK left the European Union on 31</w:t>
      </w:r>
      <w:r w:rsidRPr="00D6742E">
        <w:rPr>
          <w:rFonts w:ascii="Arial" w:hAnsi="Arial" w:cs="Arial"/>
          <w:vertAlign w:val="superscript"/>
        </w:rPr>
        <w:t>st</w:t>
      </w:r>
      <w:r>
        <w:rPr>
          <w:rFonts w:ascii="Arial" w:hAnsi="Arial" w:cs="Arial"/>
        </w:rPr>
        <w:t xml:space="preserve"> December 2020, there have been significant changes in legislation, particularly in relation to the European Court of Justice (ECJ).</w:t>
      </w:r>
    </w:p>
    <w:p w14:paraId="52664E8C" w14:textId="77777777" w:rsidR="00A10A02" w:rsidRDefault="00A10A02" w:rsidP="00D63CAD">
      <w:pPr>
        <w:spacing w:line="276" w:lineRule="auto"/>
        <w:jc w:val="both"/>
        <w:rPr>
          <w:rFonts w:ascii="Arial" w:hAnsi="Arial" w:cs="Arial"/>
        </w:rPr>
      </w:pPr>
    </w:p>
    <w:p w14:paraId="6B0621D7" w14:textId="2B4E6029" w:rsidR="00A10A02" w:rsidRDefault="00A10A02" w:rsidP="00A10A02">
      <w:pPr>
        <w:pStyle w:val="ListParagraph"/>
        <w:numPr>
          <w:ilvl w:val="0"/>
          <w:numId w:val="1"/>
        </w:numPr>
        <w:spacing w:line="276" w:lineRule="auto"/>
        <w:jc w:val="both"/>
        <w:rPr>
          <w:rFonts w:ascii="Arial" w:hAnsi="Arial" w:cs="Arial"/>
        </w:rPr>
      </w:pPr>
      <w:r>
        <w:rPr>
          <w:rFonts w:ascii="Arial" w:hAnsi="Arial" w:cs="Arial"/>
        </w:rPr>
        <w:t>As of 1</w:t>
      </w:r>
      <w:r w:rsidRPr="00A10A02">
        <w:rPr>
          <w:rFonts w:ascii="Arial" w:hAnsi="Arial" w:cs="Arial"/>
          <w:vertAlign w:val="superscript"/>
        </w:rPr>
        <w:t>st</w:t>
      </w:r>
      <w:r>
        <w:rPr>
          <w:rFonts w:ascii="Arial" w:hAnsi="Arial" w:cs="Arial"/>
        </w:rPr>
        <w:t xml:space="preserve"> January 2021 – ECJ no longer had any constitutional role in the UK and new rulings after that date need not to be followed by the UK courts (CIPD, 2024)</w:t>
      </w:r>
    </w:p>
    <w:p w14:paraId="3F778C1E" w14:textId="317CED30" w:rsidR="00A10A02" w:rsidRDefault="00A10A02" w:rsidP="00A10A02">
      <w:pPr>
        <w:pStyle w:val="ListParagraph"/>
        <w:numPr>
          <w:ilvl w:val="0"/>
          <w:numId w:val="1"/>
        </w:numPr>
        <w:spacing w:line="276" w:lineRule="auto"/>
        <w:jc w:val="both"/>
        <w:rPr>
          <w:rFonts w:ascii="Arial" w:hAnsi="Arial" w:cs="Arial"/>
        </w:rPr>
      </w:pPr>
      <w:r>
        <w:rPr>
          <w:rFonts w:ascii="Arial" w:hAnsi="Arial" w:cs="Arial"/>
        </w:rPr>
        <w:t>Since leaving the EU this has mean that the UKSC is fully supreme.</w:t>
      </w:r>
    </w:p>
    <w:p w14:paraId="512AEAD5" w14:textId="021A99CB" w:rsidR="00A10A02" w:rsidRDefault="00A10A02" w:rsidP="00A10A02">
      <w:pPr>
        <w:pStyle w:val="ListParagraph"/>
        <w:numPr>
          <w:ilvl w:val="0"/>
          <w:numId w:val="1"/>
        </w:numPr>
        <w:spacing w:line="276" w:lineRule="auto"/>
        <w:jc w:val="both"/>
        <w:rPr>
          <w:rFonts w:ascii="Arial" w:hAnsi="Arial" w:cs="Arial"/>
        </w:rPr>
      </w:pPr>
      <w:r>
        <w:rPr>
          <w:rFonts w:ascii="Arial" w:hAnsi="Arial" w:cs="Arial"/>
        </w:rPr>
        <w:t>As of 1</w:t>
      </w:r>
      <w:r w:rsidRPr="00A10A02">
        <w:rPr>
          <w:rFonts w:ascii="Arial" w:hAnsi="Arial" w:cs="Arial"/>
          <w:vertAlign w:val="superscript"/>
        </w:rPr>
        <w:t>st</w:t>
      </w:r>
      <w:r>
        <w:rPr>
          <w:rFonts w:ascii="Arial" w:hAnsi="Arial" w:cs="Arial"/>
        </w:rPr>
        <w:t xml:space="preserve"> January 2024 -  existing ECJ rulings on points of principal are now challengeable in UK courts (Daniels, 2025). Employment Tribunals and EATs can refer matters to the Court of Appeal or UKSC. For any principals to change, test cases need to come before courts before ant referral could be made to the Court of Appeal or the UKSC.</w:t>
      </w:r>
    </w:p>
    <w:p w14:paraId="4E428222" w14:textId="668409CB" w:rsidR="00A10A02" w:rsidRDefault="00A10A02" w:rsidP="00A10A02">
      <w:pPr>
        <w:pStyle w:val="ListParagraph"/>
        <w:numPr>
          <w:ilvl w:val="0"/>
          <w:numId w:val="1"/>
        </w:numPr>
        <w:spacing w:line="276" w:lineRule="auto"/>
        <w:jc w:val="both"/>
        <w:rPr>
          <w:rFonts w:ascii="Arial" w:hAnsi="Arial" w:cs="Arial"/>
        </w:rPr>
      </w:pPr>
      <w:r>
        <w:rPr>
          <w:rFonts w:ascii="Arial" w:hAnsi="Arial" w:cs="Arial"/>
        </w:rPr>
        <w:t>Working Time Regulations 1998 applied differently since Brexit. WTR 1998 is the implementation of the EU Working Time Directive and the EU Young Workers Directive. Fundamentally about the health and safety of employees – less likely to have accidents and are healthier/happier if they have a minimum level of holidays, rest periods and reasonable working hours (Daniels, 2025)</w:t>
      </w:r>
    </w:p>
    <w:p w14:paraId="18ADE888" w14:textId="285F6D87" w:rsidR="00A10A02" w:rsidRDefault="00A10A02" w:rsidP="00A10A02">
      <w:pPr>
        <w:pStyle w:val="ListParagraph"/>
        <w:numPr>
          <w:ilvl w:val="1"/>
          <w:numId w:val="1"/>
        </w:numPr>
        <w:spacing w:line="276" w:lineRule="auto"/>
        <w:jc w:val="both"/>
        <w:rPr>
          <w:rFonts w:ascii="Arial" w:hAnsi="Arial" w:cs="Arial"/>
        </w:rPr>
      </w:pPr>
      <w:r>
        <w:rPr>
          <w:rFonts w:ascii="Arial" w:hAnsi="Arial" w:cs="Arial"/>
        </w:rPr>
        <w:t xml:space="preserve">Number of hours must not exceed an average of 48 hours per week over a </w:t>
      </w:r>
      <w:proofErr w:type="gramStart"/>
      <w:r>
        <w:rPr>
          <w:rFonts w:ascii="Arial" w:hAnsi="Arial" w:cs="Arial"/>
        </w:rPr>
        <w:t>17 week</w:t>
      </w:r>
      <w:proofErr w:type="gramEnd"/>
      <w:r>
        <w:rPr>
          <w:rFonts w:ascii="Arial" w:hAnsi="Arial" w:cs="Arial"/>
        </w:rPr>
        <w:t xml:space="preserve"> reference period. Weekly hours in UK some of the longest in Europe, difficult to implement, therefore negotiated an opt out.</w:t>
      </w:r>
    </w:p>
    <w:p w14:paraId="57659639" w14:textId="110282BB" w:rsidR="00A10A02" w:rsidRDefault="00A10A02" w:rsidP="00A10A02">
      <w:pPr>
        <w:pStyle w:val="ListParagraph"/>
        <w:numPr>
          <w:ilvl w:val="1"/>
          <w:numId w:val="1"/>
        </w:numPr>
        <w:spacing w:line="276" w:lineRule="auto"/>
        <w:jc w:val="both"/>
        <w:rPr>
          <w:rFonts w:ascii="Arial" w:hAnsi="Arial" w:cs="Arial"/>
        </w:rPr>
      </w:pPr>
      <w:r>
        <w:rPr>
          <w:rFonts w:ascii="Arial" w:hAnsi="Arial" w:cs="Arial"/>
        </w:rPr>
        <w:t>Concerns at European level as they believed it was customary for employees to automatically sign an opt out form rather than actively choosing to opt out</w:t>
      </w:r>
    </w:p>
    <w:p w14:paraId="012AE2F3" w14:textId="4916FFEC" w:rsidR="00A10A02" w:rsidRDefault="00A10A02" w:rsidP="00A10A02">
      <w:pPr>
        <w:pStyle w:val="ListParagraph"/>
        <w:numPr>
          <w:ilvl w:val="1"/>
          <w:numId w:val="1"/>
        </w:numPr>
        <w:spacing w:line="276" w:lineRule="auto"/>
        <w:jc w:val="both"/>
        <w:rPr>
          <w:rFonts w:ascii="Arial" w:hAnsi="Arial" w:cs="Arial"/>
        </w:rPr>
      </w:pPr>
      <w:r>
        <w:rPr>
          <w:rFonts w:ascii="Arial" w:hAnsi="Arial" w:cs="Arial"/>
        </w:rPr>
        <w:t>Hamor, 2024 – changes clarify that businesses do not necessarily need to record each employee’s daily working hours to comply (providing they are able to prove compliance under WTR through other means)</w:t>
      </w:r>
    </w:p>
    <w:p w14:paraId="42D722ED" w14:textId="5C269819" w:rsidR="00A10A02" w:rsidRDefault="00A10A02" w:rsidP="00A10A02">
      <w:pPr>
        <w:pStyle w:val="ListParagraph"/>
        <w:numPr>
          <w:ilvl w:val="0"/>
          <w:numId w:val="1"/>
        </w:numPr>
        <w:spacing w:line="276" w:lineRule="auto"/>
        <w:jc w:val="both"/>
        <w:rPr>
          <w:rFonts w:ascii="Arial" w:hAnsi="Arial" w:cs="Arial"/>
        </w:rPr>
      </w:pPr>
      <w:r>
        <w:rPr>
          <w:rFonts w:ascii="Arial" w:hAnsi="Arial" w:cs="Arial"/>
        </w:rPr>
        <w:t>Good law is a benchmark for decision making. It’s a concept that a legal decision is still valid/holds weight. “Good Law” essentially has not been overturned during an appeal or otherwise rendered obsolete. HOWEVER, there isn’t a universally accepted way of determining what is considered good law.</w:t>
      </w:r>
    </w:p>
    <w:p w14:paraId="02D78E38" w14:textId="74D6E98A" w:rsidR="00D63CAD" w:rsidRDefault="00A10A02" w:rsidP="00D63CAD">
      <w:pPr>
        <w:pStyle w:val="ListParagraph"/>
        <w:numPr>
          <w:ilvl w:val="0"/>
          <w:numId w:val="1"/>
        </w:numPr>
        <w:spacing w:line="276" w:lineRule="auto"/>
        <w:jc w:val="both"/>
        <w:rPr>
          <w:rFonts w:ascii="Arial" w:hAnsi="Arial" w:cs="Arial"/>
        </w:rPr>
      </w:pPr>
      <w:r>
        <w:rPr>
          <w:rFonts w:ascii="Arial" w:hAnsi="Arial" w:cs="Arial"/>
        </w:rPr>
        <w:t>Although</w:t>
      </w:r>
      <w:r w:rsidR="00BB37BE">
        <w:rPr>
          <w:rFonts w:ascii="Arial" w:hAnsi="Arial" w:cs="Arial"/>
        </w:rPr>
        <w:t>, ECJ judgments made prior to Brexit should be considered good law.</w:t>
      </w:r>
    </w:p>
    <w:p w14:paraId="34255967" w14:textId="1582131A" w:rsidR="00BB37BE" w:rsidRDefault="00BB37BE" w:rsidP="00D63CAD">
      <w:pPr>
        <w:pStyle w:val="ListParagraph"/>
        <w:numPr>
          <w:ilvl w:val="0"/>
          <w:numId w:val="1"/>
        </w:numPr>
        <w:spacing w:line="276" w:lineRule="auto"/>
        <w:jc w:val="both"/>
        <w:rPr>
          <w:rFonts w:ascii="Arial" w:hAnsi="Arial" w:cs="Arial"/>
        </w:rPr>
      </w:pPr>
      <w:r>
        <w:rPr>
          <w:rFonts w:ascii="Arial" w:hAnsi="Arial" w:cs="Arial"/>
        </w:rPr>
        <w:t xml:space="preserve">The Retained EU Law (Revocation and Reform) Act 2023 </w:t>
      </w:r>
      <w:r w:rsidRPr="00BB37BE">
        <w:rPr>
          <w:rFonts w:ascii="Arial" w:hAnsi="Arial" w:cs="Arial"/>
        </w:rPr>
        <w:sym w:font="Wingdings" w:char="F0E0"/>
      </w:r>
      <w:r>
        <w:rPr>
          <w:rFonts w:ascii="Arial" w:hAnsi="Arial" w:cs="Arial"/>
        </w:rPr>
        <w:t xml:space="preserve"> introduced to allow the UK to choose what law to retain.</w:t>
      </w:r>
    </w:p>
    <w:p w14:paraId="7DB320A1" w14:textId="409A3F07" w:rsidR="00BB37BE" w:rsidRDefault="00BB37BE" w:rsidP="00BB37BE">
      <w:pPr>
        <w:pStyle w:val="ListParagraph"/>
        <w:numPr>
          <w:ilvl w:val="1"/>
          <w:numId w:val="1"/>
        </w:numPr>
        <w:spacing w:line="276" w:lineRule="auto"/>
        <w:jc w:val="both"/>
        <w:rPr>
          <w:rFonts w:ascii="Arial" w:hAnsi="Arial" w:cs="Arial"/>
        </w:rPr>
      </w:pPr>
      <w:r>
        <w:rPr>
          <w:rFonts w:ascii="Arial" w:hAnsi="Arial" w:cs="Arial"/>
        </w:rPr>
        <w:t>Employment Rights (Amendment, Revocation and Transitional Provision) Regulations 2023.</w:t>
      </w:r>
    </w:p>
    <w:p w14:paraId="1417069B" w14:textId="77777777" w:rsidR="00BB37BE" w:rsidRPr="00BB37BE" w:rsidRDefault="00BB37BE" w:rsidP="00BB37BE">
      <w:pPr>
        <w:spacing w:line="276" w:lineRule="auto"/>
        <w:jc w:val="both"/>
        <w:rPr>
          <w:rFonts w:ascii="Arial" w:hAnsi="Arial" w:cs="Arial"/>
        </w:rPr>
      </w:pPr>
    </w:p>
    <w:p w14:paraId="66B8676A" w14:textId="5877B457" w:rsidR="00D63CAD" w:rsidRDefault="00D63CAD" w:rsidP="00D63CAD">
      <w:pPr>
        <w:spacing w:line="276" w:lineRule="auto"/>
        <w:jc w:val="both"/>
        <w:rPr>
          <w:rFonts w:ascii="Arial" w:hAnsi="Arial" w:cs="Arial"/>
          <w:b/>
          <w:bCs/>
          <w:u w:val="single"/>
        </w:rPr>
      </w:pPr>
      <w:r w:rsidRPr="00D63CAD">
        <w:rPr>
          <w:rFonts w:ascii="Arial" w:hAnsi="Arial" w:cs="Arial"/>
          <w:b/>
          <w:bCs/>
          <w:u w:val="single"/>
        </w:rPr>
        <w:t>AC2.1</w:t>
      </w:r>
    </w:p>
    <w:p w14:paraId="76C17498" w14:textId="77777777" w:rsidR="00755519" w:rsidRDefault="00755519" w:rsidP="00D63CAD">
      <w:pPr>
        <w:spacing w:line="276" w:lineRule="auto"/>
        <w:jc w:val="both"/>
        <w:rPr>
          <w:rFonts w:ascii="Arial" w:hAnsi="Arial" w:cs="Arial"/>
          <w:b/>
          <w:bCs/>
          <w:u w:val="single"/>
        </w:rPr>
      </w:pPr>
    </w:p>
    <w:p w14:paraId="63BE1983" w14:textId="5F416BD3" w:rsidR="00755519" w:rsidRDefault="00755519" w:rsidP="00755519">
      <w:pPr>
        <w:pStyle w:val="ListParagraph"/>
        <w:numPr>
          <w:ilvl w:val="0"/>
          <w:numId w:val="2"/>
        </w:numPr>
        <w:spacing w:line="276" w:lineRule="auto"/>
        <w:jc w:val="both"/>
        <w:rPr>
          <w:rFonts w:ascii="Arial" w:hAnsi="Arial" w:cs="Arial"/>
        </w:rPr>
      </w:pPr>
      <w:r>
        <w:rPr>
          <w:rFonts w:ascii="Arial" w:hAnsi="Arial" w:cs="Arial"/>
        </w:rPr>
        <w:lastRenderedPageBreak/>
        <w:t>EA10 – what does it prohibit. Recruitment and selection, crucial to understand this legislation to ensure all stages of the process are compliant, fair and lawful. Specifications and selection criteria must not unfairly disadvantage people based on any of the protected characteristics</w:t>
      </w:r>
    </w:p>
    <w:p w14:paraId="7BEEFBF4" w14:textId="07A9F450" w:rsidR="00755519" w:rsidRDefault="00755519" w:rsidP="00755519">
      <w:pPr>
        <w:pStyle w:val="ListParagraph"/>
        <w:numPr>
          <w:ilvl w:val="0"/>
          <w:numId w:val="2"/>
        </w:numPr>
        <w:spacing w:line="276" w:lineRule="auto"/>
        <w:jc w:val="both"/>
        <w:rPr>
          <w:rFonts w:ascii="Arial" w:hAnsi="Arial" w:cs="Arial"/>
        </w:rPr>
      </w:pPr>
      <w:r>
        <w:rPr>
          <w:rFonts w:ascii="Arial" w:hAnsi="Arial" w:cs="Arial"/>
        </w:rPr>
        <w:t>UNLESS – largely recognised exception replies</w:t>
      </w:r>
    </w:p>
    <w:p w14:paraId="6DB10510" w14:textId="7E51415C" w:rsidR="00755519" w:rsidRPr="00755519" w:rsidRDefault="00755519" w:rsidP="00755519">
      <w:pPr>
        <w:pStyle w:val="ListParagraph"/>
        <w:numPr>
          <w:ilvl w:val="0"/>
          <w:numId w:val="2"/>
        </w:numPr>
        <w:spacing w:line="276" w:lineRule="auto"/>
        <w:jc w:val="both"/>
        <w:rPr>
          <w:rFonts w:ascii="Arial" w:hAnsi="Arial" w:cs="Arial"/>
        </w:rPr>
      </w:pPr>
      <w:r w:rsidRPr="00755519">
        <w:rPr>
          <w:rFonts w:ascii="Arial" w:hAnsi="Arial" w:cs="Arial"/>
        </w:rPr>
        <w:t xml:space="preserve">Occupational requirements – Schedule 9 of EA10. (EHRC, 2024) Allows an employer to stipulate that a job must be carried out by someone with a specific protected characteristic. Circumstances are very </w:t>
      </w:r>
      <w:proofErr w:type="gramStart"/>
      <w:r w:rsidRPr="00755519">
        <w:rPr>
          <w:rFonts w:ascii="Arial" w:hAnsi="Arial" w:cs="Arial"/>
        </w:rPr>
        <w:t>limited</w:t>
      </w:r>
      <w:proofErr w:type="gramEnd"/>
      <w:r w:rsidRPr="00755519">
        <w:rPr>
          <w:rFonts w:ascii="Arial" w:hAnsi="Arial" w:cs="Arial"/>
        </w:rPr>
        <w:t xml:space="preserve"> and it </w:t>
      </w:r>
      <w:proofErr w:type="gramStart"/>
      <w:r w:rsidRPr="00755519">
        <w:rPr>
          <w:rFonts w:ascii="Arial" w:hAnsi="Arial" w:cs="Arial"/>
        </w:rPr>
        <w:t>has to</w:t>
      </w:r>
      <w:proofErr w:type="gramEnd"/>
      <w:r w:rsidRPr="00755519">
        <w:rPr>
          <w:rFonts w:ascii="Arial" w:hAnsi="Arial" w:cs="Arial"/>
        </w:rPr>
        <w:t xml:space="preserve"> be clearly justifiable. Could be justifiable one instance and then the following year not justified, important to stay up to date with legislation and case law</w:t>
      </w:r>
      <w:r>
        <w:rPr>
          <w:rFonts w:ascii="Arial" w:hAnsi="Arial" w:cs="Arial"/>
        </w:rPr>
        <w:t xml:space="preserve"> (Acas, 2024)</w:t>
      </w:r>
    </w:p>
    <w:p w14:paraId="641751FB" w14:textId="391C1FD2" w:rsidR="00755519" w:rsidRPr="00755519" w:rsidRDefault="00755519" w:rsidP="00755519">
      <w:pPr>
        <w:pStyle w:val="ListParagraph"/>
        <w:numPr>
          <w:ilvl w:val="0"/>
          <w:numId w:val="2"/>
        </w:numPr>
        <w:spacing w:line="276" w:lineRule="auto"/>
        <w:jc w:val="both"/>
        <w:rPr>
          <w:rFonts w:ascii="Arial" w:hAnsi="Arial" w:cs="Arial"/>
        </w:rPr>
      </w:pPr>
      <w:r w:rsidRPr="00755519">
        <w:rPr>
          <w:rFonts w:ascii="Arial" w:hAnsi="Arial" w:cs="Arial"/>
        </w:rPr>
        <w:t xml:space="preserve">Requirement must be </w:t>
      </w:r>
      <w:proofErr w:type="gramStart"/>
      <w:r w:rsidRPr="00755519">
        <w:rPr>
          <w:rFonts w:ascii="Arial" w:hAnsi="Arial" w:cs="Arial"/>
        </w:rPr>
        <w:t>genuine,</w:t>
      </w:r>
      <w:proofErr w:type="gramEnd"/>
      <w:r w:rsidRPr="00755519">
        <w:rPr>
          <w:rFonts w:ascii="Arial" w:hAnsi="Arial" w:cs="Arial"/>
        </w:rPr>
        <w:t xml:space="preserve"> it is a proportionate means of achieving a legitimate aim and the requirement relates to the context of the job. Preference should have nothing to do with the decision. For example, choosing a female actress in a film replicating the life of a female. Sex of the actress is crucial to authenticity and integrity of the </w:t>
      </w:r>
      <w:proofErr w:type="gramStart"/>
      <w:r w:rsidRPr="00755519">
        <w:rPr>
          <w:rFonts w:ascii="Arial" w:hAnsi="Arial" w:cs="Arial"/>
        </w:rPr>
        <w:t>performance</w:t>
      </w:r>
      <w:r>
        <w:rPr>
          <w:rFonts w:ascii="Arial" w:hAnsi="Arial" w:cs="Arial"/>
        </w:rPr>
        <w:t>,</w:t>
      </w:r>
      <w:proofErr w:type="gramEnd"/>
      <w:r>
        <w:rPr>
          <w:rFonts w:ascii="Arial" w:hAnsi="Arial" w:cs="Arial"/>
        </w:rPr>
        <w:t xml:space="preserve"> therefore this would be justified in this instance (Daniels, 2025)</w:t>
      </w:r>
    </w:p>
    <w:p w14:paraId="3C3CC9B0" w14:textId="694F1274" w:rsidR="00755519" w:rsidRDefault="00755519" w:rsidP="00755519">
      <w:pPr>
        <w:pStyle w:val="ListParagraph"/>
        <w:numPr>
          <w:ilvl w:val="0"/>
          <w:numId w:val="2"/>
        </w:numPr>
        <w:spacing w:line="276" w:lineRule="auto"/>
        <w:jc w:val="both"/>
        <w:rPr>
          <w:rFonts w:ascii="Arial" w:hAnsi="Arial" w:cs="Arial"/>
        </w:rPr>
      </w:pPr>
      <w:r w:rsidRPr="00755519">
        <w:rPr>
          <w:rFonts w:ascii="Arial" w:hAnsi="Arial" w:cs="Arial"/>
        </w:rPr>
        <w:t>The protected characteristic must be essential for and relate to the main tasks of the job and th</w:t>
      </w:r>
      <w:r>
        <w:rPr>
          <w:rFonts w:ascii="Arial" w:hAnsi="Arial" w:cs="Arial"/>
        </w:rPr>
        <w:t>e</w:t>
      </w:r>
      <w:r w:rsidRPr="00755519">
        <w:rPr>
          <w:rFonts w:ascii="Arial" w:hAnsi="Arial" w:cs="Arial"/>
        </w:rPr>
        <w:t>re must be an objective justification, e.g. proportionate means of achieving a legitimate aim (Acas, 2024)</w:t>
      </w:r>
    </w:p>
    <w:p w14:paraId="3E2BD602" w14:textId="32BDE7DD" w:rsidR="00755519" w:rsidRDefault="00755519" w:rsidP="00755519">
      <w:pPr>
        <w:pStyle w:val="ListParagraph"/>
        <w:numPr>
          <w:ilvl w:val="0"/>
          <w:numId w:val="2"/>
        </w:numPr>
        <w:spacing w:line="276" w:lineRule="auto"/>
        <w:jc w:val="both"/>
        <w:rPr>
          <w:rFonts w:ascii="Arial" w:hAnsi="Arial" w:cs="Arial"/>
        </w:rPr>
      </w:pPr>
      <w:r w:rsidRPr="00FC5512">
        <w:rPr>
          <w:rFonts w:ascii="Arial" w:hAnsi="Arial" w:cs="Arial"/>
        </w:rPr>
        <w:t xml:space="preserve">Employers should be incredibly cautious and only utilise this in exceptional circumstances where it is </w:t>
      </w:r>
      <w:proofErr w:type="gramStart"/>
      <w:r w:rsidRPr="00FC5512">
        <w:rPr>
          <w:rFonts w:ascii="Arial" w:hAnsi="Arial" w:cs="Arial"/>
        </w:rPr>
        <w:t>absolutely necessary</w:t>
      </w:r>
      <w:proofErr w:type="gramEnd"/>
      <w:r w:rsidRPr="00FC5512">
        <w:rPr>
          <w:rFonts w:ascii="Arial" w:hAnsi="Arial" w:cs="Arial"/>
        </w:rPr>
        <w:t>.</w:t>
      </w:r>
    </w:p>
    <w:p w14:paraId="0C77E103" w14:textId="6DFFD660" w:rsidR="00755519" w:rsidRDefault="00755519" w:rsidP="00755519">
      <w:pPr>
        <w:pStyle w:val="ListParagraph"/>
        <w:numPr>
          <w:ilvl w:val="0"/>
          <w:numId w:val="2"/>
        </w:numPr>
        <w:spacing w:line="276" w:lineRule="auto"/>
        <w:jc w:val="both"/>
        <w:rPr>
          <w:rFonts w:ascii="Arial" w:hAnsi="Arial" w:cs="Arial"/>
        </w:rPr>
      </w:pPr>
      <w:r w:rsidRPr="00FC5512">
        <w:rPr>
          <w:rFonts w:ascii="Arial" w:hAnsi="Arial" w:cs="Arial"/>
        </w:rPr>
        <w:t xml:space="preserve">Etam plc v </w:t>
      </w:r>
      <w:r w:rsidRPr="00FC5512">
        <w:rPr>
          <w:rFonts w:ascii="Arial" w:hAnsi="Arial" w:cs="Arial"/>
          <w:i/>
          <w:iCs/>
        </w:rPr>
        <w:t xml:space="preserve">Rowan </w:t>
      </w:r>
      <w:r w:rsidRPr="00FC5512">
        <w:rPr>
          <w:rFonts w:ascii="Arial" w:hAnsi="Arial" w:cs="Arial"/>
        </w:rPr>
        <w:t>(1989)</w:t>
      </w:r>
    </w:p>
    <w:p w14:paraId="4A54EE4A" w14:textId="75B27C61" w:rsidR="00755519" w:rsidRPr="00755519" w:rsidRDefault="00755519" w:rsidP="00755519">
      <w:pPr>
        <w:pStyle w:val="ListParagraph"/>
        <w:numPr>
          <w:ilvl w:val="0"/>
          <w:numId w:val="2"/>
        </w:numPr>
        <w:spacing w:line="276" w:lineRule="auto"/>
        <w:jc w:val="both"/>
        <w:rPr>
          <w:rFonts w:ascii="Arial" w:hAnsi="Arial" w:cs="Arial"/>
        </w:rPr>
      </w:pPr>
      <w:r>
        <w:rPr>
          <w:rFonts w:ascii="Arial" w:hAnsi="Arial" w:cs="Arial"/>
        </w:rPr>
        <w:t>Discrimination claims – dangers.</w:t>
      </w:r>
    </w:p>
    <w:p w14:paraId="6C9937C6" w14:textId="77777777" w:rsidR="00D63CAD" w:rsidRPr="00D63CAD" w:rsidRDefault="00D63CAD" w:rsidP="00D63CAD">
      <w:pPr>
        <w:spacing w:line="276" w:lineRule="auto"/>
        <w:jc w:val="both"/>
        <w:rPr>
          <w:rFonts w:ascii="Arial" w:hAnsi="Arial" w:cs="Arial"/>
          <w:b/>
          <w:bCs/>
          <w:u w:val="single"/>
        </w:rPr>
      </w:pPr>
    </w:p>
    <w:p w14:paraId="385DFEE9" w14:textId="55DAA04B" w:rsidR="00D63CAD" w:rsidRDefault="00D63CAD" w:rsidP="00D63CAD">
      <w:pPr>
        <w:spacing w:line="276" w:lineRule="auto"/>
        <w:jc w:val="both"/>
        <w:rPr>
          <w:rFonts w:ascii="Arial" w:hAnsi="Arial" w:cs="Arial"/>
          <w:b/>
          <w:bCs/>
          <w:u w:val="single"/>
        </w:rPr>
      </w:pPr>
      <w:r w:rsidRPr="00D63CAD">
        <w:rPr>
          <w:rFonts w:ascii="Arial" w:hAnsi="Arial" w:cs="Arial"/>
          <w:b/>
          <w:bCs/>
          <w:u w:val="single"/>
        </w:rPr>
        <w:t>AC2.2</w:t>
      </w:r>
    </w:p>
    <w:p w14:paraId="396C6C88" w14:textId="77777777" w:rsidR="00755519" w:rsidRDefault="00755519" w:rsidP="00D63CAD">
      <w:pPr>
        <w:spacing w:line="276" w:lineRule="auto"/>
        <w:jc w:val="both"/>
        <w:rPr>
          <w:rFonts w:ascii="Arial" w:hAnsi="Arial" w:cs="Arial"/>
          <w:b/>
          <w:bCs/>
          <w:u w:val="single"/>
        </w:rPr>
      </w:pPr>
    </w:p>
    <w:p w14:paraId="1829BBB2" w14:textId="5387FB44"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Legislation – history and what is it.</w:t>
      </w:r>
    </w:p>
    <w:p w14:paraId="1D7C9642" w14:textId="0EAE61D6"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What is equal pay – EA10.</w:t>
      </w:r>
    </w:p>
    <w:p w14:paraId="441804C4" w14:textId="6B262381"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Equality Act 2010 (Amendment) Regulations 2023</w:t>
      </w:r>
    </w:p>
    <w:p w14:paraId="234112E2" w14:textId="6697C4B2"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Like work, Work rated as equivalent or work of equal value</w:t>
      </w:r>
    </w:p>
    <w:p w14:paraId="30D15843" w14:textId="1C584524"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Asda v Brierley and others (2021)</w:t>
      </w:r>
    </w:p>
    <w:p w14:paraId="0AF0B6D1" w14:textId="7C0BE55E"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 xml:space="preserve">ACAS guidance </w:t>
      </w:r>
    </w:p>
    <w:p w14:paraId="7F9D7075" w14:textId="7BABDCB3" w:rsidR="00755519" w:rsidRDefault="00755519" w:rsidP="00755519">
      <w:pPr>
        <w:pStyle w:val="ListParagraph"/>
        <w:numPr>
          <w:ilvl w:val="0"/>
          <w:numId w:val="3"/>
        </w:numPr>
        <w:spacing w:line="276" w:lineRule="auto"/>
        <w:jc w:val="both"/>
        <w:rPr>
          <w:rFonts w:ascii="Arial" w:hAnsi="Arial" w:cs="Arial"/>
        </w:rPr>
      </w:pPr>
      <w:proofErr w:type="gramStart"/>
      <w:r>
        <w:rPr>
          <w:rFonts w:ascii="Arial" w:hAnsi="Arial" w:cs="Arial"/>
        </w:rPr>
        <w:t>Employee’s</w:t>
      </w:r>
      <w:proofErr w:type="gramEnd"/>
      <w:r>
        <w:rPr>
          <w:rFonts w:ascii="Arial" w:hAnsi="Arial" w:cs="Arial"/>
        </w:rPr>
        <w:t xml:space="preserve"> should receive equal pay unless objectively justified. Upgrading two male staff could lead to a discrimination claim or an equal pay claim.</w:t>
      </w:r>
    </w:p>
    <w:p w14:paraId="6CC4D397" w14:textId="144CF849"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 xml:space="preserve">If they have legitimately taken on additional responsibilities or evidenced higher performance which justifies the need to regrade their position, evidence is crucial </w:t>
      </w:r>
      <w:r w:rsidRPr="00FC5512">
        <w:sym w:font="Wingdings" w:char="F0E0"/>
      </w:r>
      <w:r w:rsidRPr="00755519">
        <w:rPr>
          <w:rFonts w:ascii="Arial" w:hAnsi="Arial" w:cs="Arial"/>
        </w:rPr>
        <w:t xml:space="preserve"> document (in detail) additional responsibilities, new job descriptions and the roles should </w:t>
      </w:r>
      <w:r w:rsidRPr="00755519">
        <w:rPr>
          <w:rFonts w:ascii="Arial" w:hAnsi="Arial" w:cs="Arial"/>
        </w:rPr>
        <w:t>consequently</w:t>
      </w:r>
      <w:r w:rsidRPr="00755519">
        <w:rPr>
          <w:rFonts w:ascii="Arial" w:hAnsi="Arial" w:cs="Arial"/>
        </w:rPr>
        <w:t xml:space="preserve"> be properly evaluated.</w:t>
      </w:r>
    </w:p>
    <w:p w14:paraId="4BFE1051" w14:textId="0484C711"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Surplus funding. What happens when this runs out?</w:t>
      </w:r>
    </w:p>
    <w:p w14:paraId="40FB25E8" w14:textId="2C7F40D4"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EHRC</w:t>
      </w:r>
    </w:p>
    <w:p w14:paraId="3B6ACFF5" w14:textId="5091A88D"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Opportunity should be available to all staff performing similar/same role.</w:t>
      </w:r>
    </w:p>
    <w:p w14:paraId="3638E1B8" w14:textId="77777777" w:rsidR="00D63CAD" w:rsidRDefault="00D63CAD" w:rsidP="00755519">
      <w:pPr>
        <w:pStyle w:val="ListParagraph"/>
        <w:spacing w:line="276" w:lineRule="auto"/>
        <w:jc w:val="both"/>
        <w:rPr>
          <w:rFonts w:ascii="Arial" w:hAnsi="Arial" w:cs="Arial"/>
        </w:rPr>
      </w:pPr>
    </w:p>
    <w:p w14:paraId="26C076FC" w14:textId="77777777" w:rsidR="00755519" w:rsidRPr="00755519" w:rsidRDefault="00755519" w:rsidP="00755519">
      <w:pPr>
        <w:pStyle w:val="ListParagraph"/>
        <w:spacing w:line="276" w:lineRule="auto"/>
        <w:jc w:val="both"/>
        <w:rPr>
          <w:rFonts w:ascii="Arial" w:hAnsi="Arial" w:cs="Arial"/>
        </w:rPr>
      </w:pPr>
    </w:p>
    <w:p w14:paraId="65CF90D6" w14:textId="6DAB2369"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AC3.1</w:t>
      </w:r>
    </w:p>
    <w:p w14:paraId="12AE8648" w14:textId="77777777" w:rsidR="00755519" w:rsidRDefault="00755519" w:rsidP="00D63CAD">
      <w:pPr>
        <w:spacing w:line="276" w:lineRule="auto"/>
        <w:jc w:val="both"/>
        <w:rPr>
          <w:rFonts w:ascii="Arial" w:hAnsi="Arial" w:cs="Arial"/>
          <w:b/>
          <w:bCs/>
          <w:u w:val="single"/>
        </w:rPr>
      </w:pPr>
    </w:p>
    <w:p w14:paraId="587D7499" w14:textId="76257E3A"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Constructive dismissal is where the employee feels forced to resign in response to a fundamental breach of contract by the employer. Employment Rights Act 1996</w:t>
      </w:r>
    </w:p>
    <w:p w14:paraId="5FEEF310" w14:textId="401DA975"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 xml:space="preserve">A fundamental breach of contract could be express terms – changes to hours, pay or duties or implied terms </w:t>
      </w:r>
      <w:r w:rsidRPr="00FC5512">
        <w:sym w:font="Wingdings" w:char="F0E0"/>
      </w:r>
      <w:r w:rsidRPr="00755519">
        <w:rPr>
          <w:rFonts w:ascii="Arial" w:hAnsi="Arial" w:cs="Arial"/>
        </w:rPr>
        <w:t xml:space="preserve"> mutual trust, confidence. Resignation </w:t>
      </w:r>
      <w:proofErr w:type="gramStart"/>
      <w:r w:rsidRPr="00755519">
        <w:rPr>
          <w:rFonts w:ascii="Arial" w:hAnsi="Arial" w:cs="Arial"/>
        </w:rPr>
        <w:t>has to</w:t>
      </w:r>
      <w:proofErr w:type="gramEnd"/>
      <w:r w:rsidRPr="00755519">
        <w:rPr>
          <w:rFonts w:ascii="Arial" w:hAnsi="Arial" w:cs="Arial"/>
        </w:rPr>
        <w:t xml:space="preserve"> be in direct response to the </w:t>
      </w:r>
      <w:proofErr w:type="gramStart"/>
      <w:r w:rsidRPr="00755519">
        <w:rPr>
          <w:rFonts w:ascii="Arial" w:hAnsi="Arial" w:cs="Arial"/>
        </w:rPr>
        <w:t>breach</w:t>
      </w:r>
      <w:proofErr w:type="gramEnd"/>
      <w:r w:rsidRPr="00755519">
        <w:rPr>
          <w:rFonts w:ascii="Arial" w:hAnsi="Arial" w:cs="Arial"/>
        </w:rPr>
        <w:t xml:space="preserve"> and it must occur promptly after the breach – the more time that elapses, the greater possibility of assuming affirmation of the contract (acceptance). Employee must be a</w:t>
      </w:r>
      <w:r>
        <w:rPr>
          <w:rFonts w:ascii="Arial" w:hAnsi="Arial" w:cs="Arial"/>
        </w:rPr>
        <w:t>n</w:t>
      </w:r>
      <w:r w:rsidRPr="00755519">
        <w:rPr>
          <w:rFonts w:ascii="Arial" w:hAnsi="Arial" w:cs="Arial"/>
        </w:rPr>
        <w:t xml:space="preserve"> employee and have two years’ continuous service. A sudden change to shift </w:t>
      </w:r>
      <w:r w:rsidRPr="00755519">
        <w:rPr>
          <w:rFonts w:ascii="Arial" w:hAnsi="Arial" w:cs="Arial"/>
        </w:rPr>
        <w:t>patterns</w:t>
      </w:r>
      <w:r w:rsidRPr="00755519">
        <w:rPr>
          <w:rFonts w:ascii="Arial" w:hAnsi="Arial" w:cs="Arial"/>
        </w:rPr>
        <w:t xml:space="preserve"> or reducing hours without agreement/consultation are recognised in case law as reason for constructive dismissal.</w:t>
      </w:r>
      <w:r>
        <w:rPr>
          <w:rFonts w:ascii="Arial" w:hAnsi="Arial" w:cs="Arial"/>
        </w:rPr>
        <w:t xml:space="preserve"> (Daniels, 2025)</w:t>
      </w:r>
    </w:p>
    <w:p w14:paraId="4CC3E0DF" w14:textId="1E7911DE"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 xml:space="preserve">If employee resists change to hours and employer forces </w:t>
      </w:r>
      <w:r w:rsidRPr="00FC5512">
        <w:sym w:font="Wingdings" w:char="F0E0"/>
      </w:r>
      <w:r w:rsidRPr="00755519">
        <w:rPr>
          <w:rFonts w:ascii="Arial" w:hAnsi="Arial" w:cs="Arial"/>
        </w:rPr>
        <w:t xml:space="preserve"> claim. In a change situation the employer must consult with the employee. If the employer had made every effort to consu</w:t>
      </w:r>
      <w:r>
        <w:rPr>
          <w:rFonts w:ascii="Arial" w:hAnsi="Arial" w:cs="Arial"/>
        </w:rPr>
        <w:t>l</w:t>
      </w:r>
      <w:r w:rsidRPr="00755519">
        <w:rPr>
          <w:rFonts w:ascii="Arial" w:hAnsi="Arial" w:cs="Arial"/>
        </w:rPr>
        <w:t xml:space="preserve">t and could evidence a strong business reason for making the change – it could be possible </w:t>
      </w:r>
      <w:r>
        <w:rPr>
          <w:rFonts w:ascii="Arial" w:hAnsi="Arial" w:cs="Arial"/>
        </w:rPr>
        <w:t>to</w:t>
      </w:r>
      <w:r w:rsidRPr="00755519">
        <w:rPr>
          <w:rFonts w:ascii="Arial" w:hAnsi="Arial" w:cs="Arial"/>
        </w:rPr>
        <w:t xml:space="preserve"> defend the actions and the claim would fail</w:t>
      </w:r>
    </w:p>
    <w:p w14:paraId="4F18614A" w14:textId="77777777"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 xml:space="preserve">It must include a breach of contract – </w:t>
      </w:r>
      <w:r w:rsidRPr="00755519">
        <w:rPr>
          <w:rFonts w:ascii="Arial" w:hAnsi="Arial" w:cs="Arial"/>
          <w:i/>
          <w:iCs/>
        </w:rPr>
        <w:t>Western Excavating (ECC) Ltd</w:t>
      </w:r>
      <w:r w:rsidRPr="00755519">
        <w:rPr>
          <w:rFonts w:ascii="Arial" w:hAnsi="Arial" w:cs="Arial"/>
        </w:rPr>
        <w:t xml:space="preserve"> v </w:t>
      </w:r>
      <w:r w:rsidRPr="00755519">
        <w:rPr>
          <w:rFonts w:ascii="Arial" w:hAnsi="Arial" w:cs="Arial"/>
          <w:i/>
          <w:iCs/>
        </w:rPr>
        <w:t>Sharp</w:t>
      </w:r>
      <w:r w:rsidRPr="00755519">
        <w:rPr>
          <w:rFonts w:ascii="Arial" w:hAnsi="Arial" w:cs="Arial"/>
        </w:rPr>
        <w:t xml:space="preserve"> good example where the Court of Appeal overturned the original findings in the employment tribunal, no evidence of a breach in contract. </w:t>
      </w:r>
    </w:p>
    <w:p w14:paraId="71190A84" w14:textId="491064AB"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 xml:space="preserve">Accumulation of actions – Lewis v </w:t>
      </w:r>
      <w:proofErr w:type="spellStart"/>
      <w:r>
        <w:rPr>
          <w:rFonts w:ascii="Arial" w:hAnsi="Arial" w:cs="Arial"/>
        </w:rPr>
        <w:t>Motorworld</w:t>
      </w:r>
      <w:proofErr w:type="spellEnd"/>
      <w:r>
        <w:rPr>
          <w:rFonts w:ascii="Arial" w:hAnsi="Arial" w:cs="Arial"/>
        </w:rPr>
        <w:t xml:space="preserve"> Garages Ltd</w:t>
      </w:r>
    </w:p>
    <w:p w14:paraId="44A88773" w14:textId="24D86D71"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Time limits for claim</w:t>
      </w:r>
    </w:p>
    <w:p w14:paraId="69D7FC58" w14:textId="05E0DC28" w:rsidR="00755519" w:rsidRPr="00755519" w:rsidRDefault="00755519" w:rsidP="00755519">
      <w:pPr>
        <w:pStyle w:val="ListParagraph"/>
        <w:numPr>
          <w:ilvl w:val="0"/>
          <w:numId w:val="3"/>
        </w:numPr>
        <w:spacing w:line="276" w:lineRule="auto"/>
        <w:jc w:val="both"/>
        <w:rPr>
          <w:rFonts w:ascii="Arial" w:hAnsi="Arial" w:cs="Arial"/>
        </w:rPr>
      </w:pPr>
      <w:r>
        <w:rPr>
          <w:rFonts w:ascii="Arial" w:hAnsi="Arial" w:cs="Arial"/>
        </w:rPr>
        <w:t>Constructive unfair dismissal</w:t>
      </w:r>
    </w:p>
    <w:p w14:paraId="46ED6E6E" w14:textId="77777777" w:rsidR="00D63CAD" w:rsidRPr="00D63CAD" w:rsidRDefault="00D63CAD" w:rsidP="00D63CAD">
      <w:pPr>
        <w:spacing w:line="276" w:lineRule="auto"/>
        <w:jc w:val="both"/>
        <w:rPr>
          <w:rFonts w:ascii="Arial" w:hAnsi="Arial" w:cs="Arial"/>
          <w:b/>
          <w:bCs/>
          <w:u w:val="single"/>
        </w:rPr>
      </w:pPr>
    </w:p>
    <w:p w14:paraId="5C99E311" w14:textId="0E7E2794" w:rsidR="00D63CAD" w:rsidRDefault="00D63CAD" w:rsidP="00D63CAD">
      <w:pPr>
        <w:spacing w:line="276" w:lineRule="auto"/>
        <w:jc w:val="both"/>
        <w:rPr>
          <w:rFonts w:ascii="Arial" w:hAnsi="Arial" w:cs="Arial"/>
          <w:b/>
          <w:bCs/>
          <w:u w:val="single"/>
        </w:rPr>
      </w:pPr>
      <w:r w:rsidRPr="00D63CAD">
        <w:rPr>
          <w:rFonts w:ascii="Arial" w:hAnsi="Arial" w:cs="Arial"/>
          <w:b/>
          <w:bCs/>
          <w:u w:val="single"/>
        </w:rPr>
        <w:t>AC3.2</w:t>
      </w:r>
    </w:p>
    <w:p w14:paraId="7E3477AC" w14:textId="77777777" w:rsidR="00755519" w:rsidRDefault="00755519" w:rsidP="00D63CAD">
      <w:pPr>
        <w:spacing w:line="276" w:lineRule="auto"/>
        <w:jc w:val="both"/>
        <w:rPr>
          <w:rFonts w:ascii="Arial" w:hAnsi="Arial" w:cs="Arial"/>
          <w:b/>
          <w:bCs/>
          <w:u w:val="single"/>
        </w:rPr>
      </w:pPr>
    </w:p>
    <w:p w14:paraId="5357A995" w14:textId="69834BD1"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 xml:space="preserve">Redundancy </w:t>
      </w:r>
      <w:r w:rsidRPr="00FC5512">
        <w:rPr>
          <w:rFonts w:ascii="Arial" w:hAnsi="Arial" w:cs="Arial"/>
        </w:rPr>
        <w:t>occurs where the employer’s need for employees to carry out work of a certain nature has ceased or diminished or where the business/workplace is closing. Can be a fair reason for dismissal but must be handled correctly in line with legislation (Employment Rights Act 1996)</w:t>
      </w:r>
    </w:p>
    <w:p w14:paraId="5D86A57A" w14:textId="6BABD98F" w:rsidR="00755519" w:rsidRPr="00755519" w:rsidRDefault="00755519" w:rsidP="00755519">
      <w:pPr>
        <w:pStyle w:val="ListParagraph"/>
        <w:numPr>
          <w:ilvl w:val="0"/>
          <w:numId w:val="3"/>
        </w:numPr>
        <w:spacing w:line="276" w:lineRule="auto"/>
        <w:jc w:val="both"/>
        <w:rPr>
          <w:rFonts w:ascii="Arial" w:hAnsi="Arial" w:cs="Arial"/>
        </w:rPr>
      </w:pPr>
      <w:r w:rsidRPr="00755519">
        <w:rPr>
          <w:rFonts w:ascii="Arial" w:hAnsi="Arial" w:cs="Arial"/>
        </w:rPr>
        <w:t>Selection must be fair</w:t>
      </w:r>
      <w:r>
        <w:rPr>
          <w:rFonts w:ascii="Arial" w:hAnsi="Arial" w:cs="Arial"/>
        </w:rPr>
        <w:t xml:space="preserve">. </w:t>
      </w:r>
      <w:r w:rsidRPr="00755519">
        <w:rPr>
          <w:rFonts w:ascii="Arial" w:hAnsi="Arial" w:cs="Arial"/>
        </w:rPr>
        <w:t xml:space="preserve">If the number of employees in the organisation or team needs to reduce then a </w:t>
      </w:r>
      <w:proofErr w:type="gramStart"/>
      <w:r w:rsidRPr="00755519">
        <w:rPr>
          <w:rFonts w:ascii="Arial" w:hAnsi="Arial" w:cs="Arial"/>
        </w:rPr>
        <w:t>selection criteria</w:t>
      </w:r>
      <w:proofErr w:type="gramEnd"/>
      <w:r w:rsidRPr="00755519">
        <w:rPr>
          <w:rFonts w:ascii="Arial" w:hAnsi="Arial" w:cs="Arial"/>
        </w:rPr>
        <w:t xml:space="preserve"> should be set up and make a list of roles to be considered for redundancy (one or more selection pools) ACAS 2025</w:t>
      </w:r>
    </w:p>
    <w:p w14:paraId="78BD117B" w14:textId="5032D55A"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Consultation requirement</w:t>
      </w:r>
    </w:p>
    <w:p w14:paraId="48ABFCE7" w14:textId="10FA1FFE"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Why is this favourable</w:t>
      </w:r>
    </w:p>
    <w:p w14:paraId="24B1FB56" w14:textId="0A19DD81" w:rsidR="00755519" w:rsidRDefault="00755519" w:rsidP="00755519">
      <w:pPr>
        <w:pStyle w:val="ListParagraph"/>
        <w:numPr>
          <w:ilvl w:val="0"/>
          <w:numId w:val="3"/>
        </w:numPr>
        <w:spacing w:line="276" w:lineRule="auto"/>
        <w:jc w:val="both"/>
        <w:rPr>
          <w:rFonts w:ascii="Arial" w:hAnsi="Arial" w:cs="Arial"/>
        </w:rPr>
      </w:pPr>
      <w:r>
        <w:rPr>
          <w:rFonts w:ascii="Arial" w:hAnsi="Arial" w:cs="Arial"/>
        </w:rPr>
        <w:t>Selection criteria (!) in response to managers claim</w:t>
      </w:r>
    </w:p>
    <w:p w14:paraId="4E8155C9" w14:textId="52C4D211" w:rsidR="00755519" w:rsidRDefault="00755519" w:rsidP="00755519">
      <w:pPr>
        <w:pStyle w:val="ListParagraph"/>
        <w:numPr>
          <w:ilvl w:val="0"/>
          <w:numId w:val="3"/>
        </w:numPr>
        <w:spacing w:line="276" w:lineRule="auto"/>
        <w:jc w:val="both"/>
        <w:rPr>
          <w:rFonts w:ascii="Arial" w:hAnsi="Arial" w:cs="Arial"/>
        </w:rPr>
      </w:pPr>
      <w:r>
        <w:rPr>
          <w:rFonts w:ascii="Arial" w:hAnsi="Arial" w:cs="Arial"/>
          <w:i/>
          <w:iCs/>
        </w:rPr>
        <w:t xml:space="preserve">King and others </w:t>
      </w:r>
      <w:r>
        <w:rPr>
          <w:rFonts w:ascii="Arial" w:hAnsi="Arial" w:cs="Arial"/>
        </w:rPr>
        <w:t xml:space="preserve">v </w:t>
      </w:r>
      <w:r>
        <w:rPr>
          <w:rFonts w:ascii="Arial" w:hAnsi="Arial" w:cs="Arial"/>
          <w:i/>
          <w:iCs/>
        </w:rPr>
        <w:t>Eaton Ltd</w:t>
      </w:r>
    </w:p>
    <w:p w14:paraId="6AD3A331" w14:textId="1A36B374" w:rsidR="00755519" w:rsidRPr="00B01735" w:rsidRDefault="00755519" w:rsidP="00755519">
      <w:pPr>
        <w:pStyle w:val="ListParagraph"/>
        <w:numPr>
          <w:ilvl w:val="0"/>
          <w:numId w:val="3"/>
        </w:numPr>
        <w:spacing w:line="276" w:lineRule="auto"/>
        <w:jc w:val="both"/>
        <w:rPr>
          <w:rFonts w:ascii="Arial" w:hAnsi="Arial" w:cs="Arial"/>
        </w:rPr>
      </w:pPr>
      <w:r>
        <w:rPr>
          <w:rFonts w:ascii="Arial" w:hAnsi="Arial" w:cs="Arial"/>
          <w:i/>
          <w:iCs/>
        </w:rPr>
        <w:t xml:space="preserve">Capita Hartshead Ltd </w:t>
      </w:r>
      <w:r>
        <w:rPr>
          <w:rFonts w:ascii="Arial" w:hAnsi="Arial" w:cs="Arial"/>
        </w:rPr>
        <w:t xml:space="preserve">v </w:t>
      </w:r>
      <w:r>
        <w:rPr>
          <w:rFonts w:ascii="Arial" w:hAnsi="Arial" w:cs="Arial"/>
          <w:i/>
          <w:iCs/>
        </w:rPr>
        <w:t>Byard</w:t>
      </w:r>
    </w:p>
    <w:p w14:paraId="7AE8D15C" w14:textId="4321DC01" w:rsidR="00B01735" w:rsidRPr="00B01735" w:rsidRDefault="00B01735" w:rsidP="00B01735">
      <w:pPr>
        <w:pStyle w:val="ListParagraph"/>
        <w:numPr>
          <w:ilvl w:val="0"/>
          <w:numId w:val="3"/>
        </w:numPr>
        <w:spacing w:line="276" w:lineRule="auto"/>
        <w:jc w:val="both"/>
        <w:rPr>
          <w:rFonts w:ascii="Arial" w:hAnsi="Arial" w:cs="Arial"/>
        </w:rPr>
      </w:pPr>
      <w:r w:rsidRPr="00B01735">
        <w:rPr>
          <w:rFonts w:ascii="Arial" w:hAnsi="Arial" w:cs="Arial"/>
        </w:rPr>
        <w:t xml:space="preserve">Dismissing those with poor performance can be challenged as unfair dismissal – fair selection criteria is crucial. </w:t>
      </w:r>
      <w:proofErr w:type="gramStart"/>
      <w:r w:rsidRPr="00B01735">
        <w:rPr>
          <w:rFonts w:ascii="Arial" w:hAnsi="Arial" w:cs="Arial"/>
        </w:rPr>
        <w:t>Has to</w:t>
      </w:r>
      <w:proofErr w:type="gramEnd"/>
      <w:r w:rsidRPr="00B01735">
        <w:rPr>
          <w:rFonts w:ascii="Arial" w:hAnsi="Arial" w:cs="Arial"/>
        </w:rPr>
        <w:t xml:space="preserve"> be fair, objective and non-discriminatory.</w:t>
      </w:r>
    </w:p>
    <w:p w14:paraId="50B4A3BE" w14:textId="653B598D" w:rsidR="00B01735" w:rsidRPr="00B01735" w:rsidRDefault="00B01735" w:rsidP="00B01735">
      <w:pPr>
        <w:pStyle w:val="ListParagraph"/>
        <w:numPr>
          <w:ilvl w:val="0"/>
          <w:numId w:val="3"/>
        </w:numPr>
        <w:spacing w:line="276" w:lineRule="auto"/>
        <w:jc w:val="both"/>
        <w:rPr>
          <w:rFonts w:ascii="Arial" w:hAnsi="Arial" w:cs="Arial"/>
        </w:rPr>
      </w:pPr>
      <w:r w:rsidRPr="00B01735">
        <w:rPr>
          <w:rFonts w:ascii="Arial" w:hAnsi="Arial" w:cs="Arial"/>
        </w:rPr>
        <w:lastRenderedPageBreak/>
        <w:t xml:space="preserve">Consultation is favourable regardless of specific </w:t>
      </w:r>
      <w:r w:rsidRPr="00B01735">
        <w:rPr>
          <w:rFonts w:ascii="Arial" w:hAnsi="Arial" w:cs="Arial"/>
        </w:rPr>
        <w:t>legislation</w:t>
      </w:r>
      <w:r w:rsidRPr="00B01735">
        <w:rPr>
          <w:rFonts w:ascii="Arial" w:hAnsi="Arial" w:cs="Arial"/>
        </w:rPr>
        <w:t xml:space="preserve"> as outcomes are usually more positive (Acas, 2024) – life-</w:t>
      </w:r>
      <w:r w:rsidRPr="00B01735">
        <w:rPr>
          <w:rFonts w:ascii="Arial" w:hAnsi="Arial" w:cs="Arial"/>
        </w:rPr>
        <w:t>changing</w:t>
      </w:r>
      <w:r w:rsidRPr="00B01735">
        <w:rPr>
          <w:rFonts w:ascii="Arial" w:hAnsi="Arial" w:cs="Arial"/>
        </w:rPr>
        <w:t xml:space="preserve"> for some employees. Collective consultation is mandatory in this case (where 20 or more redundancies occur within 90 days at one establishment) </w:t>
      </w:r>
      <w:r w:rsidRPr="00FC5512">
        <w:sym w:font="Wingdings" w:char="F0E0"/>
      </w:r>
      <w:r w:rsidRPr="00B01735">
        <w:rPr>
          <w:rFonts w:ascii="Arial" w:hAnsi="Arial" w:cs="Arial"/>
        </w:rPr>
        <w:t xml:space="preserve"> Trade Union and Labour Relations (Consolidation) Act 1992. Must be done in good time and with a recognised trade union, if no union is recognised then designated employee representatives. Failure to comply can be very costly and result in further protective awards per employee.</w:t>
      </w:r>
    </w:p>
    <w:p w14:paraId="17B10149" w14:textId="77777777" w:rsidR="00B01735" w:rsidRPr="00B01735" w:rsidRDefault="00B01735" w:rsidP="00B01735">
      <w:pPr>
        <w:spacing w:line="276" w:lineRule="auto"/>
        <w:jc w:val="both"/>
        <w:rPr>
          <w:rFonts w:ascii="Arial" w:hAnsi="Arial" w:cs="Arial"/>
        </w:rPr>
      </w:pPr>
    </w:p>
    <w:p w14:paraId="43EDB671" w14:textId="77777777" w:rsidR="00D63CAD" w:rsidRPr="00D63CAD" w:rsidRDefault="00D63CAD" w:rsidP="00D63CAD">
      <w:pPr>
        <w:spacing w:line="276" w:lineRule="auto"/>
        <w:jc w:val="both"/>
        <w:rPr>
          <w:rFonts w:ascii="Arial" w:hAnsi="Arial" w:cs="Arial"/>
          <w:b/>
          <w:bCs/>
          <w:u w:val="single"/>
        </w:rPr>
      </w:pPr>
    </w:p>
    <w:p w14:paraId="7F6AADBB" w14:textId="7C0C10A5" w:rsidR="00D63CAD" w:rsidRDefault="00D63CAD" w:rsidP="00D63CAD">
      <w:pPr>
        <w:spacing w:line="276" w:lineRule="auto"/>
        <w:jc w:val="both"/>
        <w:rPr>
          <w:rFonts w:ascii="Arial" w:hAnsi="Arial" w:cs="Arial"/>
          <w:b/>
          <w:bCs/>
          <w:u w:val="single"/>
        </w:rPr>
      </w:pPr>
      <w:r w:rsidRPr="00D63CAD">
        <w:rPr>
          <w:rFonts w:ascii="Arial" w:hAnsi="Arial" w:cs="Arial"/>
          <w:b/>
          <w:bCs/>
          <w:u w:val="single"/>
        </w:rPr>
        <w:t>AC3.3</w:t>
      </w:r>
    </w:p>
    <w:p w14:paraId="5BA357CF" w14:textId="77777777" w:rsidR="00127C32" w:rsidRDefault="00127C32" w:rsidP="00D63CAD">
      <w:pPr>
        <w:spacing w:line="276" w:lineRule="auto"/>
        <w:jc w:val="both"/>
        <w:rPr>
          <w:rFonts w:ascii="Arial" w:hAnsi="Arial" w:cs="Arial"/>
          <w:b/>
          <w:bCs/>
          <w:u w:val="single"/>
        </w:rPr>
      </w:pPr>
    </w:p>
    <w:p w14:paraId="74FC507A" w14:textId="5846246B" w:rsidR="00127C32" w:rsidRDefault="00127C32" w:rsidP="00D63CAD">
      <w:pPr>
        <w:spacing w:line="276" w:lineRule="auto"/>
        <w:jc w:val="both"/>
        <w:rPr>
          <w:rFonts w:ascii="Arial" w:hAnsi="Arial" w:cs="Arial"/>
        </w:rPr>
      </w:pPr>
      <w:r>
        <w:rPr>
          <w:rFonts w:ascii="Arial" w:hAnsi="Arial" w:cs="Arial"/>
        </w:rPr>
        <w:t>The Transfer of Undertakings (Protection of Employment) Regulations 2006, also known as TUPE, applies to situations where a business, undertaking or section of it transfers from one employer to another. For example, in a merger (Daniels, 2025). There are two scenarios where a transfer is applicable: the transfer of an economic entity that retains its identity or a change of service provision.</w:t>
      </w:r>
    </w:p>
    <w:p w14:paraId="463D3EFF" w14:textId="77777777" w:rsidR="00BA06C9" w:rsidRDefault="00BA06C9" w:rsidP="00D63CAD">
      <w:pPr>
        <w:spacing w:line="276" w:lineRule="auto"/>
        <w:jc w:val="both"/>
        <w:rPr>
          <w:rFonts w:ascii="Arial" w:hAnsi="Arial" w:cs="Arial"/>
        </w:rPr>
      </w:pPr>
    </w:p>
    <w:p w14:paraId="5487E3D2" w14:textId="769FFB24" w:rsidR="00127C32" w:rsidRDefault="00BA06C9" w:rsidP="00D63CAD">
      <w:pPr>
        <w:spacing w:line="276" w:lineRule="auto"/>
        <w:jc w:val="both"/>
        <w:rPr>
          <w:rFonts w:ascii="Arial" w:hAnsi="Arial" w:cs="Arial"/>
        </w:rPr>
      </w:pPr>
      <w:r>
        <w:rPr>
          <w:rFonts w:ascii="Arial" w:hAnsi="Arial" w:cs="Arial"/>
        </w:rPr>
        <w:t xml:space="preserve">For </w:t>
      </w:r>
      <w:r w:rsidR="006D31B3">
        <w:rPr>
          <w:rFonts w:ascii="Arial" w:hAnsi="Arial" w:cs="Arial"/>
        </w:rPr>
        <w:t xml:space="preserve">TUPE to be applicable, there must be an organised group of employees whose purpose is carrying out the work and it is intended that the work will be carried out by the transferee after the transfer (Daniels, 2025). </w:t>
      </w:r>
    </w:p>
    <w:p w14:paraId="44ADF368" w14:textId="77777777" w:rsidR="006D31B3" w:rsidRDefault="006D31B3" w:rsidP="00D63CAD">
      <w:pPr>
        <w:spacing w:line="276" w:lineRule="auto"/>
        <w:jc w:val="both"/>
        <w:rPr>
          <w:rFonts w:ascii="Arial" w:hAnsi="Arial" w:cs="Arial"/>
        </w:rPr>
      </w:pPr>
    </w:p>
    <w:p w14:paraId="2FD209CA" w14:textId="2FBF3480" w:rsidR="00E15315" w:rsidRDefault="006D31B3" w:rsidP="00D63CAD">
      <w:pPr>
        <w:spacing w:line="276" w:lineRule="auto"/>
        <w:jc w:val="both"/>
        <w:rPr>
          <w:rFonts w:ascii="Arial" w:hAnsi="Arial" w:cs="Arial"/>
        </w:rPr>
      </w:pPr>
      <w:r>
        <w:rPr>
          <w:rFonts w:ascii="Arial" w:hAnsi="Arial" w:cs="Arial"/>
        </w:rPr>
        <w:t>Under TUPE, all contractual rights of an employee are transferred</w:t>
      </w:r>
      <w:r w:rsidR="00E15315">
        <w:rPr>
          <w:rFonts w:ascii="Arial" w:hAnsi="Arial" w:cs="Arial"/>
        </w:rPr>
        <w:t xml:space="preserve"> and therefore protected</w:t>
      </w:r>
      <w:r>
        <w:rPr>
          <w:rFonts w:ascii="Arial" w:hAnsi="Arial" w:cs="Arial"/>
        </w:rPr>
        <w:t xml:space="preserve"> from the old owner to the new owner. This includes the transfer of employment contracts, including all terms and conditions such as continuity of service.</w:t>
      </w:r>
      <w:r w:rsidR="00E15315">
        <w:rPr>
          <w:rFonts w:ascii="Arial" w:hAnsi="Arial" w:cs="Arial"/>
        </w:rPr>
        <w:t xml:space="preserve"> However, </w:t>
      </w:r>
      <w:r w:rsidR="00E15315">
        <w:rPr>
          <w:rFonts w:ascii="Arial" w:hAnsi="Arial" w:cs="Arial"/>
        </w:rPr>
        <w:t xml:space="preserve">it’s important to recognise that only those employees who are specifically assigned to the work that is transferring are included (Daniels, 2025). </w:t>
      </w:r>
      <w:r>
        <w:rPr>
          <w:rFonts w:ascii="Arial" w:hAnsi="Arial" w:cs="Arial"/>
        </w:rPr>
        <w:t xml:space="preserve"> </w:t>
      </w:r>
    </w:p>
    <w:p w14:paraId="2FA92144" w14:textId="77777777" w:rsidR="00E15315" w:rsidRDefault="00E15315" w:rsidP="00D63CAD">
      <w:pPr>
        <w:spacing w:line="276" w:lineRule="auto"/>
        <w:jc w:val="both"/>
        <w:rPr>
          <w:rFonts w:ascii="Arial" w:hAnsi="Arial" w:cs="Arial"/>
        </w:rPr>
      </w:pPr>
    </w:p>
    <w:p w14:paraId="546AA256" w14:textId="27CE47E7" w:rsidR="006D31B3" w:rsidRDefault="006D31B3" w:rsidP="00D63CAD">
      <w:pPr>
        <w:spacing w:line="276" w:lineRule="auto"/>
        <w:jc w:val="both"/>
        <w:rPr>
          <w:rFonts w:ascii="Arial" w:hAnsi="Arial" w:cs="Arial"/>
        </w:rPr>
      </w:pPr>
      <w:r>
        <w:rPr>
          <w:rFonts w:ascii="Arial" w:hAnsi="Arial" w:cs="Arial"/>
        </w:rPr>
        <w:t xml:space="preserve">Additionally, employees are protected against dismissal relating to the transfer. Any dismissal would be treated as automatically unfair unless justified by an economical, technical or organisational (ETO) reason (Daniels, 2025). This is crucial under TUPE as there is no time limit on this right, which is highlighted by the case of </w:t>
      </w:r>
      <w:r>
        <w:rPr>
          <w:rFonts w:ascii="Arial" w:hAnsi="Arial" w:cs="Arial"/>
          <w:i/>
          <w:iCs/>
        </w:rPr>
        <w:t>Taylor</w:t>
      </w:r>
      <w:r>
        <w:rPr>
          <w:rFonts w:ascii="Arial" w:hAnsi="Arial" w:cs="Arial"/>
        </w:rPr>
        <w:t xml:space="preserve"> v </w:t>
      </w:r>
      <w:r>
        <w:rPr>
          <w:rFonts w:ascii="Arial" w:hAnsi="Arial" w:cs="Arial"/>
          <w:i/>
          <w:iCs/>
        </w:rPr>
        <w:t xml:space="preserve">Connex </w:t>
      </w:r>
      <w:proofErr w:type="gramStart"/>
      <w:r>
        <w:rPr>
          <w:rFonts w:ascii="Arial" w:hAnsi="Arial" w:cs="Arial"/>
          <w:i/>
          <w:iCs/>
        </w:rPr>
        <w:t>South Eastern</w:t>
      </w:r>
      <w:proofErr w:type="gramEnd"/>
      <w:r>
        <w:rPr>
          <w:rFonts w:ascii="Arial" w:hAnsi="Arial" w:cs="Arial"/>
          <w:i/>
          <w:iCs/>
        </w:rPr>
        <w:t xml:space="preserve"> Ltd (2000)</w:t>
      </w:r>
      <w:r>
        <w:rPr>
          <w:rFonts w:ascii="Arial" w:hAnsi="Arial" w:cs="Arial"/>
        </w:rPr>
        <w:t xml:space="preserve"> whereby the employer dismissed the employee after the employee refused to agree to an amendment to contract, two years after the transfer had taken place.</w:t>
      </w:r>
    </w:p>
    <w:p w14:paraId="1B806F63" w14:textId="77777777" w:rsidR="006D31B3" w:rsidRDefault="006D31B3" w:rsidP="00D63CAD">
      <w:pPr>
        <w:spacing w:line="276" w:lineRule="auto"/>
        <w:jc w:val="both"/>
        <w:rPr>
          <w:rFonts w:ascii="Arial" w:hAnsi="Arial" w:cs="Arial"/>
        </w:rPr>
      </w:pPr>
    </w:p>
    <w:p w14:paraId="68AEF766" w14:textId="25D9F345" w:rsidR="006D31B3" w:rsidRDefault="00504069" w:rsidP="00D63CAD">
      <w:pPr>
        <w:spacing w:line="276" w:lineRule="auto"/>
        <w:jc w:val="both"/>
        <w:rPr>
          <w:rFonts w:ascii="Arial" w:hAnsi="Arial" w:cs="Arial"/>
        </w:rPr>
      </w:pPr>
      <w:r>
        <w:rPr>
          <w:rFonts w:ascii="Arial" w:hAnsi="Arial" w:cs="Arial"/>
        </w:rPr>
        <w:t>TUPE can be complex, therefore early preparation</w:t>
      </w:r>
      <w:r w:rsidR="00E15315">
        <w:rPr>
          <w:rFonts w:ascii="Arial" w:hAnsi="Arial" w:cs="Arial"/>
        </w:rPr>
        <w:t xml:space="preserve"> and </w:t>
      </w:r>
      <w:r>
        <w:rPr>
          <w:rFonts w:ascii="Arial" w:hAnsi="Arial" w:cs="Arial"/>
        </w:rPr>
        <w:t>proactive communication from both the transferor and transferee is the key to a successful merger. Both the transferor and transferee have an obligation to inform and consult with the affected employees. If consultation doesn’t occur or it’s ruled to be inadequate, liability is joint between the transferor and transferee, where a protective award of up to 13 weeks of pay per employee could be awarded to those affected by the transfer (Acas, 2024).</w:t>
      </w:r>
      <w:r w:rsidR="00E15315">
        <w:rPr>
          <w:rFonts w:ascii="Arial" w:hAnsi="Arial" w:cs="Arial"/>
        </w:rPr>
        <w:t xml:space="preserve"> </w:t>
      </w:r>
    </w:p>
    <w:p w14:paraId="375824EC" w14:textId="4590D468" w:rsidR="00E15315" w:rsidRDefault="00E15315" w:rsidP="00D63CAD">
      <w:pPr>
        <w:spacing w:line="276" w:lineRule="auto"/>
        <w:jc w:val="both"/>
        <w:rPr>
          <w:rFonts w:ascii="Arial" w:hAnsi="Arial" w:cs="Arial"/>
        </w:rPr>
      </w:pPr>
      <w:r>
        <w:rPr>
          <w:rFonts w:ascii="Arial" w:hAnsi="Arial" w:cs="Arial"/>
        </w:rPr>
        <w:t xml:space="preserve">One of the most crucial aspects of TUPE is the obligation of the transferor to give employee liability information (ELI). This information is required for all employees </w:t>
      </w:r>
      <w:r>
        <w:rPr>
          <w:rFonts w:ascii="Arial" w:hAnsi="Arial" w:cs="Arial"/>
        </w:rPr>
        <w:lastRenderedPageBreak/>
        <w:t>transferring and includes their names, date of birth, renumeration, contractual terms such as renumeration, as well as any grievance or disciplinary proceedings (Daniels, 2025). Once the transfer is completed, liability sits with the transferee, therefore the opportunity to access all information to mitigate against any potential issues is vital for a successful merger.</w:t>
      </w:r>
    </w:p>
    <w:p w14:paraId="2288CA65" w14:textId="77777777" w:rsidR="00E15315" w:rsidRDefault="00E15315" w:rsidP="00D63CAD">
      <w:pPr>
        <w:spacing w:line="276" w:lineRule="auto"/>
        <w:jc w:val="both"/>
        <w:rPr>
          <w:rFonts w:ascii="Arial" w:hAnsi="Arial" w:cs="Arial"/>
        </w:rPr>
      </w:pPr>
    </w:p>
    <w:p w14:paraId="684B6678" w14:textId="6E6E58C5" w:rsidR="00E15315" w:rsidRDefault="00E15315" w:rsidP="00D63CAD">
      <w:pPr>
        <w:spacing w:line="276" w:lineRule="auto"/>
        <w:jc w:val="both"/>
        <w:rPr>
          <w:rFonts w:ascii="Arial" w:hAnsi="Arial" w:cs="Arial"/>
        </w:rPr>
      </w:pPr>
      <w:r>
        <w:rPr>
          <w:rFonts w:ascii="Arial" w:hAnsi="Arial" w:cs="Arial"/>
        </w:rPr>
        <w:t>Lastly, if any employee’s object to the transfer, then they do not become employees of the transferee. Instead, their contract of employment is terminated by operation of law on the transfer date and no liability sits with the transferee (Daniels, 2025).</w:t>
      </w:r>
    </w:p>
    <w:p w14:paraId="4627823F" w14:textId="77777777" w:rsidR="006D31B3" w:rsidRPr="00127C32" w:rsidRDefault="006D31B3" w:rsidP="00D63CAD">
      <w:pPr>
        <w:spacing w:line="276" w:lineRule="auto"/>
        <w:jc w:val="both"/>
        <w:rPr>
          <w:rFonts w:ascii="Arial" w:hAnsi="Arial" w:cs="Arial"/>
        </w:rPr>
      </w:pPr>
    </w:p>
    <w:p w14:paraId="5099E8F2" w14:textId="77777777" w:rsidR="00D63CAD" w:rsidRPr="00D63CAD" w:rsidRDefault="00D63CAD" w:rsidP="00D63CAD">
      <w:pPr>
        <w:spacing w:line="276" w:lineRule="auto"/>
        <w:jc w:val="both"/>
        <w:rPr>
          <w:rFonts w:ascii="Arial" w:hAnsi="Arial" w:cs="Arial"/>
          <w:b/>
          <w:bCs/>
          <w:u w:val="single"/>
        </w:rPr>
      </w:pPr>
    </w:p>
    <w:p w14:paraId="45AE02F6" w14:textId="17A3B000" w:rsidR="00D63CAD" w:rsidRDefault="00D63CAD" w:rsidP="00D63CAD">
      <w:pPr>
        <w:spacing w:line="276" w:lineRule="auto"/>
        <w:jc w:val="both"/>
        <w:rPr>
          <w:rFonts w:ascii="Arial" w:hAnsi="Arial" w:cs="Arial"/>
          <w:b/>
          <w:bCs/>
          <w:u w:val="single"/>
        </w:rPr>
      </w:pPr>
      <w:r w:rsidRPr="00D63CAD">
        <w:rPr>
          <w:rFonts w:ascii="Arial" w:hAnsi="Arial" w:cs="Arial"/>
          <w:b/>
          <w:bCs/>
          <w:u w:val="single"/>
        </w:rPr>
        <w:t>AC4.1</w:t>
      </w:r>
    </w:p>
    <w:p w14:paraId="76123FE4" w14:textId="77777777" w:rsidR="004E0BCF" w:rsidRDefault="004E0BCF" w:rsidP="00D63CAD">
      <w:pPr>
        <w:spacing w:line="276" w:lineRule="auto"/>
        <w:jc w:val="both"/>
        <w:rPr>
          <w:rFonts w:ascii="Arial" w:hAnsi="Arial" w:cs="Arial"/>
          <w:b/>
          <w:bCs/>
          <w:u w:val="single"/>
        </w:rPr>
      </w:pPr>
    </w:p>
    <w:p w14:paraId="2538EAD2" w14:textId="324CCAF3" w:rsidR="004E0BCF" w:rsidRDefault="004E0BCF" w:rsidP="00D63CAD">
      <w:pPr>
        <w:spacing w:line="276" w:lineRule="auto"/>
        <w:jc w:val="both"/>
        <w:rPr>
          <w:rFonts w:ascii="Arial" w:hAnsi="Arial" w:cs="Arial"/>
        </w:rPr>
      </w:pPr>
      <w:r>
        <w:rPr>
          <w:rFonts w:ascii="Arial" w:hAnsi="Arial" w:cs="Arial"/>
        </w:rPr>
        <w:t>The right to be paid annual leave is covered by the Working Time Regulations 1998 which implements the EU Working Time Directive into UK law. Under these regulations, all employees/workers including casual (bank) staff are entitled to a minimum of 5.6 weeks paid annual leave, which must be paid at a normal renumeration level equivalent to what they would’ve earned if they were in work (Daniels, 2025).</w:t>
      </w:r>
    </w:p>
    <w:p w14:paraId="2EFD7B48" w14:textId="77777777" w:rsidR="004E0BCF" w:rsidRDefault="004E0BCF" w:rsidP="00D63CAD">
      <w:pPr>
        <w:spacing w:line="276" w:lineRule="auto"/>
        <w:jc w:val="both"/>
        <w:rPr>
          <w:rFonts w:ascii="Arial" w:hAnsi="Arial" w:cs="Arial"/>
        </w:rPr>
      </w:pPr>
    </w:p>
    <w:p w14:paraId="41DE5D2C" w14:textId="79A10DAC" w:rsidR="004E0BCF" w:rsidRDefault="004E0BCF" w:rsidP="00D63CAD">
      <w:pPr>
        <w:spacing w:line="276" w:lineRule="auto"/>
        <w:jc w:val="both"/>
        <w:rPr>
          <w:rFonts w:ascii="Arial" w:hAnsi="Arial" w:cs="Arial"/>
        </w:rPr>
      </w:pPr>
      <w:r>
        <w:rPr>
          <w:rFonts w:ascii="Arial" w:hAnsi="Arial" w:cs="Arial"/>
        </w:rPr>
        <w:t xml:space="preserve">For casual workers, in this case bank staff, holiday pay should reflect their normal earnings. For example, basic pay for hours worked including any regular overtime, shift premiums or bonuses. Calculating holiday pay for this category of workers has been complicated previously, particularly as it’s unclear if the worker is on ‘annual leave’ or if there is no suitable work for them (Daniels, 2025). </w:t>
      </w:r>
    </w:p>
    <w:p w14:paraId="5387CADB" w14:textId="77777777" w:rsidR="004E0BCF" w:rsidRDefault="004E0BCF" w:rsidP="00D63CAD">
      <w:pPr>
        <w:spacing w:line="276" w:lineRule="auto"/>
        <w:jc w:val="both"/>
        <w:rPr>
          <w:rFonts w:ascii="Arial" w:hAnsi="Arial" w:cs="Arial"/>
        </w:rPr>
      </w:pPr>
    </w:p>
    <w:p w14:paraId="2573E3AC" w14:textId="77777777" w:rsidR="00FA12AD" w:rsidRDefault="004E0BCF" w:rsidP="00D63CAD">
      <w:pPr>
        <w:spacing w:line="276" w:lineRule="auto"/>
        <w:jc w:val="both"/>
        <w:rPr>
          <w:rFonts w:ascii="Arial" w:hAnsi="Arial" w:cs="Arial"/>
        </w:rPr>
      </w:pPr>
      <w:r>
        <w:rPr>
          <w:rFonts w:ascii="Arial" w:hAnsi="Arial" w:cs="Arial"/>
        </w:rPr>
        <w:t xml:space="preserve">Accurate record keeping and transparent communication with employees has been proven crucial for lawful and fair calculations of holiday pay. </w:t>
      </w:r>
      <w:r w:rsidR="00FA12AD">
        <w:rPr>
          <w:rFonts w:ascii="Arial" w:hAnsi="Arial" w:cs="Arial"/>
        </w:rPr>
        <w:t xml:space="preserve">In </w:t>
      </w:r>
      <w:r w:rsidR="00FA12AD">
        <w:rPr>
          <w:rFonts w:ascii="Arial" w:hAnsi="Arial" w:cs="Arial"/>
          <w:i/>
          <w:iCs/>
        </w:rPr>
        <w:t xml:space="preserve">Lock </w:t>
      </w:r>
      <w:r w:rsidR="00FA12AD">
        <w:rPr>
          <w:rFonts w:ascii="Arial" w:hAnsi="Arial" w:cs="Arial"/>
        </w:rPr>
        <w:t xml:space="preserve">v </w:t>
      </w:r>
      <w:r w:rsidR="00FA12AD">
        <w:rPr>
          <w:rFonts w:ascii="Arial" w:hAnsi="Arial" w:cs="Arial"/>
          <w:i/>
          <w:iCs/>
        </w:rPr>
        <w:t>British Gas Trading Ltd (2014)</w:t>
      </w:r>
      <w:r w:rsidR="00FA12AD">
        <w:rPr>
          <w:rFonts w:ascii="Arial" w:hAnsi="Arial" w:cs="Arial"/>
        </w:rPr>
        <w:t xml:space="preserve">, the Court of Justice of the European Union ruled that commission should be included in the calculation of holiday pay as it was included in Lock’s base pay. Relevant case law such as this case helped clarify that pay supplements such as shift allowances or overtime must be factored into a holiday calculation if they’re regularly received (Daniels, 2025). </w:t>
      </w:r>
    </w:p>
    <w:p w14:paraId="029614F5" w14:textId="77777777" w:rsidR="00FA12AD" w:rsidRDefault="00FA12AD" w:rsidP="00D63CAD">
      <w:pPr>
        <w:spacing w:line="276" w:lineRule="auto"/>
        <w:jc w:val="both"/>
        <w:rPr>
          <w:rFonts w:ascii="Arial" w:hAnsi="Arial" w:cs="Arial"/>
        </w:rPr>
      </w:pPr>
    </w:p>
    <w:p w14:paraId="3B42E206" w14:textId="77777777" w:rsidR="003E6E72" w:rsidRDefault="00FA12AD" w:rsidP="00D63CAD">
      <w:pPr>
        <w:spacing w:line="276" w:lineRule="auto"/>
        <w:jc w:val="both"/>
        <w:rPr>
          <w:rFonts w:ascii="Arial" w:hAnsi="Arial" w:cs="Arial"/>
        </w:rPr>
      </w:pPr>
      <w:r>
        <w:rPr>
          <w:rFonts w:ascii="Arial" w:hAnsi="Arial" w:cs="Arial"/>
        </w:rPr>
        <w:t xml:space="preserve">Furthermore, the holiday entitlement and pay of irregular and part year works was addressed by the Employment Rights (Amendment, Revocation and Transitional Provision) Regulations 2023. This legislation introduced three key regulations. Firstly, the requirement to pay ‘normal pay’ for 4 of the 5.6 weeks of annual leave and ‘basic pay’ for the remaining 1.6 weeks. ‘Normal pay’ relates to the average over the last 52 weeks of all pay including salary, overtime, commission etcetera. Most employers pay ‘normal pay’ for the full 5.6 weeks entitlement (Daniels, 2025). Secondly, the holiday entitlement of irregular or part year workers is taken by 12.07% of the hours worked and payment is calculated by taking 12.07% of the money earned in the relevant pay period (Acas, 2024). </w:t>
      </w:r>
      <w:r w:rsidR="003E6E72">
        <w:rPr>
          <w:rFonts w:ascii="Arial" w:hAnsi="Arial" w:cs="Arial"/>
        </w:rPr>
        <w:t xml:space="preserve"> </w:t>
      </w:r>
    </w:p>
    <w:p w14:paraId="7F65896F" w14:textId="77777777" w:rsidR="003E6E72" w:rsidRDefault="003E6E72" w:rsidP="00D63CAD">
      <w:pPr>
        <w:spacing w:line="276" w:lineRule="auto"/>
        <w:jc w:val="both"/>
        <w:rPr>
          <w:rFonts w:ascii="Arial" w:hAnsi="Arial" w:cs="Arial"/>
        </w:rPr>
      </w:pPr>
    </w:p>
    <w:p w14:paraId="29BADFAF" w14:textId="59C84E8C" w:rsidR="003E6E72" w:rsidRDefault="003E6E72" w:rsidP="00D63CAD">
      <w:pPr>
        <w:spacing w:line="276" w:lineRule="auto"/>
        <w:jc w:val="both"/>
        <w:rPr>
          <w:rFonts w:ascii="Arial" w:hAnsi="Arial" w:cs="Arial"/>
        </w:rPr>
      </w:pPr>
      <w:r>
        <w:rPr>
          <w:rFonts w:ascii="Arial" w:hAnsi="Arial" w:cs="Arial"/>
        </w:rPr>
        <w:t>Thirdly, these regulations permitted employers to pay a rolled-up holiday pay rate. Instead of paying workers when they take annual leave, employers can calculate and pay the amount as an additional payment when the worker works (Hamor, 2024). Importantly, this calculation must be based on an average of earnings including elements such as overtime and must be clearly stipulated as a separate element on the employee’s payslip.</w:t>
      </w:r>
    </w:p>
    <w:p w14:paraId="0EDC9508" w14:textId="77777777" w:rsidR="007D588A" w:rsidRDefault="007D588A" w:rsidP="00D63CAD">
      <w:pPr>
        <w:spacing w:line="276" w:lineRule="auto"/>
        <w:jc w:val="both"/>
        <w:rPr>
          <w:rFonts w:ascii="Arial" w:hAnsi="Arial" w:cs="Arial"/>
        </w:rPr>
      </w:pPr>
    </w:p>
    <w:p w14:paraId="2E9AF67E" w14:textId="103A045D" w:rsidR="007D588A" w:rsidRDefault="007D588A" w:rsidP="00D63CAD">
      <w:pPr>
        <w:spacing w:line="276" w:lineRule="auto"/>
        <w:jc w:val="both"/>
        <w:rPr>
          <w:rFonts w:ascii="Arial" w:hAnsi="Arial" w:cs="Arial"/>
        </w:rPr>
      </w:pPr>
      <w:r>
        <w:rPr>
          <w:rFonts w:ascii="Arial" w:hAnsi="Arial" w:cs="Arial"/>
        </w:rPr>
        <w:t>The recent regulations have helped clarify a process of calculating holiday pay and outlined what should be included in the calculation which helps safeguard both the employee and the employer (Acas, 2024).</w:t>
      </w:r>
    </w:p>
    <w:p w14:paraId="0B0D92F1" w14:textId="568CEA90" w:rsidR="00FA12AD" w:rsidRPr="00FA12AD" w:rsidRDefault="00FA12AD" w:rsidP="00D63CAD">
      <w:pPr>
        <w:spacing w:line="276" w:lineRule="auto"/>
        <w:jc w:val="both"/>
        <w:rPr>
          <w:rFonts w:ascii="Arial" w:hAnsi="Arial" w:cs="Arial"/>
        </w:rPr>
      </w:pPr>
    </w:p>
    <w:p w14:paraId="0C6C9258" w14:textId="77777777" w:rsidR="00D63CAD" w:rsidRPr="00D63CAD" w:rsidRDefault="00D63CAD" w:rsidP="00D63CAD">
      <w:pPr>
        <w:spacing w:line="276" w:lineRule="auto"/>
        <w:jc w:val="both"/>
        <w:rPr>
          <w:rFonts w:ascii="Arial" w:hAnsi="Arial" w:cs="Arial"/>
          <w:b/>
          <w:bCs/>
          <w:u w:val="single"/>
        </w:rPr>
      </w:pPr>
    </w:p>
    <w:p w14:paraId="254DDCE9" w14:textId="1B32B92D" w:rsidR="00D63CAD" w:rsidRPr="00D63CAD" w:rsidRDefault="00D63CAD" w:rsidP="00D63CAD">
      <w:pPr>
        <w:spacing w:line="276" w:lineRule="auto"/>
        <w:jc w:val="both"/>
        <w:rPr>
          <w:rFonts w:ascii="Arial" w:hAnsi="Arial" w:cs="Arial"/>
          <w:b/>
          <w:bCs/>
          <w:u w:val="single"/>
        </w:rPr>
      </w:pPr>
      <w:r w:rsidRPr="00D63CAD">
        <w:rPr>
          <w:rFonts w:ascii="Arial" w:hAnsi="Arial" w:cs="Arial"/>
          <w:b/>
          <w:bCs/>
          <w:u w:val="single"/>
        </w:rPr>
        <w:t>AC4.2</w:t>
      </w:r>
    </w:p>
    <w:p w14:paraId="279607E5" w14:textId="77777777" w:rsidR="00D63CAD" w:rsidRDefault="00D63CAD" w:rsidP="00D63CAD">
      <w:pPr>
        <w:spacing w:line="276" w:lineRule="auto"/>
        <w:jc w:val="both"/>
        <w:rPr>
          <w:rFonts w:ascii="Arial" w:hAnsi="Arial" w:cs="Arial"/>
          <w:b/>
          <w:bCs/>
          <w:u w:val="single"/>
        </w:rPr>
      </w:pPr>
    </w:p>
    <w:p w14:paraId="5D634C08" w14:textId="02090CC5" w:rsidR="000743BE" w:rsidRDefault="000743BE" w:rsidP="00D63CAD">
      <w:pPr>
        <w:spacing w:line="276" w:lineRule="auto"/>
        <w:jc w:val="both"/>
        <w:rPr>
          <w:rFonts w:ascii="Arial" w:hAnsi="Arial" w:cs="Arial"/>
        </w:rPr>
      </w:pPr>
      <w:r>
        <w:rPr>
          <w:rFonts w:ascii="Arial" w:hAnsi="Arial" w:cs="Arial"/>
        </w:rPr>
        <w:t>Maternity Leave and Shared Parental Leave are two different types of statutory leave available to eligible parents in the UK.</w:t>
      </w:r>
      <w:r w:rsidR="00F959FC">
        <w:rPr>
          <w:rFonts w:ascii="Arial" w:hAnsi="Arial" w:cs="Arial"/>
        </w:rPr>
        <w:t xml:space="preserve"> Maternity </w:t>
      </w:r>
      <w:r w:rsidR="00D518B0">
        <w:rPr>
          <w:rFonts w:ascii="Arial" w:hAnsi="Arial" w:cs="Arial"/>
        </w:rPr>
        <w:t>Le</w:t>
      </w:r>
      <w:r w:rsidR="00F959FC">
        <w:rPr>
          <w:rFonts w:ascii="Arial" w:hAnsi="Arial" w:cs="Arial"/>
        </w:rPr>
        <w:t xml:space="preserve">ave is a day one right to anyone that’s pregnant and is legally classed as an employee. Eligible employees are entitled to take up to 52 weeks of maternity leave which is split into 26 weeks of </w:t>
      </w:r>
      <w:r w:rsidR="00D518B0">
        <w:rPr>
          <w:rFonts w:ascii="Arial" w:hAnsi="Arial" w:cs="Arial"/>
        </w:rPr>
        <w:t>Or</w:t>
      </w:r>
      <w:r w:rsidR="00F959FC">
        <w:rPr>
          <w:rFonts w:ascii="Arial" w:hAnsi="Arial" w:cs="Arial"/>
        </w:rPr>
        <w:t xml:space="preserve">dinary </w:t>
      </w:r>
      <w:r w:rsidR="00D518B0">
        <w:rPr>
          <w:rFonts w:ascii="Arial" w:hAnsi="Arial" w:cs="Arial"/>
        </w:rPr>
        <w:t>M</w:t>
      </w:r>
      <w:r w:rsidR="00F959FC">
        <w:rPr>
          <w:rFonts w:ascii="Arial" w:hAnsi="Arial" w:cs="Arial"/>
        </w:rPr>
        <w:t xml:space="preserve">aternity </w:t>
      </w:r>
      <w:r w:rsidR="00D518B0">
        <w:rPr>
          <w:rFonts w:ascii="Arial" w:hAnsi="Arial" w:cs="Arial"/>
        </w:rPr>
        <w:t>Le</w:t>
      </w:r>
      <w:r w:rsidR="00F959FC">
        <w:rPr>
          <w:rFonts w:ascii="Arial" w:hAnsi="Arial" w:cs="Arial"/>
        </w:rPr>
        <w:t xml:space="preserve">ave and 26 weeks of </w:t>
      </w:r>
      <w:r w:rsidR="00D518B0">
        <w:rPr>
          <w:rFonts w:ascii="Arial" w:hAnsi="Arial" w:cs="Arial"/>
        </w:rPr>
        <w:t>A</w:t>
      </w:r>
      <w:r w:rsidR="00F959FC">
        <w:rPr>
          <w:rFonts w:ascii="Arial" w:hAnsi="Arial" w:cs="Arial"/>
        </w:rPr>
        <w:t xml:space="preserve">dditional </w:t>
      </w:r>
      <w:r w:rsidR="00D518B0">
        <w:rPr>
          <w:rFonts w:ascii="Arial" w:hAnsi="Arial" w:cs="Arial"/>
        </w:rPr>
        <w:t>M</w:t>
      </w:r>
      <w:r w:rsidR="00F959FC">
        <w:rPr>
          <w:rFonts w:ascii="Arial" w:hAnsi="Arial" w:cs="Arial"/>
        </w:rPr>
        <w:t xml:space="preserve">aternity </w:t>
      </w:r>
      <w:r w:rsidR="00D518B0">
        <w:rPr>
          <w:rFonts w:ascii="Arial" w:hAnsi="Arial" w:cs="Arial"/>
        </w:rPr>
        <w:t>Le</w:t>
      </w:r>
      <w:r w:rsidR="00F959FC">
        <w:rPr>
          <w:rFonts w:ascii="Arial" w:hAnsi="Arial" w:cs="Arial"/>
        </w:rPr>
        <w:t xml:space="preserve">ave (Acas, 2025). The employee can take all or part of the leave but legally they must take 2 weeks of </w:t>
      </w:r>
      <w:r w:rsidR="00D518B0">
        <w:rPr>
          <w:rFonts w:ascii="Arial" w:hAnsi="Arial" w:cs="Arial"/>
        </w:rPr>
        <w:t>C</w:t>
      </w:r>
      <w:r w:rsidR="00F959FC">
        <w:rPr>
          <w:rFonts w:ascii="Arial" w:hAnsi="Arial" w:cs="Arial"/>
        </w:rPr>
        <w:t xml:space="preserve">ompulsory </w:t>
      </w:r>
      <w:r w:rsidR="00D518B0">
        <w:rPr>
          <w:rFonts w:ascii="Arial" w:hAnsi="Arial" w:cs="Arial"/>
        </w:rPr>
        <w:t>M</w:t>
      </w:r>
      <w:r w:rsidR="00F959FC">
        <w:rPr>
          <w:rFonts w:ascii="Arial" w:hAnsi="Arial" w:cs="Arial"/>
        </w:rPr>
        <w:t xml:space="preserve">aternity </w:t>
      </w:r>
      <w:r w:rsidR="00D518B0">
        <w:rPr>
          <w:rFonts w:ascii="Arial" w:hAnsi="Arial" w:cs="Arial"/>
        </w:rPr>
        <w:t>L</w:t>
      </w:r>
      <w:r w:rsidR="00F959FC">
        <w:rPr>
          <w:rFonts w:ascii="Arial" w:hAnsi="Arial" w:cs="Arial"/>
        </w:rPr>
        <w:t>eave (this is 4 weeks if the mother works in a factory).</w:t>
      </w:r>
    </w:p>
    <w:p w14:paraId="3800F1D1" w14:textId="77777777" w:rsidR="00F959FC" w:rsidRDefault="00F959FC" w:rsidP="00D63CAD">
      <w:pPr>
        <w:spacing w:line="276" w:lineRule="auto"/>
        <w:jc w:val="both"/>
        <w:rPr>
          <w:rFonts w:ascii="Arial" w:hAnsi="Arial" w:cs="Arial"/>
        </w:rPr>
      </w:pPr>
    </w:p>
    <w:p w14:paraId="7E9EB2C6" w14:textId="2A136E98" w:rsidR="00F959FC" w:rsidRDefault="00F959FC" w:rsidP="00D63CAD">
      <w:pPr>
        <w:spacing w:line="276" w:lineRule="auto"/>
        <w:jc w:val="both"/>
        <w:rPr>
          <w:rFonts w:ascii="Arial" w:hAnsi="Arial" w:cs="Arial"/>
        </w:rPr>
      </w:pPr>
      <w:r>
        <w:rPr>
          <w:rFonts w:ascii="Arial" w:hAnsi="Arial" w:cs="Arial"/>
        </w:rPr>
        <w:t>Pregnant employees must tell their employer no later than the 15</w:t>
      </w:r>
      <w:r w:rsidRPr="00F959FC">
        <w:rPr>
          <w:rFonts w:ascii="Arial" w:hAnsi="Arial" w:cs="Arial"/>
          <w:vertAlign w:val="superscript"/>
        </w:rPr>
        <w:t>th</w:t>
      </w:r>
      <w:r>
        <w:rPr>
          <w:rFonts w:ascii="Arial" w:hAnsi="Arial" w:cs="Arial"/>
        </w:rPr>
        <w:t xml:space="preserve"> week before the baby is due and this notification must include that the employee is pregnant, the expected week of confinement and when the employee intends to start their leave. Maternity Leave and Pay can commence from up to 11 weeks before the baby is due or the mother gives birth. By law, Maternity Leave must commence when the baby is born at the latest.</w:t>
      </w:r>
    </w:p>
    <w:p w14:paraId="337236BA" w14:textId="77777777" w:rsidR="00F959FC" w:rsidRDefault="00F959FC" w:rsidP="00D63CAD">
      <w:pPr>
        <w:spacing w:line="276" w:lineRule="auto"/>
        <w:jc w:val="both"/>
        <w:rPr>
          <w:rFonts w:ascii="Arial" w:hAnsi="Arial" w:cs="Arial"/>
        </w:rPr>
      </w:pPr>
    </w:p>
    <w:p w14:paraId="03BD3645" w14:textId="04345458" w:rsidR="00F959FC" w:rsidRDefault="00F959FC" w:rsidP="00D63CAD">
      <w:pPr>
        <w:spacing w:line="276" w:lineRule="auto"/>
        <w:jc w:val="both"/>
        <w:rPr>
          <w:rFonts w:ascii="Arial" w:hAnsi="Arial" w:cs="Arial"/>
        </w:rPr>
      </w:pPr>
      <w:r>
        <w:rPr>
          <w:rFonts w:ascii="Arial" w:hAnsi="Arial" w:cs="Arial"/>
        </w:rPr>
        <w:t xml:space="preserve">In contrast, </w:t>
      </w:r>
      <w:r w:rsidR="00D518B0">
        <w:rPr>
          <w:rFonts w:ascii="Arial" w:hAnsi="Arial" w:cs="Arial"/>
        </w:rPr>
        <w:t>Shared Parental Leave allows eligible parents to share up to 50 weeks of leave which can be taken in</w:t>
      </w:r>
      <w:r w:rsidR="002D15C8">
        <w:rPr>
          <w:rFonts w:ascii="Arial" w:hAnsi="Arial" w:cs="Arial"/>
        </w:rPr>
        <w:t xml:space="preserve"> a continuous block or 3</w:t>
      </w:r>
      <w:r w:rsidR="00D518B0">
        <w:rPr>
          <w:rFonts w:ascii="Arial" w:hAnsi="Arial" w:cs="Arial"/>
        </w:rPr>
        <w:t xml:space="preserve"> discontinuous blocks. The mother must take their compulsory maternity leave before curtailing their leave to commence Shared Parental Leave. To be eligible for Shared Parental Leave, there must be two parents sharing responsibility for a child from the day of birth and the birthing parent must either end their Maternity Leave or return to work. Additionally, the parent must be legally classed as an employee and pass the continuity of employment test, whilst the partner must pass the employment and earnings test (Acas, 2025).</w:t>
      </w:r>
    </w:p>
    <w:p w14:paraId="7F142149" w14:textId="77777777" w:rsidR="00D518B0" w:rsidRDefault="00D518B0" w:rsidP="00D63CAD">
      <w:pPr>
        <w:spacing w:line="276" w:lineRule="auto"/>
        <w:jc w:val="both"/>
        <w:rPr>
          <w:rFonts w:ascii="Arial" w:hAnsi="Arial" w:cs="Arial"/>
        </w:rPr>
      </w:pPr>
    </w:p>
    <w:p w14:paraId="446BCF85" w14:textId="212D3B82" w:rsidR="00D518B0" w:rsidRDefault="00D518B0" w:rsidP="00D63CAD">
      <w:pPr>
        <w:spacing w:line="276" w:lineRule="auto"/>
        <w:jc w:val="both"/>
        <w:rPr>
          <w:rFonts w:ascii="Arial" w:hAnsi="Arial" w:cs="Arial"/>
        </w:rPr>
      </w:pPr>
      <w:r>
        <w:rPr>
          <w:rFonts w:ascii="Arial" w:hAnsi="Arial" w:cs="Arial"/>
        </w:rPr>
        <w:t xml:space="preserve">Both types of leave carry statutory pay entitlements. Some employers offer enhanced occupational rates, but the statutory payment for Maternity Leave is for up to 39 weeks, 90% of average weekly earnings for the first 6 weeks and then £187.18 or 90% of average weekly earnings, whichever is lower for the next 33 weeks. Shared Parental </w:t>
      </w:r>
      <w:r>
        <w:rPr>
          <w:rFonts w:ascii="Arial" w:hAnsi="Arial" w:cs="Arial"/>
        </w:rPr>
        <w:lastRenderedPageBreak/>
        <w:t xml:space="preserve">Pay </w:t>
      </w:r>
      <w:r w:rsidR="002D15C8">
        <w:rPr>
          <w:rFonts w:ascii="Arial" w:hAnsi="Arial" w:cs="Arial"/>
        </w:rPr>
        <w:t>is the same</w:t>
      </w:r>
      <w:r>
        <w:rPr>
          <w:rFonts w:ascii="Arial" w:hAnsi="Arial" w:cs="Arial"/>
        </w:rPr>
        <w:t xml:space="preserve"> entitlement </w:t>
      </w:r>
      <w:r w:rsidR="002D15C8">
        <w:rPr>
          <w:rFonts w:ascii="Arial" w:hAnsi="Arial" w:cs="Arial"/>
        </w:rPr>
        <w:t xml:space="preserve">as SMP </w:t>
      </w:r>
      <w:r>
        <w:rPr>
          <w:rFonts w:ascii="Arial" w:hAnsi="Arial" w:cs="Arial"/>
        </w:rPr>
        <w:t>for up to 37 weeks and can be claimed by either parent during Shared Parental Leave (GOV.UK, 2025).</w:t>
      </w:r>
    </w:p>
    <w:p w14:paraId="408F71C2" w14:textId="77777777" w:rsidR="000743BE" w:rsidRDefault="000743BE" w:rsidP="00D63CAD">
      <w:pPr>
        <w:spacing w:line="276" w:lineRule="auto"/>
        <w:jc w:val="both"/>
        <w:rPr>
          <w:rFonts w:ascii="Arial" w:hAnsi="Arial" w:cs="Arial"/>
        </w:rPr>
      </w:pPr>
    </w:p>
    <w:p w14:paraId="6863988C" w14:textId="6AEDC2AD" w:rsidR="00F959FC" w:rsidRDefault="000743BE" w:rsidP="00D63CAD">
      <w:pPr>
        <w:spacing w:line="276" w:lineRule="auto"/>
        <w:jc w:val="both"/>
        <w:rPr>
          <w:rFonts w:ascii="Arial" w:hAnsi="Arial" w:cs="Arial"/>
        </w:rPr>
      </w:pPr>
      <w:r>
        <w:rPr>
          <w:rFonts w:ascii="Arial" w:hAnsi="Arial" w:cs="Arial"/>
        </w:rPr>
        <w:t xml:space="preserve">As outlined above, maternity leave tends to be less flexible as it’s one continuous block of leave taken by the mother of the child. Conversely, Shared Parental Leave can be taken simultaneously or consecutively and in separate periods, although separate periods </w:t>
      </w:r>
      <w:r w:rsidR="00F959FC">
        <w:rPr>
          <w:rFonts w:ascii="Arial" w:hAnsi="Arial" w:cs="Arial"/>
        </w:rPr>
        <w:t>must</w:t>
      </w:r>
      <w:r>
        <w:rPr>
          <w:rFonts w:ascii="Arial" w:hAnsi="Arial" w:cs="Arial"/>
        </w:rPr>
        <w:t xml:space="preserve"> be </w:t>
      </w:r>
      <w:r w:rsidR="00F959FC">
        <w:rPr>
          <w:rFonts w:ascii="Arial" w:hAnsi="Arial" w:cs="Arial"/>
        </w:rPr>
        <w:t>approved as per the employer’s policy</w:t>
      </w:r>
      <w:r w:rsidR="004E0BCF">
        <w:rPr>
          <w:rFonts w:ascii="Arial" w:hAnsi="Arial" w:cs="Arial"/>
        </w:rPr>
        <w:t xml:space="preserve"> </w:t>
      </w:r>
      <w:r w:rsidR="00F959FC">
        <w:rPr>
          <w:rFonts w:ascii="Arial" w:hAnsi="Arial" w:cs="Arial"/>
        </w:rPr>
        <w:t xml:space="preserve">(Acas, 2025). Shared Parental Leave is a great option for balancing responsibilities between both parents but both options are valuable types of leave. </w:t>
      </w:r>
    </w:p>
    <w:p w14:paraId="61DDFA7D" w14:textId="77777777" w:rsidR="00F959FC" w:rsidRDefault="00F959FC" w:rsidP="00D63CAD">
      <w:pPr>
        <w:spacing w:line="276" w:lineRule="auto"/>
        <w:jc w:val="both"/>
        <w:rPr>
          <w:rFonts w:ascii="Arial" w:hAnsi="Arial" w:cs="Arial"/>
        </w:rPr>
      </w:pPr>
    </w:p>
    <w:p w14:paraId="1A3CF505" w14:textId="4FE0104B" w:rsidR="000743BE" w:rsidRPr="000743BE" w:rsidRDefault="00F959FC" w:rsidP="00D63CAD">
      <w:pPr>
        <w:spacing w:line="276" w:lineRule="auto"/>
        <w:jc w:val="both"/>
        <w:rPr>
          <w:rFonts w:ascii="Arial" w:hAnsi="Arial" w:cs="Arial"/>
        </w:rPr>
      </w:pPr>
      <w:r>
        <w:rPr>
          <w:rFonts w:ascii="Arial" w:hAnsi="Arial" w:cs="Arial"/>
        </w:rPr>
        <w:t>Each situation is unique and therefore it’s recommended for both the mother and the partner to discuss their preferences, review eligibility and assess their financial situation before deciding. Of course, HR are available to assist in any questions regarding the policies and notification process, if needed.</w:t>
      </w:r>
    </w:p>
    <w:p w14:paraId="600C6048" w14:textId="77777777" w:rsidR="000743BE" w:rsidRPr="00D63CAD" w:rsidRDefault="000743BE" w:rsidP="00D63CAD">
      <w:pPr>
        <w:spacing w:line="276" w:lineRule="auto"/>
        <w:jc w:val="both"/>
        <w:rPr>
          <w:rFonts w:ascii="Arial" w:hAnsi="Arial" w:cs="Arial"/>
          <w:b/>
          <w:bCs/>
          <w:u w:val="single"/>
        </w:rPr>
      </w:pPr>
    </w:p>
    <w:p w14:paraId="0C2D26B8" w14:textId="0A6C4A16" w:rsidR="00D63CAD" w:rsidRDefault="00D63CAD" w:rsidP="00D63CAD">
      <w:pPr>
        <w:spacing w:line="276" w:lineRule="auto"/>
        <w:jc w:val="both"/>
        <w:rPr>
          <w:rFonts w:ascii="Arial" w:hAnsi="Arial" w:cs="Arial"/>
          <w:b/>
          <w:bCs/>
          <w:u w:val="single"/>
        </w:rPr>
      </w:pPr>
      <w:r w:rsidRPr="00D63CAD">
        <w:rPr>
          <w:rFonts w:ascii="Arial" w:hAnsi="Arial" w:cs="Arial"/>
          <w:b/>
          <w:bCs/>
          <w:u w:val="single"/>
        </w:rPr>
        <w:t>AC4.3</w:t>
      </w:r>
    </w:p>
    <w:p w14:paraId="2BCC9EB8" w14:textId="77777777" w:rsidR="006770D2" w:rsidRDefault="006770D2" w:rsidP="00D63CAD">
      <w:pPr>
        <w:spacing w:line="276" w:lineRule="auto"/>
        <w:jc w:val="both"/>
        <w:rPr>
          <w:rFonts w:ascii="Arial" w:hAnsi="Arial" w:cs="Arial"/>
          <w:b/>
          <w:bCs/>
          <w:u w:val="single"/>
        </w:rPr>
      </w:pPr>
    </w:p>
    <w:p w14:paraId="275BE8C7" w14:textId="77777777" w:rsidR="00054A9E" w:rsidRDefault="00174C12" w:rsidP="00D63CAD">
      <w:pPr>
        <w:spacing w:line="276" w:lineRule="auto"/>
        <w:jc w:val="both"/>
        <w:rPr>
          <w:rFonts w:ascii="Arial" w:hAnsi="Arial" w:cs="Arial"/>
        </w:rPr>
      </w:pPr>
      <w:r>
        <w:rPr>
          <w:rFonts w:ascii="Arial" w:hAnsi="Arial" w:cs="Arial"/>
        </w:rPr>
        <w:t xml:space="preserve">Flexible working is a statutory right for all employees within an organisation under the Employment Rights Act 1996. </w:t>
      </w:r>
      <w:r w:rsidR="002A7FCC">
        <w:rPr>
          <w:rFonts w:ascii="Arial" w:hAnsi="Arial" w:cs="Arial"/>
        </w:rPr>
        <w:t>The Employment Relations (Flexible Working) Act 2023 introduced a major change to flexible working legislation with effect from 6</w:t>
      </w:r>
      <w:r w:rsidR="002A7FCC" w:rsidRPr="002A7FCC">
        <w:rPr>
          <w:rFonts w:ascii="Arial" w:hAnsi="Arial" w:cs="Arial"/>
          <w:vertAlign w:val="superscript"/>
        </w:rPr>
        <w:t>th</w:t>
      </w:r>
      <w:r w:rsidR="002A7FCC">
        <w:rPr>
          <w:rFonts w:ascii="Arial" w:hAnsi="Arial" w:cs="Arial"/>
        </w:rPr>
        <w:t xml:space="preserve"> April 2024. </w:t>
      </w:r>
    </w:p>
    <w:p w14:paraId="25ABAF22" w14:textId="77777777" w:rsidR="00054A9E" w:rsidRDefault="00054A9E" w:rsidP="00D63CAD">
      <w:pPr>
        <w:spacing w:line="276" w:lineRule="auto"/>
        <w:jc w:val="both"/>
        <w:rPr>
          <w:rFonts w:ascii="Arial" w:hAnsi="Arial" w:cs="Arial"/>
        </w:rPr>
      </w:pPr>
    </w:p>
    <w:p w14:paraId="20204715" w14:textId="0BFDE0F4" w:rsidR="002A7FCC" w:rsidRDefault="002A7FCC" w:rsidP="00D63CAD">
      <w:pPr>
        <w:spacing w:line="276" w:lineRule="auto"/>
        <w:jc w:val="both"/>
        <w:rPr>
          <w:rFonts w:ascii="Arial" w:hAnsi="Arial" w:cs="Arial"/>
        </w:rPr>
      </w:pPr>
      <w:r>
        <w:rPr>
          <w:rFonts w:ascii="Arial" w:hAnsi="Arial" w:cs="Arial"/>
        </w:rPr>
        <w:t>This legislation aimed to promote a better work-life balance for employees by making the statutory right to request flexible working a day one right. Additionally, employees are now permitted to make two requests in any twelve-month period, and they no longer must outline the effects to the business and any mitigation they think may be useful. This amendment also shortened the length of time employers must respond to two months (Acas, 2024).</w:t>
      </w:r>
    </w:p>
    <w:p w14:paraId="5FA0286A" w14:textId="77777777" w:rsidR="002A7FCC" w:rsidRDefault="002A7FCC" w:rsidP="00D63CAD">
      <w:pPr>
        <w:spacing w:line="276" w:lineRule="auto"/>
        <w:jc w:val="both"/>
        <w:rPr>
          <w:rFonts w:ascii="Arial" w:hAnsi="Arial" w:cs="Arial"/>
        </w:rPr>
      </w:pPr>
    </w:p>
    <w:p w14:paraId="6654927D" w14:textId="73316D07" w:rsidR="002A7FCC" w:rsidRPr="00771811" w:rsidRDefault="00662B0B" w:rsidP="00D63CAD">
      <w:pPr>
        <w:spacing w:line="276" w:lineRule="auto"/>
        <w:jc w:val="both"/>
        <w:rPr>
          <w:rFonts w:ascii="Arial" w:hAnsi="Arial" w:cs="Arial"/>
        </w:rPr>
      </w:pPr>
      <w:r>
        <w:rPr>
          <w:rFonts w:ascii="Arial" w:hAnsi="Arial" w:cs="Arial"/>
        </w:rPr>
        <w:t xml:space="preserve">As an employer, the request must be considered in a reasonable </w:t>
      </w:r>
      <w:r w:rsidR="00771811">
        <w:rPr>
          <w:rFonts w:ascii="Arial" w:hAnsi="Arial" w:cs="Arial"/>
        </w:rPr>
        <w:t>manner,</w:t>
      </w:r>
      <w:r>
        <w:rPr>
          <w:rFonts w:ascii="Arial" w:hAnsi="Arial" w:cs="Arial"/>
        </w:rPr>
        <w:t xml:space="preserve"> and a meeting should be arranged to consult with the employee. The only basis for refusing a flexible working request remains a legitimate business reason, such as causing detrimental impact o</w:t>
      </w:r>
      <w:r w:rsidR="00771811">
        <w:rPr>
          <w:rFonts w:ascii="Arial" w:hAnsi="Arial" w:cs="Arial"/>
        </w:rPr>
        <w:t xml:space="preserve">n quality or performance. Whilst the line-manager’s concern is potentially valid, refusal must be reasonable and supported by evidence to avoid any future claim at an Employment Tribunal. For example, in </w:t>
      </w:r>
      <w:r w:rsidR="00771811">
        <w:rPr>
          <w:rFonts w:ascii="Arial" w:hAnsi="Arial" w:cs="Arial"/>
          <w:i/>
          <w:iCs/>
        </w:rPr>
        <w:t xml:space="preserve">Commotion Ltd </w:t>
      </w:r>
      <w:r w:rsidR="00771811">
        <w:rPr>
          <w:rFonts w:ascii="Arial" w:hAnsi="Arial" w:cs="Arial"/>
        </w:rPr>
        <w:t xml:space="preserve">v </w:t>
      </w:r>
      <w:r w:rsidR="00771811">
        <w:rPr>
          <w:rFonts w:ascii="Arial" w:hAnsi="Arial" w:cs="Arial"/>
          <w:i/>
          <w:iCs/>
        </w:rPr>
        <w:t xml:space="preserve">Rutty </w:t>
      </w:r>
      <w:r w:rsidR="00771811">
        <w:rPr>
          <w:rFonts w:ascii="Arial" w:hAnsi="Arial" w:cs="Arial"/>
        </w:rPr>
        <w:t xml:space="preserve">(2006), </w:t>
      </w:r>
      <w:r w:rsidR="00E815B5">
        <w:rPr>
          <w:rFonts w:ascii="Arial" w:hAnsi="Arial" w:cs="Arial"/>
        </w:rPr>
        <w:t>it was</w:t>
      </w:r>
      <w:r w:rsidR="00771811">
        <w:rPr>
          <w:rFonts w:ascii="Arial" w:hAnsi="Arial" w:cs="Arial"/>
        </w:rPr>
        <w:t xml:space="preserve"> ruled that the employer had not given reasonable grounds for the refusal and their concerns had not been substantiated</w:t>
      </w:r>
      <w:r w:rsidR="00E815B5">
        <w:rPr>
          <w:rFonts w:ascii="Arial" w:hAnsi="Arial" w:cs="Arial"/>
        </w:rPr>
        <w:t xml:space="preserve">. </w:t>
      </w:r>
      <w:r w:rsidR="00771811">
        <w:rPr>
          <w:rFonts w:ascii="Arial" w:hAnsi="Arial" w:cs="Arial"/>
        </w:rPr>
        <w:t>The line-manager should understand that everyone has a right to request flexible working, and each request would need to be considered on its own merit</w:t>
      </w:r>
      <w:r w:rsidR="00E815B5">
        <w:rPr>
          <w:rFonts w:ascii="Arial" w:hAnsi="Arial" w:cs="Arial"/>
        </w:rPr>
        <w:t xml:space="preserve"> (Acas, 2024). Employees can complain to an employment tribunal if the request was not handled in a reasonable manner or if the employee was treated poorly due to their request.</w:t>
      </w:r>
    </w:p>
    <w:p w14:paraId="6ED20BA4" w14:textId="6FDB6F49" w:rsidR="00174C12" w:rsidRDefault="00174C12" w:rsidP="00D63CAD">
      <w:pPr>
        <w:spacing w:line="276" w:lineRule="auto"/>
        <w:jc w:val="both"/>
        <w:rPr>
          <w:rFonts w:ascii="Arial" w:hAnsi="Arial" w:cs="Arial"/>
        </w:rPr>
      </w:pPr>
    </w:p>
    <w:p w14:paraId="1D15DC26" w14:textId="77777777" w:rsidR="002A7FCC" w:rsidRDefault="00174C12" w:rsidP="00D63CAD">
      <w:pPr>
        <w:spacing w:line="276" w:lineRule="auto"/>
        <w:jc w:val="both"/>
        <w:rPr>
          <w:rFonts w:ascii="Arial" w:hAnsi="Arial" w:cs="Arial"/>
        </w:rPr>
      </w:pPr>
      <w:r>
        <w:rPr>
          <w:rFonts w:ascii="Arial" w:hAnsi="Arial" w:cs="Arial"/>
        </w:rPr>
        <w:t xml:space="preserve">Flexible working is often viewed as a threat to employers, but the reality is that flexible working has proven to increase productivity and employee satisfaction (Jackson 2024). Not only is flexible working beneficial for employee wellbeing in terms of health </w:t>
      </w:r>
      <w:r>
        <w:rPr>
          <w:rFonts w:ascii="Arial" w:hAnsi="Arial" w:cs="Arial"/>
        </w:rPr>
        <w:lastRenderedPageBreak/>
        <w:t xml:space="preserve">and work-life balance, but it is also beneficial to employers by attracting and retaining staff and creating a more diverse and inclusive workplace (Acas, 2024). </w:t>
      </w:r>
    </w:p>
    <w:p w14:paraId="48BECFD0" w14:textId="77777777" w:rsidR="002A7FCC" w:rsidRDefault="002A7FCC" w:rsidP="00D63CAD">
      <w:pPr>
        <w:spacing w:line="276" w:lineRule="auto"/>
        <w:jc w:val="both"/>
        <w:rPr>
          <w:rFonts w:ascii="Arial" w:hAnsi="Arial" w:cs="Arial"/>
        </w:rPr>
      </w:pPr>
    </w:p>
    <w:p w14:paraId="7D65BCC3" w14:textId="3B2EDE47" w:rsidR="006770D2" w:rsidRDefault="00174C12" w:rsidP="00771811">
      <w:pPr>
        <w:spacing w:line="276" w:lineRule="auto"/>
        <w:jc w:val="both"/>
        <w:rPr>
          <w:rFonts w:ascii="Arial" w:hAnsi="Arial" w:cs="Arial"/>
          <w:b/>
          <w:bCs/>
          <w:u w:val="single"/>
        </w:rPr>
      </w:pPr>
      <w:r>
        <w:rPr>
          <w:rFonts w:ascii="Arial" w:hAnsi="Arial" w:cs="Arial"/>
        </w:rPr>
        <w:t>Ultimately, flexible working usually results in a positive outcome for both the employee and employer</w:t>
      </w:r>
      <w:r w:rsidR="00E815B5">
        <w:rPr>
          <w:rFonts w:ascii="Arial" w:hAnsi="Arial" w:cs="Arial"/>
        </w:rPr>
        <w:t xml:space="preserve"> and roles should be designed with flexibility in mind</w:t>
      </w:r>
      <w:r w:rsidR="002A7FCC">
        <w:rPr>
          <w:rFonts w:ascii="Arial" w:hAnsi="Arial" w:cs="Arial"/>
        </w:rPr>
        <w:t xml:space="preserve"> (Acas, 2024). </w:t>
      </w:r>
      <w:r w:rsidR="00771811">
        <w:rPr>
          <w:rFonts w:ascii="Arial" w:hAnsi="Arial" w:cs="Arial"/>
        </w:rPr>
        <w:t>A request should never be refused without carefully assessing the impact on the business and consulting the employee. Often, there are other options than refusal, such as counter-offering something more viable for the business or offering a short trial period.</w:t>
      </w:r>
    </w:p>
    <w:p w14:paraId="425FFCB9" w14:textId="280F886F" w:rsidR="006770D2" w:rsidRDefault="006770D2" w:rsidP="00D63CAD">
      <w:pPr>
        <w:spacing w:line="276" w:lineRule="auto"/>
        <w:jc w:val="both"/>
        <w:rPr>
          <w:rFonts w:ascii="Arial" w:hAnsi="Arial" w:cs="Arial"/>
          <w:b/>
          <w:bCs/>
          <w:u w:val="single"/>
        </w:rPr>
      </w:pPr>
    </w:p>
    <w:p w14:paraId="5F61A227" w14:textId="37BCBD16" w:rsidR="006F3781" w:rsidRDefault="006770D2" w:rsidP="006770D2">
      <w:pPr>
        <w:rPr>
          <w:rFonts w:ascii="Arial" w:hAnsi="Arial" w:cs="Arial"/>
          <w:b/>
          <w:bCs/>
          <w:u w:val="single"/>
        </w:rPr>
      </w:pPr>
      <w:r>
        <w:rPr>
          <w:rFonts w:ascii="Arial" w:hAnsi="Arial" w:cs="Arial"/>
          <w:b/>
          <w:bCs/>
          <w:u w:val="single"/>
        </w:rPr>
        <w:br w:type="page"/>
      </w:r>
    </w:p>
    <w:p w14:paraId="0CFEE07B" w14:textId="4C6F8573" w:rsidR="006F3781" w:rsidRDefault="006F3781" w:rsidP="00D63CAD">
      <w:pPr>
        <w:spacing w:line="276" w:lineRule="auto"/>
        <w:jc w:val="both"/>
        <w:rPr>
          <w:rFonts w:ascii="Arial" w:hAnsi="Arial" w:cs="Arial"/>
          <w:b/>
          <w:bCs/>
          <w:u w:val="single"/>
        </w:rPr>
      </w:pPr>
      <w:r>
        <w:rPr>
          <w:rFonts w:ascii="Arial" w:hAnsi="Arial" w:cs="Arial"/>
          <w:b/>
          <w:bCs/>
          <w:u w:val="single"/>
        </w:rPr>
        <w:lastRenderedPageBreak/>
        <w:t>Reference List</w:t>
      </w:r>
    </w:p>
    <w:p w14:paraId="430674E1" w14:textId="77777777" w:rsidR="006770D2" w:rsidRDefault="006770D2" w:rsidP="00D63CAD">
      <w:pPr>
        <w:spacing w:line="276" w:lineRule="auto"/>
        <w:jc w:val="both"/>
        <w:rPr>
          <w:rFonts w:ascii="Arial" w:hAnsi="Arial" w:cs="Arial"/>
          <w:b/>
          <w:bCs/>
          <w:u w:val="single"/>
        </w:rPr>
      </w:pPr>
    </w:p>
    <w:p w14:paraId="22021B26" w14:textId="77777777" w:rsidR="006770D2" w:rsidRPr="00FC5512" w:rsidRDefault="006770D2" w:rsidP="006770D2">
      <w:pPr>
        <w:spacing w:after="240" w:line="360" w:lineRule="auto"/>
        <w:jc w:val="both"/>
        <w:rPr>
          <w:rFonts w:ascii="Arial" w:hAnsi="Arial" w:cs="Arial"/>
          <w:color w:val="000000" w:themeColor="text1"/>
        </w:rPr>
      </w:pPr>
      <w:proofErr w:type="spellStart"/>
      <w:r w:rsidRPr="00FC5512">
        <w:rPr>
          <w:rFonts w:ascii="Arial" w:hAnsi="Arial" w:cs="Arial"/>
          <w:color w:val="000000" w:themeColor="text1"/>
        </w:rPr>
        <w:t>Adeusi</w:t>
      </w:r>
      <w:proofErr w:type="spellEnd"/>
      <w:r w:rsidRPr="00FC5512">
        <w:rPr>
          <w:rFonts w:ascii="Arial" w:hAnsi="Arial" w:cs="Arial"/>
          <w:color w:val="000000" w:themeColor="text1"/>
        </w:rPr>
        <w:t xml:space="preserve">, C. (2022) </w:t>
      </w:r>
      <w:r w:rsidRPr="00FC5512">
        <w:rPr>
          <w:rFonts w:ascii="Arial" w:hAnsi="Arial" w:cs="Arial"/>
          <w:i/>
          <w:iCs/>
          <w:color w:val="000000" w:themeColor="text1"/>
        </w:rPr>
        <w:t xml:space="preserve">5 years of gender pay reporting: How much further until we close the </w:t>
      </w:r>
      <w:proofErr w:type="gramStart"/>
      <w:r w:rsidRPr="00FC5512">
        <w:rPr>
          <w:rFonts w:ascii="Arial" w:hAnsi="Arial" w:cs="Arial"/>
          <w:i/>
          <w:iCs/>
          <w:color w:val="000000" w:themeColor="text1"/>
        </w:rPr>
        <w:t>gap?</w:t>
      </w:r>
      <w:r w:rsidRPr="00FC5512">
        <w:rPr>
          <w:rFonts w:ascii="Arial" w:hAnsi="Arial" w:cs="Arial"/>
          <w:color w:val="000000" w:themeColor="text1"/>
        </w:rPr>
        <w:t>,</w:t>
      </w:r>
      <w:proofErr w:type="gramEnd"/>
      <w:r w:rsidRPr="00FC5512">
        <w:rPr>
          <w:rFonts w:ascii="Arial" w:hAnsi="Arial" w:cs="Arial"/>
          <w:color w:val="000000" w:themeColor="text1"/>
        </w:rPr>
        <w:t xml:space="preserve">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https://www.acas.org.uk/5-years-of-gender-pay-reporting-how-much-further-until-we-close-the-gap (Accessed: 08 June 2025). </w:t>
      </w:r>
    </w:p>
    <w:p w14:paraId="45D84CB5"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Asda Stores Ltd</w:t>
      </w:r>
      <w:r w:rsidRPr="00FC5512">
        <w:rPr>
          <w:rFonts w:ascii="Arial" w:hAnsi="Arial" w:cs="Arial"/>
          <w:color w:val="000000" w:themeColor="text1"/>
        </w:rPr>
        <w:t xml:space="preserve"> v </w:t>
      </w:r>
      <w:r w:rsidRPr="00FC5512">
        <w:rPr>
          <w:rFonts w:ascii="Arial" w:hAnsi="Arial" w:cs="Arial"/>
          <w:i/>
          <w:iCs/>
          <w:color w:val="000000" w:themeColor="text1"/>
        </w:rPr>
        <w:t>Brierley and others</w:t>
      </w:r>
      <w:r w:rsidRPr="00FC5512">
        <w:rPr>
          <w:rFonts w:ascii="Arial" w:hAnsi="Arial" w:cs="Arial"/>
          <w:color w:val="000000" w:themeColor="text1"/>
        </w:rPr>
        <w:t xml:space="preserve"> (2021) UKSC 10</w:t>
      </w:r>
    </w:p>
    <w:p w14:paraId="160395AC"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Calculating holiday pay – holiday entitlement</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https://www.acas.org.uk/checking-holiday-entitlement/calculating-holiday-pay (Accessed: 08 June 2025). </w:t>
      </w:r>
    </w:p>
    <w:p w14:paraId="229199C3" w14:textId="77777777" w:rsidR="006770D2" w:rsidRPr="00FC5512" w:rsidRDefault="006770D2" w:rsidP="006770D2">
      <w:pPr>
        <w:spacing w:after="240" w:line="360" w:lineRule="auto"/>
        <w:jc w:val="both"/>
        <w:rPr>
          <w:rFonts w:ascii="Arial" w:hAnsi="Arial" w:cs="Arial"/>
          <w:color w:val="000000" w:themeColor="text1"/>
        </w:rPr>
      </w:pPr>
      <w:r w:rsidRPr="00551AAE">
        <w:rPr>
          <w:rFonts w:ascii="Arial" w:hAnsi="Arial" w:cs="Arial"/>
          <w:i/>
          <w:iCs/>
          <w:color w:val="000000" w:themeColor="text1"/>
        </w:rPr>
        <w:t>Capita Hartshead Ltd</w:t>
      </w:r>
      <w:r w:rsidRPr="00551AAE">
        <w:rPr>
          <w:rFonts w:ascii="Arial" w:hAnsi="Arial" w:cs="Arial"/>
          <w:color w:val="000000" w:themeColor="text1"/>
        </w:rPr>
        <w:t xml:space="preserve"> v </w:t>
      </w:r>
      <w:r w:rsidRPr="00551AAE">
        <w:rPr>
          <w:rFonts w:ascii="Arial" w:hAnsi="Arial" w:cs="Arial"/>
          <w:i/>
          <w:iCs/>
          <w:color w:val="000000" w:themeColor="text1"/>
        </w:rPr>
        <w:t>Byard</w:t>
      </w:r>
      <w:r w:rsidRPr="00551AAE">
        <w:rPr>
          <w:rFonts w:ascii="Arial" w:hAnsi="Arial" w:cs="Arial"/>
          <w:color w:val="000000" w:themeColor="text1"/>
        </w:rPr>
        <w:t xml:space="preserve"> (2012) UKEAT/0445/11</w:t>
      </w:r>
    </w:p>
    <w:p w14:paraId="46C4A31C"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Code of practice on requests for flexible working</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https://www.acas.org.uk/acas-code-of-practice-on-flexible-working-requests/html (Accessed: 08 June 2025). </w:t>
      </w:r>
    </w:p>
    <w:p w14:paraId="1450F2AD" w14:textId="007A9A5D" w:rsidR="00771811" w:rsidRPr="00FC5512" w:rsidRDefault="00771811" w:rsidP="006770D2">
      <w:pPr>
        <w:spacing w:after="240" w:line="360" w:lineRule="auto"/>
        <w:jc w:val="both"/>
        <w:rPr>
          <w:rFonts w:ascii="Arial" w:hAnsi="Arial" w:cs="Arial"/>
          <w:color w:val="000000" w:themeColor="text1"/>
        </w:rPr>
      </w:pPr>
      <w:r>
        <w:rPr>
          <w:rFonts w:ascii="Arial" w:hAnsi="Arial" w:cs="Arial"/>
          <w:i/>
          <w:iCs/>
        </w:rPr>
        <w:t xml:space="preserve">Commotion Ltd </w:t>
      </w:r>
      <w:r>
        <w:rPr>
          <w:rFonts w:ascii="Arial" w:hAnsi="Arial" w:cs="Arial"/>
        </w:rPr>
        <w:t xml:space="preserve">v </w:t>
      </w:r>
      <w:r>
        <w:rPr>
          <w:rFonts w:ascii="Arial" w:hAnsi="Arial" w:cs="Arial"/>
          <w:i/>
          <w:iCs/>
        </w:rPr>
        <w:t xml:space="preserve">Rutty </w:t>
      </w:r>
      <w:r>
        <w:rPr>
          <w:rFonts w:ascii="Arial" w:hAnsi="Arial" w:cs="Arial"/>
        </w:rPr>
        <w:t>(2006) ICR 290</w:t>
      </w:r>
    </w:p>
    <w:p w14:paraId="00B237C7"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Constructive Dismissal – Dismissals</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https://www.acas.org.uk/dismissals/constructive-dismissal (Accessed: 08 June 2025). </w:t>
      </w:r>
    </w:p>
    <w:p w14:paraId="50126F29"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Daniels, K. (2025) </w:t>
      </w:r>
      <w:r w:rsidRPr="00FC5512">
        <w:rPr>
          <w:rFonts w:ascii="Arial" w:hAnsi="Arial" w:cs="Arial"/>
          <w:i/>
          <w:iCs/>
          <w:color w:val="000000" w:themeColor="text1"/>
        </w:rPr>
        <w:t>Introduction to Employment Law: Fundamentals for HR and Business Students</w:t>
      </w:r>
      <w:r w:rsidRPr="00FC5512">
        <w:rPr>
          <w:rFonts w:ascii="Arial" w:hAnsi="Arial" w:cs="Arial"/>
          <w:color w:val="000000" w:themeColor="text1"/>
        </w:rPr>
        <w:t xml:space="preserve">. 7th </w:t>
      </w:r>
      <w:proofErr w:type="spellStart"/>
      <w:r w:rsidRPr="00FC5512">
        <w:rPr>
          <w:rFonts w:ascii="Arial" w:hAnsi="Arial" w:cs="Arial"/>
          <w:color w:val="000000" w:themeColor="text1"/>
        </w:rPr>
        <w:t>edn</w:t>
      </w:r>
      <w:proofErr w:type="spellEnd"/>
      <w:r w:rsidRPr="00FC5512">
        <w:rPr>
          <w:rFonts w:ascii="Arial" w:hAnsi="Arial" w:cs="Arial"/>
          <w:color w:val="000000" w:themeColor="text1"/>
        </w:rPr>
        <w:t xml:space="preserve">. London: </w:t>
      </w:r>
      <w:proofErr w:type="spellStart"/>
      <w:r w:rsidRPr="00FC5512">
        <w:rPr>
          <w:rFonts w:ascii="Arial" w:hAnsi="Arial" w:cs="Arial"/>
          <w:color w:val="000000" w:themeColor="text1"/>
        </w:rPr>
        <w:t>KoganPage</w:t>
      </w:r>
      <w:proofErr w:type="spellEnd"/>
      <w:r w:rsidRPr="00FC5512">
        <w:rPr>
          <w:rFonts w:ascii="Arial" w:hAnsi="Arial" w:cs="Arial"/>
          <w:color w:val="000000" w:themeColor="text1"/>
        </w:rPr>
        <w:t xml:space="preserve">. </w:t>
      </w:r>
    </w:p>
    <w:p w14:paraId="6E3F55A1" w14:textId="77777777" w:rsidR="006770D2" w:rsidRPr="00FC5512" w:rsidRDefault="006770D2" w:rsidP="006770D2">
      <w:pPr>
        <w:spacing w:after="240" w:line="360" w:lineRule="auto"/>
        <w:jc w:val="both"/>
        <w:rPr>
          <w:rFonts w:ascii="Arial" w:hAnsi="Arial" w:cs="Arial"/>
          <w:color w:val="000000" w:themeColor="text1"/>
        </w:rPr>
      </w:pPr>
      <w:r w:rsidRPr="008F2E43">
        <w:rPr>
          <w:rFonts w:ascii="Arial" w:hAnsi="Arial" w:cs="Arial"/>
          <w:i/>
          <w:iCs/>
          <w:color w:val="000000" w:themeColor="text1"/>
        </w:rPr>
        <w:t>Discriminatory advert guidance updated | EHRC</w:t>
      </w:r>
      <w:r w:rsidRPr="008F2E43">
        <w:rPr>
          <w:rFonts w:ascii="Arial" w:hAnsi="Arial" w:cs="Arial"/>
          <w:color w:val="000000" w:themeColor="text1"/>
        </w:rPr>
        <w:t xml:space="preserve"> (2024) </w:t>
      </w:r>
      <w:r w:rsidRPr="008F2E43">
        <w:rPr>
          <w:rFonts w:ascii="Arial" w:hAnsi="Arial" w:cs="Arial"/>
          <w:i/>
          <w:iCs/>
          <w:color w:val="000000" w:themeColor="text1"/>
        </w:rPr>
        <w:t>Discriminatory advert guidance updated</w:t>
      </w:r>
      <w:r w:rsidRPr="008F2E43">
        <w:rPr>
          <w:rFonts w:ascii="Arial" w:hAnsi="Arial" w:cs="Arial"/>
          <w:color w:val="000000" w:themeColor="text1"/>
        </w:rPr>
        <w:t xml:space="preserve">. Available at: https://www.equalityhumanrights.com/discriminatory-advert-guidance-updated (Accessed: 09 June 2025). </w:t>
      </w:r>
    </w:p>
    <w:p w14:paraId="0EC4EFB6"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Etam plc v </w:t>
      </w:r>
      <w:r w:rsidRPr="00FC5512">
        <w:rPr>
          <w:rFonts w:ascii="Arial" w:hAnsi="Arial" w:cs="Arial"/>
          <w:i/>
          <w:iCs/>
          <w:color w:val="000000" w:themeColor="text1"/>
        </w:rPr>
        <w:t>Rowan</w:t>
      </w:r>
      <w:r w:rsidRPr="00FC5512">
        <w:rPr>
          <w:rFonts w:ascii="Arial" w:hAnsi="Arial" w:cs="Arial"/>
          <w:color w:val="000000" w:themeColor="text1"/>
        </w:rPr>
        <w:t xml:space="preserve"> (1989) IRLR 150</w:t>
      </w:r>
    </w:p>
    <w:p w14:paraId="342CD416"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Equal pay and the law</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https://www.acas.org.uk/equal-pay/equal-pay-law (Accessed: 08 June 2025). </w:t>
      </w:r>
    </w:p>
    <w:p w14:paraId="36D127F5"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Flexible working</w:t>
      </w:r>
      <w:r w:rsidRPr="00FC5512">
        <w:rPr>
          <w:rFonts w:ascii="Arial" w:hAnsi="Arial" w:cs="Arial"/>
          <w:color w:val="000000" w:themeColor="text1"/>
        </w:rPr>
        <w:t xml:space="preserve"> (no date)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https://www.gov.uk/flexible-working (Accessed: 08 June 2025). </w:t>
      </w:r>
    </w:p>
    <w:p w14:paraId="10F6C549"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lastRenderedPageBreak/>
        <w:t xml:space="preserve">Hamor, F. (2024) </w:t>
      </w:r>
      <w:r w:rsidRPr="00FC5512">
        <w:rPr>
          <w:rFonts w:ascii="Arial" w:hAnsi="Arial" w:cs="Arial"/>
          <w:i/>
          <w:iCs/>
          <w:color w:val="000000" w:themeColor="text1"/>
        </w:rPr>
        <w:t>The Brexit effect: Tupe and Working Time</w:t>
      </w:r>
      <w:r w:rsidRPr="00FC5512">
        <w:rPr>
          <w:rFonts w:ascii="Arial" w:hAnsi="Arial" w:cs="Arial"/>
          <w:color w:val="000000" w:themeColor="text1"/>
        </w:rPr>
        <w:t xml:space="preserve">, </w:t>
      </w:r>
      <w:r w:rsidRPr="00FC5512">
        <w:rPr>
          <w:rFonts w:ascii="Arial" w:hAnsi="Arial" w:cs="Arial"/>
          <w:i/>
          <w:iCs/>
          <w:color w:val="000000" w:themeColor="text1"/>
        </w:rPr>
        <w:t>People Management</w:t>
      </w:r>
      <w:r w:rsidRPr="00FC5512">
        <w:rPr>
          <w:rFonts w:ascii="Arial" w:hAnsi="Arial" w:cs="Arial"/>
          <w:color w:val="000000" w:themeColor="text1"/>
        </w:rPr>
        <w:t xml:space="preserve">. Available at: https://www.peoplemanagement.co.uk/article/1861379/brexit-effect-tupe-working-time (Accessed: 08 June 2025). </w:t>
      </w:r>
    </w:p>
    <w:p w14:paraId="65FB4ED8"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Holiday Entitlement &amp; Pay</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https://www.cipd.org/uk/knowledge/employment-law/holidays/ (Accessed: 08 June 2025). </w:t>
      </w:r>
    </w:p>
    <w:p w14:paraId="750C9FB0"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Holiday pay and entitlement reforms from 1 January 2024</w:t>
      </w:r>
      <w:r w:rsidRPr="00FC5512">
        <w:rPr>
          <w:rFonts w:ascii="Arial" w:hAnsi="Arial" w:cs="Arial"/>
          <w:color w:val="000000" w:themeColor="text1"/>
        </w:rPr>
        <w:t xml:space="preserve"> (2024)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https://www.gov.uk/government/publications/simplifying-holiday-entitlement-and-holiday-pay-calculations/holiday-pay-and-entitlement-reforms-from-1-january-2024 (Accessed: 08 June 2025). </w:t>
      </w:r>
    </w:p>
    <w:p w14:paraId="0057205F"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How shared parental leave works – shared parental leave and pay</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https://www.acas.org.uk/shared-parental-leave-and-pay (Accessed: 08 June 2025). </w:t>
      </w:r>
    </w:p>
    <w:p w14:paraId="29819289"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Jackson, I. (2024) </w:t>
      </w:r>
      <w:r w:rsidRPr="00FC5512">
        <w:rPr>
          <w:rFonts w:ascii="Arial" w:hAnsi="Arial" w:cs="Arial"/>
          <w:i/>
          <w:iCs/>
          <w:color w:val="000000" w:themeColor="text1"/>
        </w:rPr>
        <w:t>Looming employment law reforms putting businesses off hiring, research finds</w:t>
      </w:r>
      <w:r w:rsidRPr="00FC5512">
        <w:rPr>
          <w:rFonts w:ascii="Arial" w:hAnsi="Arial" w:cs="Arial"/>
          <w:color w:val="000000" w:themeColor="text1"/>
        </w:rPr>
        <w:t xml:space="preserve">, </w:t>
      </w:r>
      <w:r w:rsidRPr="00FC5512">
        <w:rPr>
          <w:rFonts w:ascii="Arial" w:hAnsi="Arial" w:cs="Arial"/>
          <w:i/>
          <w:iCs/>
          <w:color w:val="000000" w:themeColor="text1"/>
        </w:rPr>
        <w:t>People Management</w:t>
      </w:r>
      <w:r w:rsidRPr="00FC5512">
        <w:rPr>
          <w:rFonts w:ascii="Arial" w:hAnsi="Arial" w:cs="Arial"/>
          <w:color w:val="000000" w:themeColor="text1"/>
        </w:rPr>
        <w:t xml:space="preserve">. Available at: https://www.peoplemanagement.co.uk/article/1888212/looming-employment-law-reforms-putting-businesses-off-hiring-research-finds (Accessed: 08 June 2025). </w:t>
      </w:r>
    </w:p>
    <w:p w14:paraId="6ADF6A2F" w14:textId="77777777" w:rsidR="006770D2" w:rsidRPr="00FC5512" w:rsidRDefault="006770D2" w:rsidP="006770D2">
      <w:pPr>
        <w:spacing w:after="240" w:line="360" w:lineRule="auto"/>
        <w:jc w:val="both"/>
        <w:rPr>
          <w:rFonts w:ascii="Arial" w:hAnsi="Arial" w:cs="Arial"/>
          <w:color w:val="000000" w:themeColor="text1"/>
        </w:rPr>
      </w:pPr>
      <w:r w:rsidRPr="006665F9">
        <w:rPr>
          <w:rFonts w:ascii="Arial" w:hAnsi="Arial" w:cs="Arial"/>
          <w:i/>
          <w:iCs/>
        </w:rPr>
        <w:t xml:space="preserve">King and others v Eaton Ltd </w:t>
      </w:r>
      <w:r w:rsidRPr="006665F9">
        <w:rPr>
          <w:rFonts w:ascii="Arial" w:hAnsi="Arial" w:cs="Arial"/>
        </w:rPr>
        <w:t>(1995) IRLR 199</w:t>
      </w:r>
    </w:p>
    <w:p w14:paraId="17F98231"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Lewis</w:t>
      </w:r>
      <w:r w:rsidRPr="00FC5512">
        <w:rPr>
          <w:rFonts w:ascii="Arial" w:hAnsi="Arial" w:cs="Arial"/>
          <w:color w:val="000000" w:themeColor="text1"/>
        </w:rPr>
        <w:t xml:space="preserve"> v </w:t>
      </w:r>
      <w:proofErr w:type="spellStart"/>
      <w:r w:rsidRPr="00FC5512">
        <w:rPr>
          <w:rFonts w:ascii="Arial" w:hAnsi="Arial" w:cs="Arial"/>
          <w:i/>
          <w:iCs/>
          <w:color w:val="000000" w:themeColor="text1"/>
        </w:rPr>
        <w:t>Motorworld</w:t>
      </w:r>
      <w:proofErr w:type="spellEnd"/>
      <w:r w:rsidRPr="00FC5512">
        <w:rPr>
          <w:rFonts w:ascii="Arial" w:hAnsi="Arial" w:cs="Arial"/>
          <w:i/>
          <w:iCs/>
          <w:color w:val="000000" w:themeColor="text1"/>
        </w:rPr>
        <w:t xml:space="preserve"> Garages Ltd</w:t>
      </w:r>
      <w:r w:rsidRPr="00FC5512">
        <w:rPr>
          <w:rFonts w:ascii="Arial" w:hAnsi="Arial" w:cs="Arial"/>
          <w:color w:val="000000" w:themeColor="text1"/>
        </w:rPr>
        <w:t xml:space="preserve"> (1986) ICR 157</w:t>
      </w:r>
    </w:p>
    <w:p w14:paraId="5A0441AE"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Lock v </w:t>
      </w:r>
      <w:r w:rsidRPr="00FC5512">
        <w:rPr>
          <w:rFonts w:ascii="Arial" w:hAnsi="Arial" w:cs="Arial"/>
          <w:i/>
          <w:iCs/>
          <w:color w:val="000000" w:themeColor="text1"/>
        </w:rPr>
        <w:t>British Gas Trading Ltd</w:t>
      </w:r>
      <w:r w:rsidRPr="00FC5512">
        <w:rPr>
          <w:rFonts w:ascii="Arial" w:hAnsi="Arial" w:cs="Arial"/>
          <w:color w:val="000000" w:themeColor="text1"/>
        </w:rPr>
        <w:t xml:space="preserve"> (2014) IRLR 648 ECJ</w:t>
      </w:r>
    </w:p>
    <w:p w14:paraId="70588CAB"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Managing Staff Redundancies</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https://www.acas.org.uk/manage-staff-redundancies (Accessed: 08 June 2025). </w:t>
      </w:r>
    </w:p>
    <w:p w14:paraId="1CA6E480" w14:textId="07A4E16E" w:rsidR="002D15C8" w:rsidRDefault="002D15C8" w:rsidP="006770D2">
      <w:pPr>
        <w:spacing w:after="240" w:line="360" w:lineRule="auto"/>
        <w:jc w:val="both"/>
        <w:rPr>
          <w:rFonts w:ascii="Arial" w:hAnsi="Arial" w:cs="Arial"/>
          <w:color w:val="000000" w:themeColor="text1"/>
        </w:rPr>
      </w:pPr>
      <w:r w:rsidRPr="002D15C8">
        <w:rPr>
          <w:rFonts w:ascii="Arial" w:hAnsi="Arial" w:cs="Arial"/>
          <w:i/>
          <w:iCs/>
          <w:color w:val="000000" w:themeColor="text1"/>
        </w:rPr>
        <w:t>Shared parental leave and pay: Employer guide</w:t>
      </w:r>
      <w:r w:rsidRPr="002D15C8">
        <w:rPr>
          <w:rFonts w:ascii="Arial" w:hAnsi="Arial" w:cs="Arial"/>
          <w:color w:val="000000" w:themeColor="text1"/>
        </w:rPr>
        <w:t xml:space="preserve"> (2025) </w:t>
      </w:r>
      <w:r w:rsidRPr="002D15C8">
        <w:rPr>
          <w:rFonts w:ascii="Arial" w:hAnsi="Arial" w:cs="Arial"/>
          <w:i/>
          <w:iCs/>
          <w:color w:val="000000" w:themeColor="text1"/>
        </w:rPr>
        <w:t>GOV.UK</w:t>
      </w:r>
      <w:r w:rsidRPr="002D15C8">
        <w:rPr>
          <w:rFonts w:ascii="Arial" w:hAnsi="Arial" w:cs="Arial"/>
          <w:color w:val="000000" w:themeColor="text1"/>
        </w:rPr>
        <w:t xml:space="preserve">. Available at: https://www.gov.uk/shared-parental-leave-and-pay-employer-guide (Accessed: 09 June 2025). </w:t>
      </w:r>
    </w:p>
    <w:p w14:paraId="45F17E94" w14:textId="26EA7114" w:rsidR="00D518B0" w:rsidRPr="00FC5512" w:rsidRDefault="00D518B0" w:rsidP="006770D2">
      <w:pPr>
        <w:spacing w:after="240" w:line="360" w:lineRule="auto"/>
        <w:jc w:val="both"/>
        <w:rPr>
          <w:rFonts w:ascii="Arial" w:hAnsi="Arial" w:cs="Arial"/>
          <w:color w:val="000000" w:themeColor="text1"/>
        </w:rPr>
      </w:pPr>
      <w:r w:rsidRPr="00D518B0">
        <w:rPr>
          <w:rFonts w:ascii="Arial" w:hAnsi="Arial" w:cs="Arial"/>
          <w:i/>
          <w:iCs/>
          <w:color w:val="000000" w:themeColor="text1"/>
        </w:rPr>
        <w:t xml:space="preserve">Statutory maternity </w:t>
      </w:r>
      <w:proofErr w:type="gramStart"/>
      <w:r w:rsidRPr="00D518B0">
        <w:rPr>
          <w:rFonts w:ascii="Arial" w:hAnsi="Arial" w:cs="Arial"/>
          <w:i/>
          <w:iCs/>
          <w:color w:val="000000" w:themeColor="text1"/>
        </w:rPr>
        <w:t>pay</w:t>
      </w:r>
      <w:proofErr w:type="gramEnd"/>
      <w:r w:rsidRPr="00D518B0">
        <w:rPr>
          <w:rFonts w:ascii="Arial" w:hAnsi="Arial" w:cs="Arial"/>
          <w:i/>
          <w:iCs/>
          <w:color w:val="000000" w:themeColor="text1"/>
        </w:rPr>
        <w:t xml:space="preserve"> and leave: Employer guide</w:t>
      </w:r>
      <w:r w:rsidRPr="00D518B0">
        <w:rPr>
          <w:rFonts w:ascii="Arial" w:hAnsi="Arial" w:cs="Arial"/>
          <w:color w:val="000000" w:themeColor="text1"/>
        </w:rPr>
        <w:t xml:space="preserve"> (2025) </w:t>
      </w:r>
      <w:r w:rsidRPr="00D518B0">
        <w:rPr>
          <w:rFonts w:ascii="Arial" w:hAnsi="Arial" w:cs="Arial"/>
          <w:i/>
          <w:iCs/>
          <w:color w:val="000000" w:themeColor="text1"/>
        </w:rPr>
        <w:t>GOV.UK</w:t>
      </w:r>
      <w:r w:rsidRPr="00D518B0">
        <w:rPr>
          <w:rFonts w:ascii="Arial" w:hAnsi="Arial" w:cs="Arial"/>
          <w:color w:val="000000" w:themeColor="text1"/>
        </w:rPr>
        <w:t xml:space="preserve">. Available at: https://www.gov.uk/employers-maternity-pay-leave (Accessed: 09 June 2025). </w:t>
      </w:r>
    </w:p>
    <w:p w14:paraId="101981DF"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lastRenderedPageBreak/>
        <w:t xml:space="preserve">Suff, R. (2021) </w:t>
      </w:r>
      <w:r w:rsidRPr="00FC5512">
        <w:rPr>
          <w:rFonts w:ascii="Arial" w:hAnsi="Arial" w:cs="Arial"/>
          <w:i/>
          <w:iCs/>
          <w:color w:val="000000" w:themeColor="text1"/>
        </w:rPr>
        <w:t>CIPD: UK Employment Law already strikes the right balance for employers and workers</w:t>
      </w:r>
      <w:r w:rsidRPr="00FC5512">
        <w:rPr>
          <w:rFonts w:ascii="Arial" w:hAnsi="Arial" w:cs="Arial"/>
          <w:color w:val="000000" w:themeColor="text1"/>
        </w:rPr>
        <w:t xml:space="preserve">,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https://www.cipd.org/en/about/press-releases/150121uk-employment-law-strikes-right-balance/ (Accessed: 08 June 2025). </w:t>
      </w:r>
    </w:p>
    <w:p w14:paraId="3D980454" w14:textId="77777777" w:rsidR="006770D2" w:rsidRDefault="006770D2" w:rsidP="006770D2">
      <w:pPr>
        <w:spacing w:after="240" w:line="360" w:lineRule="auto"/>
        <w:jc w:val="both"/>
        <w:rPr>
          <w:rFonts w:ascii="Arial" w:hAnsi="Arial" w:cs="Arial"/>
        </w:rPr>
      </w:pPr>
      <w:r>
        <w:rPr>
          <w:rFonts w:ascii="Arial" w:hAnsi="Arial" w:cs="Arial"/>
          <w:i/>
          <w:iCs/>
        </w:rPr>
        <w:t xml:space="preserve">Taylor </w:t>
      </w:r>
      <w:r>
        <w:rPr>
          <w:rFonts w:ascii="Arial" w:hAnsi="Arial" w:cs="Arial"/>
        </w:rPr>
        <w:t xml:space="preserve">v </w:t>
      </w:r>
      <w:r>
        <w:rPr>
          <w:rFonts w:ascii="Arial" w:hAnsi="Arial" w:cs="Arial"/>
          <w:i/>
          <w:iCs/>
        </w:rPr>
        <w:t xml:space="preserve">Connex </w:t>
      </w:r>
      <w:proofErr w:type="gramStart"/>
      <w:r>
        <w:rPr>
          <w:rFonts w:ascii="Arial" w:hAnsi="Arial" w:cs="Arial"/>
          <w:i/>
          <w:iCs/>
        </w:rPr>
        <w:t>South Eastern</w:t>
      </w:r>
      <w:proofErr w:type="gramEnd"/>
      <w:r>
        <w:rPr>
          <w:rFonts w:ascii="Arial" w:hAnsi="Arial" w:cs="Arial"/>
          <w:i/>
          <w:iCs/>
        </w:rPr>
        <w:t xml:space="preserve"> Ltd </w:t>
      </w:r>
      <w:r>
        <w:rPr>
          <w:rFonts w:ascii="Arial" w:hAnsi="Arial" w:cs="Arial"/>
        </w:rPr>
        <w:t>(2000) EAT 1243/99</w:t>
      </w:r>
    </w:p>
    <w:p w14:paraId="0BEAECD3" w14:textId="77777777" w:rsidR="006770D2" w:rsidRPr="00FC5512" w:rsidRDefault="006770D2" w:rsidP="006770D2">
      <w:pPr>
        <w:spacing w:after="240" w:line="360" w:lineRule="auto"/>
        <w:jc w:val="both"/>
        <w:rPr>
          <w:rFonts w:ascii="Arial" w:hAnsi="Arial" w:cs="Arial"/>
          <w:color w:val="000000" w:themeColor="text1"/>
        </w:rPr>
      </w:pPr>
      <w:r w:rsidRPr="00D659BD">
        <w:rPr>
          <w:rFonts w:ascii="Arial" w:hAnsi="Arial" w:cs="Arial"/>
          <w:i/>
          <w:iCs/>
          <w:color w:val="000000" w:themeColor="text1"/>
        </w:rPr>
        <w:t>Taking maternity leave – maternity leave and pay</w:t>
      </w:r>
      <w:r w:rsidRPr="00D659BD">
        <w:rPr>
          <w:rFonts w:ascii="Arial" w:hAnsi="Arial" w:cs="Arial"/>
          <w:color w:val="000000" w:themeColor="text1"/>
        </w:rPr>
        <w:t xml:space="preserve"> (2025) </w:t>
      </w:r>
      <w:r w:rsidRPr="00D659BD">
        <w:rPr>
          <w:rFonts w:ascii="Arial" w:hAnsi="Arial" w:cs="Arial"/>
          <w:i/>
          <w:iCs/>
          <w:color w:val="000000" w:themeColor="text1"/>
        </w:rPr>
        <w:t>Acas</w:t>
      </w:r>
      <w:r w:rsidRPr="00D659BD">
        <w:rPr>
          <w:rFonts w:ascii="Arial" w:hAnsi="Arial" w:cs="Arial"/>
          <w:color w:val="000000" w:themeColor="text1"/>
        </w:rPr>
        <w:t xml:space="preserve">. Available at: https://www.acas.org.uk/your-maternity-leave-pay-and-other-rights/taking-maternity-leave (Accessed: 09 June 2025). </w:t>
      </w:r>
    </w:p>
    <w:p w14:paraId="4E8C1A1E"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The UK’s relationship with EU Employment Law post-Brexit</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https://www.cipd.org/uk/knowledge/employment-law/uk-employment-law-eu/ (Accessed: 08 June 2025). </w:t>
      </w:r>
    </w:p>
    <w:p w14:paraId="6FD2C4F7"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TUPE: UK Employment Law</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https://www.cipd.org/uk/knowledge/employment-law/tupe/ (Accessed: 08 June 2025). </w:t>
      </w:r>
    </w:p>
    <w:p w14:paraId="03DB304B"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Using Protected Characteristics – Recruitment</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https://www.acas.org.uk/recruitment/using-protected-characteristics (Accessed: 08 June 2025). </w:t>
      </w:r>
    </w:p>
    <w:p w14:paraId="0AD86AC4"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VOA Gender Pay Report 2024</w:t>
      </w:r>
      <w:r w:rsidRPr="00FC5512">
        <w:rPr>
          <w:rFonts w:ascii="Arial" w:hAnsi="Arial" w:cs="Arial"/>
          <w:color w:val="000000" w:themeColor="text1"/>
        </w:rPr>
        <w:t xml:space="preserve"> (2024)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https://www.gov.uk/government/publications/voa-gender-pay-gap-report-and-data-2024/voa-gender-pay-report-2024 (Accessed: 08 June 2025). </w:t>
      </w:r>
    </w:p>
    <w:p w14:paraId="2B84998D"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What a TUPE transfer is – TUPE</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https://www.acas.org.uk/tupe/advice-for-employers-and-employees (Accessed: 08 June 2025). </w:t>
      </w:r>
    </w:p>
    <w:p w14:paraId="1903807B"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Western Excavating</w:t>
      </w:r>
      <w:r w:rsidRPr="00FC5512">
        <w:rPr>
          <w:rFonts w:ascii="Arial" w:hAnsi="Arial" w:cs="Arial"/>
          <w:color w:val="000000" w:themeColor="text1"/>
        </w:rPr>
        <w:t xml:space="preserve"> (ECC) </w:t>
      </w:r>
      <w:r w:rsidRPr="00FC5512">
        <w:rPr>
          <w:rFonts w:ascii="Arial" w:hAnsi="Arial" w:cs="Arial"/>
          <w:i/>
          <w:iCs/>
          <w:color w:val="000000" w:themeColor="text1"/>
        </w:rPr>
        <w:t>Ltd v Sharp</w:t>
      </w:r>
      <w:r w:rsidRPr="00FC5512">
        <w:rPr>
          <w:rFonts w:ascii="Arial" w:hAnsi="Arial" w:cs="Arial"/>
          <w:color w:val="000000" w:themeColor="text1"/>
        </w:rPr>
        <w:t xml:space="preserve"> (1978) IRLR 27</w:t>
      </w:r>
    </w:p>
    <w:p w14:paraId="3664A263"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What flexible working is – statutory flexible working requests</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https://www.acas.org.uk/statutory-flexible-working-requests (Accessed: 08 June 2025). </w:t>
      </w:r>
    </w:p>
    <w:p w14:paraId="4DB6702E"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When you must consult – collective consultation for redundancy</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https://www.acas.org.uk/collective-consultation-redundancy (Accessed: 08 June 2025). </w:t>
      </w:r>
    </w:p>
    <w:p w14:paraId="6AFA61BC" w14:textId="77777777" w:rsidR="006770D2" w:rsidRPr="00FC5512" w:rsidRDefault="006770D2" w:rsidP="006770D2">
      <w:pPr>
        <w:spacing w:after="240" w:line="360" w:lineRule="auto"/>
        <w:jc w:val="both"/>
        <w:rPr>
          <w:rFonts w:ascii="Arial" w:hAnsi="Arial" w:cs="Arial"/>
        </w:rPr>
      </w:pPr>
      <w:r w:rsidRPr="00FC5512">
        <w:rPr>
          <w:rFonts w:ascii="Arial" w:hAnsi="Arial" w:cs="Arial"/>
          <w:color w:val="000000" w:themeColor="text1"/>
        </w:rPr>
        <w:lastRenderedPageBreak/>
        <w:t>Young, J. (2024) Employee engagement &amp; motivation: Factsheets, CIPD. Available at: https://www.cipd.org/uk/knowledge/factsheets/engagement-factsheet/ (Accessed: 31 March 2025).</w:t>
      </w:r>
    </w:p>
    <w:p w14:paraId="51EA3BB9" w14:textId="77777777" w:rsidR="006770D2" w:rsidRPr="00D63CAD" w:rsidRDefault="006770D2" w:rsidP="00D63CAD">
      <w:pPr>
        <w:spacing w:line="276" w:lineRule="auto"/>
        <w:jc w:val="both"/>
        <w:rPr>
          <w:rFonts w:ascii="Arial" w:hAnsi="Arial" w:cs="Arial"/>
          <w:b/>
          <w:bCs/>
          <w:u w:val="single"/>
        </w:rPr>
      </w:pPr>
    </w:p>
    <w:sectPr w:rsidR="006770D2" w:rsidRPr="00D63CAD" w:rsidSect="00D91FA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81F6C"/>
    <w:multiLevelType w:val="hybridMultilevel"/>
    <w:tmpl w:val="00C4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20892"/>
    <w:multiLevelType w:val="hybridMultilevel"/>
    <w:tmpl w:val="00DA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423C1"/>
    <w:multiLevelType w:val="hybridMultilevel"/>
    <w:tmpl w:val="9D00B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502695">
    <w:abstractNumId w:val="2"/>
  </w:num>
  <w:num w:numId="2" w16cid:durableId="1125929233">
    <w:abstractNumId w:val="1"/>
  </w:num>
  <w:num w:numId="3" w16cid:durableId="1933926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4EB"/>
    <w:rsid w:val="00054A9E"/>
    <w:rsid w:val="000743BE"/>
    <w:rsid w:val="00082C4A"/>
    <w:rsid w:val="00127C32"/>
    <w:rsid w:val="00174C12"/>
    <w:rsid w:val="001825F5"/>
    <w:rsid w:val="002A7FCC"/>
    <w:rsid w:val="002D15C8"/>
    <w:rsid w:val="0036331F"/>
    <w:rsid w:val="0038382E"/>
    <w:rsid w:val="00396081"/>
    <w:rsid w:val="003E6E72"/>
    <w:rsid w:val="004E0BCF"/>
    <w:rsid w:val="00504069"/>
    <w:rsid w:val="00662B0B"/>
    <w:rsid w:val="006770D2"/>
    <w:rsid w:val="00697361"/>
    <w:rsid w:val="006D31B3"/>
    <w:rsid w:val="006F3781"/>
    <w:rsid w:val="00755519"/>
    <w:rsid w:val="00771811"/>
    <w:rsid w:val="007D588A"/>
    <w:rsid w:val="00852278"/>
    <w:rsid w:val="008720E0"/>
    <w:rsid w:val="00A10A02"/>
    <w:rsid w:val="00B01735"/>
    <w:rsid w:val="00B11322"/>
    <w:rsid w:val="00BA06C9"/>
    <w:rsid w:val="00BB37BE"/>
    <w:rsid w:val="00D170D0"/>
    <w:rsid w:val="00D518B0"/>
    <w:rsid w:val="00D63CAD"/>
    <w:rsid w:val="00D6742E"/>
    <w:rsid w:val="00D76414"/>
    <w:rsid w:val="00D91FA0"/>
    <w:rsid w:val="00DA57B6"/>
    <w:rsid w:val="00E15315"/>
    <w:rsid w:val="00E372C5"/>
    <w:rsid w:val="00E815B5"/>
    <w:rsid w:val="00EF41BA"/>
    <w:rsid w:val="00F3174E"/>
    <w:rsid w:val="00F959FC"/>
    <w:rsid w:val="00FA03B9"/>
    <w:rsid w:val="00FA04EB"/>
    <w:rsid w:val="00FA12AD"/>
    <w:rsid w:val="00FA70DB"/>
    <w:rsid w:val="00FE1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A00F9A"/>
  <w14:defaultImageDpi w14:val="32767"/>
  <w15:chartTrackingRefBased/>
  <w15:docId w15:val="{CDA82BE3-F263-8249-8105-5F83B7D91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4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04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04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04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04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04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4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4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4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4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04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04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04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04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04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4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4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4EB"/>
    <w:rPr>
      <w:rFonts w:eastAsiaTheme="majorEastAsia" w:cstheme="majorBidi"/>
      <w:color w:val="272727" w:themeColor="text1" w:themeTint="D8"/>
    </w:rPr>
  </w:style>
  <w:style w:type="paragraph" w:styleId="Title">
    <w:name w:val="Title"/>
    <w:basedOn w:val="Normal"/>
    <w:next w:val="Normal"/>
    <w:link w:val="TitleChar"/>
    <w:uiPriority w:val="10"/>
    <w:qFormat/>
    <w:rsid w:val="00FA04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4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4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4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4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04EB"/>
    <w:rPr>
      <w:i/>
      <w:iCs/>
      <w:color w:val="404040" w:themeColor="text1" w:themeTint="BF"/>
    </w:rPr>
  </w:style>
  <w:style w:type="paragraph" w:styleId="ListParagraph">
    <w:name w:val="List Paragraph"/>
    <w:basedOn w:val="Normal"/>
    <w:uiPriority w:val="34"/>
    <w:qFormat/>
    <w:rsid w:val="00FA04EB"/>
    <w:pPr>
      <w:ind w:left="720"/>
      <w:contextualSpacing/>
    </w:pPr>
  </w:style>
  <w:style w:type="character" w:styleId="IntenseEmphasis">
    <w:name w:val="Intense Emphasis"/>
    <w:basedOn w:val="DefaultParagraphFont"/>
    <w:uiPriority w:val="21"/>
    <w:qFormat/>
    <w:rsid w:val="00FA04EB"/>
    <w:rPr>
      <w:i/>
      <w:iCs/>
      <w:color w:val="2F5496" w:themeColor="accent1" w:themeShade="BF"/>
    </w:rPr>
  </w:style>
  <w:style w:type="paragraph" w:styleId="IntenseQuote">
    <w:name w:val="Intense Quote"/>
    <w:basedOn w:val="Normal"/>
    <w:next w:val="Normal"/>
    <w:link w:val="IntenseQuoteChar"/>
    <w:uiPriority w:val="30"/>
    <w:qFormat/>
    <w:rsid w:val="00FA04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04EB"/>
    <w:rPr>
      <w:i/>
      <w:iCs/>
      <w:color w:val="2F5496" w:themeColor="accent1" w:themeShade="BF"/>
    </w:rPr>
  </w:style>
  <w:style w:type="character" w:styleId="IntenseReference">
    <w:name w:val="Intense Reference"/>
    <w:basedOn w:val="DefaultParagraphFont"/>
    <w:uiPriority w:val="32"/>
    <w:qFormat/>
    <w:rsid w:val="00FA04E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072703">
      <w:bodyDiv w:val="1"/>
      <w:marLeft w:val="0"/>
      <w:marRight w:val="0"/>
      <w:marTop w:val="0"/>
      <w:marBottom w:val="0"/>
      <w:divBdr>
        <w:top w:val="none" w:sz="0" w:space="0" w:color="auto"/>
        <w:left w:val="none" w:sz="0" w:space="0" w:color="auto"/>
        <w:bottom w:val="none" w:sz="0" w:space="0" w:color="auto"/>
        <w:right w:val="none" w:sz="0" w:space="0" w:color="auto"/>
      </w:divBdr>
    </w:div>
    <w:div w:id="566116425">
      <w:bodyDiv w:val="1"/>
      <w:marLeft w:val="0"/>
      <w:marRight w:val="0"/>
      <w:marTop w:val="0"/>
      <w:marBottom w:val="0"/>
      <w:divBdr>
        <w:top w:val="none" w:sz="0" w:space="0" w:color="auto"/>
        <w:left w:val="none" w:sz="0" w:space="0" w:color="auto"/>
        <w:bottom w:val="none" w:sz="0" w:space="0" w:color="auto"/>
        <w:right w:val="none" w:sz="0" w:space="0" w:color="auto"/>
      </w:divBdr>
    </w:div>
    <w:div w:id="1204319921">
      <w:bodyDiv w:val="1"/>
      <w:marLeft w:val="0"/>
      <w:marRight w:val="0"/>
      <w:marTop w:val="0"/>
      <w:marBottom w:val="0"/>
      <w:divBdr>
        <w:top w:val="none" w:sz="0" w:space="0" w:color="auto"/>
        <w:left w:val="none" w:sz="0" w:space="0" w:color="auto"/>
        <w:bottom w:val="none" w:sz="0" w:space="0" w:color="auto"/>
        <w:right w:val="none" w:sz="0" w:space="0" w:color="auto"/>
      </w:divBdr>
    </w:div>
    <w:div w:id="169583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13</Pages>
  <Words>3924</Words>
  <Characters>22369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 (2418482)</dc:creator>
  <cp:keywords/>
  <dc:description/>
  <cp:lastModifiedBy>Ffion Morgan (2418482)</cp:lastModifiedBy>
  <cp:revision>20</cp:revision>
  <dcterms:created xsi:type="dcterms:W3CDTF">2025-06-08T18:30:00Z</dcterms:created>
  <dcterms:modified xsi:type="dcterms:W3CDTF">2025-06-09T22:57:00Z</dcterms:modified>
</cp:coreProperties>
</file>