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C8B0B" w14:textId="77777777" w:rsidR="00DA284D" w:rsidRPr="00DA284D" w:rsidRDefault="00DA284D" w:rsidP="00DA284D">
      <w:pPr>
        <w:keepNext/>
        <w:suppressAutoHyphens/>
        <w:autoSpaceDN w:val="0"/>
        <w:spacing w:before="240" w:after="60" w:line="240" w:lineRule="auto"/>
        <w:textAlignment w:val="baseline"/>
        <w:outlineLvl w:val="1"/>
        <w:rPr>
          <w:rFonts w:ascii="Calibri Light" w:eastAsia="Times New Roman" w:hAnsi="Calibri Light" w:cs="Times New Roman"/>
          <w:b/>
          <w:bCs/>
          <w:iCs/>
          <w:sz w:val="36"/>
          <w:szCs w:val="28"/>
        </w:rPr>
      </w:pPr>
      <w:bookmarkStart w:id="0" w:name="_Toc72413611"/>
      <w:r w:rsidRPr="00DA284D">
        <w:rPr>
          <w:rFonts w:ascii="Calibri Light" w:eastAsia="Times New Roman" w:hAnsi="Calibri Light" w:cs="Times New Roman"/>
          <w:b/>
          <w:bCs/>
          <w:iCs/>
          <w:sz w:val="36"/>
          <w:szCs w:val="28"/>
        </w:rPr>
        <w:t>CHAPTER 1: INTRODUCTION</w:t>
      </w:r>
      <w:bookmarkEnd w:id="0"/>
    </w:p>
    <w:p w14:paraId="7D9F0580" w14:textId="77777777" w:rsidR="00DA284D" w:rsidRPr="00DA284D" w:rsidRDefault="00DA284D" w:rsidP="00DA284D">
      <w:pPr>
        <w:suppressAutoHyphens/>
        <w:autoSpaceDN w:val="0"/>
        <w:spacing w:line="249" w:lineRule="auto"/>
        <w:textAlignment w:val="baseline"/>
        <w:rPr>
          <w:rFonts w:ascii="Calibri" w:eastAsia="Calibri" w:hAnsi="Calibri" w:cs="Times New Roman"/>
        </w:rPr>
      </w:pPr>
    </w:p>
    <w:p w14:paraId="58A2FDE7" w14:textId="77777777" w:rsidR="00DA284D" w:rsidRPr="00DA284D" w:rsidRDefault="00DA284D" w:rsidP="00DA284D">
      <w:pPr>
        <w:suppressAutoHyphens/>
        <w:autoSpaceDN w:val="0"/>
        <w:spacing w:after="0" w:line="240" w:lineRule="auto"/>
        <w:ind w:left="567" w:right="567"/>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‘Race is fiction we must never accept. Race is a fact we must never forget’ (Jensen, 2005, p. 14). </w:t>
      </w:r>
    </w:p>
    <w:p w14:paraId="7FF3713D"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394C27B3"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This statement guides this research as it is acknowledged that ‘race’ is a social construct, a ‘made-up’ category with no biological basis (see Chapter 2, Sections 2.1.1 and 2.1.2). It is fiction. Nonetheless, the category of ‘race’ has historical and contemporary consequences through ongoing racial inequality (see Chapter 2, Sections 2.1.6 and 2.1.7). It is a fact. In recognition of the fact/fiction dichotomy of ‘race’, inverted commas are used throughout this thesis when discussing ‘race’, to acknowledge its social construction but not to diminish its consequences.</w:t>
      </w:r>
    </w:p>
    <w:p w14:paraId="399BBF4A" w14:textId="77777777" w:rsidR="00DA284D" w:rsidRPr="00DA284D" w:rsidRDefault="00DA284D" w:rsidP="00DA284D">
      <w:pPr>
        <w:suppressAutoHyphens/>
        <w:autoSpaceDN w:val="0"/>
        <w:spacing w:after="0" w:line="480" w:lineRule="auto"/>
        <w:textAlignment w:val="baseline"/>
        <w:rPr>
          <w:rFonts w:ascii="Calibri" w:eastAsia="Calibri" w:hAnsi="Calibri" w:cs="Times New Roman"/>
          <w:color w:val="0070C0"/>
          <w:sz w:val="24"/>
          <w:szCs w:val="24"/>
        </w:rPr>
      </w:pPr>
    </w:p>
    <w:p w14:paraId="27065BBE"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The purpose of this doctoral research is to explore how white trainee counsellors in South Wales understand ‘race’, racism and whiteness. The following research questions will be explored:</w:t>
      </w:r>
    </w:p>
    <w:p w14:paraId="39FA440B" w14:textId="77777777" w:rsidR="00DA284D" w:rsidRPr="00DA284D" w:rsidRDefault="00DA284D" w:rsidP="00DA284D">
      <w:pPr>
        <w:numPr>
          <w:ilvl w:val="0"/>
          <w:numId w:val="1"/>
        </w:numPr>
        <w:suppressAutoHyphens/>
        <w:autoSpaceDN w:val="0"/>
        <w:spacing w:after="0" w:line="240" w:lineRule="auto"/>
        <w:ind w:left="927" w:right="567"/>
        <w:textAlignment w:val="baseline"/>
        <w:rPr>
          <w:rFonts w:ascii="Calibri" w:eastAsia="Calibri" w:hAnsi="Calibri" w:cs="Times New Roman"/>
          <w:sz w:val="24"/>
          <w:szCs w:val="24"/>
        </w:rPr>
      </w:pPr>
      <w:r w:rsidRPr="00DA284D">
        <w:rPr>
          <w:rFonts w:ascii="Calibri" w:eastAsia="Calibri" w:hAnsi="Calibri" w:cs="Times New Roman"/>
          <w:sz w:val="24"/>
          <w:szCs w:val="24"/>
        </w:rPr>
        <w:t>How do white counselling trainees understand ‘race’?</w:t>
      </w:r>
    </w:p>
    <w:p w14:paraId="5111206E" w14:textId="77777777" w:rsidR="00DA284D" w:rsidRPr="00DA284D" w:rsidRDefault="00DA284D" w:rsidP="00DA284D">
      <w:pPr>
        <w:numPr>
          <w:ilvl w:val="0"/>
          <w:numId w:val="1"/>
        </w:numPr>
        <w:suppressAutoHyphens/>
        <w:autoSpaceDN w:val="0"/>
        <w:spacing w:after="0" w:line="240" w:lineRule="auto"/>
        <w:ind w:left="927" w:right="567"/>
        <w:textAlignment w:val="baseline"/>
        <w:rPr>
          <w:rFonts w:ascii="Calibri" w:eastAsia="Calibri" w:hAnsi="Calibri" w:cs="Times New Roman"/>
          <w:sz w:val="24"/>
          <w:szCs w:val="24"/>
        </w:rPr>
      </w:pPr>
      <w:r w:rsidRPr="00DA284D">
        <w:rPr>
          <w:rFonts w:ascii="Calibri" w:eastAsia="Calibri" w:hAnsi="Calibri" w:cs="Times New Roman"/>
          <w:sz w:val="24"/>
          <w:szCs w:val="24"/>
        </w:rPr>
        <w:t>Do they understand ‘race’ to be a social construct?</w:t>
      </w:r>
    </w:p>
    <w:p w14:paraId="1915EBEA" w14:textId="77777777" w:rsidR="00DA284D" w:rsidRPr="00DA284D" w:rsidRDefault="00DA284D" w:rsidP="00DA284D">
      <w:pPr>
        <w:numPr>
          <w:ilvl w:val="0"/>
          <w:numId w:val="1"/>
        </w:numPr>
        <w:suppressAutoHyphens/>
        <w:autoSpaceDN w:val="0"/>
        <w:spacing w:after="0" w:line="240" w:lineRule="auto"/>
        <w:ind w:left="927" w:right="567"/>
        <w:textAlignment w:val="baseline"/>
        <w:rPr>
          <w:rFonts w:ascii="Calibri" w:eastAsia="Calibri" w:hAnsi="Calibri" w:cs="Times New Roman"/>
          <w:sz w:val="24"/>
          <w:szCs w:val="24"/>
        </w:rPr>
      </w:pPr>
      <w:r w:rsidRPr="00DA284D">
        <w:rPr>
          <w:rFonts w:ascii="Calibri" w:eastAsia="Calibri" w:hAnsi="Calibri" w:cs="Times New Roman"/>
          <w:sz w:val="24"/>
          <w:szCs w:val="24"/>
        </w:rPr>
        <w:t>How do they understand racism?</w:t>
      </w:r>
    </w:p>
    <w:p w14:paraId="79081C36" w14:textId="77777777" w:rsidR="00DA284D" w:rsidRPr="00DA284D" w:rsidRDefault="00DA284D" w:rsidP="00DA284D">
      <w:pPr>
        <w:numPr>
          <w:ilvl w:val="0"/>
          <w:numId w:val="1"/>
        </w:numPr>
        <w:suppressAutoHyphens/>
        <w:autoSpaceDN w:val="0"/>
        <w:spacing w:after="0" w:line="240" w:lineRule="auto"/>
        <w:ind w:left="927" w:right="567"/>
        <w:textAlignment w:val="baseline"/>
        <w:rPr>
          <w:rFonts w:ascii="Calibri" w:eastAsia="Calibri" w:hAnsi="Calibri" w:cs="Times New Roman"/>
          <w:sz w:val="24"/>
          <w:szCs w:val="24"/>
        </w:rPr>
      </w:pPr>
      <w:r w:rsidRPr="00DA284D">
        <w:rPr>
          <w:rFonts w:ascii="Calibri" w:eastAsia="Calibri" w:hAnsi="Calibri" w:cs="Times New Roman"/>
          <w:sz w:val="24"/>
          <w:szCs w:val="24"/>
        </w:rPr>
        <w:t>Do they perceive whiteness as a racialised identity?</w:t>
      </w:r>
    </w:p>
    <w:p w14:paraId="472F4A43" w14:textId="77777777" w:rsidR="00DA284D" w:rsidRPr="00DA284D" w:rsidRDefault="00DA284D" w:rsidP="00DA284D">
      <w:pPr>
        <w:numPr>
          <w:ilvl w:val="0"/>
          <w:numId w:val="1"/>
        </w:numPr>
        <w:suppressAutoHyphens/>
        <w:autoSpaceDN w:val="0"/>
        <w:spacing w:after="0" w:line="240" w:lineRule="auto"/>
        <w:ind w:left="927" w:right="567"/>
        <w:textAlignment w:val="baseline"/>
        <w:rPr>
          <w:rFonts w:ascii="Calibri" w:eastAsia="Calibri" w:hAnsi="Calibri" w:cs="Times New Roman"/>
          <w:sz w:val="24"/>
          <w:szCs w:val="24"/>
        </w:rPr>
      </w:pPr>
      <w:r w:rsidRPr="00DA284D">
        <w:rPr>
          <w:rFonts w:ascii="Calibri" w:eastAsia="Calibri" w:hAnsi="Calibri" w:cs="Times New Roman"/>
          <w:sz w:val="24"/>
          <w:szCs w:val="24"/>
        </w:rPr>
        <w:t>How do they feel discussing ‘race’ and racism?</w:t>
      </w:r>
    </w:p>
    <w:p w14:paraId="7C40D5E9"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5E5B4939" w14:textId="77777777" w:rsidR="00DA284D" w:rsidRPr="00DA284D" w:rsidRDefault="00DA284D" w:rsidP="00DA284D">
      <w:pPr>
        <w:suppressAutoHyphens/>
        <w:autoSpaceDN w:val="0"/>
        <w:spacing w:after="0" w:line="480" w:lineRule="auto"/>
        <w:textAlignment w:val="baseline"/>
        <w:rPr>
          <w:rFonts w:ascii="Calibri" w:eastAsia="Calibri" w:hAnsi="Calibri" w:cs="Times New Roman"/>
        </w:rPr>
      </w:pPr>
      <w:r w:rsidRPr="00DA284D">
        <w:rPr>
          <w:rFonts w:ascii="Calibri" w:eastAsia="Calibri" w:hAnsi="Calibri" w:cs="Times New Roman"/>
          <w:sz w:val="24"/>
          <w:szCs w:val="24"/>
        </w:rPr>
        <w:t>To date, these questions have not been</w:t>
      </w:r>
      <w:r w:rsidRPr="00DA284D">
        <w:rPr>
          <w:rFonts w:ascii="Segoe UI" w:eastAsia="Times New Roman" w:hAnsi="Segoe UI" w:cs="Segoe UI"/>
          <w:sz w:val="24"/>
          <w:szCs w:val="24"/>
          <w:lang w:eastAsia="en-GB"/>
        </w:rPr>
        <w:t xml:space="preserve"> </w:t>
      </w:r>
      <w:r w:rsidRPr="00DA284D">
        <w:rPr>
          <w:rFonts w:ascii="Calibri" w:eastAsia="Times New Roman" w:hAnsi="Calibri" w:cs="Calibri"/>
          <w:sz w:val="24"/>
          <w:szCs w:val="24"/>
          <w:lang w:eastAsia="en-GB"/>
        </w:rPr>
        <w:t>e</w:t>
      </w:r>
      <w:r w:rsidRPr="00DA284D">
        <w:rPr>
          <w:rFonts w:ascii="Calibri" w:eastAsia="Calibri" w:hAnsi="Calibri" w:cs="Times New Roman"/>
          <w:sz w:val="24"/>
          <w:szCs w:val="24"/>
        </w:rPr>
        <w:t>xplored through empirical research in this context, meaning that this research provides an original contribution to knowledge. How these questions were identified is presented in Section 1.2 and Chapter 2.</w:t>
      </w:r>
    </w:p>
    <w:p w14:paraId="6F14FA07" w14:textId="77777777" w:rsidR="00DA284D" w:rsidRPr="00DA284D" w:rsidRDefault="00DA284D" w:rsidP="00DA284D">
      <w:pPr>
        <w:suppressAutoHyphens/>
        <w:autoSpaceDN w:val="0"/>
        <w:spacing w:after="0" w:line="480" w:lineRule="auto"/>
        <w:textAlignment w:val="baseline"/>
        <w:rPr>
          <w:rFonts w:ascii="Calibri" w:eastAsia="Calibri" w:hAnsi="Calibri" w:cs="Calibri"/>
          <w:sz w:val="24"/>
          <w:szCs w:val="24"/>
        </w:rPr>
      </w:pPr>
    </w:p>
    <w:p w14:paraId="12C8D515" w14:textId="77777777" w:rsidR="00DA284D" w:rsidRPr="00DA284D" w:rsidRDefault="00DA284D" w:rsidP="00DA284D">
      <w:pPr>
        <w:suppressAutoHyphens/>
        <w:autoSpaceDN w:val="0"/>
        <w:spacing w:line="249" w:lineRule="auto"/>
        <w:jc w:val="center"/>
        <w:textAlignment w:val="baseline"/>
        <w:rPr>
          <w:rFonts w:ascii="Calibri" w:eastAsia="Calibri" w:hAnsi="Calibri" w:cs="Calibri"/>
          <w:sz w:val="24"/>
          <w:szCs w:val="24"/>
        </w:rPr>
      </w:pPr>
    </w:p>
    <w:p w14:paraId="3DA347E4"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Calibri"/>
          <w:sz w:val="24"/>
          <w:szCs w:val="24"/>
        </w:rPr>
        <w:lastRenderedPageBreak/>
        <w:t xml:space="preserve">The methodological approach taken in this research is post-critical ethnography (Noblit, Flores and Murillo, 2004; Anders, 2019). A post-critical ethnography advocates that the researcher critique and incorporate their own positionality into the research. An overview of the theoretical and personal positionality is presented in this chapter (Section 1.5) and the methodology will be discussed in Chapter 3 (Section 3.5). </w:t>
      </w:r>
      <w:r w:rsidRPr="00DA284D">
        <w:rPr>
          <w:rFonts w:ascii="Calibri" w:eastAsia="Calibri" w:hAnsi="Calibri" w:cs="Times New Roman"/>
          <w:sz w:val="24"/>
          <w:szCs w:val="24"/>
        </w:rPr>
        <w:t xml:space="preserve">It is important to note that the subject of this doctoral research is Social Justice; therefore, this research is not concerned with the intricacies of counselling practice. Rather, counselling provided the context to understand the social justice issue of ‘race’, racism and whiteness. </w:t>
      </w:r>
    </w:p>
    <w:p w14:paraId="3C09D7AF"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60A436F4"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Relevant to post-critical ethnography’s exhortation for critical consideration of the researcher’s positionality, it is appropriate to acknowledge the personal motivation for undertaking this research. </w:t>
      </w:r>
    </w:p>
    <w:p w14:paraId="16DD1B70" w14:textId="77777777" w:rsidR="00DA284D" w:rsidRPr="00DA284D" w:rsidRDefault="00DA284D" w:rsidP="00DA284D">
      <w:pPr>
        <w:suppressAutoHyphens/>
        <w:autoSpaceDN w:val="0"/>
        <w:spacing w:after="0" w:line="480" w:lineRule="auto"/>
        <w:textAlignment w:val="baseline"/>
        <w:rPr>
          <w:rFonts w:ascii="Calibri" w:eastAsia="Calibri" w:hAnsi="Calibri" w:cs="Times New Roman"/>
          <w:color w:val="FF0000"/>
          <w:sz w:val="24"/>
          <w:szCs w:val="24"/>
        </w:rPr>
      </w:pPr>
    </w:p>
    <w:p w14:paraId="3B7267A3" w14:textId="77777777" w:rsidR="00DA284D" w:rsidRPr="00DA284D" w:rsidRDefault="00DA284D" w:rsidP="00DA284D">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1" w:name="_Toc56522978"/>
      <w:bookmarkStart w:id="2" w:name="_Toc56523260"/>
      <w:bookmarkStart w:id="3" w:name="_Toc57910068"/>
      <w:bookmarkStart w:id="4" w:name="_Toc58251284"/>
      <w:bookmarkStart w:id="5" w:name="_Toc72413612"/>
      <w:r w:rsidRPr="00DA284D">
        <w:rPr>
          <w:rFonts w:ascii="Calibri Light" w:eastAsia="Times New Roman" w:hAnsi="Calibri Light" w:cs="Times New Roman"/>
          <w:b/>
          <w:bCs/>
          <w:sz w:val="28"/>
          <w:szCs w:val="26"/>
        </w:rPr>
        <w:t>1.1 Personal Background to this Research</w:t>
      </w:r>
      <w:bookmarkEnd w:id="1"/>
      <w:bookmarkEnd w:id="2"/>
      <w:bookmarkEnd w:id="3"/>
      <w:bookmarkEnd w:id="4"/>
      <w:bookmarkEnd w:id="5"/>
      <w:r w:rsidRPr="00DA284D">
        <w:rPr>
          <w:rFonts w:ascii="Calibri Light" w:eastAsia="Times New Roman" w:hAnsi="Calibri Light" w:cs="Times New Roman"/>
          <w:b/>
          <w:bCs/>
          <w:sz w:val="28"/>
          <w:szCs w:val="26"/>
        </w:rPr>
        <w:t xml:space="preserve"> </w:t>
      </w:r>
    </w:p>
    <w:p w14:paraId="2EFEAACA" w14:textId="77777777" w:rsidR="00DA284D" w:rsidRPr="00DA284D" w:rsidRDefault="00DA284D" w:rsidP="00DA284D">
      <w:pPr>
        <w:suppressAutoHyphens/>
        <w:autoSpaceDN w:val="0"/>
        <w:spacing w:after="0" w:line="480" w:lineRule="auto"/>
        <w:textAlignment w:val="baseline"/>
        <w:rPr>
          <w:rFonts w:ascii="Calibri" w:eastAsia="Calibri" w:hAnsi="Calibri" w:cs="Times New Roman"/>
          <w:color w:val="FF0000"/>
          <w:sz w:val="24"/>
          <w:szCs w:val="24"/>
        </w:rPr>
      </w:pPr>
      <w:r w:rsidRPr="00DA284D">
        <w:rPr>
          <w:rFonts w:ascii="Calibri" w:eastAsia="Calibri" w:hAnsi="Calibri" w:cs="Times New Roman"/>
          <w:sz w:val="24"/>
          <w:szCs w:val="24"/>
        </w:rPr>
        <w:t xml:space="preserve">The origins of this research project can be traced back to 2015, when as a trainee counsellor, I undertook a placement at a Welsh charity counselling refugees and asylum seekers. As a white woman in her late 20s, I had spent my life in predominantly white spaces: I grew up in a white English town, my friends, family and teachers were white, I moved to a white village in Wales and on my counselling course, my tutors and fellow trainees were all white. However, when as a trainee counsellor I began working with refugees and asylum seekers, it became clear how Eurocentric my life had been and how ignorant I had been to the reality of ‘race’. I was employed by the charity in 2016, during the Brexit referendum (Farrell and Goldsmith, 2017) and Donald Trump’s election as the president of the United States (Smith and Hanley, 2018). Both Brexit and Donald Trump’s </w:t>
      </w:r>
      <w:r w:rsidRPr="00DA284D">
        <w:rPr>
          <w:rFonts w:ascii="Calibri" w:eastAsia="Calibri" w:hAnsi="Calibri" w:cs="Times New Roman"/>
          <w:sz w:val="24"/>
          <w:szCs w:val="24"/>
        </w:rPr>
        <w:lastRenderedPageBreak/>
        <w:t>election have been accused of using a nationalistic and populistic political rhetoric in their respective campaigns (Gusterson, 2017).</w:t>
      </w:r>
      <w:r w:rsidRPr="00DA284D">
        <w:rPr>
          <w:rFonts w:ascii="Calibri" w:eastAsia="Calibri" w:hAnsi="Calibri" w:cs="Times New Roman"/>
          <w:color w:val="FF0000"/>
          <w:sz w:val="24"/>
          <w:szCs w:val="24"/>
        </w:rPr>
        <w:t xml:space="preserve"> </w:t>
      </w:r>
      <w:r w:rsidRPr="00DA284D">
        <w:rPr>
          <w:rFonts w:ascii="Calibri" w:eastAsia="Calibri" w:hAnsi="Calibri" w:cs="Times New Roman"/>
          <w:sz w:val="24"/>
          <w:szCs w:val="24"/>
        </w:rPr>
        <w:t>The result of this nationalistic rhetoric was something that my clients brought to the counselling sessions as they were the recipients of increased racial hostility. I began to wonder what my whiteness was representing to my clients, how the racial difference impacted the therapeutic relationship and how the politics of the day were present in the therapy room. I took these questions to my MA in Counselling and Psychotherapy Practice, where my dissertation looked at three therapists’ experiences of multicultural counselling practice. The two black participants detailed the racial discrimination they had experienced in their training and practice (Smith, 2018). In contrast, I had not needed to consider what my ‘race’ meant during my training and when working cross-racially, the development of my white racial identity was a personal choice, not a statutory one. When I tried to engage white counsellors with conversations about ‘race’, I was met with silence and resistance. Therefore, this PhD research was an effort to break that silence and explore that resistance. By 2018, I experienced vicarious traumatisation, which is the negative psychological effect of working with highly traumatised people (McCann and Pearlman, 1990; Smith, 2021, see Appendix vi). An initial temporary break from counselling has become a decision to stop counselling practice indefinitely (Smith, 2020). Consequently, I came to the PhD feeling emotionally exhausted but intellectually energised by my personal experiences. These experiences, coupled with a commitment to racial equality, has been the motivation behind this research.</w:t>
      </w:r>
    </w:p>
    <w:p w14:paraId="7AEAC14D" w14:textId="77777777" w:rsidR="00DA284D" w:rsidRPr="00DA284D" w:rsidRDefault="00DA284D" w:rsidP="00DA284D">
      <w:pPr>
        <w:suppressAutoHyphens/>
        <w:autoSpaceDN w:val="0"/>
        <w:spacing w:after="0" w:line="480" w:lineRule="auto"/>
        <w:textAlignment w:val="baseline"/>
        <w:rPr>
          <w:rFonts w:ascii="Calibri" w:eastAsia="Times New Roman" w:hAnsi="Calibri" w:cs="Calibri"/>
          <w:bCs/>
          <w:color w:val="000000"/>
          <w:sz w:val="24"/>
          <w:szCs w:val="24"/>
          <w:lang w:eastAsia="en-GB"/>
        </w:rPr>
      </w:pPr>
      <w:r w:rsidRPr="00DA284D">
        <w:rPr>
          <w:rFonts w:ascii="Calibri" w:eastAsia="Calibri" w:hAnsi="Calibri" w:cs="Times New Roman"/>
          <w:sz w:val="24"/>
          <w:szCs w:val="24"/>
        </w:rPr>
        <w:t xml:space="preserve">In 2020, this motivation seemed more imperative with global Black Lives Matter protests (Reuters, 2020; Chapter 6, Section 6.1) in response to the murder of African-American George Floyd in May 2020 by white police officers in the United States (Hill </w:t>
      </w:r>
      <w:r w:rsidRPr="00DA284D">
        <w:rPr>
          <w:rFonts w:ascii="Calibri" w:eastAsia="Calibri" w:hAnsi="Calibri" w:cs="Times New Roman"/>
          <w:i/>
          <w:iCs/>
          <w:sz w:val="24"/>
          <w:szCs w:val="24"/>
        </w:rPr>
        <w:t>et al</w:t>
      </w:r>
      <w:r w:rsidRPr="00DA284D">
        <w:rPr>
          <w:rFonts w:ascii="Calibri" w:eastAsia="Calibri" w:hAnsi="Calibri" w:cs="Times New Roman"/>
          <w:sz w:val="24"/>
          <w:szCs w:val="24"/>
        </w:rPr>
        <w:t xml:space="preserve">, 2020). A few months later, with protests still ongoing, President Donald Trump refused to condemn </w:t>
      </w:r>
      <w:r w:rsidRPr="00DA284D">
        <w:rPr>
          <w:rFonts w:ascii="Calibri" w:eastAsia="Calibri" w:hAnsi="Calibri" w:cs="Times New Roman"/>
          <w:sz w:val="24"/>
          <w:szCs w:val="24"/>
        </w:rPr>
        <w:lastRenderedPageBreak/>
        <w:t xml:space="preserve">white supremacists in the United States presidential election debates (Gabbatt, 2020). In addition, as the global pandemic of Covid-19 took hold, it was found that in England that the mortality rates were higher for people of colour in comparison to white people (Public Health England, 2020). The reason for this was cited as ‘historic racism and poorer experiences of healthcare or at work’ (Public Health England, 2020, p. 5). A similar report commissioned by the Welsh Government found that people of colour in Wales were more likely to catch and die from Covid-19, due to ‘socio-economic and environmental factors’ </w:t>
      </w:r>
      <w:bookmarkStart w:id="6" w:name="_Hlk52452291"/>
      <w:r w:rsidRPr="00DA284D">
        <w:rPr>
          <w:rFonts w:ascii="Calibri" w:eastAsia="Calibri" w:hAnsi="Calibri" w:cs="Times New Roman"/>
          <w:sz w:val="24"/>
          <w:szCs w:val="24"/>
        </w:rPr>
        <w:t>and racial inequality (Welsh Government, 2020a, p. 2)</w:t>
      </w:r>
      <w:bookmarkEnd w:id="6"/>
      <w:r w:rsidRPr="00DA284D">
        <w:rPr>
          <w:rFonts w:ascii="Calibri" w:eastAsia="Calibri" w:hAnsi="Calibri" w:cs="Times New Roman"/>
          <w:sz w:val="24"/>
          <w:szCs w:val="24"/>
        </w:rPr>
        <w:t xml:space="preserve">. The report stated that ‘the coronavirus pandemic is, in some respects, revealing the consequences of such inaction on race equality’ in Wales (Welsh Government, 2020a, p. 2). This impact coupled with the anticipated effect on mental health due to the strains of living through and losing people to a pandemic (Javed </w:t>
      </w:r>
      <w:r w:rsidRPr="00DA284D">
        <w:rPr>
          <w:rFonts w:ascii="Calibri" w:eastAsia="Calibri" w:hAnsi="Calibri" w:cs="Times New Roman"/>
          <w:i/>
          <w:iCs/>
          <w:sz w:val="24"/>
          <w:szCs w:val="24"/>
        </w:rPr>
        <w:t>et al</w:t>
      </w:r>
      <w:r w:rsidRPr="00DA284D">
        <w:rPr>
          <w:rFonts w:ascii="Calibri" w:eastAsia="Calibri" w:hAnsi="Calibri" w:cs="Times New Roman"/>
          <w:sz w:val="24"/>
          <w:szCs w:val="24"/>
        </w:rPr>
        <w:t>, 2020) meant that this research became more relevant, as potentially white counsellors could be offering counselling to bereaved people of colour who are more impacted by Covid-19 mortality rates (Public Health England, 2020; Welsh Government, 2020a). Despite the recognition that racial inequality was a factor in the high Covid-19 mortality rates in people of colour, a UK government commissioned report into ‘race’ in the UK recently claimed that that ‘geography, family influence, socio-economic background, culture and religion have more significant impact on life chances than the existence of racism’ (</w:t>
      </w:r>
      <w:bookmarkStart w:id="7" w:name="_Hlk70935186"/>
      <w:r w:rsidRPr="00DA284D">
        <w:rPr>
          <w:rFonts w:ascii="Calibri" w:eastAsia="Calibri" w:hAnsi="Calibri" w:cs="Times New Roman"/>
          <w:sz w:val="24"/>
          <w:szCs w:val="24"/>
        </w:rPr>
        <w:t>Commission on Race and Ethnic Disparities</w:t>
      </w:r>
      <w:bookmarkEnd w:id="7"/>
      <w:r w:rsidRPr="00DA284D">
        <w:rPr>
          <w:rFonts w:ascii="Calibri" w:eastAsia="Calibri" w:hAnsi="Calibri" w:cs="Times New Roman"/>
          <w:sz w:val="24"/>
          <w:szCs w:val="24"/>
        </w:rPr>
        <w:t xml:space="preserve">, 2021a, p. 8). The report’s claims were met with criticism (The Runnymede Trust, 2021a; The BMJ, 2021; Lentin, 2021; United Nations, 2021). The report is discussed further in Chapter 2 (Section 2.1.7). Similarly, a government minister has claimed that the teaching of critical race theory and white privilege as a fact is considered by the government as ‘illegal’ </w:t>
      </w:r>
      <w:r w:rsidRPr="00DA284D">
        <w:rPr>
          <w:rFonts w:ascii="Calibri" w:eastAsia="Times New Roman" w:hAnsi="Calibri" w:cs="Calibri"/>
          <w:bCs/>
          <w:color w:val="000000"/>
          <w:sz w:val="24"/>
          <w:szCs w:val="24"/>
          <w:lang w:eastAsia="en-GB"/>
        </w:rPr>
        <w:t xml:space="preserve">(Murray, 2020). </w:t>
      </w:r>
      <w:r w:rsidRPr="00DA284D">
        <w:rPr>
          <w:rFonts w:ascii="Calibri" w:eastAsia="Calibri" w:hAnsi="Calibri" w:cs="Times New Roman"/>
          <w:sz w:val="24"/>
          <w:szCs w:val="24"/>
        </w:rPr>
        <w:t xml:space="preserve">Thus, this research which focused on ‘race’ racism and whiteness comes at a time when arguably </w:t>
      </w:r>
      <w:r w:rsidRPr="00DA284D">
        <w:rPr>
          <w:rFonts w:ascii="Calibri" w:eastAsia="Calibri" w:hAnsi="Calibri" w:cs="Times New Roman"/>
          <w:sz w:val="24"/>
          <w:szCs w:val="24"/>
        </w:rPr>
        <w:lastRenderedPageBreak/>
        <w:t>there is a governmental disengagement with ‘race’.</w:t>
      </w:r>
      <w:r w:rsidRPr="00DA284D">
        <w:rPr>
          <w:rFonts w:ascii="Calibri" w:eastAsia="Times New Roman" w:hAnsi="Calibri" w:cs="Calibri"/>
          <w:bCs/>
          <w:color w:val="000000"/>
          <w:sz w:val="24"/>
          <w:szCs w:val="24"/>
          <w:lang w:eastAsia="en-GB"/>
        </w:rPr>
        <w:t xml:space="preserve"> </w:t>
      </w:r>
      <w:r w:rsidRPr="00DA284D">
        <w:rPr>
          <w:rFonts w:ascii="Calibri" w:eastAsia="Calibri" w:hAnsi="Calibri" w:cs="Times New Roman"/>
          <w:sz w:val="24"/>
          <w:szCs w:val="24"/>
        </w:rPr>
        <w:t xml:space="preserve">However, as the data collection took place prior to the death of George Floyd, the global Black Lives Matter protests, the Covid-19 pandemic and the Commission on Race and Ethnic Disparities report (2021a) the participants’ response to these issues was not elicited. Nonetheless, it presented a powerful contemporary context to the research. </w:t>
      </w:r>
    </w:p>
    <w:p w14:paraId="1B069079" w14:textId="77777777" w:rsidR="00DA284D" w:rsidRPr="00DA284D" w:rsidRDefault="00DA284D" w:rsidP="00DA284D">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8" w:name="_Toc56522979"/>
      <w:bookmarkStart w:id="9" w:name="_Toc56523261"/>
      <w:bookmarkStart w:id="10" w:name="_Toc57910069"/>
      <w:bookmarkStart w:id="11" w:name="_Toc58251285"/>
      <w:bookmarkStart w:id="12" w:name="_Toc72413613"/>
      <w:r w:rsidRPr="00DA284D">
        <w:rPr>
          <w:rFonts w:ascii="Calibri Light" w:eastAsia="Times New Roman" w:hAnsi="Calibri Light" w:cs="Times New Roman"/>
          <w:b/>
          <w:bCs/>
          <w:sz w:val="28"/>
          <w:szCs w:val="26"/>
        </w:rPr>
        <w:t>1.2 The Gap in Knowledge</w:t>
      </w:r>
      <w:bookmarkEnd w:id="8"/>
      <w:bookmarkEnd w:id="9"/>
      <w:bookmarkEnd w:id="10"/>
      <w:bookmarkEnd w:id="11"/>
      <w:bookmarkEnd w:id="12"/>
    </w:p>
    <w:p w14:paraId="65E14234"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A gap in knowledge resides in how white trainee counsellors understand ‘race’, racism and whiteness</w:t>
      </w:r>
      <w:r w:rsidRPr="00DA284D">
        <w:rPr>
          <w:rFonts w:ascii="Calibri" w:eastAsia="Calibri" w:hAnsi="Calibri" w:cs="Times New Roman"/>
        </w:rPr>
        <w:t>.</w:t>
      </w:r>
      <w:r w:rsidRPr="00DA284D">
        <w:rPr>
          <w:rFonts w:ascii="Calibri" w:eastAsia="Calibri" w:hAnsi="Calibri" w:cs="Times New Roman"/>
          <w:sz w:val="24"/>
          <w:szCs w:val="24"/>
        </w:rPr>
        <w:t xml:space="preserve"> Addressing this question and then contextualising these understandings within a wider historical and socio-political narrative of ‘race’, racism and whiteness has not been explored to date. Similarly, using critical whiteness studies (Delgado and Stefancic, 1997; Hartmann Gerteis and Croll, 2009; Applebaum, 2016a) as the theoretical lens in research in a counselling context in Wales, was not evident in the research literature. The original contribution to knowledge this research provides is outlined in Section 1.4.</w:t>
      </w:r>
    </w:p>
    <w:p w14:paraId="0DB5B357" w14:textId="77777777" w:rsidR="00DA284D" w:rsidRPr="00DA284D" w:rsidRDefault="00DA284D" w:rsidP="00DA284D">
      <w:pPr>
        <w:suppressAutoHyphens/>
        <w:autoSpaceDN w:val="0"/>
        <w:spacing w:after="0" w:line="480" w:lineRule="auto"/>
        <w:textAlignment w:val="baseline"/>
        <w:rPr>
          <w:rFonts w:ascii="Calibri" w:eastAsia="Calibri" w:hAnsi="Calibri" w:cs="Times New Roman"/>
        </w:rPr>
      </w:pPr>
    </w:p>
    <w:p w14:paraId="0EADBA0B"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The last time concurrent data was available regarding the racial demographics of both England and Wales and the membership the British Association of Counselling and Psychotherapy (BACP) was in 2011.  In that year, the census showed that the population of England and Wales was 87 per cent white, with Wales being the least ethnically diverse area (Office for National Statistics, 2012). This was reflected in the membership of the BACP which in the same year was 84 per cent white (Lago, 2011, p. 179). I emailed the BACP for demographic statistics regarding the racial identity of their membership and was told that information was not available due to a ‘new system’ and ‘it is not a priority’ (Townsend, 2019). However, I requested the data again in 2020 and was sent the unpublished survey results the ethnic background of BACP members (Boyle, 2020; Table 1). The survey was sent </w:t>
      </w:r>
      <w:r w:rsidRPr="00DA284D">
        <w:rPr>
          <w:rFonts w:ascii="Calibri" w:eastAsia="Calibri" w:hAnsi="Calibri" w:cs="Times New Roman"/>
          <w:sz w:val="24"/>
          <w:szCs w:val="24"/>
        </w:rPr>
        <w:lastRenderedPageBreak/>
        <w:t>to 52386 members of BACP and 6579 responded (Boyle, 2020). Therefore, it is not possible to say that this is representative of whole membership of the BACP, but it does correlate with the membership data of 2011 (Lago, 2011, p. 179):</w:t>
      </w:r>
    </w:p>
    <w:p w14:paraId="39C6FCA2" w14:textId="77777777" w:rsidR="00DA284D" w:rsidRPr="00DA284D" w:rsidRDefault="00DA284D" w:rsidP="00DA284D">
      <w:pPr>
        <w:keepNext/>
        <w:suppressAutoHyphens/>
        <w:autoSpaceDN w:val="0"/>
        <w:spacing w:after="200" w:line="240" w:lineRule="auto"/>
        <w:textAlignment w:val="baseline"/>
        <w:rPr>
          <w:rFonts w:ascii="Calibri" w:eastAsia="Calibri" w:hAnsi="Calibri" w:cs="Times New Roman"/>
          <w:i/>
          <w:iCs/>
          <w:color w:val="44546A"/>
          <w:sz w:val="24"/>
          <w:szCs w:val="18"/>
        </w:rPr>
      </w:pPr>
      <w:bookmarkStart w:id="13" w:name="_Toc72253515"/>
      <w:bookmarkStart w:id="14" w:name="_Toc72253837"/>
      <w:bookmarkStart w:id="15" w:name="_Toc72253859"/>
      <w:bookmarkStart w:id="16" w:name="_Toc72324662"/>
      <w:r w:rsidRPr="00DA284D">
        <w:rPr>
          <w:rFonts w:ascii="Calibri" w:eastAsia="Calibri" w:hAnsi="Calibri" w:cs="Times New Roman"/>
          <w:i/>
          <w:iCs/>
          <w:color w:val="44546A"/>
          <w:sz w:val="24"/>
          <w:szCs w:val="18"/>
        </w:rPr>
        <w:t xml:space="preserve">Table </w:t>
      </w:r>
      <w:r w:rsidRPr="00DA284D">
        <w:rPr>
          <w:rFonts w:ascii="Calibri" w:eastAsia="Calibri" w:hAnsi="Calibri" w:cs="Times New Roman"/>
          <w:i/>
          <w:iCs/>
          <w:color w:val="44546A"/>
          <w:sz w:val="24"/>
          <w:szCs w:val="18"/>
        </w:rPr>
        <w:fldChar w:fldCharType="begin"/>
      </w:r>
      <w:r w:rsidRPr="00DA284D">
        <w:rPr>
          <w:rFonts w:ascii="Calibri" w:eastAsia="Calibri" w:hAnsi="Calibri" w:cs="Times New Roman"/>
          <w:i/>
          <w:iCs/>
          <w:color w:val="44546A"/>
          <w:sz w:val="24"/>
          <w:szCs w:val="18"/>
        </w:rPr>
        <w:instrText xml:space="preserve"> SEQ Table \* ARABIC </w:instrText>
      </w:r>
      <w:r w:rsidRPr="00DA284D">
        <w:rPr>
          <w:rFonts w:ascii="Calibri" w:eastAsia="Calibri" w:hAnsi="Calibri" w:cs="Times New Roman"/>
          <w:i/>
          <w:iCs/>
          <w:color w:val="44546A"/>
          <w:sz w:val="24"/>
          <w:szCs w:val="18"/>
        </w:rPr>
        <w:fldChar w:fldCharType="separate"/>
      </w:r>
      <w:r w:rsidRPr="00DA284D">
        <w:rPr>
          <w:rFonts w:ascii="Calibri" w:eastAsia="Calibri" w:hAnsi="Calibri" w:cs="Times New Roman"/>
          <w:i/>
          <w:iCs/>
          <w:noProof/>
          <w:color w:val="44546A"/>
          <w:sz w:val="24"/>
          <w:szCs w:val="18"/>
        </w:rPr>
        <w:t>1</w:t>
      </w:r>
      <w:r w:rsidRPr="00DA284D">
        <w:rPr>
          <w:rFonts w:ascii="Calibri" w:eastAsia="Calibri" w:hAnsi="Calibri" w:cs="Times New Roman"/>
          <w:i/>
          <w:iCs/>
          <w:color w:val="44546A"/>
          <w:sz w:val="24"/>
          <w:szCs w:val="18"/>
        </w:rPr>
        <w:fldChar w:fldCharType="end"/>
      </w:r>
      <w:r w:rsidRPr="00DA284D">
        <w:rPr>
          <w:rFonts w:ascii="Calibri" w:eastAsia="Calibri" w:hAnsi="Calibri" w:cs="Times New Roman"/>
          <w:i/>
          <w:iCs/>
          <w:color w:val="44546A"/>
          <w:sz w:val="24"/>
          <w:szCs w:val="18"/>
        </w:rPr>
        <w:t xml:space="preserve"> Unpublished Survey of Ethnic Background of BACP members June-July 2020</w:t>
      </w:r>
      <w:bookmarkEnd w:id="13"/>
      <w:bookmarkEnd w:id="14"/>
      <w:bookmarkEnd w:id="15"/>
      <w:bookmarkEnd w:id="16"/>
    </w:p>
    <w:tbl>
      <w:tblPr>
        <w:tblW w:w="0" w:type="auto"/>
        <w:jc w:val="center"/>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3609"/>
        <w:gridCol w:w="2905"/>
        <w:gridCol w:w="2512"/>
      </w:tblGrid>
      <w:tr w:rsidR="00DA284D" w:rsidRPr="00DA284D" w14:paraId="45F8E2FC" w14:textId="77777777" w:rsidTr="00C75158">
        <w:trPr>
          <w:jc w:val="center"/>
        </w:trPr>
        <w:tc>
          <w:tcPr>
            <w:tcW w:w="0" w:type="auto"/>
            <w:tcBorders>
              <w:top w:val="double" w:sz="4" w:space="0" w:color="auto"/>
              <w:bottom w:val="double" w:sz="4" w:space="0" w:color="auto"/>
            </w:tcBorders>
            <w:shd w:val="clear" w:color="auto" w:fill="auto"/>
            <w:hideMark/>
          </w:tcPr>
          <w:p w14:paraId="21D69504"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
                <w:bCs/>
                <w:i/>
                <w:iCs/>
                <w:sz w:val="24"/>
                <w:szCs w:val="24"/>
              </w:rPr>
            </w:pPr>
            <w:r w:rsidRPr="00DA284D">
              <w:rPr>
                <w:rFonts w:ascii="Calibri" w:eastAsia="Calibri" w:hAnsi="Calibri" w:cs="Times New Roman"/>
                <w:b/>
                <w:bCs/>
                <w:i/>
                <w:iCs/>
                <w:sz w:val="24"/>
                <w:szCs w:val="24"/>
              </w:rPr>
              <w:t>(Figures given as %)</w:t>
            </w:r>
          </w:p>
        </w:tc>
        <w:tc>
          <w:tcPr>
            <w:tcW w:w="0" w:type="auto"/>
            <w:tcBorders>
              <w:top w:val="double" w:sz="4" w:space="0" w:color="auto"/>
              <w:bottom w:val="double" w:sz="4" w:space="0" w:color="auto"/>
            </w:tcBorders>
            <w:shd w:val="clear" w:color="auto" w:fill="auto"/>
            <w:hideMark/>
          </w:tcPr>
          <w:p w14:paraId="401F7CD7"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
                <w:bCs/>
                <w:i/>
                <w:iCs/>
                <w:sz w:val="24"/>
                <w:szCs w:val="24"/>
              </w:rPr>
            </w:pPr>
            <w:r w:rsidRPr="00DA284D">
              <w:rPr>
                <w:rFonts w:ascii="Calibri" w:eastAsia="Calibri" w:hAnsi="Calibri" w:cs="Times New Roman"/>
                <w:b/>
                <w:bCs/>
                <w:i/>
                <w:iCs/>
                <w:sz w:val="24"/>
                <w:szCs w:val="24"/>
              </w:rPr>
              <w:t>ONS data – 2011 census data, UK.</w:t>
            </w:r>
          </w:p>
        </w:tc>
        <w:tc>
          <w:tcPr>
            <w:tcW w:w="2512" w:type="dxa"/>
            <w:tcBorders>
              <w:top w:val="double" w:sz="4" w:space="0" w:color="auto"/>
              <w:bottom w:val="double" w:sz="4" w:space="0" w:color="auto"/>
            </w:tcBorders>
            <w:shd w:val="clear" w:color="auto" w:fill="auto"/>
            <w:hideMark/>
          </w:tcPr>
          <w:p w14:paraId="13051B66"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
                <w:bCs/>
                <w:i/>
                <w:iCs/>
                <w:sz w:val="24"/>
                <w:szCs w:val="24"/>
              </w:rPr>
            </w:pPr>
            <w:r w:rsidRPr="00DA284D">
              <w:rPr>
                <w:rFonts w:ascii="Calibri" w:eastAsia="Calibri" w:hAnsi="Calibri" w:cs="Times New Roman"/>
                <w:b/>
                <w:bCs/>
                <w:i/>
                <w:iCs/>
                <w:sz w:val="24"/>
                <w:szCs w:val="24"/>
              </w:rPr>
              <w:t>BACP member survey 2020 (n=6579)</w:t>
            </w:r>
          </w:p>
        </w:tc>
      </w:tr>
      <w:tr w:rsidR="00DA284D" w:rsidRPr="00DA284D" w14:paraId="6A0342F7" w14:textId="77777777" w:rsidTr="00C75158">
        <w:trPr>
          <w:jc w:val="center"/>
        </w:trPr>
        <w:tc>
          <w:tcPr>
            <w:tcW w:w="0" w:type="auto"/>
            <w:tcBorders>
              <w:top w:val="double" w:sz="4" w:space="0" w:color="auto"/>
            </w:tcBorders>
            <w:shd w:val="clear" w:color="auto" w:fill="F2F2F2"/>
            <w:hideMark/>
          </w:tcPr>
          <w:p w14:paraId="7828A999"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White</w:t>
            </w:r>
          </w:p>
        </w:tc>
        <w:tc>
          <w:tcPr>
            <w:tcW w:w="0" w:type="auto"/>
            <w:tcBorders>
              <w:top w:val="double" w:sz="4" w:space="0" w:color="auto"/>
            </w:tcBorders>
            <w:shd w:val="clear" w:color="auto" w:fill="F2F2F2"/>
            <w:hideMark/>
          </w:tcPr>
          <w:p w14:paraId="4AFF3A6F"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87.1</w:t>
            </w:r>
          </w:p>
        </w:tc>
        <w:tc>
          <w:tcPr>
            <w:tcW w:w="2512" w:type="dxa"/>
            <w:tcBorders>
              <w:top w:val="double" w:sz="4" w:space="0" w:color="auto"/>
            </w:tcBorders>
            <w:shd w:val="clear" w:color="auto" w:fill="F2F2F2"/>
            <w:hideMark/>
          </w:tcPr>
          <w:p w14:paraId="3C7184DF"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85.6</w:t>
            </w:r>
          </w:p>
        </w:tc>
      </w:tr>
      <w:tr w:rsidR="00DA284D" w:rsidRPr="00DA284D" w14:paraId="6FE7017C" w14:textId="77777777" w:rsidTr="00C75158">
        <w:trPr>
          <w:jc w:val="center"/>
        </w:trPr>
        <w:tc>
          <w:tcPr>
            <w:tcW w:w="0" w:type="auto"/>
            <w:shd w:val="clear" w:color="auto" w:fill="auto"/>
            <w:hideMark/>
          </w:tcPr>
          <w:p w14:paraId="1A2CE369"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Gypsy/Traveller/Irish Traveller</w:t>
            </w:r>
          </w:p>
        </w:tc>
        <w:tc>
          <w:tcPr>
            <w:tcW w:w="0" w:type="auto"/>
            <w:shd w:val="clear" w:color="auto" w:fill="auto"/>
            <w:hideMark/>
          </w:tcPr>
          <w:p w14:paraId="471CF947"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0.1</w:t>
            </w:r>
          </w:p>
        </w:tc>
        <w:tc>
          <w:tcPr>
            <w:tcW w:w="2512" w:type="dxa"/>
            <w:shd w:val="clear" w:color="auto" w:fill="auto"/>
            <w:hideMark/>
          </w:tcPr>
          <w:p w14:paraId="3D93F33B"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Not collected</w:t>
            </w:r>
          </w:p>
        </w:tc>
      </w:tr>
      <w:tr w:rsidR="00DA284D" w:rsidRPr="00DA284D" w14:paraId="43170E20" w14:textId="77777777" w:rsidTr="00C75158">
        <w:trPr>
          <w:jc w:val="center"/>
        </w:trPr>
        <w:tc>
          <w:tcPr>
            <w:tcW w:w="0" w:type="auto"/>
            <w:shd w:val="clear" w:color="auto" w:fill="F2F2F2"/>
            <w:hideMark/>
          </w:tcPr>
          <w:p w14:paraId="0C30F733"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Mixed/multiple Ethnic Groups</w:t>
            </w:r>
          </w:p>
        </w:tc>
        <w:tc>
          <w:tcPr>
            <w:tcW w:w="0" w:type="auto"/>
            <w:shd w:val="clear" w:color="auto" w:fill="F2F2F2"/>
            <w:hideMark/>
          </w:tcPr>
          <w:p w14:paraId="4D880A76"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2.0</w:t>
            </w:r>
          </w:p>
        </w:tc>
        <w:tc>
          <w:tcPr>
            <w:tcW w:w="2512" w:type="dxa"/>
            <w:shd w:val="clear" w:color="auto" w:fill="F2F2F2"/>
            <w:hideMark/>
          </w:tcPr>
          <w:p w14:paraId="77062DC6"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2.5</w:t>
            </w:r>
          </w:p>
        </w:tc>
      </w:tr>
      <w:tr w:rsidR="00DA284D" w:rsidRPr="00DA284D" w14:paraId="771CE19F" w14:textId="77777777" w:rsidTr="00C75158">
        <w:trPr>
          <w:jc w:val="center"/>
        </w:trPr>
        <w:tc>
          <w:tcPr>
            <w:tcW w:w="0" w:type="auto"/>
            <w:shd w:val="clear" w:color="auto" w:fill="auto"/>
            <w:hideMark/>
          </w:tcPr>
          <w:p w14:paraId="6685AB94"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Asian/Asian British: Indian</w:t>
            </w:r>
          </w:p>
        </w:tc>
        <w:tc>
          <w:tcPr>
            <w:tcW w:w="0" w:type="auto"/>
            <w:shd w:val="clear" w:color="auto" w:fill="auto"/>
            <w:hideMark/>
          </w:tcPr>
          <w:p w14:paraId="31143152"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2.3</w:t>
            </w:r>
          </w:p>
        </w:tc>
        <w:tc>
          <w:tcPr>
            <w:tcW w:w="2512" w:type="dxa"/>
            <w:vMerge w:val="restart"/>
            <w:shd w:val="clear" w:color="auto" w:fill="auto"/>
            <w:hideMark/>
          </w:tcPr>
          <w:p w14:paraId="6EB4E77C"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(Asked as ‘Asian/Asian British’)</w:t>
            </w:r>
          </w:p>
          <w:p w14:paraId="2D2171F0"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2.1</w:t>
            </w:r>
          </w:p>
        </w:tc>
      </w:tr>
      <w:tr w:rsidR="00DA284D" w:rsidRPr="00DA284D" w14:paraId="034F98E9" w14:textId="77777777" w:rsidTr="00C75158">
        <w:trPr>
          <w:jc w:val="center"/>
        </w:trPr>
        <w:tc>
          <w:tcPr>
            <w:tcW w:w="0" w:type="auto"/>
            <w:shd w:val="clear" w:color="auto" w:fill="F2F2F2"/>
            <w:hideMark/>
          </w:tcPr>
          <w:p w14:paraId="2A087E02"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Asian/ Asian British: Pakistani</w:t>
            </w:r>
          </w:p>
        </w:tc>
        <w:tc>
          <w:tcPr>
            <w:tcW w:w="0" w:type="auto"/>
            <w:shd w:val="clear" w:color="auto" w:fill="F2F2F2"/>
            <w:hideMark/>
          </w:tcPr>
          <w:p w14:paraId="22D6E646"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1.9</w:t>
            </w:r>
          </w:p>
        </w:tc>
        <w:tc>
          <w:tcPr>
            <w:tcW w:w="2512" w:type="dxa"/>
            <w:vMerge/>
            <w:shd w:val="clear" w:color="auto" w:fill="F2F2F2"/>
            <w:hideMark/>
          </w:tcPr>
          <w:p w14:paraId="294CD336"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p>
        </w:tc>
      </w:tr>
      <w:tr w:rsidR="00DA284D" w:rsidRPr="00DA284D" w14:paraId="46FE5DBA" w14:textId="77777777" w:rsidTr="00C75158">
        <w:trPr>
          <w:jc w:val="center"/>
        </w:trPr>
        <w:tc>
          <w:tcPr>
            <w:tcW w:w="0" w:type="auto"/>
            <w:shd w:val="clear" w:color="auto" w:fill="auto"/>
            <w:hideMark/>
          </w:tcPr>
          <w:p w14:paraId="1FA9D167"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Asian/ Asian British: Bangladeshi</w:t>
            </w:r>
          </w:p>
        </w:tc>
        <w:tc>
          <w:tcPr>
            <w:tcW w:w="0" w:type="auto"/>
            <w:shd w:val="clear" w:color="auto" w:fill="auto"/>
            <w:hideMark/>
          </w:tcPr>
          <w:p w14:paraId="50D31D15"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0.7</w:t>
            </w:r>
          </w:p>
        </w:tc>
        <w:tc>
          <w:tcPr>
            <w:tcW w:w="2512" w:type="dxa"/>
            <w:vMerge/>
            <w:shd w:val="clear" w:color="auto" w:fill="auto"/>
            <w:hideMark/>
          </w:tcPr>
          <w:p w14:paraId="4E0F961B"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p>
        </w:tc>
      </w:tr>
      <w:tr w:rsidR="00DA284D" w:rsidRPr="00DA284D" w14:paraId="3C38FD25" w14:textId="77777777" w:rsidTr="00C75158">
        <w:trPr>
          <w:jc w:val="center"/>
        </w:trPr>
        <w:tc>
          <w:tcPr>
            <w:tcW w:w="0" w:type="auto"/>
            <w:shd w:val="clear" w:color="auto" w:fill="F2F2F2"/>
            <w:hideMark/>
          </w:tcPr>
          <w:p w14:paraId="275E9332"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Asian/ Asian British: Chinese</w:t>
            </w:r>
          </w:p>
        </w:tc>
        <w:tc>
          <w:tcPr>
            <w:tcW w:w="0" w:type="auto"/>
            <w:shd w:val="clear" w:color="auto" w:fill="F2F2F2"/>
            <w:hideMark/>
          </w:tcPr>
          <w:p w14:paraId="7241AAD8"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0.7</w:t>
            </w:r>
          </w:p>
        </w:tc>
        <w:tc>
          <w:tcPr>
            <w:tcW w:w="2512" w:type="dxa"/>
            <w:vMerge/>
            <w:shd w:val="clear" w:color="auto" w:fill="F2F2F2"/>
            <w:hideMark/>
          </w:tcPr>
          <w:p w14:paraId="5C441DD3"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p>
        </w:tc>
      </w:tr>
      <w:tr w:rsidR="00DA284D" w:rsidRPr="00DA284D" w14:paraId="78CA4D08" w14:textId="77777777" w:rsidTr="00C75158">
        <w:trPr>
          <w:jc w:val="center"/>
        </w:trPr>
        <w:tc>
          <w:tcPr>
            <w:tcW w:w="0" w:type="auto"/>
            <w:shd w:val="clear" w:color="auto" w:fill="auto"/>
            <w:hideMark/>
          </w:tcPr>
          <w:p w14:paraId="715457F2"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Asian/Asian British: Other Asian</w:t>
            </w:r>
          </w:p>
        </w:tc>
        <w:tc>
          <w:tcPr>
            <w:tcW w:w="0" w:type="auto"/>
            <w:shd w:val="clear" w:color="auto" w:fill="auto"/>
            <w:hideMark/>
          </w:tcPr>
          <w:p w14:paraId="4BBEC125"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1.4</w:t>
            </w:r>
          </w:p>
        </w:tc>
        <w:tc>
          <w:tcPr>
            <w:tcW w:w="2512" w:type="dxa"/>
            <w:vMerge/>
            <w:shd w:val="clear" w:color="auto" w:fill="auto"/>
            <w:hideMark/>
          </w:tcPr>
          <w:p w14:paraId="7004875F"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p>
        </w:tc>
      </w:tr>
      <w:tr w:rsidR="00DA284D" w:rsidRPr="00DA284D" w14:paraId="662E4198" w14:textId="77777777" w:rsidTr="00C75158">
        <w:trPr>
          <w:jc w:val="center"/>
        </w:trPr>
        <w:tc>
          <w:tcPr>
            <w:tcW w:w="0" w:type="auto"/>
            <w:shd w:val="clear" w:color="auto" w:fill="F2F2F2"/>
            <w:hideMark/>
          </w:tcPr>
          <w:p w14:paraId="03FA2020"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Black/ African/Caribbean / Black British</w:t>
            </w:r>
          </w:p>
        </w:tc>
        <w:tc>
          <w:tcPr>
            <w:tcW w:w="0" w:type="auto"/>
            <w:shd w:val="clear" w:color="auto" w:fill="F2F2F2"/>
            <w:hideMark/>
          </w:tcPr>
          <w:p w14:paraId="2DAF149D"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3.0</w:t>
            </w:r>
          </w:p>
        </w:tc>
        <w:tc>
          <w:tcPr>
            <w:tcW w:w="2512" w:type="dxa"/>
            <w:shd w:val="clear" w:color="auto" w:fill="F2F2F2"/>
            <w:hideMark/>
          </w:tcPr>
          <w:p w14:paraId="30B68C39"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3.1</w:t>
            </w:r>
          </w:p>
        </w:tc>
      </w:tr>
      <w:tr w:rsidR="00DA284D" w:rsidRPr="00DA284D" w14:paraId="7C5B1C28" w14:textId="77777777" w:rsidTr="00C75158">
        <w:trPr>
          <w:jc w:val="center"/>
        </w:trPr>
        <w:tc>
          <w:tcPr>
            <w:tcW w:w="0" w:type="auto"/>
            <w:shd w:val="clear" w:color="auto" w:fill="auto"/>
            <w:hideMark/>
          </w:tcPr>
          <w:p w14:paraId="17974AB9"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proofErr w:type="gramStart"/>
            <w:r w:rsidRPr="00DA284D">
              <w:rPr>
                <w:rFonts w:ascii="Calibri" w:eastAsia="Calibri" w:hAnsi="Calibri" w:cs="Times New Roman"/>
                <w:bCs/>
                <w:i/>
                <w:iCs/>
                <w:sz w:val="24"/>
                <w:szCs w:val="24"/>
              </w:rPr>
              <w:t>Other</w:t>
            </w:r>
            <w:proofErr w:type="gramEnd"/>
            <w:r w:rsidRPr="00DA284D">
              <w:rPr>
                <w:rFonts w:ascii="Calibri" w:eastAsia="Calibri" w:hAnsi="Calibri" w:cs="Times New Roman"/>
                <w:bCs/>
                <w:i/>
                <w:iCs/>
                <w:sz w:val="24"/>
                <w:szCs w:val="24"/>
              </w:rPr>
              <w:t xml:space="preserve"> Ethnic group</w:t>
            </w:r>
          </w:p>
        </w:tc>
        <w:tc>
          <w:tcPr>
            <w:tcW w:w="0" w:type="auto"/>
            <w:shd w:val="clear" w:color="auto" w:fill="auto"/>
            <w:hideMark/>
          </w:tcPr>
          <w:p w14:paraId="221A6144"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0.9</w:t>
            </w:r>
          </w:p>
        </w:tc>
        <w:tc>
          <w:tcPr>
            <w:tcW w:w="2512" w:type="dxa"/>
            <w:shd w:val="clear" w:color="auto" w:fill="auto"/>
            <w:hideMark/>
          </w:tcPr>
          <w:p w14:paraId="6912412C"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1.9</w:t>
            </w:r>
          </w:p>
        </w:tc>
      </w:tr>
      <w:tr w:rsidR="00DA284D" w:rsidRPr="00DA284D" w14:paraId="71580DA3" w14:textId="77777777" w:rsidTr="00C75158">
        <w:trPr>
          <w:jc w:val="center"/>
        </w:trPr>
        <w:tc>
          <w:tcPr>
            <w:tcW w:w="0" w:type="auto"/>
            <w:shd w:val="clear" w:color="auto" w:fill="F2F2F2"/>
            <w:hideMark/>
          </w:tcPr>
          <w:p w14:paraId="4E542F4E" w14:textId="77777777" w:rsidR="00DA284D" w:rsidRPr="00DA284D" w:rsidRDefault="00DA284D" w:rsidP="00DA284D">
            <w:pPr>
              <w:suppressAutoHyphens/>
              <w:autoSpaceDN w:val="0"/>
              <w:spacing w:after="0" w:line="240" w:lineRule="auto"/>
              <w:textAlignment w:val="baseline"/>
              <w:rPr>
                <w:rFonts w:ascii="Calibri" w:eastAsia="Calibri" w:hAnsi="Calibri" w:cs="Times New Roman"/>
                <w:bCs/>
                <w:i/>
                <w:iCs/>
                <w:sz w:val="24"/>
                <w:szCs w:val="24"/>
              </w:rPr>
            </w:pPr>
            <w:r w:rsidRPr="00DA284D">
              <w:rPr>
                <w:rFonts w:ascii="Calibri" w:eastAsia="Calibri" w:hAnsi="Calibri" w:cs="Times New Roman"/>
                <w:bCs/>
                <w:i/>
                <w:iCs/>
                <w:sz w:val="24"/>
                <w:szCs w:val="24"/>
              </w:rPr>
              <w:t>Prefer not to say</w:t>
            </w:r>
          </w:p>
        </w:tc>
        <w:tc>
          <w:tcPr>
            <w:tcW w:w="0" w:type="auto"/>
            <w:shd w:val="clear" w:color="auto" w:fill="F2F2F2"/>
            <w:hideMark/>
          </w:tcPr>
          <w:p w14:paraId="0EA79815"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n/a</w:t>
            </w:r>
          </w:p>
        </w:tc>
        <w:tc>
          <w:tcPr>
            <w:tcW w:w="2512" w:type="dxa"/>
            <w:shd w:val="clear" w:color="auto" w:fill="F2F2F2"/>
            <w:hideMark/>
          </w:tcPr>
          <w:p w14:paraId="4E8221D0" w14:textId="77777777" w:rsidR="00DA284D" w:rsidRPr="00DA284D" w:rsidRDefault="00DA284D" w:rsidP="00DA284D">
            <w:pPr>
              <w:suppressAutoHyphens/>
              <w:autoSpaceDN w:val="0"/>
              <w:spacing w:after="0" w:line="240" w:lineRule="auto"/>
              <w:textAlignment w:val="baseline"/>
              <w:rPr>
                <w:rFonts w:ascii="Calibri" w:eastAsia="Calibri" w:hAnsi="Calibri" w:cs="Times New Roman"/>
                <w:i/>
                <w:iCs/>
                <w:sz w:val="24"/>
                <w:szCs w:val="24"/>
              </w:rPr>
            </w:pPr>
            <w:r w:rsidRPr="00DA284D">
              <w:rPr>
                <w:rFonts w:ascii="Calibri" w:eastAsia="Calibri" w:hAnsi="Calibri" w:cs="Times New Roman"/>
                <w:i/>
                <w:iCs/>
                <w:sz w:val="24"/>
                <w:szCs w:val="24"/>
              </w:rPr>
              <w:t>4.7</w:t>
            </w:r>
          </w:p>
        </w:tc>
      </w:tr>
    </w:tbl>
    <w:p w14:paraId="5A1027B1" w14:textId="77777777" w:rsidR="00DA284D" w:rsidRPr="00DA284D" w:rsidRDefault="00DA284D" w:rsidP="00DA284D">
      <w:pPr>
        <w:suppressAutoHyphens/>
        <w:autoSpaceDN w:val="0"/>
        <w:spacing w:after="0" w:line="480" w:lineRule="auto"/>
        <w:jc w:val="right"/>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 (</w:t>
      </w:r>
      <w:r w:rsidRPr="00DA284D">
        <w:rPr>
          <w:rFonts w:ascii="Calibri" w:eastAsia="Calibri" w:hAnsi="Calibri" w:cs="Times New Roman"/>
          <w:i/>
          <w:iCs/>
          <w:sz w:val="24"/>
          <w:szCs w:val="24"/>
        </w:rPr>
        <w:t>Taken from</w:t>
      </w:r>
      <w:r w:rsidRPr="00DA284D">
        <w:rPr>
          <w:rFonts w:ascii="Calibri" w:eastAsia="Calibri" w:hAnsi="Calibri" w:cs="Times New Roman"/>
          <w:sz w:val="24"/>
          <w:szCs w:val="24"/>
        </w:rPr>
        <w:t>, Boyle, 2020)</w:t>
      </w:r>
    </w:p>
    <w:p w14:paraId="38CF8658"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0C61BE08" w14:textId="77777777" w:rsidR="00DA284D" w:rsidRPr="00DA284D" w:rsidRDefault="00DA284D" w:rsidP="00DA284D">
      <w:pPr>
        <w:suppressAutoHyphens/>
        <w:autoSpaceDN w:val="0"/>
        <w:spacing w:after="0" w:line="480" w:lineRule="auto"/>
        <w:textAlignment w:val="baseline"/>
        <w:rPr>
          <w:rFonts w:ascii="Calibri" w:eastAsia="Calibri" w:hAnsi="Calibri" w:cs="Times New Roman"/>
          <w:color w:val="FF0000"/>
          <w:sz w:val="24"/>
          <w:szCs w:val="24"/>
        </w:rPr>
      </w:pPr>
      <w:r w:rsidRPr="00DA284D">
        <w:rPr>
          <w:rFonts w:ascii="Calibri" w:eastAsia="Calibri" w:hAnsi="Calibri" w:cs="Times New Roman"/>
          <w:sz w:val="24"/>
          <w:szCs w:val="24"/>
        </w:rPr>
        <w:t>The statistics outlined in Table 1 show that counselling is a white dominated profession. This is significant as research in the UK has found black people have an ‘overwhelmingly negative experience of mental health services’ (</w:t>
      </w:r>
      <w:bookmarkStart w:id="17" w:name="_Hlk62828744"/>
      <w:r w:rsidRPr="00DA284D">
        <w:rPr>
          <w:rFonts w:ascii="Calibri" w:eastAsia="Calibri" w:hAnsi="Calibri" w:cs="Times New Roman"/>
          <w:sz w:val="24"/>
          <w:szCs w:val="24"/>
        </w:rPr>
        <w:t>The Sainsbury Centre for Mental Health, 2002, p. 6). This is supported by the Mental Health Foundation (2018) who found black and ethnic minority groups in the UK are more likely to be diagnosed with mental health problems and more likely to experience poor outcomes from treatment and disengage from mainstream mental health services. Similarly, the argument has been made that people of colour face healthcare inequalities in the UK, including mental health services, but the responsibility tends to be placed on ‘cultural considerations’ rather than the service provider or systemic factors (Chouhan and Nazroo, 2020, p. 89).</w:t>
      </w:r>
      <w:bookmarkEnd w:id="17"/>
    </w:p>
    <w:p w14:paraId="1CC3E724"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22870654"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lastRenderedPageBreak/>
        <w:t>Although counselling differentiates itself from the medicalised models found in mental health services and does not diagnose mental health conditions (see Chapter 2), it has been argued that the Eurocentric nature of counselling, or its Western-European centred concepts (Dupont-Joshua, 2003), means that what may be considered ‘normal’ behaviour in one country can be considered abnormal in the UK (Hall, 2011). Similarly, it has been suggested that counselling puts forward the majority cultural values, leading to ‘culturally encapsulated’ practitioners (Alladin, 2006, p. 175). This argument has been furthered by Watters (2011) who argues that Western ideas of mental well-being neglect cultural differences and homogenise mental health. Chapter 2 explores mental health, counselling and ‘race’ in greater depth.</w:t>
      </w:r>
    </w:p>
    <w:p w14:paraId="310A8B79" w14:textId="77777777" w:rsidR="00DA284D" w:rsidRPr="00DA284D" w:rsidRDefault="00DA284D" w:rsidP="00DA284D">
      <w:pPr>
        <w:suppressAutoHyphens/>
        <w:autoSpaceDN w:val="0"/>
        <w:spacing w:after="0" w:line="480" w:lineRule="auto"/>
        <w:textAlignment w:val="baseline"/>
        <w:rPr>
          <w:rFonts w:ascii="Calibri" w:eastAsia="Calibri" w:hAnsi="Calibri" w:cs="Times New Roman"/>
          <w:color w:val="FF0000"/>
          <w:sz w:val="24"/>
          <w:szCs w:val="24"/>
        </w:rPr>
      </w:pPr>
    </w:p>
    <w:p w14:paraId="7C957B51"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bookmarkStart w:id="18" w:name="_gjdgxs" w:colFirst="0" w:colLast="0"/>
      <w:bookmarkEnd w:id="18"/>
      <w:r w:rsidRPr="00DA284D">
        <w:rPr>
          <w:rFonts w:ascii="Calibri" w:eastAsia="Calibri" w:hAnsi="Calibri" w:cs="Times New Roman"/>
          <w:sz w:val="24"/>
          <w:szCs w:val="24"/>
        </w:rPr>
        <w:t xml:space="preserve">Given the predominately white demographic of England and Wales, counselling being a white dominated profession and the negative experiences of mental health services that people of colour experience, the argument that training institutes are failing to prepare white trainee therapists to work multi-culturally (Jackson, 2018) makes sense. One reason for this could be that there is no national standardisation relating to the teaching of 'race' and culture in counselling </w:t>
      </w:r>
      <w:bookmarkStart w:id="19" w:name="_Hlk52794617"/>
      <w:r w:rsidRPr="00DA284D">
        <w:rPr>
          <w:rFonts w:ascii="Calibri" w:eastAsia="Calibri" w:hAnsi="Calibri" w:cs="Times New Roman"/>
          <w:sz w:val="24"/>
          <w:szCs w:val="24"/>
        </w:rPr>
        <w:t>(</w:t>
      </w:r>
      <w:bookmarkStart w:id="20" w:name="_Hlk52961046"/>
      <w:r w:rsidRPr="00DA284D">
        <w:rPr>
          <w:rFonts w:ascii="Calibri" w:eastAsia="Calibri" w:hAnsi="Calibri" w:cs="Times New Roman"/>
          <w:sz w:val="24"/>
          <w:szCs w:val="24"/>
        </w:rPr>
        <w:t>d’Ardenne, 2013</w:t>
      </w:r>
      <w:bookmarkEnd w:id="19"/>
      <w:bookmarkEnd w:id="20"/>
      <w:r w:rsidRPr="00DA284D">
        <w:rPr>
          <w:rFonts w:ascii="Calibri" w:eastAsia="Calibri" w:hAnsi="Calibri" w:cs="Times New Roman"/>
          <w:sz w:val="24"/>
          <w:szCs w:val="24"/>
        </w:rPr>
        <w:t xml:space="preserve">) and whiteness as racial identity is an overlooked aspect of counselling training (Ryde, 2011). In the BACP’s course accreditation guidelines (BACP, 2012; BACP 2019) and ethical framework (BACP, 2018a), the words ‘race’, ‘racism’ and ‘whiteness’ are omitted altogether.  Likewise, related terms such as ‘multiculturalism’ and ‘cultural difference’ are not included in the ethical framework (BACP, 2018a). ‘Culture’ is mentioned in regard to the BACP’s ethical commitment to ‘facilitating a sense of self that is meaningful to the person(s) concerned within their personal and cultural context’ </w:t>
      </w:r>
      <w:bookmarkStart w:id="21" w:name="_Hlk69896885"/>
      <w:r w:rsidRPr="00DA284D">
        <w:rPr>
          <w:rFonts w:ascii="Calibri" w:eastAsia="Calibri" w:hAnsi="Calibri" w:cs="Times New Roman"/>
          <w:sz w:val="24"/>
          <w:szCs w:val="24"/>
        </w:rPr>
        <w:t>(BACP, 2018a, p. 8)</w:t>
      </w:r>
      <w:bookmarkEnd w:id="21"/>
      <w:r w:rsidRPr="00DA284D">
        <w:rPr>
          <w:rFonts w:ascii="Calibri" w:eastAsia="Calibri" w:hAnsi="Calibri" w:cs="Times New Roman"/>
          <w:sz w:val="24"/>
          <w:szCs w:val="24"/>
        </w:rPr>
        <w:t xml:space="preserve"> and ‘appreciating the variety of human experience and culture’ </w:t>
      </w:r>
      <w:r w:rsidRPr="00DA284D">
        <w:rPr>
          <w:rFonts w:ascii="Calibri" w:eastAsia="Calibri" w:hAnsi="Calibri" w:cs="Times New Roman"/>
          <w:sz w:val="24"/>
          <w:szCs w:val="24"/>
        </w:rPr>
        <w:lastRenderedPageBreak/>
        <w:t>(BACP, 2018a, p. 8). ‘Diversity’ is referred to in relation to respecting clients through the ‘endeavour to demonstrate equality, value diversity and ensure inclusion for all clients’ (BACP, 2018a, p. 15) and as an organisation to ‘take the law concerning equality, diversity and inclusion into careful consideration and strive for a higher standard than the legal minimum’ (BACP, 2018a, p. 15). However, it could be argued that these policy statements are ambiguous and open to interpretation. This is reflected in the findings of this research, whereby the counselling curriculum, written in accordance with the BACP’s ethical framework, was similarly ambiguous in relation to addressing diversity and discrimination (Theme 4, Chapter 5, Section 5.5 and Chapter 6, Section 6.6).</w:t>
      </w:r>
    </w:p>
    <w:p w14:paraId="0DA8D4E1"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The potential consequences of the omission of ‘race’, ‘racism’ and ‘whiteness’ are discussed in Chapters 2, 6 and 7. </w:t>
      </w:r>
    </w:p>
    <w:p w14:paraId="20FB785C"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6A4512DF"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trike/>
          <w:sz w:val="24"/>
          <w:szCs w:val="24"/>
        </w:rPr>
      </w:pPr>
      <w:r w:rsidRPr="00DA284D">
        <w:rPr>
          <w:rFonts w:ascii="Calibri" w:eastAsia="Calibri" w:hAnsi="Calibri" w:cs="Times New Roman"/>
          <w:sz w:val="24"/>
          <w:szCs w:val="24"/>
        </w:rPr>
        <w:t>This omission and ambiguity may help to explain the normalisation of whiteness in counselling training (</w:t>
      </w:r>
      <w:bookmarkStart w:id="22" w:name="_Hlk52961076"/>
      <w:r w:rsidRPr="00DA284D">
        <w:rPr>
          <w:rFonts w:ascii="Calibri" w:eastAsia="Calibri" w:hAnsi="Calibri" w:cs="Times New Roman"/>
          <w:sz w:val="24"/>
          <w:szCs w:val="24"/>
        </w:rPr>
        <w:t>Rotham, Malott and Paone, 2012</w:t>
      </w:r>
      <w:bookmarkEnd w:id="22"/>
      <w:r w:rsidRPr="00DA284D">
        <w:rPr>
          <w:rFonts w:ascii="Calibri" w:eastAsia="Calibri" w:hAnsi="Calibri" w:cs="Times New Roman"/>
          <w:sz w:val="24"/>
          <w:szCs w:val="24"/>
        </w:rPr>
        <w:t xml:space="preserve">) and white counsellors averseness to discussing racial identity with black clients (Barnes, Williams and Barnes, 2014). Indeed, it has been suggested that the counselling profession is guilty of white privilege and supremacy (Turner, 2018a; Turner, 2018b). The need to challenge the white-centric nature of counselling training and practice has been called for by practitioners (of which I was a contributor), who recognise the need for white counsellors self-exploration, collective activism and a challenge to the power of whiteness in the counselling profession (Jackson, 2020a). Thus, this research is a timely contribution to the issue of the dominance of whiteness in counselling. Consequently, the argument that ‘a silencing of race has resulted in the illusion that racial inequalities have been addressed and dealt with’ in society (Bhopal, </w:t>
      </w:r>
      <w:r w:rsidRPr="00DA284D">
        <w:rPr>
          <w:rFonts w:ascii="Calibri" w:eastAsia="Calibri" w:hAnsi="Calibri" w:cs="Times New Roman"/>
          <w:sz w:val="24"/>
          <w:szCs w:val="24"/>
        </w:rPr>
        <w:lastRenderedPageBreak/>
        <w:t xml:space="preserve">2018, p. 8), also seems applicable to the counselling profession. Similarly, it has been argued that in Britain, ‘whiteness is not an identity that is often spoken of’ (Byrne, 2006, p. 170). </w:t>
      </w:r>
    </w:p>
    <w:p w14:paraId="76F1F0B7" w14:textId="77777777" w:rsidR="00DA284D" w:rsidRPr="00DA284D" w:rsidRDefault="00DA284D" w:rsidP="00DA284D">
      <w:pPr>
        <w:suppressAutoHyphens/>
        <w:autoSpaceDN w:val="0"/>
        <w:spacing w:after="0" w:line="480" w:lineRule="auto"/>
        <w:textAlignment w:val="baseline"/>
        <w:rPr>
          <w:rFonts w:ascii="Calibri" w:eastAsia="Calibri" w:hAnsi="Calibri" w:cs="Times New Roman"/>
        </w:rPr>
      </w:pPr>
      <w:r w:rsidRPr="00DA284D">
        <w:rPr>
          <w:rFonts w:ascii="Calibri" w:eastAsia="Calibri" w:hAnsi="Calibri" w:cs="Times New Roman"/>
          <w:sz w:val="24"/>
          <w:szCs w:val="24"/>
        </w:rPr>
        <w:t xml:space="preserve">This research sought to open a dialogue on the issue of ‘race’ through discovering how white counselling trainees understood ‘race’, racism and whiteness in South Wales in order to break the silence Byrne (2006) and Bhopal (2018) refer to. After all, it is counsellors and clients of colour who experience the negative consequences of the silence around ‘race’, racism and whiteness within the profession (Jackson, 2020b). </w:t>
      </w:r>
    </w:p>
    <w:p w14:paraId="3AAC986A"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0A5FDEC5"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The decision to focus on white trainees has been influenced by the argument that the onus of learning about the issue of ‘race’ must be placed onto white people (Eddo-Lodge, 2017). This is not a new argument, as Lorde (2007 [1980], p. 115) has argued that when black people and people from the Global South: </w:t>
      </w:r>
    </w:p>
    <w:p w14:paraId="1AF1F141" w14:textId="77777777" w:rsidR="00DA284D" w:rsidRPr="00DA284D" w:rsidRDefault="00DA284D" w:rsidP="00DA284D">
      <w:pPr>
        <w:suppressAutoHyphens/>
        <w:autoSpaceDN w:val="0"/>
        <w:spacing w:after="0" w:line="240" w:lineRule="auto"/>
        <w:ind w:left="567" w:right="567"/>
        <w:textAlignment w:val="baseline"/>
        <w:rPr>
          <w:rFonts w:ascii="Calibri" w:eastAsia="Calibri" w:hAnsi="Calibri" w:cs="Times New Roman"/>
          <w:sz w:val="24"/>
          <w:szCs w:val="24"/>
        </w:rPr>
      </w:pPr>
      <w:r w:rsidRPr="00DA284D">
        <w:rPr>
          <w:rFonts w:ascii="Calibri" w:eastAsia="Calibri" w:hAnsi="Calibri" w:cs="Times New Roman"/>
          <w:sz w:val="24"/>
          <w:szCs w:val="24"/>
        </w:rPr>
        <w:t>…are expected to educate white people as to our humanity... [the] oppressors maintain their position and evade their responsibility for their own actions.</w:t>
      </w:r>
    </w:p>
    <w:p w14:paraId="4EC0FB3E"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5C734EF1"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Echoing the arguments of Lorde (2007 [1980]) and Eddo-Lodge (2017), Gay (2014, p. 259) has also argued, ‘it’s dangerous to suggest that the targets of oppression are wholly responsible for ending that oppression’. This research is an answer to the call that overcoming oppression, specifically racial inequality, is a collective endeavour. The major motivation of this research was to break a seemingly collective white silence in counselling and contribute toward racial justice by asking the research questions (Section 1.3). The need for white people to take responsibility for our actions (Lorde, 2007 [1980]; Gay, 2014; Eddo-Lodge, 2017), is recognised in conjunction with an awareness of the psychological impact of racism, known as ‘race-based traumatic stress’ (Carter, 2007, p. 13, see Chapter 2, Section 2.1.7). As my professional background is as a trauma counsellor, the psychological safety of </w:t>
      </w:r>
      <w:r w:rsidRPr="00DA284D">
        <w:rPr>
          <w:rFonts w:ascii="Calibri" w:eastAsia="Calibri" w:hAnsi="Calibri" w:cs="Times New Roman"/>
          <w:sz w:val="24"/>
          <w:szCs w:val="24"/>
        </w:rPr>
        <w:lastRenderedPageBreak/>
        <w:t xml:space="preserve">research participants is paramount, meaning that it would feel unethical as a white researcher to potentially provoke racial trauma in participants of colour by asking them to recount incidents of racial discrimination in counselling training. Hence, the focus on white trainee counsellors is not meant to be exclusionary to people of colour, but rather falls in line with the purpose of critical whiteness studies to critique and deconstruct the meaning of whiteness to achieve racial equality </w:t>
      </w:r>
      <w:bookmarkStart w:id="23" w:name="_Hlk52467814"/>
      <w:r w:rsidRPr="00DA284D">
        <w:rPr>
          <w:rFonts w:ascii="Calibri" w:eastAsia="Calibri" w:hAnsi="Calibri" w:cs="Times New Roman"/>
          <w:sz w:val="24"/>
          <w:szCs w:val="24"/>
        </w:rPr>
        <w:t xml:space="preserve">(Delgado and Stefancic, 1997; Hartman, Gerteis and Croll, 2009; Applebaum, 2016a). </w:t>
      </w:r>
      <w:bookmarkEnd w:id="23"/>
      <w:r w:rsidRPr="00DA284D">
        <w:rPr>
          <w:rFonts w:ascii="Calibri" w:eastAsia="Calibri" w:hAnsi="Calibri" w:cs="Times New Roman"/>
          <w:sz w:val="24"/>
          <w:szCs w:val="24"/>
        </w:rPr>
        <w:t xml:space="preserve">Critical whiteness studies is discussed below and in greater depth in Chapter 3 (Section 3.4). </w:t>
      </w:r>
    </w:p>
    <w:p w14:paraId="4EA85016"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2A154259" w14:textId="77777777" w:rsidR="00DA284D" w:rsidRPr="00DA284D" w:rsidRDefault="00DA284D" w:rsidP="00DA284D">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24" w:name="_Toc56522980"/>
      <w:bookmarkStart w:id="25" w:name="_Toc56523262"/>
      <w:bookmarkStart w:id="26" w:name="_Toc57910070"/>
      <w:bookmarkStart w:id="27" w:name="_Toc58251286"/>
      <w:bookmarkStart w:id="28" w:name="_Toc72413614"/>
      <w:r w:rsidRPr="00DA284D">
        <w:rPr>
          <w:rFonts w:ascii="Calibri Light" w:eastAsia="Times New Roman" w:hAnsi="Calibri Light" w:cs="Times New Roman"/>
          <w:b/>
          <w:bCs/>
          <w:sz w:val="28"/>
          <w:szCs w:val="26"/>
        </w:rPr>
        <w:t>1.3 Research Question, Aims and Objectives</w:t>
      </w:r>
      <w:bookmarkEnd w:id="24"/>
      <w:bookmarkEnd w:id="25"/>
      <w:bookmarkEnd w:id="26"/>
      <w:bookmarkEnd w:id="27"/>
      <w:bookmarkEnd w:id="28"/>
    </w:p>
    <w:p w14:paraId="0C9F0875"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The main aim of the research is to explore white trainee counsellors understanding of ‘race’, racism and whiteness. To achieve this aim, the research question asked was: </w:t>
      </w:r>
    </w:p>
    <w:p w14:paraId="4C1425DA" w14:textId="77777777" w:rsidR="00DA284D" w:rsidRPr="00DA284D" w:rsidRDefault="00DA284D" w:rsidP="00DA284D">
      <w:pPr>
        <w:suppressAutoHyphens/>
        <w:autoSpaceDN w:val="0"/>
        <w:spacing w:after="0" w:line="240" w:lineRule="auto"/>
        <w:ind w:left="1287" w:right="567" w:hanging="720"/>
        <w:textAlignment w:val="baseline"/>
        <w:rPr>
          <w:rFonts w:ascii="Calibri" w:eastAsia="Calibri" w:hAnsi="Calibri" w:cs="Times New Roman"/>
          <w:iCs/>
          <w:sz w:val="24"/>
          <w:szCs w:val="24"/>
        </w:rPr>
      </w:pPr>
      <w:r w:rsidRPr="00DA284D">
        <w:rPr>
          <w:rFonts w:ascii="Calibri" w:eastAsia="Calibri" w:hAnsi="Calibri" w:cs="Times New Roman"/>
          <w:i/>
          <w:sz w:val="24"/>
          <w:szCs w:val="24"/>
        </w:rPr>
        <w:t>How do white trainee counsellors in South Wales understand ‘race’, racism and whiteness?</w:t>
      </w:r>
    </w:p>
    <w:p w14:paraId="3BFD029F"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 </w:t>
      </w:r>
    </w:p>
    <w:p w14:paraId="745A7336"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bookmarkStart w:id="29" w:name="_Hlk59264370"/>
      <w:r w:rsidRPr="00DA284D">
        <w:rPr>
          <w:rFonts w:ascii="Calibri" w:eastAsia="Calibri" w:hAnsi="Calibri" w:cs="Times New Roman"/>
          <w:sz w:val="24"/>
          <w:szCs w:val="24"/>
        </w:rPr>
        <w:t>This question was explored by asking the following research questions:</w:t>
      </w:r>
    </w:p>
    <w:p w14:paraId="4D02DC92"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How do white counselling trainees understand ‘race’?</w:t>
      </w:r>
    </w:p>
    <w:p w14:paraId="01D4B3EB"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Do they understand ‘race’ to be a social construct?</w:t>
      </w:r>
    </w:p>
    <w:p w14:paraId="580700E8"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How do they understand racism?</w:t>
      </w:r>
    </w:p>
    <w:p w14:paraId="1FBAA984"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Do they perceive whiteness as a racialised identity?</w:t>
      </w:r>
    </w:p>
    <w:p w14:paraId="5705E047"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How do they feel discussing ‘race’ and racism?</w:t>
      </w:r>
    </w:p>
    <w:bookmarkEnd w:id="29"/>
    <w:p w14:paraId="1779EDE5" w14:textId="77777777" w:rsidR="00DA284D" w:rsidRPr="00DA284D" w:rsidRDefault="00DA284D" w:rsidP="00DA284D">
      <w:pPr>
        <w:suppressAutoHyphens/>
        <w:autoSpaceDN w:val="0"/>
        <w:spacing w:after="0" w:line="480" w:lineRule="auto"/>
        <w:ind w:left="720"/>
        <w:textAlignment w:val="baseline"/>
        <w:rPr>
          <w:rFonts w:ascii="Calibri" w:eastAsia="Calibri" w:hAnsi="Calibri" w:cs="Times New Roman"/>
          <w:sz w:val="24"/>
          <w:szCs w:val="24"/>
        </w:rPr>
      </w:pPr>
    </w:p>
    <w:p w14:paraId="3BA82576" w14:textId="77777777" w:rsidR="00DA284D" w:rsidRPr="00DA284D" w:rsidRDefault="00DA284D" w:rsidP="00DA284D">
      <w:p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The research objectives were to:</w:t>
      </w:r>
    </w:p>
    <w:p w14:paraId="3CB1ED58"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Explore how white trainee counsellors understand ‘race’, racism and whiteness.</w:t>
      </w:r>
    </w:p>
    <w:p w14:paraId="10EB1BC5"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Identify the feelings that emerge from discussing ‘race’, racism and whiteness.</w:t>
      </w:r>
    </w:p>
    <w:p w14:paraId="2694FD08"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Achieve a space for trainees to have their views heard in a respectful way.</w:t>
      </w:r>
    </w:p>
    <w:p w14:paraId="3CBBD2AE"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Explore and identify key themes regarding white trainee counsellors understanding of ‘race’, racism and whiteness who are training in South Wales.</w:t>
      </w:r>
    </w:p>
    <w:p w14:paraId="0C8E2E96" w14:textId="77777777" w:rsidR="00DA284D" w:rsidRPr="00DA284D" w:rsidRDefault="00DA284D" w:rsidP="00DA284D">
      <w:pPr>
        <w:numPr>
          <w:ilvl w:val="0"/>
          <w:numId w:val="1"/>
        </w:numPr>
        <w:suppressAutoHyphens/>
        <w:autoSpaceDN w:val="0"/>
        <w:spacing w:after="0" w:line="24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       Add to the knowledge based of ‘race’, racism and whiteness in Wales.</w:t>
      </w:r>
    </w:p>
    <w:p w14:paraId="459DEE02" w14:textId="77777777" w:rsidR="00DA284D" w:rsidRPr="00DA284D" w:rsidRDefault="00DA284D" w:rsidP="00DA284D">
      <w:pPr>
        <w:suppressAutoHyphens/>
        <w:autoSpaceDN w:val="0"/>
        <w:spacing w:after="0" w:line="240" w:lineRule="auto"/>
        <w:textAlignment w:val="baseline"/>
        <w:rPr>
          <w:rFonts w:ascii="Calibri" w:eastAsia="Calibri" w:hAnsi="Calibri" w:cs="Times New Roman"/>
          <w:sz w:val="24"/>
          <w:szCs w:val="24"/>
        </w:rPr>
      </w:pPr>
    </w:p>
    <w:p w14:paraId="56C0A16F"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36FE0FF1"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lastRenderedPageBreak/>
        <w:t xml:space="preserve">This research has situated its findings into a wider historical and socio-political context by considering how the participants’ understanding of ‘race’, racism and whiteness compared and contrasted to historical and current ideas about these issues; the wider socio-political context will be explored in the literature review (Chapter 2) and in the discussion of findings (Chapter 6). Therefore, while this research focuses on counselling trainees, it will also contribute to wider scholarship about perceptions of ‘race’, racism and whiteness amongst white people. </w:t>
      </w:r>
    </w:p>
    <w:p w14:paraId="4BB66A9D"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3024EF9D" w14:textId="77777777" w:rsidR="00DA284D" w:rsidRPr="00DA284D" w:rsidRDefault="00DA284D" w:rsidP="00DA284D">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30" w:name="_Toc56522981"/>
      <w:bookmarkStart w:id="31" w:name="_Toc56523263"/>
      <w:bookmarkStart w:id="32" w:name="_Toc57910071"/>
      <w:bookmarkStart w:id="33" w:name="_Toc58251287"/>
      <w:bookmarkStart w:id="34" w:name="_Toc72413615"/>
      <w:r w:rsidRPr="00DA284D">
        <w:rPr>
          <w:rFonts w:ascii="Calibri Light" w:eastAsia="Times New Roman" w:hAnsi="Calibri Light" w:cs="Times New Roman"/>
          <w:b/>
          <w:bCs/>
          <w:sz w:val="28"/>
          <w:szCs w:val="26"/>
        </w:rPr>
        <w:t>1.4 Original Contribution to Knowledge</w:t>
      </w:r>
      <w:bookmarkEnd w:id="30"/>
      <w:bookmarkEnd w:id="31"/>
      <w:bookmarkEnd w:id="32"/>
      <w:bookmarkEnd w:id="33"/>
      <w:bookmarkEnd w:id="34"/>
    </w:p>
    <w:p w14:paraId="14092710"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r w:rsidRPr="00DA284D">
        <w:rPr>
          <w:rFonts w:ascii="Calibri" w:eastAsia="Calibri" w:hAnsi="Calibri" w:cs="Times New Roman"/>
          <w:sz w:val="24"/>
          <w:szCs w:val="24"/>
        </w:rPr>
        <w:t>This research offers an original contribution to knowledge through the combination of asking how white trainee counsellors understand ‘race’, racism and whiteness in South Wales and the theoretical lens of critical whiteness studies. In doing so, it provides a unique piece of research and fills a gap in the current knowledge base of both counselling and critical whiteness studies. Clarke and Garner (2010, p. 59) have argued that British sociological research into whiteness has focused on urban England, neglecting the other home nations, rural areas, and women. Therefore, this research can be a contribution to British whiteness studies through its location (South Wales, in a semi-rural area) and through 15 of the 16 participants being women. In addition, using post-critical ethnography as the methodological approach for counselling related research in Wales, is also a contribution to knowledge as this combination of methodology, topic, theoretical lens and geographical location has not been evident in research literature.</w:t>
      </w:r>
    </w:p>
    <w:p w14:paraId="3E2C6029"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4771EC72"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lastRenderedPageBreak/>
        <w:t xml:space="preserve">One of the key findings I will present is my concept of ‘White Ignorance Disruption’. Simply put, White Ignorance Disruption is the moment(s) between ignorance and response. This concept draws on Mill’s (2007) theory of white ignorance, or the wilful not knowing about ‘race’ in order to sustain white racial hierarchy (Chapter 2, Section 2.1.5). I present White Ignorance Disruption as a descriptive term to explain the </w:t>
      </w:r>
      <w:bookmarkStart w:id="35" w:name="_Hlk52526462"/>
      <w:r w:rsidRPr="00DA284D">
        <w:rPr>
          <w:rFonts w:ascii="Calibri" w:eastAsia="Calibri" w:hAnsi="Calibri" w:cs="Times New Roman"/>
          <w:sz w:val="24"/>
          <w:szCs w:val="24"/>
        </w:rPr>
        <w:t xml:space="preserve">initial stirring of unformed </w:t>
      </w:r>
      <w:bookmarkEnd w:id="35"/>
      <w:r w:rsidRPr="00DA284D">
        <w:rPr>
          <w:rFonts w:ascii="Calibri" w:eastAsia="Calibri" w:hAnsi="Calibri" w:cs="Times New Roman"/>
          <w:sz w:val="24"/>
          <w:szCs w:val="24"/>
        </w:rPr>
        <w:t xml:space="preserve">cognitive and emotional responses experienced by the research participants when asked to talk about ‘race’, racism and whiteness. I have conceived of it as a theoretical bridge which connects Mills (2007) concept of white ignorance to theories of whiteness such as white fragility (DiAngelo, 2018) and the emotionality of whiteness (Spanierman and Cabrera, 2015; Matias, 2016). White Ignorance Disruption is evident in my empirical research and will be outlined and presented in Chapter 6. </w:t>
      </w:r>
    </w:p>
    <w:p w14:paraId="7888AC4D"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2E46EC7A" w14:textId="77777777" w:rsidR="00DA284D" w:rsidRPr="00DA284D" w:rsidRDefault="00DA284D" w:rsidP="00DA284D">
      <w:pPr>
        <w:suppressAutoHyphens/>
        <w:autoSpaceDN w:val="0"/>
        <w:spacing w:after="0" w:line="480" w:lineRule="auto"/>
        <w:textAlignment w:val="baseline"/>
        <w:rPr>
          <w:rFonts w:ascii="Calibri" w:eastAsia="Calibri" w:hAnsi="Calibri" w:cs="Calibri"/>
          <w:sz w:val="24"/>
          <w:szCs w:val="24"/>
        </w:rPr>
      </w:pPr>
      <w:r w:rsidRPr="00DA284D">
        <w:rPr>
          <w:rFonts w:ascii="Calibri" w:eastAsia="Calibri" w:hAnsi="Calibri" w:cs="Calibri"/>
          <w:sz w:val="24"/>
          <w:szCs w:val="24"/>
        </w:rPr>
        <w:t xml:space="preserve">A second key finding is the concept I have termed the ‘Good White Counsellor’. This brings together Sullivan’s (2014a) notion of the ‘good white people’, DiAngelo’s (2018) good/bad binary of racism, and Bonilla-Silva’s (2018) theory of colour-blind ideology. In doing so, it describes a white counsellor who would be appalled to think of themselves as racist and who uses colour-blind ideology as a way to express their ‘goodness’ (in comparison to the ‘bad’ racists). </w:t>
      </w:r>
    </w:p>
    <w:p w14:paraId="71EACA60" w14:textId="77777777" w:rsidR="00DA284D" w:rsidRPr="00DA284D" w:rsidRDefault="00DA284D" w:rsidP="00DA284D">
      <w:pPr>
        <w:suppressAutoHyphens/>
        <w:autoSpaceDN w:val="0"/>
        <w:spacing w:after="0" w:line="480" w:lineRule="auto"/>
        <w:textAlignment w:val="baseline"/>
        <w:rPr>
          <w:rFonts w:ascii="Calibri" w:eastAsia="Calibri" w:hAnsi="Calibri" w:cs="Calibri"/>
          <w:sz w:val="24"/>
          <w:szCs w:val="24"/>
        </w:rPr>
      </w:pPr>
    </w:p>
    <w:p w14:paraId="5762BEB5"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In addition, the uniqueness of this study is the data from a Welsh perspective. In a recent book which considered contemporary racial inequalities in the UK, information regarding England and Wales was presented in conjunction (Byrne </w:t>
      </w:r>
      <w:r w:rsidRPr="00DA284D">
        <w:rPr>
          <w:rFonts w:ascii="Calibri" w:eastAsia="Calibri" w:hAnsi="Calibri" w:cs="Times New Roman"/>
          <w:i/>
          <w:iCs/>
          <w:sz w:val="24"/>
          <w:szCs w:val="24"/>
        </w:rPr>
        <w:t>et al</w:t>
      </w:r>
      <w:r w:rsidRPr="00DA284D">
        <w:rPr>
          <w:rFonts w:ascii="Calibri" w:eastAsia="Calibri" w:hAnsi="Calibri" w:cs="Times New Roman"/>
          <w:sz w:val="24"/>
          <w:szCs w:val="24"/>
        </w:rPr>
        <w:t xml:space="preserve">, 2020), meaning that insight into ‘race’ from a solely Welsh perspective was absent. Therefore, this research also adds to the knowledge base of ‘race’ in Wales separate to that of England. Additionally, it does so at </w:t>
      </w:r>
      <w:r w:rsidRPr="00DA284D">
        <w:rPr>
          <w:rFonts w:ascii="Calibri" w:eastAsia="Calibri" w:hAnsi="Calibri" w:cs="Times New Roman"/>
          <w:sz w:val="24"/>
          <w:szCs w:val="24"/>
        </w:rPr>
        <w:lastRenderedPageBreak/>
        <w:t>a time when a Welsh Government report into the effects of Covid-19 on people of colour in Wales has recognised that there is systemic racial inequality in Wales (Welsh Government, 2020a).</w:t>
      </w:r>
    </w:p>
    <w:p w14:paraId="023B0D16" w14:textId="77777777" w:rsidR="00DA284D" w:rsidRPr="00DA284D" w:rsidRDefault="00DA284D" w:rsidP="00DA284D">
      <w:pPr>
        <w:suppressAutoHyphens/>
        <w:autoSpaceDN w:val="0"/>
        <w:spacing w:after="0" w:line="480" w:lineRule="auto"/>
        <w:textAlignment w:val="baseline"/>
        <w:rPr>
          <w:rFonts w:ascii="Calibri" w:eastAsia="Calibri" w:hAnsi="Calibri" w:cs="Times New Roman"/>
        </w:rPr>
      </w:pPr>
    </w:p>
    <w:p w14:paraId="2E71A49D" w14:textId="77777777" w:rsidR="00DA284D" w:rsidRPr="00DA284D" w:rsidRDefault="00DA284D" w:rsidP="00DA284D">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36" w:name="_Toc56522982"/>
      <w:bookmarkStart w:id="37" w:name="_Toc56523264"/>
      <w:bookmarkStart w:id="38" w:name="_Toc57910072"/>
      <w:bookmarkStart w:id="39" w:name="_Toc58251288"/>
      <w:bookmarkStart w:id="40" w:name="_Toc72413616"/>
      <w:r w:rsidRPr="00DA284D">
        <w:rPr>
          <w:rFonts w:ascii="Calibri Light" w:eastAsia="Times New Roman" w:hAnsi="Calibri Light" w:cs="Times New Roman"/>
          <w:b/>
          <w:bCs/>
          <w:sz w:val="28"/>
          <w:szCs w:val="26"/>
        </w:rPr>
        <w:t>1.5 Positionality</w:t>
      </w:r>
      <w:bookmarkEnd w:id="36"/>
      <w:bookmarkEnd w:id="37"/>
      <w:bookmarkEnd w:id="38"/>
      <w:bookmarkEnd w:id="39"/>
      <w:bookmarkEnd w:id="40"/>
      <w:r w:rsidRPr="00DA284D">
        <w:rPr>
          <w:rFonts w:ascii="Calibri Light" w:eastAsia="Times New Roman" w:hAnsi="Calibri Light" w:cs="Times New Roman"/>
          <w:b/>
          <w:bCs/>
          <w:sz w:val="28"/>
          <w:szCs w:val="26"/>
        </w:rPr>
        <w:t xml:space="preserve"> </w:t>
      </w:r>
    </w:p>
    <w:p w14:paraId="58C4E78A" w14:textId="77777777" w:rsidR="00DA284D" w:rsidRPr="00DA284D" w:rsidRDefault="00DA284D" w:rsidP="00DA284D">
      <w:pPr>
        <w:suppressAutoHyphens/>
        <w:autoSpaceDN w:val="0"/>
        <w:spacing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The consideration of researcher positionality is an integral aspect of the methodological approach of this research, post-critical ethnography (Noblit, Flores and Murillo, 2004; Anders 2019). Post-critical ethnography will be further discussed in Chapter 3. For clarity, this research understands positionality in terms of the theoretical and the personal. However, that is not to say they are neatly delineated as my personal experiences have influenced the theoretical decisions of this research. Hence, the selection of a conceptual framework which recognises the political aspects of research and emphasises social justice echoes my intrinsic values. Chapter 3 critically considers the selection of the conceptual framework.</w:t>
      </w:r>
    </w:p>
    <w:p w14:paraId="14F37513" w14:textId="77777777" w:rsidR="00DA284D" w:rsidRPr="00DA284D" w:rsidRDefault="00DA284D" w:rsidP="00DA284D">
      <w:pPr>
        <w:keepNext/>
        <w:suppressAutoHyphens/>
        <w:autoSpaceDN w:val="0"/>
        <w:spacing w:before="240" w:after="60" w:line="249" w:lineRule="auto"/>
        <w:textAlignment w:val="baseline"/>
        <w:outlineLvl w:val="3"/>
        <w:rPr>
          <w:rFonts w:ascii="Calibri" w:eastAsia="Times New Roman" w:hAnsi="Calibri" w:cs="Times New Roman"/>
          <w:bCs/>
          <w:sz w:val="28"/>
          <w:szCs w:val="28"/>
          <w:u w:val="single"/>
        </w:rPr>
      </w:pPr>
      <w:r w:rsidRPr="00DA284D">
        <w:rPr>
          <w:rFonts w:ascii="Calibri" w:eastAsia="Times New Roman" w:hAnsi="Calibri" w:cs="Times New Roman"/>
          <w:bCs/>
          <w:sz w:val="28"/>
          <w:szCs w:val="28"/>
          <w:u w:val="single"/>
        </w:rPr>
        <w:t xml:space="preserve">Theoretical Positionality </w:t>
      </w:r>
    </w:p>
    <w:p w14:paraId="5ADF0882" w14:textId="77777777" w:rsidR="00DA284D" w:rsidRPr="00DA284D" w:rsidRDefault="00DA284D" w:rsidP="00DA284D">
      <w:pPr>
        <w:spacing w:before="100" w:beforeAutospacing="1" w:after="100" w:afterAutospacing="1" w:line="480" w:lineRule="auto"/>
        <w:rPr>
          <w:rFonts w:ascii="Calibri" w:eastAsia="Times New Roman" w:hAnsi="Calibri" w:cs="Calibri"/>
          <w:sz w:val="24"/>
          <w:szCs w:val="24"/>
          <w:lang w:eastAsia="en-GB"/>
        </w:rPr>
      </w:pPr>
      <w:r w:rsidRPr="00DA284D">
        <w:rPr>
          <w:rFonts w:ascii="Calibri" w:eastAsia="Times New Roman" w:hAnsi="Calibri" w:cs="Calibri"/>
          <w:sz w:val="24"/>
          <w:szCs w:val="24"/>
          <w:lang w:eastAsia="en-GB"/>
        </w:rPr>
        <w:t xml:space="preserve">To answer the research questions, the ontological position was that of historical realism (Denzin and Lincoln, 2011, p. 98) and the epistemological stance was ‘theorised subjectivity’ (Letherby, 2013). Both of these recognise the political influences on both researcher and participant(s). The latter also factors in the emotional impact of research for those involved with it (Letherby, 2013). Complimenting this, critical theory was the theoretical perspective as this takes a political stance with an aim toward emancipation (Strydom, 2011; Scotland, 2012) and social justice (Tracy, 2019). Supporting this perspective is the primary theoretical lens of critical whiteness studies which ‘is a growing field of scholarship whose aim is to </w:t>
      </w:r>
      <w:r w:rsidRPr="00DA284D">
        <w:rPr>
          <w:rFonts w:ascii="Calibri" w:eastAsia="Times New Roman" w:hAnsi="Calibri" w:cs="Calibri"/>
          <w:sz w:val="24"/>
          <w:szCs w:val="24"/>
          <w:lang w:eastAsia="en-GB"/>
        </w:rPr>
        <w:lastRenderedPageBreak/>
        <w:t>reveal the invisible structures that produce and reproduce white supremacy and privilege’ (Applebaum, 2016a, p. 1). White supremacy refers to the invisible machinations of whiteness operating systemically through practice, policy and procedures (Applebaum, 2016a). Turner (2018b) has urged for critical whiteness studies to be used as a means to consider how white supremacy functions in counselling. Critical whiteness theorists have argued that when using this approach, scholars and writers of colour should not be overlooked as they have been critiquing whiteness much longer than white people have (Roediger, 2002; Dolan, 2006; Owen, 2007). For this reason, critical race theory has also been incorporated (</w:t>
      </w:r>
      <w:bookmarkStart w:id="41" w:name="_Hlk62923717"/>
      <w:r w:rsidRPr="00DA284D">
        <w:rPr>
          <w:rFonts w:ascii="Calibri" w:eastAsia="Times New Roman" w:hAnsi="Calibri" w:cs="Calibri"/>
          <w:sz w:val="24"/>
          <w:szCs w:val="24"/>
          <w:lang w:eastAsia="en-GB"/>
        </w:rPr>
        <w:t xml:space="preserve">Crenshaw </w:t>
      </w:r>
      <w:r w:rsidRPr="00DA284D">
        <w:rPr>
          <w:rFonts w:ascii="Calibri" w:eastAsia="Times New Roman" w:hAnsi="Calibri" w:cs="Calibri"/>
          <w:i/>
          <w:iCs/>
          <w:sz w:val="24"/>
          <w:szCs w:val="24"/>
          <w:lang w:eastAsia="en-GB"/>
        </w:rPr>
        <w:t>et al</w:t>
      </w:r>
      <w:r w:rsidRPr="00DA284D">
        <w:rPr>
          <w:rFonts w:ascii="Calibri" w:eastAsia="Times New Roman" w:hAnsi="Calibri" w:cs="Calibri"/>
          <w:sz w:val="24"/>
          <w:szCs w:val="24"/>
          <w:lang w:eastAsia="en-GB"/>
        </w:rPr>
        <w:t xml:space="preserve">, 1995; </w:t>
      </w:r>
      <w:bookmarkEnd w:id="41"/>
      <w:r w:rsidRPr="00DA284D">
        <w:rPr>
          <w:rFonts w:ascii="Calibri" w:eastAsia="Times New Roman" w:hAnsi="Calibri" w:cs="Calibri"/>
          <w:sz w:val="24"/>
          <w:szCs w:val="24"/>
          <w:lang w:eastAsia="en-GB"/>
        </w:rPr>
        <w:t xml:space="preserve">Delgado and Stefancic, 2017). Complementing both critical theory and critical whiteness studies, the methodological approach taken was post-critical ethnography, which is concerned with social justice and advocates for researcher reflexivity and care in the representation of research participants (Noblit, Flores and Murillo, 2004). This reflexive stance allowed space for critical engagement with my own positionality as a white researcher; this engagement is woven throughout the thesis. </w:t>
      </w:r>
    </w:p>
    <w:p w14:paraId="39563C51" w14:textId="77777777" w:rsidR="00DA284D" w:rsidRPr="00DA284D" w:rsidRDefault="00DA284D" w:rsidP="00DA284D">
      <w:pPr>
        <w:spacing w:before="100" w:beforeAutospacing="1" w:after="100" w:afterAutospacing="1" w:line="480" w:lineRule="auto"/>
        <w:rPr>
          <w:rFonts w:ascii="Calibri" w:eastAsia="Times New Roman" w:hAnsi="Calibri" w:cs="Calibri"/>
          <w:sz w:val="24"/>
          <w:szCs w:val="24"/>
          <w:lang w:eastAsia="en-GB"/>
        </w:rPr>
      </w:pPr>
    </w:p>
    <w:p w14:paraId="3C54C824" w14:textId="77777777" w:rsidR="00DA284D" w:rsidRPr="00DA284D" w:rsidRDefault="00DA284D" w:rsidP="00DA284D">
      <w:pPr>
        <w:spacing w:before="100" w:beforeAutospacing="1" w:after="100" w:afterAutospacing="1" w:line="480" w:lineRule="auto"/>
        <w:rPr>
          <w:rFonts w:ascii="Calibri" w:eastAsia="Times New Roman" w:hAnsi="Calibri" w:cs="Calibri"/>
          <w:sz w:val="24"/>
          <w:szCs w:val="24"/>
          <w:lang w:eastAsia="en-GB"/>
        </w:rPr>
      </w:pPr>
      <w:r w:rsidRPr="00DA284D">
        <w:rPr>
          <w:rFonts w:ascii="Calibri" w:eastAsia="Times New Roman" w:hAnsi="Calibri" w:cs="Calibri"/>
          <w:sz w:val="24"/>
          <w:szCs w:val="24"/>
          <w:lang w:eastAsia="en-GB"/>
        </w:rPr>
        <w:t xml:space="preserve">Indeed, post-critical ethnography has been called a ‘moral activity’ (Nobilt, Flores and Murillo, 2004, p. 24) and one expression of that morality is researcher reflexivity. Likewise, the notion of research being ‘moral’ and ethical was supported by the personal research maxim I used throughout the research, in that it would be ethical, equal, reflexive and relational. This is something I strived for throughout all stages of this research. This was supported by the ‘procedural and practice’ understanding of research ethics (Guillemin and Gillam, 2004), which refers to meeting the institutional research guidelines (for this research, UWTSD, 2017), while also being sensitive to the ongoing ‘microethics’ in </w:t>
      </w:r>
      <w:r w:rsidRPr="00DA284D">
        <w:rPr>
          <w:rFonts w:ascii="Calibri" w:eastAsia="Times New Roman" w:hAnsi="Calibri" w:cs="Calibri"/>
          <w:sz w:val="24"/>
          <w:szCs w:val="24"/>
          <w:lang w:eastAsia="en-GB"/>
        </w:rPr>
        <w:lastRenderedPageBreak/>
        <w:t>encounters with participants (Guillemin and Gillam, 2004, p. 265). Examples of these ethical encounters are detailed in Chapter 4. A significant theory that is applied to understand the research findings is that of ‘white ignorance’ (Mills, 2007), or white people’s wilful not knowing about ‘race’ and its consequences. White ignorance is discussed in Chapter 2 (Section 2.1.5) and Chapters 6 and 7.</w:t>
      </w:r>
    </w:p>
    <w:p w14:paraId="1B8EE951" w14:textId="77777777" w:rsidR="00DA284D" w:rsidRPr="00DA284D" w:rsidRDefault="00DA284D" w:rsidP="00DA284D">
      <w:pPr>
        <w:spacing w:before="100" w:beforeAutospacing="1" w:after="100" w:afterAutospacing="1" w:line="480" w:lineRule="auto"/>
        <w:rPr>
          <w:rFonts w:ascii="Calibri" w:eastAsia="Times New Roman" w:hAnsi="Calibri" w:cs="Calibri"/>
          <w:sz w:val="24"/>
          <w:szCs w:val="24"/>
          <w:lang w:eastAsia="en-GB"/>
        </w:rPr>
      </w:pPr>
    </w:p>
    <w:p w14:paraId="549992E7"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Calibri"/>
          <w:sz w:val="24"/>
          <w:szCs w:val="24"/>
        </w:rPr>
        <w:t>Data was gathered over four weeks of participant-observations with 16 first year counselling trainees at a Further Education college in South Wales (referred to as ‘Welsh College A’). This involved observing seminars, participating through giving feedback to students about their counselling skills, and spending time with the participants during break-times. After this, 7 participants were interviewed over two weeks using semi-structured interviews. Documents were analysed by looking at course material, specifically student handbooks, assignment briefs and handouts</w:t>
      </w:r>
      <w:r w:rsidRPr="00DA284D">
        <w:rPr>
          <w:rFonts w:ascii="Calibri" w:eastAsia="Calibri" w:hAnsi="Calibri" w:cs="Calibri"/>
        </w:rPr>
        <w:t xml:space="preserve">. </w:t>
      </w:r>
      <w:r w:rsidRPr="00DA284D">
        <w:rPr>
          <w:rFonts w:ascii="Calibri" w:eastAsia="Calibri" w:hAnsi="Calibri" w:cs="Times New Roman"/>
          <w:sz w:val="24"/>
          <w:szCs w:val="24"/>
        </w:rPr>
        <w:t>The methods were applied in conjunction with the principles of post-critical ethnographic methodology. Particularly in the notion of researcher morality (which was understood as being ethical and caring toward the participants including how their words were represented in this thesis) and engaging with researcher reflexivity (Noblit, Flores and Murillo, 2004; Anders, 2019). Chapter 4 (Section 4.2) discusses this further.</w:t>
      </w:r>
    </w:p>
    <w:p w14:paraId="22A596E4" w14:textId="77777777" w:rsidR="00DA284D" w:rsidRPr="00DA284D" w:rsidRDefault="00DA284D" w:rsidP="00DA284D">
      <w:pPr>
        <w:spacing w:before="100" w:beforeAutospacing="1" w:after="100" w:afterAutospacing="1" w:line="480" w:lineRule="auto"/>
        <w:rPr>
          <w:rFonts w:ascii="Calibri" w:eastAsia="Times New Roman" w:hAnsi="Calibri" w:cs="Calibri"/>
          <w:sz w:val="24"/>
          <w:szCs w:val="24"/>
          <w:lang w:eastAsia="en-GB"/>
        </w:rPr>
      </w:pPr>
      <w:r w:rsidRPr="00DA284D">
        <w:rPr>
          <w:rFonts w:ascii="Calibri" w:eastAsia="Times New Roman" w:hAnsi="Calibri" w:cs="Calibri"/>
          <w:sz w:val="24"/>
          <w:szCs w:val="24"/>
          <w:lang w:eastAsia="en-GB"/>
        </w:rPr>
        <w:t>Thematic analysis (Braun and Clarke, 2006) was used to analyse the findings in order to identify the research themes. Therefore, my theoretical positionality can be summarised in Figure 1:</w:t>
      </w:r>
    </w:p>
    <w:p w14:paraId="459A5CAE" w14:textId="77777777" w:rsidR="00DA284D" w:rsidRPr="00DA284D" w:rsidRDefault="00DA284D" w:rsidP="00DA284D">
      <w:pPr>
        <w:keepNext/>
        <w:suppressAutoHyphens/>
        <w:autoSpaceDN w:val="0"/>
        <w:spacing w:before="240" w:after="60" w:line="249" w:lineRule="auto"/>
        <w:textAlignment w:val="baseline"/>
        <w:outlineLvl w:val="3"/>
        <w:rPr>
          <w:rFonts w:ascii="Calibri" w:eastAsia="Times New Roman" w:hAnsi="Calibri" w:cs="Times New Roman"/>
          <w:bCs/>
          <w:sz w:val="28"/>
          <w:szCs w:val="28"/>
          <w:u w:val="single"/>
        </w:rPr>
      </w:pPr>
    </w:p>
    <w:p w14:paraId="4DE24D5C" w14:textId="77777777" w:rsidR="00DA284D" w:rsidRPr="00DA284D" w:rsidRDefault="00DA284D" w:rsidP="00DA284D">
      <w:pPr>
        <w:spacing w:after="0" w:line="240" w:lineRule="auto"/>
        <w:rPr>
          <w:rFonts w:ascii="Calibri" w:eastAsia="Calibri" w:hAnsi="Calibri" w:cs="Times New Roman"/>
          <w:b/>
          <w:i/>
          <w:iCs/>
          <w:sz w:val="24"/>
        </w:rPr>
      </w:pPr>
      <w:bookmarkStart w:id="42" w:name="_Hlk59264727"/>
      <w:r w:rsidRPr="00DA284D">
        <w:rPr>
          <w:rFonts w:ascii="Calibri" w:eastAsia="Calibri" w:hAnsi="Calibri" w:cs="Times New Roman"/>
          <w:b/>
          <w:i/>
          <w:iCs/>
          <w:sz w:val="24"/>
        </w:rPr>
        <w:br w:type="page"/>
      </w:r>
    </w:p>
    <w:p w14:paraId="7DBEAD91" w14:textId="77777777" w:rsidR="00DA284D" w:rsidRPr="00DA284D" w:rsidRDefault="00DA284D" w:rsidP="00DA284D">
      <w:pPr>
        <w:suppressAutoHyphens/>
        <w:autoSpaceDN w:val="0"/>
        <w:spacing w:after="200" w:line="240" w:lineRule="auto"/>
        <w:textAlignment w:val="baseline"/>
        <w:rPr>
          <w:rFonts w:ascii="Calibri" w:eastAsia="Calibri" w:hAnsi="Calibri" w:cs="Times New Roman"/>
          <w:i/>
          <w:iCs/>
          <w:color w:val="44546A"/>
          <w:sz w:val="24"/>
          <w:szCs w:val="24"/>
        </w:rPr>
      </w:pPr>
      <w:bookmarkStart w:id="43" w:name="_Toc72253883"/>
      <w:r w:rsidRPr="00DA284D">
        <w:rPr>
          <w:rFonts w:ascii="Calibri" w:eastAsia="Calibri" w:hAnsi="Calibri" w:cs="Times New Roman"/>
          <w:i/>
          <w:iCs/>
          <w:color w:val="44546A"/>
          <w:sz w:val="24"/>
          <w:szCs w:val="24"/>
        </w:rPr>
        <w:lastRenderedPageBreak/>
        <w:t xml:space="preserve">Figure </w:t>
      </w:r>
      <w:r w:rsidRPr="00DA284D">
        <w:rPr>
          <w:rFonts w:ascii="Calibri" w:eastAsia="Calibri" w:hAnsi="Calibri" w:cs="Times New Roman"/>
          <w:i/>
          <w:iCs/>
          <w:color w:val="44546A"/>
          <w:sz w:val="24"/>
          <w:szCs w:val="24"/>
        </w:rPr>
        <w:fldChar w:fldCharType="begin"/>
      </w:r>
      <w:r w:rsidRPr="00DA284D">
        <w:rPr>
          <w:rFonts w:ascii="Calibri" w:eastAsia="Calibri" w:hAnsi="Calibri" w:cs="Times New Roman"/>
          <w:i/>
          <w:iCs/>
          <w:color w:val="44546A"/>
          <w:sz w:val="24"/>
          <w:szCs w:val="24"/>
        </w:rPr>
        <w:instrText xml:space="preserve"> SEQ Figure \* ARABIC </w:instrText>
      </w:r>
      <w:r w:rsidRPr="00DA284D">
        <w:rPr>
          <w:rFonts w:ascii="Calibri" w:eastAsia="Calibri" w:hAnsi="Calibri" w:cs="Times New Roman"/>
          <w:i/>
          <w:iCs/>
          <w:color w:val="44546A"/>
          <w:sz w:val="24"/>
          <w:szCs w:val="24"/>
        </w:rPr>
        <w:fldChar w:fldCharType="separate"/>
      </w:r>
      <w:r w:rsidRPr="00DA284D">
        <w:rPr>
          <w:rFonts w:ascii="Calibri" w:eastAsia="Calibri" w:hAnsi="Calibri" w:cs="Times New Roman"/>
          <w:i/>
          <w:iCs/>
          <w:color w:val="44546A"/>
          <w:sz w:val="24"/>
          <w:szCs w:val="24"/>
        </w:rPr>
        <w:t>1</w:t>
      </w:r>
      <w:r w:rsidRPr="00DA284D">
        <w:rPr>
          <w:rFonts w:ascii="Calibri" w:eastAsia="Calibri" w:hAnsi="Calibri" w:cs="Times New Roman"/>
          <w:i/>
          <w:iCs/>
          <w:color w:val="44546A"/>
          <w:sz w:val="24"/>
          <w:szCs w:val="24"/>
        </w:rPr>
        <w:fldChar w:fldCharType="end"/>
      </w:r>
      <w:r w:rsidRPr="00DA284D">
        <w:rPr>
          <w:rFonts w:ascii="Calibri" w:eastAsia="Calibri" w:hAnsi="Calibri" w:cs="Times New Roman"/>
          <w:i/>
          <w:iCs/>
          <w:color w:val="44546A"/>
          <w:sz w:val="24"/>
          <w:szCs w:val="24"/>
        </w:rPr>
        <w:t xml:space="preserve"> Chapter 1: My Research Elements</w:t>
      </w:r>
      <w:bookmarkEnd w:id="43"/>
    </w:p>
    <w:p w14:paraId="17158A24" w14:textId="77777777" w:rsidR="00DA284D" w:rsidRPr="00DA284D" w:rsidRDefault="00DA284D" w:rsidP="00DA284D">
      <w:pPr>
        <w:suppressAutoHyphens/>
        <w:autoSpaceDN w:val="0"/>
        <w:spacing w:after="0" w:line="480" w:lineRule="auto"/>
        <w:textAlignment w:val="baseline"/>
        <w:rPr>
          <w:rFonts w:ascii="Calibri" w:eastAsia="Calibri" w:hAnsi="Calibri" w:cs="Times New Roman"/>
          <w:i/>
          <w:iCs/>
        </w:rPr>
      </w:pPr>
      <w:r w:rsidRPr="00DA284D">
        <w:rPr>
          <w:rFonts w:ascii="Calibri" w:eastAsia="Calibri" w:hAnsi="Calibri" w:cs="Times New Roman"/>
          <w:i/>
          <w:iCs/>
          <w:noProof/>
          <w:lang w:eastAsia="en-GB"/>
        </w:rPr>
        <w:drawing>
          <wp:inline distT="0" distB="0" distL="0" distR="0" wp14:anchorId="7514FD78" wp14:editId="414CDB35">
            <wp:extent cx="5666105" cy="956310"/>
            <wp:effectExtent l="0" t="0" r="0" b="0"/>
            <wp:docPr id="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t="27550" b="27550"/>
                    <a:stretch>
                      <a:fillRect/>
                    </a:stretch>
                  </pic:blipFill>
                  <pic:spPr bwMode="auto">
                    <a:xfrm>
                      <a:off x="0" y="0"/>
                      <a:ext cx="5666105" cy="956310"/>
                    </a:xfrm>
                    <a:prstGeom prst="rect">
                      <a:avLst/>
                    </a:prstGeom>
                    <a:noFill/>
                  </pic:spPr>
                </pic:pic>
              </a:graphicData>
            </a:graphic>
          </wp:inline>
        </w:drawing>
      </w:r>
    </w:p>
    <w:p w14:paraId="3061414C" w14:textId="77777777" w:rsidR="00DA284D" w:rsidRPr="00DA284D" w:rsidRDefault="00DA284D" w:rsidP="00DA284D">
      <w:pPr>
        <w:suppressAutoHyphens/>
        <w:autoSpaceDN w:val="0"/>
        <w:spacing w:after="0" w:line="480" w:lineRule="auto"/>
        <w:jc w:val="right"/>
        <w:textAlignment w:val="baseline"/>
        <w:rPr>
          <w:rFonts w:ascii="Calibri" w:eastAsia="Calibri" w:hAnsi="Calibri" w:cs="Times New Roman"/>
          <w:sz w:val="24"/>
          <w:szCs w:val="24"/>
        </w:rPr>
      </w:pPr>
      <w:r w:rsidRPr="00DA284D">
        <w:rPr>
          <w:rFonts w:ascii="Calibri" w:eastAsia="Calibri" w:hAnsi="Calibri" w:cs="Times New Roman"/>
          <w:sz w:val="24"/>
          <w:szCs w:val="24"/>
        </w:rPr>
        <w:t>(</w:t>
      </w:r>
      <w:r w:rsidRPr="00DA284D">
        <w:rPr>
          <w:rFonts w:ascii="Calibri" w:eastAsia="Calibri" w:hAnsi="Calibri" w:cs="Times New Roman"/>
          <w:i/>
          <w:iCs/>
          <w:sz w:val="24"/>
          <w:szCs w:val="24"/>
        </w:rPr>
        <w:t>adapted from</w:t>
      </w:r>
      <w:r w:rsidRPr="00DA284D">
        <w:rPr>
          <w:rFonts w:ascii="Calibri" w:eastAsia="Calibri" w:hAnsi="Calibri" w:cs="Times New Roman"/>
          <w:sz w:val="24"/>
          <w:szCs w:val="24"/>
        </w:rPr>
        <w:t xml:space="preserve"> Crotty, 1998, p. 4)</w:t>
      </w:r>
    </w:p>
    <w:bookmarkEnd w:id="42"/>
    <w:p w14:paraId="1E12DF9F"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Calibri"/>
          <w:sz w:val="24"/>
          <w:szCs w:val="24"/>
        </w:rPr>
        <w:t xml:space="preserve">Chapter 3 will outline the conceptual framework and methodology in greater depth and </w:t>
      </w:r>
      <w:r w:rsidRPr="00DA284D">
        <w:rPr>
          <w:rFonts w:ascii="Calibri" w:eastAsia="Calibri" w:hAnsi="Calibri" w:cs="Calibri"/>
        </w:rPr>
        <w:t>C</w:t>
      </w:r>
      <w:r w:rsidRPr="00DA284D">
        <w:rPr>
          <w:rFonts w:ascii="Calibri" w:eastAsia="Calibri" w:hAnsi="Calibri" w:cs="Calibri"/>
          <w:sz w:val="24"/>
          <w:szCs w:val="24"/>
        </w:rPr>
        <w:t>hapter 4 presents the methods used to gather and analyse the data, as well as discuss research ethics.</w:t>
      </w:r>
    </w:p>
    <w:p w14:paraId="55199686" w14:textId="77777777" w:rsidR="00DA284D" w:rsidRPr="00DA284D" w:rsidRDefault="00DA284D" w:rsidP="00DA284D">
      <w:pPr>
        <w:suppressAutoHyphens/>
        <w:autoSpaceDN w:val="0"/>
        <w:spacing w:line="249" w:lineRule="auto"/>
        <w:textAlignment w:val="baseline"/>
        <w:rPr>
          <w:rFonts w:ascii="Calibri" w:eastAsia="Calibri" w:hAnsi="Calibri" w:cs="Times New Roman"/>
        </w:rPr>
      </w:pPr>
    </w:p>
    <w:p w14:paraId="51B0829F" w14:textId="77777777" w:rsidR="00DA284D" w:rsidRPr="00DA284D" w:rsidRDefault="00DA284D" w:rsidP="00DA284D">
      <w:pPr>
        <w:keepNext/>
        <w:suppressAutoHyphens/>
        <w:autoSpaceDN w:val="0"/>
        <w:spacing w:before="240" w:after="60" w:line="249" w:lineRule="auto"/>
        <w:textAlignment w:val="baseline"/>
        <w:outlineLvl w:val="3"/>
        <w:rPr>
          <w:rFonts w:ascii="Calibri" w:eastAsia="Times New Roman" w:hAnsi="Calibri" w:cs="Times New Roman"/>
          <w:bCs/>
          <w:sz w:val="28"/>
          <w:szCs w:val="28"/>
          <w:u w:val="single"/>
        </w:rPr>
      </w:pPr>
      <w:r w:rsidRPr="00DA284D">
        <w:rPr>
          <w:rFonts w:ascii="Calibri" w:eastAsia="Times New Roman" w:hAnsi="Calibri" w:cs="Times New Roman"/>
          <w:bCs/>
          <w:sz w:val="28"/>
          <w:szCs w:val="28"/>
          <w:u w:val="single"/>
        </w:rPr>
        <w:t>Personal Positionality</w:t>
      </w:r>
    </w:p>
    <w:p w14:paraId="7B8FF5D5"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color w:val="FF0000"/>
          <w:sz w:val="24"/>
          <w:szCs w:val="24"/>
        </w:rPr>
      </w:pPr>
      <w:r w:rsidRPr="00DA284D">
        <w:rPr>
          <w:rFonts w:ascii="Calibri" w:eastAsia="Calibri" w:hAnsi="Calibri" w:cs="Times New Roman"/>
          <w:sz w:val="24"/>
          <w:szCs w:val="24"/>
        </w:rPr>
        <w:t>Linking together the theoretical positionality is the notion that research is political and can challenge systemic power. Supporting this ‘post-critical ethnographies require the interrogation of the power and politics of the critic himself/herself as well as in the social scene studied’ (Noblit, Flores and Murillo, 2004, p. 19). Therefore, the methodology encourages the researcher to critique their own positionality and this is woven throughout the thesis. However, it does so in the awareness that it risks centralising whiteness through my positionality as a white researcher, with white participants and using critical whiteness studies as the primary theoretical lens.  As Ahmed (2007, p. 149) states:</w:t>
      </w:r>
    </w:p>
    <w:p w14:paraId="5CD6F80B" w14:textId="77777777" w:rsidR="00DA284D" w:rsidRPr="00DA284D" w:rsidRDefault="00DA284D" w:rsidP="00DA284D">
      <w:pPr>
        <w:suppressAutoHyphens/>
        <w:autoSpaceDN w:val="0"/>
        <w:spacing w:after="0" w:line="240" w:lineRule="auto"/>
        <w:ind w:left="567" w:right="567"/>
        <w:textAlignment w:val="baseline"/>
        <w:rPr>
          <w:rFonts w:ascii="Calibri" w:eastAsia="Calibri" w:hAnsi="Calibri" w:cs="Times New Roman"/>
          <w:sz w:val="24"/>
          <w:szCs w:val="24"/>
        </w:rPr>
      </w:pPr>
      <w:r w:rsidRPr="00DA284D">
        <w:rPr>
          <w:rFonts w:ascii="Calibri" w:eastAsia="Calibri" w:hAnsi="Calibri" w:cs="Times New Roman"/>
          <w:sz w:val="24"/>
          <w:szCs w:val="24"/>
        </w:rPr>
        <w:t>the ﬁeld of critical whiteness studies is full of an almost habitual anxiety about what it means to take up the category of ‘whiteness’ as a primary object of knowledge.</w:t>
      </w:r>
    </w:p>
    <w:p w14:paraId="3DF6AE04" w14:textId="77777777" w:rsidR="00DA284D" w:rsidRPr="00DA284D" w:rsidRDefault="00DA284D" w:rsidP="00DA284D">
      <w:pPr>
        <w:suppressAutoHyphens/>
        <w:autoSpaceDN w:val="0"/>
        <w:spacing w:after="0" w:line="240" w:lineRule="auto"/>
        <w:ind w:right="567"/>
        <w:textAlignment w:val="baseline"/>
        <w:rPr>
          <w:rFonts w:ascii="Calibri" w:eastAsia="Calibri" w:hAnsi="Calibri" w:cs="Times New Roman"/>
          <w:sz w:val="24"/>
          <w:szCs w:val="24"/>
        </w:rPr>
      </w:pPr>
    </w:p>
    <w:p w14:paraId="3B7E9822"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bookmarkStart w:id="44" w:name="_1fob9te" w:colFirst="0" w:colLast="0"/>
      <w:bookmarkEnd w:id="44"/>
      <w:r w:rsidRPr="00DA284D">
        <w:rPr>
          <w:rFonts w:ascii="Calibri" w:eastAsia="Calibri" w:hAnsi="Calibri" w:cs="Times New Roman"/>
          <w:sz w:val="24"/>
          <w:szCs w:val="24"/>
        </w:rPr>
        <w:t xml:space="preserve">Arguably, the critical whiteness researcher also experiences that same anxiety, not wanting to centralise whiteness yet believing that researching whiteness can have a contribution to the field of ‘race’ studies and racial justice. Indeed, it has been called </w:t>
      </w:r>
      <w:r w:rsidRPr="00DA284D">
        <w:rPr>
          <w:rFonts w:ascii="Calibri" w:eastAsia="Calibri" w:hAnsi="Calibri" w:cs="Times New Roman"/>
          <w:sz w:val="24"/>
          <w:szCs w:val="24"/>
        </w:rPr>
        <w:lastRenderedPageBreak/>
        <w:t>‘potentially dangerous’ for white researchers to centralise whiteness (Byrne, 2006, p. 170). This research was undertaken with the aim of making whiteness, and white understandings of ‘race’ and racism, visible in order to challenge white supremacy, in accordance with critical whiteness studies (Applebaum, 2016a) not to privilege whiteness further.</w:t>
      </w:r>
    </w:p>
    <w:p w14:paraId="029F318A"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p>
    <w:p w14:paraId="303C1ECD"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r w:rsidRPr="00DA284D">
        <w:rPr>
          <w:rFonts w:ascii="Calibri" w:eastAsia="Calibri" w:hAnsi="Calibri" w:cs="Times New Roman"/>
          <w:sz w:val="24"/>
          <w:szCs w:val="24"/>
        </w:rPr>
        <w:t>However, the cautions are acknowledged, and it is in this awareness that I present two caveats. First, that as a researcher I recognise that ‘race’ is a social construct but understand that in writing about whiteness and blackness in the literature review (Chapter 2) this may be contributing to racial categorisation. Although this research has been conducted through the theoretical lens of critical whiteness studies (Delgado and Stefancic, 1997; Hartman, Gerteis and Croll, 2009; Applebaum, 2016a) and critical race theory (</w:t>
      </w:r>
      <w:r w:rsidRPr="00DA284D">
        <w:rPr>
          <w:rFonts w:ascii="Calibri" w:eastAsia="Calibri" w:hAnsi="Calibri" w:cs="Calibri"/>
          <w:sz w:val="24"/>
          <w:szCs w:val="24"/>
        </w:rPr>
        <w:t xml:space="preserve">Crenshaw </w:t>
      </w:r>
      <w:r w:rsidRPr="00DA284D">
        <w:rPr>
          <w:rFonts w:ascii="Calibri" w:eastAsia="Calibri" w:hAnsi="Calibri" w:cs="Calibri"/>
          <w:i/>
          <w:iCs/>
          <w:sz w:val="24"/>
          <w:szCs w:val="24"/>
        </w:rPr>
        <w:t>et al</w:t>
      </w:r>
      <w:r w:rsidRPr="00DA284D">
        <w:rPr>
          <w:rFonts w:ascii="Calibri" w:eastAsia="Calibri" w:hAnsi="Calibri" w:cs="Calibri"/>
          <w:sz w:val="24"/>
          <w:szCs w:val="24"/>
        </w:rPr>
        <w:t>, 1995</w:t>
      </w:r>
      <w:r w:rsidRPr="00DA284D">
        <w:rPr>
          <w:rFonts w:ascii="Calibri" w:eastAsia="Calibri" w:hAnsi="Calibri" w:cs="Calibri"/>
        </w:rPr>
        <w:t xml:space="preserve">; </w:t>
      </w:r>
      <w:r w:rsidRPr="00DA284D">
        <w:rPr>
          <w:rFonts w:ascii="Calibri" w:eastAsia="Calibri" w:hAnsi="Calibri" w:cs="Times New Roman"/>
          <w:sz w:val="24"/>
          <w:szCs w:val="24"/>
        </w:rPr>
        <w:t>Delgado and Stefancic, 2017) and used a critical research paradigm to explore the research question, it is still the case that I brought my white positionality to this research. Although I have been developing my own white racial identity since 2015 and have brought a passion for critical whiteness studies to this research, most of my life experience has been de-racialised. As Yancy (2012a) argues, even when white people do consider their whiteness, it is still located in a place of power and privilege. It is also recognised that:</w:t>
      </w:r>
    </w:p>
    <w:p w14:paraId="0D7663A3" w14:textId="77777777" w:rsidR="00DA284D" w:rsidRPr="00DA284D" w:rsidRDefault="00DA284D" w:rsidP="00DA284D">
      <w:pPr>
        <w:suppressAutoHyphens/>
        <w:autoSpaceDN w:val="0"/>
        <w:spacing w:after="0" w:line="240" w:lineRule="auto"/>
        <w:ind w:left="567" w:right="567"/>
        <w:textAlignment w:val="baseline"/>
        <w:rPr>
          <w:rFonts w:ascii="Calibri" w:eastAsia="Calibri" w:hAnsi="Calibri" w:cs="Times New Roman"/>
          <w:sz w:val="24"/>
          <w:szCs w:val="24"/>
        </w:rPr>
      </w:pPr>
      <w:r w:rsidRPr="00DA284D">
        <w:rPr>
          <w:rFonts w:ascii="Calibri" w:eastAsia="Calibri" w:hAnsi="Calibri" w:cs="Times New Roman"/>
          <w:sz w:val="24"/>
          <w:szCs w:val="24"/>
        </w:rPr>
        <w:t>White supremacy is so embedded in our psyches that we end up doing it even while we claim (and believe) it is what we oppose (Phipps, 2020, p. 4)</w:t>
      </w:r>
    </w:p>
    <w:p w14:paraId="11D9216F"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p>
    <w:p w14:paraId="51E46229"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Therefore, this research was conducted with the awareness that as a white researcher, using critical whiteness studies, seeking to understand how white participants understand ‘race’, racism, and whiteness, I may unwittingly reproduce </w:t>
      </w:r>
      <w:r w:rsidRPr="00DA284D">
        <w:rPr>
          <w:rFonts w:ascii="Calibri" w:eastAsia="Calibri" w:hAnsi="Calibri" w:cs="Times New Roman"/>
          <w:sz w:val="24"/>
          <w:szCs w:val="24"/>
        </w:rPr>
        <w:lastRenderedPageBreak/>
        <w:t xml:space="preserve">white supremacy, i.e., the domination of whiteness. While the focus on whiteness is intended as anti-racist allyship, those reading it may interpret it as a centring of whiteness. Further, readers may ‘see’ things I have unintentionally missed due to whiteness being ‘wily’ and ‘embedded’ in my psyche (Phipps, 2020, p. 4). The solution to this potential problem is an openness to critical feedback and an understanding that the process of learning about whiteness is a lifelong commitment. This doctoral thesis is a contribution to that commitment, not the conclusion of it. </w:t>
      </w:r>
    </w:p>
    <w:p w14:paraId="419699A2"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p>
    <w:p w14:paraId="4990B46B"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r w:rsidRPr="00DA284D">
        <w:rPr>
          <w:rFonts w:ascii="Calibri" w:eastAsia="Calibri" w:hAnsi="Calibri" w:cs="Times New Roman"/>
          <w:sz w:val="24"/>
          <w:szCs w:val="24"/>
        </w:rPr>
        <w:t>The second caveat is that I recognise this research is situated in a black-white binary view of ‘race’.</w:t>
      </w:r>
      <w:r w:rsidRPr="00DA284D">
        <w:rPr>
          <w:rFonts w:ascii="Calibri" w:eastAsia="Calibri" w:hAnsi="Calibri" w:cs="Times New Roman"/>
          <w:color w:val="FF0000"/>
          <w:sz w:val="24"/>
          <w:szCs w:val="24"/>
        </w:rPr>
        <w:t xml:space="preserve"> </w:t>
      </w:r>
      <w:r w:rsidRPr="00DA284D">
        <w:rPr>
          <w:rFonts w:ascii="Calibri" w:eastAsia="Calibri" w:hAnsi="Calibri" w:cs="Times New Roman"/>
          <w:sz w:val="24"/>
          <w:szCs w:val="24"/>
        </w:rPr>
        <w:t xml:space="preserve">Originally, I had wanted to include other ethnic minority groups, however, due to the temporal constraints of a PhD, it was necessary to narrow the focus to allow for a greater depth of knowledge. Therefore, I chose to consider the experiences of black people in the literature review. Perhaps this was an unconscious expression of my own racial socialisation, in that ‘race’ meant ‘black’ to my mind, as influenced by cultural representations of whiteness and blackness, where blackness is presented as the ultimate ‘Other’ to whiteness (Dyer, 2017). On a conscious level, I was influenced by my master’s research (Section 1.1), specifically the contrasting experiences of counselling training and practice that I (as a white woman) and my two black participants had. Consequently, when I came to this PhD research a few months later, this disparity of experience was fresh in my mind and the conscious reason for focusing on a black-white binary of ‘race’. </w:t>
      </w:r>
    </w:p>
    <w:p w14:paraId="4F663B2C" w14:textId="77777777" w:rsidR="00DA284D" w:rsidRPr="00DA284D" w:rsidRDefault="00DA284D" w:rsidP="00DA284D">
      <w:pPr>
        <w:suppressAutoHyphens/>
        <w:autoSpaceDN w:val="0"/>
        <w:spacing w:after="0" w:line="480" w:lineRule="auto"/>
        <w:ind w:right="567"/>
        <w:textAlignment w:val="baseline"/>
        <w:rPr>
          <w:rFonts w:ascii="Calibri" w:eastAsia="Calibri" w:hAnsi="Calibri" w:cs="Times New Roman"/>
          <w:sz w:val="24"/>
          <w:szCs w:val="24"/>
        </w:rPr>
      </w:pPr>
    </w:p>
    <w:p w14:paraId="1FF8D9B5"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r w:rsidRPr="00DA284D">
        <w:rPr>
          <w:rFonts w:ascii="Calibri" w:eastAsia="Calibri" w:hAnsi="Calibri" w:cs="Times New Roman"/>
          <w:sz w:val="24"/>
          <w:szCs w:val="24"/>
        </w:rPr>
        <w:t xml:space="preserve">Nonetheless, I have been sustained by the argument that ‘there is no good reason to study race other than working toward the elimination of racial oppression’ (Golash-Boza, 2016, p. </w:t>
      </w:r>
      <w:r w:rsidRPr="00DA284D">
        <w:rPr>
          <w:rFonts w:ascii="Calibri" w:eastAsia="Calibri" w:hAnsi="Calibri" w:cs="Times New Roman"/>
          <w:sz w:val="24"/>
          <w:szCs w:val="24"/>
        </w:rPr>
        <w:lastRenderedPageBreak/>
        <w:t>130). It is hoped that this research will contribute to racial equality through understanding how white trainee counsellors understand ‘race’, racism and whiteness.</w:t>
      </w:r>
    </w:p>
    <w:p w14:paraId="28C4BC9D" w14:textId="77777777" w:rsidR="00DA284D" w:rsidRPr="00DA284D" w:rsidRDefault="00DA284D" w:rsidP="00DA284D">
      <w:pPr>
        <w:suppressAutoHyphens/>
        <w:autoSpaceDN w:val="0"/>
        <w:spacing w:after="0" w:line="480" w:lineRule="auto"/>
        <w:textAlignment w:val="baseline"/>
        <w:rPr>
          <w:rFonts w:ascii="Calibri" w:eastAsia="Calibri" w:hAnsi="Calibri" w:cs="Times New Roman"/>
          <w:sz w:val="24"/>
          <w:szCs w:val="24"/>
        </w:rPr>
      </w:pPr>
    </w:p>
    <w:p w14:paraId="1E848DEE" w14:textId="77777777" w:rsidR="00DA284D" w:rsidRPr="00DA284D" w:rsidRDefault="00DA284D" w:rsidP="00DA284D">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45" w:name="_Toc56522983"/>
      <w:bookmarkStart w:id="46" w:name="_Toc56523265"/>
      <w:bookmarkStart w:id="47" w:name="_Toc57910073"/>
      <w:bookmarkStart w:id="48" w:name="_Toc58251289"/>
      <w:bookmarkStart w:id="49" w:name="_Toc72413617"/>
      <w:r w:rsidRPr="00DA284D">
        <w:rPr>
          <w:rFonts w:ascii="Calibri Light" w:eastAsia="Times New Roman" w:hAnsi="Calibri Light" w:cs="Times New Roman"/>
          <w:b/>
          <w:bCs/>
          <w:sz w:val="28"/>
          <w:szCs w:val="26"/>
        </w:rPr>
        <w:t>1.6 Layout of the Thesis</w:t>
      </w:r>
      <w:bookmarkEnd w:id="45"/>
      <w:bookmarkEnd w:id="46"/>
      <w:bookmarkEnd w:id="47"/>
      <w:bookmarkEnd w:id="48"/>
      <w:bookmarkEnd w:id="49"/>
    </w:p>
    <w:p w14:paraId="5E45B475" w14:textId="77777777" w:rsidR="00DA284D" w:rsidRPr="00DA284D" w:rsidRDefault="00DA284D" w:rsidP="00DA284D">
      <w:pPr>
        <w:suppressAutoHyphens/>
        <w:autoSpaceDN w:val="0"/>
        <w:spacing w:after="0" w:line="480" w:lineRule="auto"/>
        <w:textAlignment w:val="baseline"/>
        <w:rPr>
          <w:rFonts w:ascii="Calibri" w:eastAsia="Calibri" w:hAnsi="Calibri" w:cs="Times New Roman"/>
          <w:bCs/>
          <w:sz w:val="24"/>
          <w:szCs w:val="24"/>
        </w:rPr>
      </w:pPr>
      <w:r w:rsidRPr="00DA284D">
        <w:rPr>
          <w:rFonts w:ascii="Calibri" w:eastAsia="Calibri" w:hAnsi="Calibri" w:cs="Times New Roman"/>
          <w:bCs/>
          <w:sz w:val="24"/>
          <w:szCs w:val="24"/>
        </w:rPr>
        <w:t xml:space="preserve">The literature review (Chapter 2) is separated into three parts. It starts by contextualising 'race', racism and whiteness by situating them in their historical construction and contemporary consequences. Part two explores 'race', mental health and counselling and the third part offers a summary of the findings through the prism of critical whiteness studies and critical race theory. Chapter 3 presents the conceptual framework and methodology used in this research and the rationale behind their selection. Chapter 4 outlines the methods used to collect and analyse the data, as well as presenting the research ethics used. Chapter 5 analyses the findings by presenting the four research themes identified from the data. To illustrate each theme and to privilege the voices of the participants, extensive interview excerpts are used. Chapter 6 discusses the findings of the research by situating the research themes into existing literature. Chapter 7 draws the research to its conclusion by synthesising the findings and also addresses the limitations and implications of the research, as well as recommending areas for further research. </w:t>
      </w:r>
    </w:p>
    <w:p w14:paraId="3328D3E8" w14:textId="77777777" w:rsidR="00DA284D" w:rsidRPr="00DA284D" w:rsidRDefault="00DA284D" w:rsidP="00DA284D">
      <w:pPr>
        <w:suppressAutoHyphens/>
        <w:autoSpaceDN w:val="0"/>
        <w:spacing w:after="0" w:line="480" w:lineRule="auto"/>
        <w:textAlignment w:val="baseline"/>
        <w:rPr>
          <w:rFonts w:ascii="Calibri" w:eastAsia="Calibri" w:hAnsi="Calibri" w:cs="Times New Roman"/>
          <w:bCs/>
          <w:sz w:val="24"/>
          <w:szCs w:val="24"/>
        </w:rPr>
      </w:pPr>
    </w:p>
    <w:p w14:paraId="4056383C" w14:textId="77777777" w:rsidR="00DA284D" w:rsidRPr="00DA284D" w:rsidRDefault="00DA284D" w:rsidP="00DA284D">
      <w:pPr>
        <w:suppressAutoHyphens/>
        <w:autoSpaceDN w:val="0"/>
        <w:spacing w:after="0" w:line="480" w:lineRule="auto"/>
        <w:textAlignment w:val="baseline"/>
        <w:rPr>
          <w:rFonts w:ascii="Calibri" w:eastAsia="Calibri" w:hAnsi="Calibri" w:cs="Times New Roman"/>
          <w:bCs/>
          <w:sz w:val="24"/>
          <w:szCs w:val="24"/>
        </w:rPr>
      </w:pPr>
    </w:p>
    <w:p w14:paraId="46B81E2D" w14:textId="77777777" w:rsidR="00DA284D" w:rsidRPr="00DA284D" w:rsidRDefault="00DA284D" w:rsidP="00DA284D">
      <w:pPr>
        <w:suppressAutoHyphens/>
        <w:autoSpaceDN w:val="0"/>
        <w:spacing w:after="0" w:line="480" w:lineRule="auto"/>
        <w:textAlignment w:val="baseline"/>
        <w:rPr>
          <w:rFonts w:ascii="Calibri" w:eastAsia="Calibri" w:hAnsi="Calibri" w:cs="Calibri"/>
          <w:sz w:val="24"/>
          <w:szCs w:val="24"/>
        </w:rPr>
      </w:pPr>
      <w:r w:rsidRPr="00DA284D">
        <w:rPr>
          <w:rFonts w:ascii="Calibri" w:eastAsia="Calibri" w:hAnsi="Calibri" w:cs="Calibri"/>
          <w:sz w:val="24"/>
          <w:szCs w:val="24"/>
        </w:rPr>
        <w:t xml:space="preserve">The research that is presented in this thesis does not make hubristic claims to have a solution to the issues of ‘race’, racism and whiteness either in society more generally or counselling more specifically. Rather, its intention is to contribute to the knowledge base of critical whiteness studies and counselling through exploring how white trainee counsellors in South Wales understand ‘race’, racism and whiteness. </w:t>
      </w:r>
    </w:p>
    <w:p w14:paraId="206A9006" w14:textId="77777777" w:rsidR="00DA284D" w:rsidRPr="00DA284D" w:rsidRDefault="00DA284D" w:rsidP="00DA284D">
      <w:pPr>
        <w:suppressAutoHyphens/>
        <w:autoSpaceDN w:val="0"/>
        <w:spacing w:after="0" w:line="480" w:lineRule="auto"/>
        <w:textAlignment w:val="baseline"/>
        <w:rPr>
          <w:rFonts w:ascii="Calibri" w:eastAsia="Calibri" w:hAnsi="Calibri" w:cs="Calibri"/>
          <w:sz w:val="24"/>
          <w:szCs w:val="24"/>
        </w:rPr>
      </w:pPr>
    </w:p>
    <w:p w14:paraId="3323EA55" w14:textId="77777777" w:rsidR="00413A7C" w:rsidRDefault="00413A7C"/>
    <w:sectPr w:rsidR="00413A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4797"/>
    <w:multiLevelType w:val="multilevel"/>
    <w:tmpl w:val="75AA7C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4D"/>
    <w:rsid w:val="00413A7C"/>
    <w:rsid w:val="00DA2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0BAE9"/>
  <w15:chartTrackingRefBased/>
  <w15:docId w15:val="{F92D0C7C-550D-40AF-A16C-082A71EA4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5129</Words>
  <Characters>29238</Characters>
  <Application>Microsoft Office Word</Application>
  <DocSecurity>0</DocSecurity>
  <Lines>243</Lines>
  <Paragraphs>68</Paragraphs>
  <ScaleCrop>false</ScaleCrop>
  <Company/>
  <LinksUpToDate>false</LinksUpToDate>
  <CharactersWithSpaces>34299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Kate Smith</dc:creator>
  <cp:keywords/>
  <dc:description/>
  <cp:lastModifiedBy>Ruth Kate Smith</cp:lastModifiedBy>
  <cp:revision>1</cp:revision>
  <dcterms:created xsi:type="dcterms:W3CDTF">2021-05-20T13:33:00Z</dcterms:created>
  <dcterms:modified xsi:type="dcterms:W3CDTF">2021-05-20T13:35:00Z</dcterms:modified>
</cp:coreProperties>
</file>