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BEAEF" w14:textId="77777777" w:rsidR="00B05067" w:rsidRPr="00A85BFE" w:rsidRDefault="00B05067" w:rsidP="00B05067">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lang w:val="en-US" w:eastAsia="en-US"/>
        </w:rPr>
        <w:drawing>
          <wp:anchor distT="0" distB="0" distL="114300" distR="114300" simplePos="0" relativeHeight="251659264" behindDoc="0" locked="0" layoutInCell="1" allowOverlap="1" wp14:anchorId="5B868923" wp14:editId="0EBC5591">
            <wp:simplePos x="457200" y="457200"/>
            <wp:positionH relativeFrom="margin">
              <wp:align>left</wp:align>
            </wp:positionH>
            <wp:positionV relativeFrom="paragraph">
              <wp:align>top</wp:align>
            </wp:positionV>
            <wp:extent cx="1905000" cy="622300"/>
            <wp:effectExtent l="0" t="0" r="0" b="635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905000" cy="622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hAnsi="Arial" w:cs="Arial"/>
        </w:rPr>
        <w:t xml:space="preserve"> </w:t>
      </w:r>
      <w:r>
        <w:rPr>
          <w:rFonts w:ascii="Arial" w:hAnsi="Arial" w:cs="Arial"/>
        </w:rPr>
        <w:br w:type="textWrapping" w:clear="all"/>
      </w:r>
    </w:p>
    <w:p w14:paraId="79362C6E" w14:textId="77777777" w:rsidR="00B05067" w:rsidRPr="00A406E5" w:rsidRDefault="00B05067" w:rsidP="00B05067">
      <w:pPr>
        <w:rPr>
          <w:rFonts w:ascii="Arial" w:hAnsi="Arial" w:cs="Arial"/>
        </w:rPr>
      </w:pPr>
    </w:p>
    <w:p w14:paraId="11FB4E2A" w14:textId="77777777" w:rsidR="00B05067" w:rsidRDefault="00B05067" w:rsidP="00B05067">
      <w:pPr>
        <w:jc w:val="center"/>
        <w:rPr>
          <w:rFonts w:ascii="Arial" w:hAnsi="Arial" w:cs="Arial"/>
          <w:b/>
          <w:i/>
          <w:sz w:val="32"/>
        </w:rPr>
      </w:pPr>
    </w:p>
    <w:p w14:paraId="766504F7" w14:textId="77777777" w:rsidR="000134DD" w:rsidRDefault="000134DD" w:rsidP="00B05067">
      <w:pPr>
        <w:jc w:val="center"/>
        <w:rPr>
          <w:rFonts w:ascii="Arial" w:hAnsi="Arial" w:cs="Arial"/>
          <w:b/>
          <w:i/>
          <w:sz w:val="32"/>
        </w:rPr>
      </w:pPr>
    </w:p>
    <w:p w14:paraId="1C7C6FD8" w14:textId="77777777" w:rsidR="000134DD" w:rsidRDefault="000134DD" w:rsidP="00B05067">
      <w:pPr>
        <w:jc w:val="center"/>
        <w:rPr>
          <w:rFonts w:ascii="Arial" w:hAnsi="Arial" w:cs="Arial"/>
          <w:b/>
          <w:i/>
          <w:sz w:val="32"/>
        </w:rPr>
      </w:pPr>
    </w:p>
    <w:p w14:paraId="6CDB6B89" w14:textId="77777777" w:rsidR="000134DD" w:rsidRDefault="000134DD" w:rsidP="00B05067">
      <w:pPr>
        <w:jc w:val="center"/>
        <w:rPr>
          <w:rFonts w:ascii="Arial" w:hAnsi="Arial" w:cs="Arial"/>
          <w:b/>
          <w:i/>
          <w:sz w:val="32"/>
        </w:rPr>
      </w:pPr>
    </w:p>
    <w:p w14:paraId="38B95E35" w14:textId="77777777" w:rsidR="000134DD" w:rsidRDefault="000134DD" w:rsidP="00B05067">
      <w:pPr>
        <w:jc w:val="center"/>
        <w:rPr>
          <w:rFonts w:ascii="Arial" w:hAnsi="Arial" w:cs="Arial"/>
          <w:b/>
          <w:i/>
          <w:sz w:val="32"/>
        </w:rPr>
      </w:pPr>
    </w:p>
    <w:p w14:paraId="3A5FDF69" w14:textId="77777777" w:rsidR="000134DD" w:rsidRDefault="000134DD" w:rsidP="00B05067">
      <w:pPr>
        <w:jc w:val="center"/>
        <w:rPr>
          <w:rFonts w:ascii="Arial" w:hAnsi="Arial" w:cs="Arial"/>
          <w:b/>
          <w:i/>
          <w:sz w:val="32"/>
        </w:rPr>
      </w:pPr>
    </w:p>
    <w:p w14:paraId="3025F286" w14:textId="77777777" w:rsidR="000134DD" w:rsidRDefault="000134DD" w:rsidP="00B05067">
      <w:pPr>
        <w:jc w:val="center"/>
        <w:rPr>
          <w:rFonts w:ascii="Arial" w:hAnsi="Arial" w:cs="Arial"/>
          <w:b/>
          <w:i/>
          <w:sz w:val="32"/>
        </w:rPr>
      </w:pPr>
    </w:p>
    <w:p w14:paraId="3AD5C137" w14:textId="74C97701" w:rsidR="000134DD" w:rsidRDefault="00C40323" w:rsidP="00B05067">
      <w:pPr>
        <w:jc w:val="center"/>
        <w:rPr>
          <w:rFonts w:ascii="Arial" w:hAnsi="Arial" w:cs="Arial"/>
          <w:b/>
          <w:i/>
          <w:sz w:val="32"/>
        </w:rPr>
      </w:pPr>
      <w:r>
        <w:rPr>
          <w:rFonts w:ascii="Arial" w:hAnsi="Arial" w:cs="Arial"/>
          <w:b/>
          <w:i/>
          <w:sz w:val="32"/>
        </w:rPr>
        <w:t>MBA</w:t>
      </w:r>
    </w:p>
    <w:p w14:paraId="2FAC01B0" w14:textId="77777777" w:rsidR="00C40323" w:rsidRDefault="00C40323" w:rsidP="00B05067">
      <w:pPr>
        <w:jc w:val="center"/>
        <w:rPr>
          <w:rFonts w:ascii="Arial" w:hAnsi="Arial" w:cs="Arial"/>
          <w:b/>
          <w:i/>
          <w:sz w:val="32"/>
        </w:rPr>
      </w:pPr>
    </w:p>
    <w:p w14:paraId="6FE758CC" w14:textId="329A177E" w:rsidR="00C40323" w:rsidRDefault="00C40323" w:rsidP="00B05067">
      <w:pPr>
        <w:jc w:val="center"/>
        <w:rPr>
          <w:rFonts w:ascii="Arial" w:hAnsi="Arial" w:cs="Arial"/>
          <w:b/>
          <w:i/>
          <w:sz w:val="32"/>
        </w:rPr>
      </w:pPr>
      <w:r w:rsidRPr="00C40323">
        <w:rPr>
          <w:rFonts w:ascii="Arial" w:hAnsi="Arial" w:cs="Arial"/>
          <w:b/>
          <w:i/>
          <w:sz w:val="32"/>
        </w:rPr>
        <w:t>The Challenge of Sustainability</w:t>
      </w:r>
    </w:p>
    <w:p w14:paraId="70C1F285" w14:textId="77777777" w:rsidR="000134DD" w:rsidRDefault="000134DD" w:rsidP="00C40323">
      <w:pPr>
        <w:rPr>
          <w:rFonts w:ascii="Arial" w:hAnsi="Arial" w:cs="Arial"/>
          <w:b/>
          <w:i/>
          <w:sz w:val="32"/>
        </w:rPr>
      </w:pPr>
    </w:p>
    <w:p w14:paraId="5B81CC3B" w14:textId="2F3296C9" w:rsidR="000134DD" w:rsidRDefault="00C40323" w:rsidP="00B05067">
      <w:pPr>
        <w:jc w:val="center"/>
        <w:rPr>
          <w:rFonts w:ascii="Arial" w:hAnsi="Arial" w:cs="Arial"/>
          <w:b/>
          <w:i/>
          <w:sz w:val="32"/>
        </w:rPr>
      </w:pPr>
      <w:r w:rsidRPr="00C40323">
        <w:rPr>
          <w:rFonts w:ascii="Arial" w:hAnsi="Arial" w:cs="Arial"/>
          <w:b/>
          <w:i/>
          <w:sz w:val="32"/>
        </w:rPr>
        <w:t>Assessment 1</w:t>
      </w:r>
    </w:p>
    <w:p w14:paraId="1D84CD46" w14:textId="77777777" w:rsidR="000134DD" w:rsidRDefault="000134DD" w:rsidP="00B05067">
      <w:pPr>
        <w:jc w:val="center"/>
        <w:rPr>
          <w:rFonts w:ascii="Arial" w:hAnsi="Arial" w:cs="Arial"/>
          <w:b/>
          <w:i/>
          <w:sz w:val="32"/>
        </w:rPr>
      </w:pPr>
    </w:p>
    <w:tbl>
      <w:tblPr>
        <w:tblpPr w:leftFromText="180" w:rightFromText="180" w:vertAnchor="text" w:horzAnchor="margin" w:tblpXSpec="center" w:tblpY="80"/>
        <w:tblW w:w="9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9"/>
        <w:gridCol w:w="3020"/>
        <w:gridCol w:w="2080"/>
        <w:gridCol w:w="2080"/>
      </w:tblGrid>
      <w:tr w:rsidR="000134DD" w:rsidRPr="00A406E5" w14:paraId="6076E7D1" w14:textId="77777777" w:rsidTr="000134DD">
        <w:trPr>
          <w:trHeight w:val="681"/>
        </w:trPr>
        <w:tc>
          <w:tcPr>
            <w:tcW w:w="1919" w:type="dxa"/>
            <w:shd w:val="pct15" w:color="auto" w:fill="auto"/>
          </w:tcPr>
          <w:p w14:paraId="3326C66A" w14:textId="77777777" w:rsidR="000134DD" w:rsidRPr="00A406E5" w:rsidRDefault="000134DD" w:rsidP="000134DD">
            <w:pPr>
              <w:spacing w:before="120" w:after="120"/>
              <w:jc w:val="both"/>
              <w:rPr>
                <w:rFonts w:ascii="Arial" w:hAnsi="Arial" w:cs="Arial"/>
                <w:b/>
                <w:sz w:val="22"/>
                <w:szCs w:val="22"/>
              </w:rPr>
            </w:pPr>
            <w:r w:rsidRPr="00A406E5">
              <w:rPr>
                <w:rFonts w:ascii="Arial" w:hAnsi="Arial" w:cs="Arial"/>
                <w:b/>
                <w:sz w:val="22"/>
                <w:szCs w:val="22"/>
              </w:rPr>
              <w:t>Student name:</w:t>
            </w:r>
          </w:p>
        </w:tc>
        <w:tc>
          <w:tcPr>
            <w:tcW w:w="3020" w:type="dxa"/>
          </w:tcPr>
          <w:p w14:paraId="7196AA92" w14:textId="77777777" w:rsidR="000134DD" w:rsidRPr="00A406E5" w:rsidRDefault="000134DD" w:rsidP="000134DD">
            <w:pPr>
              <w:spacing w:before="120" w:after="120"/>
              <w:jc w:val="both"/>
              <w:rPr>
                <w:rFonts w:ascii="Arial" w:hAnsi="Arial" w:cs="Arial"/>
                <w:b/>
                <w:sz w:val="22"/>
                <w:szCs w:val="22"/>
              </w:rPr>
            </w:pPr>
            <w:r>
              <w:rPr>
                <w:rFonts w:ascii="Arial" w:hAnsi="Arial" w:cs="Arial"/>
                <w:b/>
                <w:sz w:val="22"/>
                <w:szCs w:val="22"/>
              </w:rPr>
              <w:t xml:space="preserve">Ghanim </w:t>
            </w:r>
            <w:proofErr w:type="spellStart"/>
            <w:r>
              <w:rPr>
                <w:rFonts w:ascii="Arial" w:hAnsi="Arial" w:cs="Arial"/>
                <w:b/>
                <w:sz w:val="22"/>
                <w:szCs w:val="22"/>
              </w:rPr>
              <w:t>Kashwani</w:t>
            </w:r>
            <w:proofErr w:type="spellEnd"/>
            <w:r>
              <w:rPr>
                <w:rFonts w:ascii="Arial" w:hAnsi="Arial" w:cs="Arial"/>
                <w:b/>
                <w:sz w:val="22"/>
                <w:szCs w:val="22"/>
              </w:rPr>
              <w:t xml:space="preserve"> </w:t>
            </w:r>
          </w:p>
        </w:tc>
        <w:tc>
          <w:tcPr>
            <w:tcW w:w="2080" w:type="dxa"/>
            <w:shd w:val="clear" w:color="auto" w:fill="D9D9D9"/>
          </w:tcPr>
          <w:p w14:paraId="3C1A899E" w14:textId="77777777" w:rsidR="000134DD" w:rsidRPr="00A406E5" w:rsidRDefault="000134DD" w:rsidP="000134D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080" w:type="dxa"/>
          </w:tcPr>
          <w:p w14:paraId="611E3F7F" w14:textId="77777777" w:rsidR="000134DD" w:rsidRPr="00A406E5" w:rsidRDefault="000134DD" w:rsidP="000134DD">
            <w:pPr>
              <w:spacing w:before="120" w:after="120"/>
              <w:jc w:val="both"/>
              <w:rPr>
                <w:rFonts w:ascii="Arial" w:hAnsi="Arial" w:cs="Arial"/>
                <w:b/>
                <w:sz w:val="22"/>
                <w:szCs w:val="22"/>
              </w:rPr>
            </w:pPr>
            <w:r>
              <w:rPr>
                <w:rFonts w:ascii="Arial" w:hAnsi="Arial" w:cs="Arial"/>
                <w:b/>
                <w:sz w:val="22"/>
                <w:szCs w:val="22"/>
              </w:rPr>
              <w:t>1804502</w:t>
            </w:r>
          </w:p>
        </w:tc>
      </w:tr>
    </w:tbl>
    <w:p w14:paraId="0AC3C81B" w14:textId="77777777" w:rsidR="000134DD" w:rsidRDefault="000134DD" w:rsidP="00B05067">
      <w:pPr>
        <w:jc w:val="center"/>
        <w:rPr>
          <w:rFonts w:ascii="Arial" w:hAnsi="Arial" w:cs="Arial"/>
          <w:b/>
          <w:i/>
          <w:sz w:val="32"/>
        </w:rPr>
      </w:pPr>
    </w:p>
    <w:p w14:paraId="13E066D6" w14:textId="77777777" w:rsidR="000134DD" w:rsidRDefault="000134DD" w:rsidP="00B05067">
      <w:pPr>
        <w:jc w:val="center"/>
        <w:rPr>
          <w:rFonts w:ascii="Arial" w:hAnsi="Arial" w:cs="Arial"/>
          <w:b/>
          <w:i/>
          <w:sz w:val="32"/>
        </w:rPr>
      </w:pPr>
    </w:p>
    <w:p w14:paraId="22D5EDF8" w14:textId="77777777" w:rsidR="000134DD" w:rsidRDefault="000134DD" w:rsidP="00B05067">
      <w:pPr>
        <w:jc w:val="center"/>
        <w:rPr>
          <w:rFonts w:ascii="Arial" w:hAnsi="Arial" w:cs="Arial"/>
          <w:b/>
          <w:i/>
          <w:sz w:val="32"/>
        </w:rPr>
      </w:pPr>
    </w:p>
    <w:p w14:paraId="04170EDA" w14:textId="77777777" w:rsidR="000134DD" w:rsidRDefault="000134DD" w:rsidP="00B05067">
      <w:pPr>
        <w:jc w:val="center"/>
        <w:rPr>
          <w:rFonts w:ascii="Arial" w:hAnsi="Arial" w:cs="Arial"/>
          <w:b/>
          <w:i/>
          <w:sz w:val="32"/>
        </w:rPr>
      </w:pPr>
    </w:p>
    <w:p w14:paraId="03A166D0" w14:textId="77777777" w:rsidR="000134DD" w:rsidRDefault="000134DD" w:rsidP="00B05067">
      <w:pPr>
        <w:jc w:val="center"/>
        <w:rPr>
          <w:rFonts w:ascii="Arial" w:hAnsi="Arial" w:cs="Arial"/>
          <w:b/>
          <w:i/>
          <w:sz w:val="32"/>
        </w:rPr>
      </w:pPr>
    </w:p>
    <w:p w14:paraId="7E496D70" w14:textId="77777777" w:rsidR="000134DD" w:rsidRDefault="000134DD" w:rsidP="00B05067">
      <w:pPr>
        <w:jc w:val="center"/>
        <w:rPr>
          <w:rFonts w:ascii="Arial" w:hAnsi="Arial" w:cs="Arial"/>
          <w:b/>
          <w:i/>
          <w:sz w:val="32"/>
        </w:rPr>
      </w:pPr>
    </w:p>
    <w:p w14:paraId="61F84F3B" w14:textId="77777777" w:rsidR="000134DD" w:rsidRDefault="000134DD" w:rsidP="00B05067">
      <w:pPr>
        <w:jc w:val="center"/>
        <w:rPr>
          <w:rFonts w:ascii="Arial" w:hAnsi="Arial" w:cs="Arial"/>
          <w:b/>
          <w:i/>
          <w:sz w:val="32"/>
        </w:rPr>
      </w:pPr>
    </w:p>
    <w:p w14:paraId="0E0479DB" w14:textId="77777777" w:rsidR="000134DD" w:rsidRDefault="000134DD" w:rsidP="00B05067">
      <w:pPr>
        <w:jc w:val="center"/>
        <w:rPr>
          <w:rFonts w:ascii="Arial" w:hAnsi="Arial" w:cs="Arial"/>
          <w:b/>
          <w:i/>
          <w:sz w:val="32"/>
        </w:rPr>
      </w:pPr>
    </w:p>
    <w:p w14:paraId="5CC37DDB" w14:textId="77777777" w:rsidR="000134DD" w:rsidRDefault="000134DD" w:rsidP="00B05067">
      <w:pPr>
        <w:jc w:val="center"/>
        <w:rPr>
          <w:rFonts w:ascii="Arial" w:hAnsi="Arial" w:cs="Arial"/>
          <w:b/>
          <w:i/>
          <w:sz w:val="32"/>
        </w:rPr>
      </w:pPr>
    </w:p>
    <w:p w14:paraId="61F1F414" w14:textId="77777777" w:rsidR="000134DD" w:rsidRDefault="000134DD" w:rsidP="00B05067">
      <w:pPr>
        <w:jc w:val="center"/>
        <w:rPr>
          <w:rFonts w:ascii="Arial" w:hAnsi="Arial" w:cs="Arial"/>
          <w:b/>
          <w:i/>
          <w:sz w:val="32"/>
        </w:rPr>
      </w:pPr>
    </w:p>
    <w:p w14:paraId="4E5A1FDB" w14:textId="77777777" w:rsidR="000134DD" w:rsidRDefault="000134DD" w:rsidP="00B05067">
      <w:pPr>
        <w:jc w:val="center"/>
        <w:rPr>
          <w:rFonts w:ascii="Arial" w:hAnsi="Arial" w:cs="Arial"/>
          <w:b/>
          <w:i/>
          <w:sz w:val="32"/>
        </w:rPr>
      </w:pPr>
    </w:p>
    <w:p w14:paraId="7284EE8B" w14:textId="77777777" w:rsidR="000134DD" w:rsidRDefault="000134DD" w:rsidP="00B05067">
      <w:pPr>
        <w:jc w:val="center"/>
        <w:rPr>
          <w:rFonts w:ascii="Arial" w:hAnsi="Arial" w:cs="Arial"/>
          <w:b/>
          <w:i/>
          <w:sz w:val="32"/>
        </w:rPr>
      </w:pPr>
    </w:p>
    <w:p w14:paraId="03962D38" w14:textId="77777777" w:rsidR="007A3DD6" w:rsidRDefault="007A3DD6" w:rsidP="007A3DD6">
      <w:pPr>
        <w:rPr>
          <w:rFonts w:ascii="Arial" w:hAnsi="Arial" w:cs="Arial"/>
          <w:sz w:val="32"/>
        </w:rPr>
      </w:pPr>
    </w:p>
    <w:p w14:paraId="42CF76C9" w14:textId="77777777" w:rsidR="00C40323" w:rsidRDefault="00C40323" w:rsidP="007A3DD6">
      <w:pPr>
        <w:rPr>
          <w:rFonts w:ascii="Arial" w:hAnsi="Arial" w:cs="Arial"/>
          <w:sz w:val="32"/>
        </w:rPr>
      </w:pPr>
    </w:p>
    <w:p w14:paraId="520D3CB3" w14:textId="77777777" w:rsidR="00852D83" w:rsidRDefault="00852D83" w:rsidP="004018D1">
      <w:pPr>
        <w:jc w:val="center"/>
        <w:rPr>
          <w:rFonts w:asciiTheme="majorBidi" w:hAnsiTheme="majorBidi" w:cstheme="majorBidi"/>
          <w:b/>
          <w:bCs/>
          <w:sz w:val="28"/>
          <w:szCs w:val="28"/>
        </w:rPr>
      </w:pPr>
    </w:p>
    <w:p w14:paraId="2379E750" w14:textId="16FE2F06" w:rsidR="00852D83" w:rsidRDefault="00B769EE" w:rsidP="004018D1">
      <w:pPr>
        <w:jc w:val="center"/>
        <w:rPr>
          <w:rFonts w:asciiTheme="majorBidi" w:hAnsiTheme="majorBidi" w:cstheme="majorBidi"/>
          <w:b/>
          <w:bCs/>
          <w:sz w:val="28"/>
          <w:szCs w:val="28"/>
        </w:rPr>
      </w:pPr>
      <w:bookmarkStart w:id="1" w:name="_Hlk527206894"/>
      <w:r>
        <w:rPr>
          <w:rFonts w:asciiTheme="majorBidi" w:hAnsiTheme="majorBidi" w:cstheme="majorBidi"/>
          <w:b/>
          <w:bCs/>
          <w:sz w:val="28"/>
          <w:szCs w:val="28"/>
        </w:rPr>
        <w:lastRenderedPageBreak/>
        <w:t>Evaluating</w:t>
      </w:r>
      <w:r w:rsidR="00852D83">
        <w:rPr>
          <w:rFonts w:asciiTheme="majorBidi" w:hAnsiTheme="majorBidi" w:cstheme="majorBidi"/>
          <w:b/>
          <w:bCs/>
          <w:sz w:val="28"/>
          <w:szCs w:val="28"/>
        </w:rPr>
        <w:t xml:space="preserve"> </w:t>
      </w:r>
      <w:r w:rsidR="009013DF" w:rsidRPr="009013DF">
        <w:rPr>
          <w:rFonts w:asciiTheme="majorBidi" w:hAnsiTheme="majorBidi" w:cstheme="majorBidi"/>
          <w:b/>
          <w:bCs/>
          <w:sz w:val="28"/>
          <w:szCs w:val="28"/>
        </w:rPr>
        <w:t xml:space="preserve">the </w:t>
      </w:r>
      <w:r w:rsidR="009013DF">
        <w:rPr>
          <w:rFonts w:asciiTheme="majorBidi" w:hAnsiTheme="majorBidi" w:cstheme="majorBidi"/>
          <w:b/>
          <w:bCs/>
          <w:sz w:val="28"/>
          <w:szCs w:val="28"/>
        </w:rPr>
        <w:t>C</w:t>
      </w:r>
      <w:r w:rsidR="009013DF" w:rsidRPr="009013DF">
        <w:rPr>
          <w:rFonts w:asciiTheme="majorBidi" w:hAnsiTheme="majorBidi" w:cstheme="majorBidi"/>
          <w:b/>
          <w:bCs/>
          <w:sz w:val="28"/>
          <w:szCs w:val="28"/>
        </w:rPr>
        <w:t xml:space="preserve">hallenges </w:t>
      </w:r>
      <w:r w:rsidR="001271F4">
        <w:rPr>
          <w:rFonts w:asciiTheme="majorBidi" w:hAnsiTheme="majorBidi" w:cstheme="majorBidi"/>
          <w:b/>
          <w:bCs/>
          <w:sz w:val="28"/>
          <w:szCs w:val="28"/>
        </w:rPr>
        <w:t>of</w:t>
      </w:r>
      <w:r w:rsidR="009013DF" w:rsidRPr="009013DF">
        <w:rPr>
          <w:rFonts w:asciiTheme="majorBidi" w:hAnsiTheme="majorBidi" w:cstheme="majorBidi"/>
          <w:b/>
          <w:bCs/>
          <w:sz w:val="28"/>
          <w:szCs w:val="28"/>
        </w:rPr>
        <w:t xml:space="preserve"> </w:t>
      </w:r>
      <w:r w:rsidR="009013DF">
        <w:rPr>
          <w:rFonts w:asciiTheme="majorBidi" w:hAnsiTheme="majorBidi" w:cstheme="majorBidi"/>
          <w:b/>
          <w:bCs/>
          <w:sz w:val="28"/>
          <w:szCs w:val="28"/>
        </w:rPr>
        <w:t>I</w:t>
      </w:r>
      <w:r w:rsidR="009013DF" w:rsidRPr="009013DF">
        <w:rPr>
          <w:rFonts w:asciiTheme="majorBidi" w:hAnsiTheme="majorBidi" w:cstheme="majorBidi"/>
          <w:b/>
          <w:bCs/>
          <w:sz w:val="28"/>
          <w:szCs w:val="28"/>
        </w:rPr>
        <w:t xml:space="preserve">mplementation </w:t>
      </w:r>
      <w:r w:rsidR="00852D83">
        <w:rPr>
          <w:rFonts w:asciiTheme="majorBidi" w:hAnsiTheme="majorBidi" w:cstheme="majorBidi"/>
          <w:b/>
          <w:bCs/>
          <w:sz w:val="28"/>
          <w:szCs w:val="28"/>
        </w:rPr>
        <w:t xml:space="preserve">of </w:t>
      </w:r>
      <w:r w:rsidR="009013DF">
        <w:rPr>
          <w:rFonts w:asciiTheme="majorBidi" w:hAnsiTheme="majorBidi" w:cstheme="majorBidi"/>
          <w:b/>
          <w:bCs/>
          <w:sz w:val="28"/>
          <w:szCs w:val="28"/>
        </w:rPr>
        <w:t>E</w:t>
      </w:r>
      <w:r w:rsidR="001271F4">
        <w:rPr>
          <w:rFonts w:asciiTheme="majorBidi" w:hAnsiTheme="majorBidi" w:cstheme="majorBidi"/>
          <w:b/>
          <w:bCs/>
          <w:sz w:val="28"/>
          <w:szCs w:val="28"/>
        </w:rPr>
        <w:t>rgonomic</w:t>
      </w:r>
      <w:r w:rsidR="009013DF" w:rsidRPr="009013DF">
        <w:rPr>
          <w:rFonts w:asciiTheme="majorBidi" w:hAnsiTheme="majorBidi" w:cstheme="majorBidi"/>
          <w:b/>
          <w:bCs/>
          <w:sz w:val="28"/>
          <w:szCs w:val="28"/>
        </w:rPr>
        <w:t xml:space="preserve"> </w:t>
      </w:r>
      <w:r w:rsidR="001271F4" w:rsidRPr="009013DF">
        <w:rPr>
          <w:rFonts w:asciiTheme="majorBidi" w:hAnsiTheme="majorBidi" w:cstheme="majorBidi"/>
          <w:b/>
          <w:bCs/>
          <w:sz w:val="28"/>
          <w:szCs w:val="28"/>
        </w:rPr>
        <w:t xml:space="preserve">as </w:t>
      </w:r>
      <w:r w:rsidR="00852D83">
        <w:rPr>
          <w:rFonts w:asciiTheme="majorBidi" w:hAnsiTheme="majorBidi" w:cstheme="majorBidi"/>
          <w:b/>
          <w:bCs/>
          <w:sz w:val="28"/>
          <w:szCs w:val="28"/>
        </w:rPr>
        <w:t xml:space="preserve">a </w:t>
      </w:r>
    </w:p>
    <w:p w14:paraId="77A2DBF9" w14:textId="085BE250" w:rsidR="004018D1" w:rsidRPr="004018D1" w:rsidRDefault="001271F4" w:rsidP="004018D1">
      <w:pPr>
        <w:jc w:val="center"/>
        <w:rPr>
          <w:rFonts w:asciiTheme="majorBidi" w:hAnsiTheme="majorBidi" w:cstheme="majorBidi"/>
          <w:b/>
          <w:bCs/>
          <w:sz w:val="28"/>
          <w:szCs w:val="28"/>
        </w:rPr>
      </w:pPr>
      <w:r>
        <w:rPr>
          <w:rFonts w:asciiTheme="majorBidi" w:hAnsiTheme="majorBidi" w:cstheme="majorBidi"/>
          <w:b/>
          <w:bCs/>
          <w:sz w:val="28"/>
          <w:szCs w:val="28"/>
        </w:rPr>
        <w:t xml:space="preserve">Social </w:t>
      </w:r>
      <w:r w:rsidR="009013DF">
        <w:rPr>
          <w:rFonts w:asciiTheme="majorBidi" w:hAnsiTheme="majorBidi" w:cstheme="majorBidi"/>
          <w:b/>
          <w:bCs/>
          <w:sz w:val="28"/>
          <w:szCs w:val="28"/>
        </w:rPr>
        <w:t>A</w:t>
      </w:r>
      <w:r w:rsidR="009013DF" w:rsidRPr="009013DF">
        <w:rPr>
          <w:rFonts w:asciiTheme="majorBidi" w:hAnsiTheme="majorBidi" w:cstheme="majorBidi"/>
          <w:b/>
          <w:bCs/>
          <w:sz w:val="28"/>
          <w:szCs w:val="28"/>
        </w:rPr>
        <w:t xml:space="preserve">spect of </w:t>
      </w:r>
      <w:bookmarkStart w:id="2" w:name="_Hlk527206392"/>
      <w:r w:rsidR="009013DF">
        <w:rPr>
          <w:rFonts w:asciiTheme="majorBidi" w:hAnsiTheme="majorBidi" w:cstheme="majorBidi"/>
          <w:b/>
          <w:bCs/>
          <w:sz w:val="28"/>
          <w:szCs w:val="28"/>
        </w:rPr>
        <w:t>S</w:t>
      </w:r>
      <w:r w:rsidR="009013DF" w:rsidRPr="009013DF">
        <w:rPr>
          <w:rFonts w:asciiTheme="majorBidi" w:hAnsiTheme="majorBidi" w:cstheme="majorBidi"/>
          <w:b/>
          <w:bCs/>
          <w:sz w:val="28"/>
          <w:szCs w:val="28"/>
        </w:rPr>
        <w:t>ustainability</w:t>
      </w:r>
      <w:bookmarkEnd w:id="1"/>
      <w:bookmarkEnd w:id="2"/>
      <w:r w:rsidR="002E363B">
        <w:rPr>
          <w:rFonts w:asciiTheme="majorBidi" w:hAnsiTheme="majorBidi" w:cstheme="majorBidi"/>
          <w:b/>
          <w:bCs/>
          <w:sz w:val="28"/>
          <w:szCs w:val="28"/>
        </w:rPr>
        <w:t xml:space="preserve"> in Industrial </w:t>
      </w:r>
      <w:r w:rsidR="00E46E29">
        <w:rPr>
          <w:rFonts w:asciiTheme="majorBidi" w:hAnsiTheme="majorBidi" w:cstheme="majorBidi"/>
          <w:b/>
          <w:bCs/>
          <w:sz w:val="28"/>
          <w:szCs w:val="28"/>
        </w:rPr>
        <w:t>Organizations</w:t>
      </w:r>
    </w:p>
    <w:p w14:paraId="3DDDDF0F" w14:textId="77777777" w:rsidR="004018D1" w:rsidRDefault="004018D1" w:rsidP="004018D1">
      <w:pPr>
        <w:rPr>
          <w:rFonts w:ascii="Arial" w:hAnsi="Arial" w:cs="Arial"/>
          <w:sz w:val="32"/>
        </w:rPr>
      </w:pPr>
    </w:p>
    <w:p w14:paraId="03C3292E" w14:textId="77777777" w:rsidR="004018D1" w:rsidRDefault="004018D1" w:rsidP="004018D1">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 xml:space="preserve">According to the International Ergonomics Association (IEA, 2000), ergonomics or human engineering is the scientific discipline concerned with the understanding of communications among humans and other elements of a system, and a business applies the theory, principles, and methods to the enterprise in order to optimise human well-being. Moreover, the World Commission on Environment and Development (WCED, 1987) defines Sustainable Development (SD) as meeting the needs of the present without compromising the ability of future generations to meet their own needs. Thus, many sustainability scholars believe that there are many common areas between ergonomics and sustainability, since they share a key goal, which is the improvement of human life. According to Zink (2014), in his paper “Designing sustainable work systems: The need for a systems approach,” he states that ergonomics can play a pivotal role in assisting the shift to sustainable development. Zink believes that both ergonomic and sustainability highlight the needs of optimisation to have </w:t>
      </w:r>
      <w:proofErr w:type="gramStart"/>
      <w:r>
        <w:rPr>
          <w:rFonts w:asciiTheme="majorBidi" w:hAnsiTheme="majorBidi" w:cstheme="majorBidi"/>
          <w:sz w:val="24"/>
          <w:szCs w:val="24"/>
        </w:rPr>
        <w:t>sufficient</w:t>
      </w:r>
      <w:proofErr w:type="gramEnd"/>
      <w:r>
        <w:rPr>
          <w:rFonts w:asciiTheme="majorBidi" w:hAnsiTheme="majorBidi" w:cstheme="majorBidi"/>
          <w:sz w:val="24"/>
          <w:szCs w:val="24"/>
        </w:rPr>
        <w:t xml:space="preserve"> socio-technical resources for the present and future requirements. However, other scholars emphasise on the lack of recent studies covering the current and future challenges of ergonomics and its impact on sustainable development, especially from the social perspective (Wilson, 2013). In order to ease and solve this paradox, it is very critical for both fields, sustainability and ergonomics, to connect with each other, which can be accomplished by finding a method to achieve </w:t>
      </w:r>
      <w:bookmarkStart w:id="3" w:name="_Hlk527204031"/>
      <w:r>
        <w:rPr>
          <w:rFonts w:asciiTheme="majorBidi" w:hAnsiTheme="majorBidi" w:cstheme="majorBidi"/>
          <w:sz w:val="24"/>
          <w:szCs w:val="24"/>
        </w:rPr>
        <w:t xml:space="preserve">business sustainability </w:t>
      </w:r>
      <w:bookmarkEnd w:id="3"/>
      <w:r>
        <w:rPr>
          <w:rFonts w:asciiTheme="majorBidi" w:hAnsiTheme="majorBidi" w:cstheme="majorBidi"/>
          <w:sz w:val="24"/>
          <w:szCs w:val="24"/>
        </w:rPr>
        <w:t>from economic, environmental, and social perspectives. In the rigour of business sustainability, old-style business frameworks aim to create values for shareholders over those for others, such as stakeholders. Thus, sustainable businesses are known as the corporate ecosystem, because they design models that create value for all stakeholders and society. The “creating shared value” research study (Porter and Kramer, 2011) was one of the first studies to emphasise the importance of shared value between stakeholders to boost sustainability. For instance, the authors say that businesses have the potential to generate economic value by recognising and addressing social challenges that intersect with their business.</w:t>
      </w:r>
    </w:p>
    <w:p w14:paraId="710F7E4F" w14:textId="5184F1AF" w:rsidR="004018D1" w:rsidRDefault="004018D1" w:rsidP="004018D1">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My understanding and belief about the implementation challenge of ergonomics as an aspect of sustainability can be seen from the individual level all the way to the organisational level. To illustrate further, what I understand from scholars, such as Morioka and Carvalho (2016) is that ergonomics does not necessar</w:t>
      </w:r>
      <w:r w:rsidR="00852D83">
        <w:rPr>
          <w:rFonts w:asciiTheme="majorBidi" w:hAnsiTheme="majorBidi" w:cstheme="majorBidi"/>
          <w:sz w:val="24"/>
          <w:szCs w:val="24"/>
        </w:rPr>
        <w:t>il</w:t>
      </w:r>
      <w:r>
        <w:rPr>
          <w:rFonts w:asciiTheme="majorBidi" w:hAnsiTheme="majorBidi" w:cstheme="majorBidi"/>
          <w:sz w:val="24"/>
          <w:szCs w:val="24"/>
        </w:rPr>
        <w:t xml:space="preserve">y involve environmental studies; however, we can find that the </w:t>
      </w:r>
      <w:r>
        <w:rPr>
          <w:rFonts w:asciiTheme="majorBidi" w:hAnsiTheme="majorBidi" w:cstheme="majorBidi"/>
          <w:sz w:val="24"/>
          <w:szCs w:val="24"/>
        </w:rPr>
        <w:lastRenderedPageBreak/>
        <w:t xml:space="preserve">aims are associated to the sustainability concept. This is because it promotes a balance among the social and economic aspects of organisations in which the key aim of ergonomic work analyses is to attain positive outcomes in two domains: first, on the organisation function. </w:t>
      </w:r>
      <w:proofErr w:type="spellStart"/>
      <w:r>
        <w:rPr>
          <w:rFonts w:asciiTheme="majorBidi" w:hAnsiTheme="majorBidi" w:cstheme="majorBidi"/>
          <w:sz w:val="24"/>
          <w:szCs w:val="24"/>
        </w:rPr>
        <w:t>Bolis</w:t>
      </w:r>
      <w:proofErr w:type="spellEnd"/>
      <w:r>
        <w:rPr>
          <w:rFonts w:asciiTheme="majorBidi" w:hAnsiTheme="majorBidi" w:cstheme="majorBidi"/>
          <w:sz w:val="24"/>
          <w:szCs w:val="24"/>
        </w:rPr>
        <w:t xml:space="preserve"> et al. (2016) suggest that this should involve an organisation’s business pillars, such as reliability, productivity and quality control. The second domain that is related to an individual or worker is the compatibility of the organisation’s system between the production goals, delivery, and the socio-technical well-being of the employee. </w:t>
      </w:r>
    </w:p>
    <w:p w14:paraId="7A6D8A2B" w14:textId="7EA9086E" w:rsidR="004018D1" w:rsidRDefault="004018D1" w:rsidP="00161DF9">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 xml:space="preserve">Furthermore, my perspective on involving ergonomics with the organisational system is that it boosts employee contribution by acknowledging that workers are more comfortable in their organisation and that a better atmosphere can lead to better performance. Thatcher and </w:t>
      </w:r>
      <w:proofErr w:type="spellStart"/>
      <w:r>
        <w:rPr>
          <w:rFonts w:asciiTheme="majorBidi" w:hAnsiTheme="majorBidi" w:cstheme="majorBidi"/>
          <w:sz w:val="24"/>
          <w:szCs w:val="24"/>
        </w:rPr>
        <w:t>Yeow</w:t>
      </w:r>
      <w:proofErr w:type="spellEnd"/>
      <w:r>
        <w:rPr>
          <w:rFonts w:asciiTheme="majorBidi" w:hAnsiTheme="majorBidi" w:cstheme="majorBidi"/>
          <w:sz w:val="24"/>
          <w:szCs w:val="24"/>
        </w:rPr>
        <w:t xml:space="preserve"> (2018) supports this claim in their study. They believe that when an employee has a better knowledge and understanding of the procedures, processes, and activities that are designed for his/her wellbeing, the level of productivity in the organisation will increase. This can be achieved by training workers to contribute by designing solutions to support companies and maintain an enduring culture of wellbeing in the organisation and ensuring the existence of the ergonomic interferences within the organisation system. I believe that to reach this goal, it is extremely important to know the influencing factors at the workplace and how they could provide optimal states of health for workers and for the performance of the organisation. The following example can express this idea of the ergonomic impact on the sustainable business in depth. In the oil and gas field, it was noticed that </w:t>
      </w:r>
      <w:r w:rsidR="00B769EE">
        <w:rPr>
          <w:rFonts w:asciiTheme="majorBidi" w:hAnsiTheme="majorBidi" w:cstheme="majorBidi"/>
          <w:sz w:val="24"/>
          <w:szCs w:val="24"/>
        </w:rPr>
        <w:t>an</w:t>
      </w:r>
      <w:r>
        <w:rPr>
          <w:rFonts w:asciiTheme="majorBidi" w:hAnsiTheme="majorBidi" w:cstheme="majorBidi"/>
          <w:sz w:val="24"/>
          <w:szCs w:val="24"/>
        </w:rPr>
        <w:t xml:space="preserve"> organisation’s most important capital is its workforce. Thus, their safety is of high priority in the oil and gas industry, because it involves activities with heavy equipment and hazardous substances. Many scholars suggest that ergonomic and sustainability challenges are embedded with these chemical, physical, or biological </w:t>
      </w:r>
      <w:r w:rsidR="00ED1595">
        <w:rPr>
          <w:rFonts w:asciiTheme="majorBidi" w:hAnsiTheme="majorBidi" w:cstheme="majorBidi"/>
          <w:sz w:val="24"/>
          <w:szCs w:val="24"/>
        </w:rPr>
        <w:t>factors</w:t>
      </w:r>
      <w:r>
        <w:rPr>
          <w:rFonts w:asciiTheme="majorBidi" w:hAnsiTheme="majorBidi" w:cstheme="majorBidi"/>
          <w:sz w:val="24"/>
          <w:szCs w:val="24"/>
        </w:rPr>
        <w:t xml:space="preserve"> as part of the occupational health. Health and Safety Executive (HSE) (2005) suggested that the first step to implement employee ergonomics with respect to boosting the sustainability concept in the organisation entails establishing a welfare legislation, which can enforce legally all activities and facilities towards employee welfare. For example, in 1992, HSE established workplace regulations that concern employee welfare in the working environment. The main objective of these regulations was to enforce the employers to provide safe and healthy conditions for the employee in their workplace. This can help companies manage risks by designing safe and ergonomic work environments and implementing strong safety policies, consistent with global codes. According to </w:t>
      </w:r>
      <w:r>
        <w:rPr>
          <w:rFonts w:asciiTheme="majorBidi" w:hAnsiTheme="majorBidi" w:cstheme="majorBidi"/>
          <w:sz w:val="24"/>
          <w:szCs w:val="24"/>
        </w:rPr>
        <w:lastRenderedPageBreak/>
        <w:t xml:space="preserve">Lee et al. (2007), providing a positive ergonomic service for the employee can lead to social, safety, and economic benefits. For example, when positive and effective welfare is implemented in the organisation, the employees feel peace and equality in their job, which, in turn, creates healthy social relationships and the feeling of satisfaction among the employees. Due to this, a positive attitude towards safety should be present in </w:t>
      </w:r>
      <w:r w:rsidR="00852D83">
        <w:rPr>
          <w:rFonts w:asciiTheme="majorBidi" w:hAnsiTheme="majorBidi" w:cstheme="majorBidi"/>
          <w:sz w:val="24"/>
          <w:szCs w:val="24"/>
        </w:rPr>
        <w:t xml:space="preserve">the </w:t>
      </w:r>
      <w:r>
        <w:rPr>
          <w:rFonts w:asciiTheme="majorBidi" w:hAnsiTheme="majorBidi" w:cstheme="majorBidi"/>
          <w:sz w:val="24"/>
          <w:szCs w:val="24"/>
        </w:rPr>
        <w:t>work environment, which will enhance the organisation’s productivity.</w:t>
      </w:r>
    </w:p>
    <w:p w14:paraId="575A7BFF" w14:textId="4C18A5AA" w:rsidR="004018D1" w:rsidRDefault="004018D1" w:rsidP="004018D1">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On the other hand, from a critical perspective regarding the role of ergonomics as</w:t>
      </w:r>
      <w:r w:rsidR="00852D83">
        <w:rPr>
          <w:rFonts w:asciiTheme="majorBidi" w:hAnsiTheme="majorBidi" w:cstheme="majorBidi"/>
          <w:sz w:val="24"/>
          <w:szCs w:val="24"/>
        </w:rPr>
        <w:t xml:space="preserve"> a</w:t>
      </w:r>
      <w:r>
        <w:rPr>
          <w:rFonts w:asciiTheme="majorBidi" w:hAnsiTheme="majorBidi" w:cstheme="majorBidi"/>
          <w:sz w:val="24"/>
          <w:szCs w:val="24"/>
        </w:rPr>
        <w:t xml:space="preserve"> social part of sustainability, scholars such as Thatcher (2013) explore a different opinion on the topic. They raise the question about why ergonomic</w:t>
      </w:r>
      <w:r w:rsidR="00852D83">
        <w:rPr>
          <w:rFonts w:asciiTheme="majorBidi" w:hAnsiTheme="majorBidi" w:cstheme="majorBidi"/>
          <w:sz w:val="24"/>
          <w:szCs w:val="24"/>
        </w:rPr>
        <w:t>s</w:t>
      </w:r>
      <w:r>
        <w:rPr>
          <w:rFonts w:asciiTheme="majorBidi" w:hAnsiTheme="majorBidi" w:cstheme="majorBidi"/>
          <w:sz w:val="24"/>
          <w:szCs w:val="24"/>
        </w:rPr>
        <w:t xml:space="preserve"> should be considered in the organisation’s sustainability plan if it does not attribute to the economy directly. Their argument is that embedding ergonomics in the organisation agenda can have a direct impact on the operational budget of the organisation and delay all the production goals. This is due to all the changes that are required to be made in the system, standards, procedures, and codes, which are to be aligned with the ergonomic requirements in the workplace. Thus, these scholars consider ergonomics as an immature contributor to sustainability development in the industry. Additionally, other studies present that ergonomic involvement is very limited in the design stage of the project, which dissuades companies from investing heavily in it as a sustainable development pillar.  </w:t>
      </w:r>
    </w:p>
    <w:p w14:paraId="4553C086" w14:textId="784F54E0" w:rsidR="004018D1" w:rsidRDefault="004018D1" w:rsidP="00161DF9">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 xml:space="preserve">However, from yet another angle of the debate, researchers such as Ismail et al. (2012) discussed that the effectiveness of implementing ergonomics is highly associated with the methodology or approach. The root causes of several well-known oil and gas incidents that cost a lot in terms of financial capitals were a result of unsafe ergonomic attributers. According to the authors, the top three reasons were a lack of personal fulfilment from the job, sleep deficiency and shift reassignment, and gloominess in workplace. As it has been shown, the most worrisome aspect of ergonomics is correlated with mental characteristics rather than physical ones. Moreover, most industrial organisations misinterpret the ergonomic impression, since their focus is limited to the physical part only. The authors hold that management has a limited understanding about the applications and implementation of the culture of safety, where practices such as a blaming attitude and the lack of safety can affect the behavioural safety of employees, especially among workers. According to </w:t>
      </w:r>
      <w:proofErr w:type="spellStart"/>
      <w:r>
        <w:rPr>
          <w:rFonts w:asciiTheme="majorBidi" w:hAnsiTheme="majorBidi" w:cstheme="majorBidi"/>
          <w:sz w:val="24"/>
          <w:szCs w:val="24"/>
        </w:rPr>
        <w:t>Ruchlin</w:t>
      </w:r>
      <w:proofErr w:type="spellEnd"/>
      <w:r>
        <w:rPr>
          <w:rFonts w:asciiTheme="majorBidi" w:hAnsiTheme="majorBidi" w:cstheme="majorBidi"/>
          <w:sz w:val="24"/>
          <w:szCs w:val="24"/>
        </w:rPr>
        <w:t xml:space="preserve"> et al. (2004), such a vulnerable mentality is related to the organisation’s safety policy being mistranslated by management. Thus, the authors recommend conducting surveys frequently to glean the workers’ satisfaction with the safety culture programs at the </w:t>
      </w:r>
      <w:r>
        <w:rPr>
          <w:rFonts w:asciiTheme="majorBidi" w:hAnsiTheme="majorBidi" w:cstheme="majorBidi"/>
          <w:sz w:val="24"/>
          <w:szCs w:val="24"/>
        </w:rPr>
        <w:lastRenderedPageBreak/>
        <w:t>workplace and how it can be improved. This usual interaction between end users and the management can help create a culture with open channels for communication as echoed by the authors. As a result, proper ergonomic implementation for behavioural safety can be applied to deliver an updated and transparent image of the safety culture and its efficiency at the construction site to the senior management. As a result, many scholars agree on the critical role of individual behavioural safety in the ergonomic concept to form the safety culture and stress on how a poor welfare plan can disrupt the safe performance of the worker.</w:t>
      </w:r>
    </w:p>
    <w:p w14:paraId="390DBB2F" w14:textId="77777777" w:rsidR="004018D1" w:rsidRDefault="004018D1" w:rsidP="004018D1">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 xml:space="preserve">Another point that most organisations fail to deliver during the implementation of ergonomics as part of sustainability is providing a development plan for the workers, especially the end users. </w:t>
      </w:r>
      <w:proofErr w:type="spellStart"/>
      <w:r>
        <w:rPr>
          <w:rFonts w:asciiTheme="majorBidi" w:hAnsiTheme="majorBidi" w:cstheme="majorBidi"/>
          <w:sz w:val="24"/>
          <w:szCs w:val="24"/>
        </w:rPr>
        <w:t>Azadeh</w:t>
      </w:r>
      <w:proofErr w:type="spellEnd"/>
      <w:r>
        <w:rPr>
          <w:rFonts w:asciiTheme="majorBidi" w:hAnsiTheme="majorBidi" w:cstheme="majorBidi"/>
          <w:sz w:val="24"/>
          <w:szCs w:val="24"/>
        </w:rPr>
        <w:t xml:space="preserve"> et al. (2008), in their research work, emphasise that there is a lack of development plans to further train site workers, something that applies to other employees in the organisation, such as engineers, team leaders, and managers. Usually, end users receive safety courses in the beginning of their tenure, which only results in them working according to the same job routine for years. According to the authors, it is thus predictable that many end users lack any motivation when compared to other employees who have development plans to ensure their careers progress. Several industrial organisations present the justification that the academic level of most labourers </w:t>
      </w:r>
      <w:proofErr w:type="gramStart"/>
      <w:r>
        <w:rPr>
          <w:rFonts w:asciiTheme="majorBidi" w:hAnsiTheme="majorBidi" w:cstheme="majorBidi"/>
          <w:sz w:val="24"/>
          <w:szCs w:val="24"/>
        </w:rPr>
        <w:t>do</w:t>
      </w:r>
      <w:proofErr w:type="gramEnd"/>
      <w:r>
        <w:rPr>
          <w:rFonts w:asciiTheme="majorBidi" w:hAnsiTheme="majorBidi" w:cstheme="majorBidi"/>
          <w:sz w:val="24"/>
          <w:szCs w:val="24"/>
        </w:rPr>
        <w:t xml:space="preserve"> not qualify them to enrol for courses or schemes to advance their profession. However, this is not essentially true according to the authors. They explain that there are a variety of courses, especially in ergonomics, such as those of Institute of Safety and Health (IOSH) Managing Safety, which do not require any academic background.</w:t>
      </w:r>
    </w:p>
    <w:p w14:paraId="5ED2C021" w14:textId="2525F95C" w:rsidR="004018D1" w:rsidRDefault="004018D1" w:rsidP="00161DF9">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 xml:space="preserve">Thus, after being exposed to different and contracting interpretations regarding the role of ergonomics in boosting sustainability, I believe the key challenge lies in the implementation mechanism. The purpose of this </w:t>
      </w:r>
      <w:r w:rsidR="00161DF9">
        <w:rPr>
          <w:rFonts w:asciiTheme="majorBidi" w:hAnsiTheme="majorBidi" w:cstheme="majorBidi"/>
          <w:sz w:val="24"/>
          <w:szCs w:val="24"/>
        </w:rPr>
        <w:t xml:space="preserve">article </w:t>
      </w:r>
      <w:r>
        <w:rPr>
          <w:rFonts w:asciiTheme="majorBidi" w:hAnsiTheme="majorBidi" w:cstheme="majorBidi"/>
          <w:sz w:val="24"/>
          <w:szCs w:val="24"/>
        </w:rPr>
        <w:t xml:space="preserve">is to point out the significant matters that need to be addressed if we are to achieve progress in the dialogue of sustainable ergonomics. There are obviously no perfect and simple solutions to the challenges from the industrial perspective. One possible attempt for progress may, therefore, be to first obtain a better consideration of the challenges from organisational and behavioural perspectives. This can help study industrial cases where interesting initiatives have been taken and, on this basis, categorise and develop strategies that aim to achieve social and long-term business sustainability. Starting from such a perspective, the recommended next step should be to find methods for ergonomic and human factors to create </w:t>
      </w:r>
      <w:r>
        <w:rPr>
          <w:rFonts w:asciiTheme="majorBidi" w:hAnsiTheme="majorBidi" w:cstheme="majorBidi"/>
          <w:sz w:val="24"/>
          <w:szCs w:val="24"/>
        </w:rPr>
        <w:lastRenderedPageBreak/>
        <w:t xml:space="preserve">a robust system that serves the core business of the organisation within its sustainability plot (Ahi and Searcy, 2015). </w:t>
      </w:r>
    </w:p>
    <w:p w14:paraId="5621ABD2" w14:textId="65FE5EFA" w:rsidR="004018D1" w:rsidRDefault="004018D1" w:rsidP="004018D1">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 xml:space="preserve">As future recommendation, Lozano suggests (2011) that industrial organisations should follow a new strategy for implementing the social aspect of sustainability. According to Lozano (2011), most industrial organisations address corporate social responsibility (CSR) and corporate sustainability (CS) with a tit-for-tat strategy. From a behavioural ecology and socio-biology view, this strategy cannot be representative due to its short-term impact where indicators such CSR and CS take </w:t>
      </w:r>
      <w:r w:rsidR="00C75E5D">
        <w:rPr>
          <w:rFonts w:asciiTheme="majorBidi" w:hAnsiTheme="majorBidi" w:cstheme="majorBidi"/>
          <w:sz w:val="24"/>
          <w:szCs w:val="24"/>
        </w:rPr>
        <w:t xml:space="preserve">a </w:t>
      </w:r>
      <w:r>
        <w:rPr>
          <w:rFonts w:asciiTheme="majorBidi" w:hAnsiTheme="majorBidi" w:cstheme="majorBidi"/>
          <w:sz w:val="24"/>
          <w:szCs w:val="24"/>
        </w:rPr>
        <w:t xml:space="preserve">long time to contribute to the economic growth. Consequently, in order to have a successful implementation of ergonomics, we need further involvement of stakeholders. To illustrate, Holmes (2000) states that the stakeholders’ involvement should be distinguished as three main scopes to be suitable for the ergonomic embedding process. The first is corporate altruism, and second is the social activities in which these two </w:t>
      </w:r>
      <w:r w:rsidR="00D859AB">
        <w:rPr>
          <w:rFonts w:asciiTheme="majorBidi" w:hAnsiTheme="majorBidi" w:cstheme="majorBidi"/>
          <w:sz w:val="24"/>
          <w:szCs w:val="24"/>
        </w:rPr>
        <w:t>points</w:t>
      </w:r>
      <w:r>
        <w:rPr>
          <w:rFonts w:asciiTheme="majorBidi" w:hAnsiTheme="majorBidi" w:cstheme="majorBidi"/>
          <w:sz w:val="24"/>
          <w:szCs w:val="24"/>
        </w:rPr>
        <w:t xml:space="preserve"> can provide resilience and toughness mechanism</w:t>
      </w:r>
      <w:r w:rsidR="00C75E5D">
        <w:rPr>
          <w:rFonts w:asciiTheme="majorBidi" w:hAnsiTheme="majorBidi" w:cstheme="majorBidi"/>
          <w:sz w:val="24"/>
          <w:szCs w:val="24"/>
        </w:rPr>
        <w:t>s</w:t>
      </w:r>
      <w:r>
        <w:rPr>
          <w:rFonts w:asciiTheme="majorBidi" w:hAnsiTheme="majorBidi" w:cstheme="majorBidi"/>
          <w:sz w:val="24"/>
          <w:szCs w:val="24"/>
        </w:rPr>
        <w:t xml:space="preserve"> for the society in the long run. Third, there is the integration between social and environmental concerns within an organisation’s operations. To illustrate, it did take a long period for industrial organisations to realise how important it is to have stakeholder engagement with their environment, health, and safety (EHS) activities, such as beach cleaning (Hopkins, 2002). This aids industrial organisations to build a strong and trusted reputation that eventually translates to the profitability of the core business.  </w:t>
      </w:r>
    </w:p>
    <w:p w14:paraId="64C97E77" w14:textId="11AB640B" w:rsidR="004018D1" w:rsidRDefault="004018D1" w:rsidP="004018D1">
      <w:pPr>
        <w:spacing w:line="360" w:lineRule="auto"/>
        <w:ind w:firstLine="720"/>
        <w:jc w:val="both"/>
        <w:rPr>
          <w:rFonts w:asciiTheme="majorBidi" w:hAnsiTheme="majorBidi" w:cstheme="majorBidi"/>
          <w:sz w:val="24"/>
          <w:szCs w:val="24"/>
        </w:rPr>
      </w:pPr>
      <w:r>
        <w:rPr>
          <w:rFonts w:asciiTheme="majorBidi" w:hAnsiTheme="majorBidi" w:cstheme="majorBidi"/>
          <w:sz w:val="24"/>
          <w:szCs w:val="24"/>
        </w:rPr>
        <w:t xml:space="preserve">In conclusion, many scholars studying ergonomics believe that the involvement approach can be effective in implementing the ergonomic concept and raising awareness among stakeholders. According to the Abu Dhabi National Oil Company (ADNOC) in their annual safety report, once the ergonomic concept was introduced to stakeholders in their training programs, the personal-recorded incidents and oil spill accidents of the company and contractors declined. The key reason is the ergonomic and human factors that have a major effect on the sustainability development implementation, because it is linked to individual behavioural safety that interacts with work environment and technical and procedural processes. Gordon (2005) recommends considering ergonomics as the main indicator in the industrial organisation CRS and CS evaluation system.  </w:t>
      </w:r>
    </w:p>
    <w:p w14:paraId="19F5364C" w14:textId="77777777" w:rsidR="00B05067" w:rsidRDefault="00B05067" w:rsidP="00B05067">
      <w:pPr>
        <w:rPr>
          <w:rFonts w:ascii="Arial" w:hAnsi="Arial" w:cs="Arial"/>
          <w:sz w:val="32"/>
        </w:rPr>
      </w:pPr>
    </w:p>
    <w:p w14:paraId="6F30BAC7" w14:textId="77777777" w:rsidR="00B05067" w:rsidRPr="00103A3D" w:rsidRDefault="00B05067" w:rsidP="00B05067">
      <w:pPr>
        <w:rPr>
          <w:rFonts w:asciiTheme="majorBidi" w:hAnsiTheme="majorBidi" w:cstheme="majorBidi"/>
          <w:sz w:val="24"/>
          <w:szCs w:val="24"/>
          <w:lang w:val="en-US"/>
        </w:rPr>
      </w:pPr>
    </w:p>
    <w:p w14:paraId="2173A552" w14:textId="77777777" w:rsidR="00874710" w:rsidRDefault="00874710" w:rsidP="004018D1">
      <w:pPr>
        <w:spacing w:line="360" w:lineRule="auto"/>
        <w:jc w:val="both"/>
        <w:rPr>
          <w:rFonts w:asciiTheme="majorBidi" w:hAnsiTheme="majorBidi" w:cstheme="majorBidi"/>
          <w:sz w:val="24"/>
          <w:szCs w:val="24"/>
          <w:lang w:val="en-US"/>
        </w:rPr>
      </w:pPr>
    </w:p>
    <w:p w14:paraId="6C99F801" w14:textId="77777777" w:rsidR="00874710" w:rsidRPr="00F74260" w:rsidRDefault="00874710" w:rsidP="00F74260">
      <w:pPr>
        <w:spacing w:line="360" w:lineRule="auto"/>
        <w:ind w:firstLine="720"/>
        <w:jc w:val="both"/>
        <w:rPr>
          <w:rFonts w:asciiTheme="majorBidi" w:hAnsiTheme="majorBidi" w:cstheme="majorBidi"/>
          <w:sz w:val="24"/>
          <w:szCs w:val="24"/>
          <w:lang w:val="en-US"/>
        </w:rPr>
      </w:pPr>
    </w:p>
    <w:p w14:paraId="1E2C1150" w14:textId="204CADD6" w:rsidR="00B05067" w:rsidRDefault="00B05067" w:rsidP="00CC18F3">
      <w:pPr>
        <w:tabs>
          <w:tab w:val="left" w:pos="5194"/>
        </w:tabs>
        <w:rPr>
          <w:rFonts w:asciiTheme="majorBidi" w:hAnsiTheme="majorBidi" w:cstheme="majorBidi"/>
          <w:sz w:val="28"/>
          <w:szCs w:val="28"/>
        </w:rPr>
      </w:pPr>
      <w:r w:rsidRPr="00B05067">
        <w:rPr>
          <w:rFonts w:asciiTheme="majorBidi" w:hAnsiTheme="majorBidi" w:cstheme="majorBidi"/>
          <w:sz w:val="28"/>
          <w:szCs w:val="28"/>
        </w:rPr>
        <w:lastRenderedPageBreak/>
        <w:t>References</w:t>
      </w:r>
      <w:r w:rsidR="00B10DE7">
        <w:rPr>
          <w:rFonts w:asciiTheme="majorBidi" w:hAnsiTheme="majorBidi" w:cstheme="majorBidi"/>
          <w:sz w:val="28"/>
          <w:szCs w:val="28"/>
        </w:rPr>
        <w:t xml:space="preserve">  </w:t>
      </w:r>
      <w:r w:rsidR="001357DE">
        <w:rPr>
          <w:rFonts w:asciiTheme="majorBidi" w:hAnsiTheme="majorBidi" w:cstheme="majorBidi"/>
          <w:sz w:val="28"/>
          <w:szCs w:val="28"/>
        </w:rPr>
        <w:tab/>
      </w:r>
    </w:p>
    <w:p w14:paraId="0FD354CA" w14:textId="77777777" w:rsidR="005260DB" w:rsidRDefault="005260DB" w:rsidP="001357DE">
      <w:pPr>
        <w:tabs>
          <w:tab w:val="left" w:pos="5194"/>
        </w:tabs>
        <w:rPr>
          <w:rFonts w:asciiTheme="majorBidi" w:hAnsiTheme="majorBidi" w:cstheme="majorBidi"/>
          <w:sz w:val="28"/>
          <w:szCs w:val="28"/>
        </w:rPr>
      </w:pPr>
    </w:p>
    <w:p w14:paraId="39687704" w14:textId="77777777" w:rsidR="005260DB" w:rsidRPr="005260DB" w:rsidRDefault="005260DB" w:rsidP="001357DE">
      <w:pPr>
        <w:tabs>
          <w:tab w:val="left" w:pos="5194"/>
        </w:tabs>
        <w:rPr>
          <w:sz w:val="24"/>
          <w:szCs w:val="24"/>
        </w:rPr>
      </w:pPr>
    </w:p>
    <w:p w14:paraId="77AA9FAE" w14:textId="4DC2D866" w:rsidR="005260DB" w:rsidRPr="005260DB" w:rsidRDefault="00874710" w:rsidP="00C40942">
      <w:pPr>
        <w:tabs>
          <w:tab w:val="left" w:pos="5194"/>
        </w:tabs>
        <w:jc w:val="both"/>
        <w:rPr>
          <w:sz w:val="24"/>
          <w:szCs w:val="24"/>
        </w:rPr>
      </w:pPr>
      <w:r w:rsidRPr="00874710">
        <w:rPr>
          <w:sz w:val="24"/>
          <w:szCs w:val="24"/>
        </w:rPr>
        <w:t>Abu Dh</w:t>
      </w:r>
      <w:r>
        <w:rPr>
          <w:sz w:val="24"/>
          <w:szCs w:val="24"/>
        </w:rPr>
        <w:t>abi National Oil Company (ADNOC</w:t>
      </w:r>
      <w:r w:rsidR="005260DB" w:rsidRPr="005260DB">
        <w:rPr>
          <w:sz w:val="24"/>
          <w:szCs w:val="24"/>
        </w:rPr>
        <w:t>), (2012). HSE Annual Report, pp.11-20.</w:t>
      </w:r>
    </w:p>
    <w:p w14:paraId="051B3385" w14:textId="77777777" w:rsidR="002247A0" w:rsidRDefault="002247A0" w:rsidP="00C40942">
      <w:pPr>
        <w:tabs>
          <w:tab w:val="left" w:pos="5194"/>
        </w:tabs>
        <w:spacing w:line="276" w:lineRule="auto"/>
        <w:jc w:val="both"/>
        <w:rPr>
          <w:rFonts w:asciiTheme="majorBidi" w:hAnsiTheme="majorBidi" w:cstheme="majorBidi"/>
          <w:sz w:val="28"/>
          <w:szCs w:val="28"/>
        </w:rPr>
      </w:pPr>
    </w:p>
    <w:p w14:paraId="7F9433BA" w14:textId="77777777" w:rsidR="002247A0" w:rsidRDefault="002247A0" w:rsidP="00C40942">
      <w:pPr>
        <w:tabs>
          <w:tab w:val="left" w:pos="5194"/>
        </w:tabs>
        <w:spacing w:line="276" w:lineRule="auto"/>
        <w:jc w:val="both"/>
        <w:rPr>
          <w:rFonts w:asciiTheme="majorBidi" w:hAnsiTheme="majorBidi" w:cstheme="majorBidi"/>
          <w:sz w:val="28"/>
          <w:szCs w:val="28"/>
        </w:rPr>
      </w:pPr>
    </w:p>
    <w:p w14:paraId="73917289" w14:textId="3555247B" w:rsidR="002247A0" w:rsidRPr="007D0919" w:rsidRDefault="002247A0" w:rsidP="00C40942">
      <w:pPr>
        <w:tabs>
          <w:tab w:val="left" w:pos="5194"/>
        </w:tabs>
        <w:spacing w:line="276" w:lineRule="auto"/>
        <w:jc w:val="both"/>
        <w:rPr>
          <w:sz w:val="24"/>
          <w:szCs w:val="24"/>
        </w:rPr>
      </w:pPr>
      <w:r w:rsidRPr="007D0919">
        <w:rPr>
          <w:sz w:val="24"/>
          <w:szCs w:val="24"/>
        </w:rPr>
        <w:t xml:space="preserve">Ahi, P. and Searcy, C., </w:t>
      </w:r>
      <w:r w:rsidR="00D11337" w:rsidRPr="007D0919">
        <w:rPr>
          <w:sz w:val="24"/>
          <w:szCs w:val="24"/>
        </w:rPr>
        <w:t>(</w:t>
      </w:r>
      <w:r w:rsidRPr="007D0919">
        <w:rPr>
          <w:sz w:val="24"/>
          <w:szCs w:val="24"/>
        </w:rPr>
        <w:t>2015</w:t>
      </w:r>
      <w:r w:rsidR="00D11337" w:rsidRPr="007D0919">
        <w:rPr>
          <w:sz w:val="24"/>
          <w:szCs w:val="24"/>
        </w:rPr>
        <w:t>)</w:t>
      </w:r>
      <w:r w:rsidRPr="007D0919">
        <w:rPr>
          <w:sz w:val="24"/>
          <w:szCs w:val="24"/>
        </w:rPr>
        <w:t>. An analysis of metrics used to measure performance in green and sustainable supply chains. Journal of Cleaner Production, 86, pp.360-377.</w:t>
      </w:r>
    </w:p>
    <w:p w14:paraId="33CA537F" w14:textId="3E4B1CBD" w:rsidR="00104B94" w:rsidRDefault="00104B94" w:rsidP="00C40942">
      <w:pPr>
        <w:tabs>
          <w:tab w:val="left" w:pos="5194"/>
        </w:tabs>
        <w:spacing w:line="276" w:lineRule="auto"/>
        <w:jc w:val="both"/>
        <w:rPr>
          <w:rFonts w:asciiTheme="majorBidi" w:hAnsiTheme="majorBidi" w:cstheme="majorBidi"/>
          <w:sz w:val="28"/>
          <w:szCs w:val="28"/>
        </w:rPr>
      </w:pPr>
    </w:p>
    <w:p w14:paraId="629A6323" w14:textId="57DA25CE" w:rsidR="00150F4E" w:rsidRDefault="00150F4E" w:rsidP="00C40942">
      <w:pPr>
        <w:tabs>
          <w:tab w:val="left" w:pos="5194"/>
        </w:tabs>
        <w:spacing w:line="276" w:lineRule="auto"/>
        <w:jc w:val="both"/>
        <w:rPr>
          <w:rFonts w:asciiTheme="majorBidi" w:hAnsiTheme="majorBidi" w:cstheme="majorBidi"/>
          <w:sz w:val="28"/>
          <w:szCs w:val="28"/>
        </w:rPr>
      </w:pPr>
    </w:p>
    <w:p w14:paraId="66E945D9" w14:textId="2DEC7CC6" w:rsidR="00150F4E" w:rsidRPr="00150F4E" w:rsidRDefault="00150F4E" w:rsidP="00C40942">
      <w:pPr>
        <w:tabs>
          <w:tab w:val="left" w:pos="5194"/>
        </w:tabs>
        <w:spacing w:line="276" w:lineRule="auto"/>
        <w:jc w:val="both"/>
        <w:rPr>
          <w:sz w:val="24"/>
          <w:szCs w:val="24"/>
        </w:rPr>
      </w:pPr>
      <w:proofErr w:type="spellStart"/>
      <w:r w:rsidRPr="00150F4E">
        <w:rPr>
          <w:sz w:val="24"/>
          <w:szCs w:val="24"/>
        </w:rPr>
        <w:t>Azadeh</w:t>
      </w:r>
      <w:proofErr w:type="spellEnd"/>
      <w:r w:rsidRPr="00150F4E">
        <w:rPr>
          <w:sz w:val="24"/>
          <w:szCs w:val="24"/>
        </w:rPr>
        <w:t xml:space="preserve">, A., Fam, I.M., </w:t>
      </w:r>
      <w:proofErr w:type="spellStart"/>
      <w:r w:rsidRPr="00150F4E">
        <w:rPr>
          <w:sz w:val="24"/>
          <w:szCs w:val="24"/>
        </w:rPr>
        <w:t>Khoshnoud</w:t>
      </w:r>
      <w:proofErr w:type="spellEnd"/>
      <w:r w:rsidRPr="00150F4E">
        <w:rPr>
          <w:sz w:val="24"/>
          <w:szCs w:val="24"/>
        </w:rPr>
        <w:t xml:space="preserve">, M. and </w:t>
      </w:r>
      <w:proofErr w:type="spellStart"/>
      <w:r w:rsidRPr="00150F4E">
        <w:rPr>
          <w:sz w:val="24"/>
          <w:szCs w:val="24"/>
        </w:rPr>
        <w:t>Nikafrouz</w:t>
      </w:r>
      <w:proofErr w:type="spellEnd"/>
      <w:r w:rsidRPr="00150F4E">
        <w:rPr>
          <w:sz w:val="24"/>
          <w:szCs w:val="24"/>
        </w:rPr>
        <w:t xml:space="preserve">, M., </w:t>
      </w:r>
      <w:r w:rsidR="00D11337">
        <w:rPr>
          <w:sz w:val="24"/>
          <w:szCs w:val="24"/>
        </w:rPr>
        <w:t>(</w:t>
      </w:r>
      <w:r w:rsidRPr="00150F4E">
        <w:rPr>
          <w:sz w:val="24"/>
          <w:szCs w:val="24"/>
        </w:rPr>
        <w:t>2008</w:t>
      </w:r>
      <w:r w:rsidR="00D11337">
        <w:rPr>
          <w:sz w:val="24"/>
          <w:szCs w:val="24"/>
        </w:rPr>
        <w:t>)</w:t>
      </w:r>
      <w:r w:rsidRPr="00150F4E">
        <w:rPr>
          <w:sz w:val="24"/>
          <w:szCs w:val="24"/>
        </w:rPr>
        <w:t>. Design and implementation of a fuzzy expert system for performance assessment of an integrated health, safety, environment (HSE) and ergonomics system: The case of a gas refinery. Information Sciences, 178(22), pp.4280-4300.</w:t>
      </w:r>
    </w:p>
    <w:p w14:paraId="25A01AE5" w14:textId="77777777" w:rsidR="00104B94" w:rsidRDefault="00104B94" w:rsidP="00C40942">
      <w:pPr>
        <w:tabs>
          <w:tab w:val="left" w:pos="5194"/>
        </w:tabs>
        <w:spacing w:line="276" w:lineRule="auto"/>
        <w:jc w:val="both"/>
        <w:rPr>
          <w:rFonts w:asciiTheme="majorBidi" w:hAnsiTheme="majorBidi" w:cstheme="majorBidi"/>
          <w:sz w:val="28"/>
          <w:szCs w:val="28"/>
        </w:rPr>
      </w:pPr>
    </w:p>
    <w:p w14:paraId="1BA0F8D1" w14:textId="6F1BF7B5" w:rsidR="001357DE" w:rsidRPr="00104B94" w:rsidRDefault="00104B94" w:rsidP="00C40942">
      <w:pPr>
        <w:tabs>
          <w:tab w:val="left" w:pos="5194"/>
        </w:tabs>
        <w:spacing w:line="276" w:lineRule="auto"/>
        <w:jc w:val="both"/>
        <w:rPr>
          <w:sz w:val="24"/>
          <w:szCs w:val="24"/>
        </w:rPr>
      </w:pPr>
      <w:proofErr w:type="spellStart"/>
      <w:r w:rsidRPr="00104B94">
        <w:rPr>
          <w:sz w:val="24"/>
          <w:szCs w:val="24"/>
        </w:rPr>
        <w:t>Bolis</w:t>
      </w:r>
      <w:proofErr w:type="spellEnd"/>
      <w:r w:rsidRPr="00104B94">
        <w:rPr>
          <w:sz w:val="24"/>
          <w:szCs w:val="24"/>
        </w:rPr>
        <w:t xml:space="preserve">, I., </w:t>
      </w:r>
      <w:proofErr w:type="spellStart"/>
      <w:r w:rsidRPr="00104B94">
        <w:rPr>
          <w:sz w:val="24"/>
          <w:szCs w:val="24"/>
        </w:rPr>
        <w:t>Brunoro</w:t>
      </w:r>
      <w:proofErr w:type="spellEnd"/>
      <w:r w:rsidRPr="00104B94">
        <w:rPr>
          <w:sz w:val="24"/>
          <w:szCs w:val="24"/>
        </w:rPr>
        <w:t xml:space="preserve">, C.M. and </w:t>
      </w:r>
      <w:proofErr w:type="spellStart"/>
      <w:r w:rsidRPr="00104B94">
        <w:rPr>
          <w:sz w:val="24"/>
          <w:szCs w:val="24"/>
        </w:rPr>
        <w:t>Sznelwar</w:t>
      </w:r>
      <w:proofErr w:type="spellEnd"/>
      <w:r w:rsidRPr="00104B94">
        <w:rPr>
          <w:sz w:val="24"/>
          <w:szCs w:val="24"/>
        </w:rPr>
        <w:t xml:space="preserve">, L.I., </w:t>
      </w:r>
      <w:r w:rsidR="00D11337">
        <w:rPr>
          <w:sz w:val="24"/>
          <w:szCs w:val="24"/>
        </w:rPr>
        <w:t>(</w:t>
      </w:r>
      <w:r w:rsidRPr="00104B94">
        <w:rPr>
          <w:sz w:val="24"/>
          <w:szCs w:val="24"/>
        </w:rPr>
        <w:t>2016</w:t>
      </w:r>
      <w:r w:rsidR="00D11337">
        <w:rPr>
          <w:sz w:val="24"/>
          <w:szCs w:val="24"/>
        </w:rPr>
        <w:t>)</w:t>
      </w:r>
      <w:r w:rsidRPr="00104B94">
        <w:rPr>
          <w:sz w:val="24"/>
          <w:szCs w:val="24"/>
        </w:rPr>
        <w:t>. Work for sustainability: Case studies of Brazilian companies. Applied ergonomics, 57, pp.72-79.</w:t>
      </w:r>
    </w:p>
    <w:p w14:paraId="097619BC" w14:textId="77777777" w:rsidR="001357DE" w:rsidRPr="00104B94" w:rsidRDefault="001357DE" w:rsidP="00C40942">
      <w:pPr>
        <w:tabs>
          <w:tab w:val="left" w:pos="5194"/>
        </w:tabs>
        <w:spacing w:line="276" w:lineRule="auto"/>
        <w:jc w:val="both"/>
        <w:rPr>
          <w:sz w:val="24"/>
          <w:szCs w:val="24"/>
        </w:rPr>
      </w:pPr>
    </w:p>
    <w:p w14:paraId="12C5F06E" w14:textId="17334BD3" w:rsidR="001357DE" w:rsidRDefault="00104B94" w:rsidP="00C40942">
      <w:pPr>
        <w:tabs>
          <w:tab w:val="left" w:pos="5194"/>
        </w:tabs>
        <w:spacing w:line="276" w:lineRule="auto"/>
        <w:jc w:val="both"/>
        <w:rPr>
          <w:sz w:val="24"/>
          <w:szCs w:val="24"/>
        </w:rPr>
      </w:pPr>
      <w:r w:rsidRPr="00104B94">
        <w:rPr>
          <w:sz w:val="24"/>
          <w:szCs w:val="24"/>
        </w:rPr>
        <w:t xml:space="preserve">Chang, Y.J., Nguyen, T.D., </w:t>
      </w:r>
      <w:proofErr w:type="spellStart"/>
      <w:r w:rsidRPr="00104B94">
        <w:rPr>
          <w:sz w:val="24"/>
          <w:szCs w:val="24"/>
        </w:rPr>
        <w:t>Finkbeiner</w:t>
      </w:r>
      <w:proofErr w:type="spellEnd"/>
      <w:r w:rsidRPr="00104B94">
        <w:rPr>
          <w:sz w:val="24"/>
          <w:szCs w:val="24"/>
        </w:rPr>
        <w:t xml:space="preserve">, M. and </w:t>
      </w:r>
      <w:proofErr w:type="spellStart"/>
      <w:r w:rsidRPr="00104B94">
        <w:rPr>
          <w:sz w:val="24"/>
          <w:szCs w:val="24"/>
        </w:rPr>
        <w:t>Krüger</w:t>
      </w:r>
      <w:proofErr w:type="spellEnd"/>
      <w:r w:rsidRPr="00104B94">
        <w:rPr>
          <w:sz w:val="24"/>
          <w:szCs w:val="24"/>
        </w:rPr>
        <w:t xml:space="preserve">, J., </w:t>
      </w:r>
      <w:r w:rsidR="00D11337">
        <w:rPr>
          <w:sz w:val="24"/>
          <w:szCs w:val="24"/>
        </w:rPr>
        <w:t>(</w:t>
      </w:r>
      <w:r w:rsidRPr="00104B94">
        <w:rPr>
          <w:sz w:val="24"/>
          <w:szCs w:val="24"/>
        </w:rPr>
        <w:t>2016</w:t>
      </w:r>
      <w:r w:rsidR="00D11337">
        <w:rPr>
          <w:sz w:val="24"/>
          <w:szCs w:val="24"/>
        </w:rPr>
        <w:t>)</w:t>
      </w:r>
      <w:r w:rsidRPr="00104B94">
        <w:rPr>
          <w:sz w:val="24"/>
          <w:szCs w:val="24"/>
        </w:rPr>
        <w:t>. Adapting ergonomic assessments to social life cycle assessment. Procedia CIRP, 40, pp.91-96.</w:t>
      </w:r>
    </w:p>
    <w:p w14:paraId="15930D71" w14:textId="77777777" w:rsidR="00623131" w:rsidRDefault="00623131" w:rsidP="00C40942">
      <w:pPr>
        <w:tabs>
          <w:tab w:val="left" w:pos="5194"/>
        </w:tabs>
        <w:spacing w:line="276" w:lineRule="auto"/>
        <w:jc w:val="both"/>
        <w:rPr>
          <w:sz w:val="24"/>
          <w:szCs w:val="24"/>
        </w:rPr>
      </w:pPr>
    </w:p>
    <w:p w14:paraId="457764D1" w14:textId="5F00D508" w:rsidR="00623131" w:rsidRDefault="00623131" w:rsidP="00C40942">
      <w:pPr>
        <w:tabs>
          <w:tab w:val="left" w:pos="5194"/>
        </w:tabs>
        <w:spacing w:line="276" w:lineRule="auto"/>
        <w:jc w:val="both"/>
        <w:rPr>
          <w:sz w:val="24"/>
          <w:szCs w:val="24"/>
        </w:rPr>
      </w:pPr>
      <w:r w:rsidRPr="00623131">
        <w:rPr>
          <w:sz w:val="24"/>
          <w:szCs w:val="24"/>
        </w:rPr>
        <w:t xml:space="preserve">Gordon, R., </w:t>
      </w:r>
      <w:proofErr w:type="spellStart"/>
      <w:r w:rsidRPr="00623131">
        <w:rPr>
          <w:sz w:val="24"/>
          <w:szCs w:val="24"/>
        </w:rPr>
        <w:t>Flin</w:t>
      </w:r>
      <w:proofErr w:type="spellEnd"/>
      <w:r w:rsidRPr="00623131">
        <w:rPr>
          <w:sz w:val="24"/>
          <w:szCs w:val="24"/>
        </w:rPr>
        <w:t>, R., &amp; Mearns, K. (2005). Designing and evaluating human factors</w:t>
      </w:r>
      <w:r>
        <w:rPr>
          <w:sz w:val="24"/>
          <w:szCs w:val="24"/>
        </w:rPr>
        <w:t xml:space="preserve"> </w:t>
      </w:r>
      <w:r w:rsidRPr="00623131">
        <w:rPr>
          <w:sz w:val="24"/>
          <w:szCs w:val="24"/>
        </w:rPr>
        <w:t>investigation (HFIT) for accident analysis. Safety Science, 43, 167-184</w:t>
      </w:r>
    </w:p>
    <w:p w14:paraId="1FC2660C" w14:textId="77777777" w:rsidR="00FE2EFA" w:rsidRDefault="00FE2EFA" w:rsidP="00C40942">
      <w:pPr>
        <w:tabs>
          <w:tab w:val="left" w:pos="5194"/>
        </w:tabs>
        <w:spacing w:line="276" w:lineRule="auto"/>
        <w:jc w:val="both"/>
        <w:rPr>
          <w:sz w:val="24"/>
          <w:szCs w:val="24"/>
        </w:rPr>
      </w:pPr>
    </w:p>
    <w:p w14:paraId="7FD19BC5" w14:textId="45BD2D5E" w:rsidR="00FE2EFA" w:rsidRDefault="00FE2EFA" w:rsidP="00C40942">
      <w:pPr>
        <w:tabs>
          <w:tab w:val="left" w:pos="5194"/>
        </w:tabs>
        <w:spacing w:line="276" w:lineRule="auto"/>
        <w:jc w:val="both"/>
        <w:rPr>
          <w:sz w:val="24"/>
          <w:szCs w:val="24"/>
        </w:rPr>
      </w:pPr>
      <w:r w:rsidRPr="00FE2EFA">
        <w:rPr>
          <w:sz w:val="24"/>
          <w:szCs w:val="24"/>
        </w:rPr>
        <w:t xml:space="preserve">Holme R, Watts P. </w:t>
      </w:r>
      <w:r>
        <w:rPr>
          <w:sz w:val="24"/>
          <w:szCs w:val="24"/>
        </w:rPr>
        <w:t>(</w:t>
      </w:r>
      <w:r w:rsidRPr="00FE2EFA">
        <w:rPr>
          <w:sz w:val="24"/>
          <w:szCs w:val="24"/>
        </w:rPr>
        <w:t>2000</w:t>
      </w:r>
      <w:r>
        <w:rPr>
          <w:sz w:val="24"/>
          <w:szCs w:val="24"/>
        </w:rPr>
        <w:t>)</w:t>
      </w:r>
      <w:r w:rsidRPr="00FE2EFA">
        <w:rPr>
          <w:sz w:val="24"/>
          <w:szCs w:val="24"/>
        </w:rPr>
        <w:t>. Corporate social responsibility: making good business</w:t>
      </w:r>
      <w:r w:rsidR="009C1D48">
        <w:rPr>
          <w:sz w:val="24"/>
          <w:szCs w:val="24"/>
        </w:rPr>
        <w:t xml:space="preserve"> </w:t>
      </w:r>
      <w:r w:rsidRPr="00FE2EFA">
        <w:rPr>
          <w:sz w:val="24"/>
          <w:szCs w:val="24"/>
        </w:rPr>
        <w:t>sense. WBCSD.</w:t>
      </w:r>
    </w:p>
    <w:p w14:paraId="46AFDED1" w14:textId="77777777" w:rsidR="009C1D48" w:rsidRDefault="009C1D48" w:rsidP="00C40942">
      <w:pPr>
        <w:tabs>
          <w:tab w:val="left" w:pos="5194"/>
        </w:tabs>
        <w:spacing w:line="276" w:lineRule="auto"/>
        <w:jc w:val="both"/>
        <w:rPr>
          <w:sz w:val="24"/>
          <w:szCs w:val="24"/>
        </w:rPr>
      </w:pPr>
    </w:p>
    <w:p w14:paraId="6403C181" w14:textId="0825A155" w:rsidR="009C1D48" w:rsidRDefault="009C1D48" w:rsidP="00C40942">
      <w:pPr>
        <w:tabs>
          <w:tab w:val="left" w:pos="5194"/>
        </w:tabs>
        <w:spacing w:line="276" w:lineRule="auto"/>
        <w:jc w:val="both"/>
        <w:rPr>
          <w:sz w:val="24"/>
          <w:szCs w:val="24"/>
        </w:rPr>
      </w:pPr>
      <w:r w:rsidRPr="009C1D48">
        <w:rPr>
          <w:sz w:val="24"/>
          <w:szCs w:val="24"/>
        </w:rPr>
        <w:t xml:space="preserve">Hopkins MJD. </w:t>
      </w:r>
      <w:r>
        <w:rPr>
          <w:sz w:val="24"/>
          <w:szCs w:val="24"/>
        </w:rPr>
        <w:t>(</w:t>
      </w:r>
      <w:r w:rsidRPr="009C1D48">
        <w:rPr>
          <w:sz w:val="24"/>
          <w:szCs w:val="24"/>
        </w:rPr>
        <w:t>2002</w:t>
      </w:r>
      <w:r>
        <w:rPr>
          <w:sz w:val="24"/>
          <w:szCs w:val="24"/>
        </w:rPr>
        <w:t>)</w:t>
      </w:r>
      <w:r w:rsidRPr="009C1D48">
        <w:rPr>
          <w:sz w:val="24"/>
          <w:szCs w:val="24"/>
        </w:rPr>
        <w:t>. Sustainability in the internal operations of companies. Corporate</w:t>
      </w:r>
      <w:r w:rsidR="00C40942">
        <w:rPr>
          <w:sz w:val="24"/>
          <w:szCs w:val="24"/>
        </w:rPr>
        <w:t xml:space="preserve"> </w:t>
      </w:r>
      <w:r w:rsidRPr="009C1D48">
        <w:rPr>
          <w:sz w:val="24"/>
          <w:szCs w:val="24"/>
        </w:rPr>
        <w:t>Environmental Strategy 9(2):1-11.</w:t>
      </w:r>
      <w:r w:rsidRPr="009C1D48">
        <w:rPr>
          <w:sz w:val="24"/>
          <w:szCs w:val="24"/>
        </w:rPr>
        <w:cr/>
      </w:r>
    </w:p>
    <w:p w14:paraId="4A43CF3C" w14:textId="77777777" w:rsidR="00EF696A" w:rsidRDefault="00EF696A" w:rsidP="00C40942">
      <w:pPr>
        <w:tabs>
          <w:tab w:val="left" w:pos="5194"/>
        </w:tabs>
        <w:spacing w:line="276" w:lineRule="auto"/>
        <w:jc w:val="both"/>
        <w:rPr>
          <w:sz w:val="24"/>
          <w:szCs w:val="24"/>
        </w:rPr>
      </w:pPr>
    </w:p>
    <w:p w14:paraId="60E46D41" w14:textId="722B967F" w:rsidR="00EF696A" w:rsidRDefault="00EF696A" w:rsidP="00C40942">
      <w:pPr>
        <w:tabs>
          <w:tab w:val="left" w:pos="5194"/>
        </w:tabs>
        <w:spacing w:line="276" w:lineRule="auto"/>
        <w:jc w:val="both"/>
        <w:rPr>
          <w:sz w:val="24"/>
          <w:szCs w:val="24"/>
        </w:rPr>
      </w:pPr>
      <w:r w:rsidRPr="00EF696A">
        <w:rPr>
          <w:sz w:val="24"/>
          <w:szCs w:val="24"/>
        </w:rPr>
        <w:t>HSE, (2005). A review of safety culture and safety climate literature for the development of</w:t>
      </w:r>
      <w:r>
        <w:rPr>
          <w:sz w:val="24"/>
          <w:szCs w:val="24"/>
        </w:rPr>
        <w:t xml:space="preserve"> </w:t>
      </w:r>
      <w:r w:rsidR="001271F4">
        <w:rPr>
          <w:sz w:val="24"/>
          <w:szCs w:val="24"/>
        </w:rPr>
        <w:t xml:space="preserve">the </w:t>
      </w:r>
      <w:r w:rsidRPr="00EF696A">
        <w:rPr>
          <w:sz w:val="24"/>
          <w:szCs w:val="24"/>
        </w:rPr>
        <w:t>safety culture inspection kit.</w:t>
      </w:r>
      <w:r w:rsidRPr="00EF696A">
        <w:rPr>
          <w:sz w:val="24"/>
          <w:szCs w:val="24"/>
        </w:rPr>
        <w:cr/>
      </w:r>
    </w:p>
    <w:p w14:paraId="26721308" w14:textId="7C8FA5D6" w:rsidR="00EF696A" w:rsidRDefault="00EF696A" w:rsidP="00C40942">
      <w:pPr>
        <w:tabs>
          <w:tab w:val="left" w:pos="5194"/>
        </w:tabs>
        <w:spacing w:line="276" w:lineRule="auto"/>
        <w:jc w:val="both"/>
        <w:rPr>
          <w:sz w:val="24"/>
          <w:szCs w:val="24"/>
        </w:rPr>
      </w:pPr>
      <w:r w:rsidRPr="00EF696A">
        <w:rPr>
          <w:sz w:val="24"/>
          <w:szCs w:val="24"/>
        </w:rPr>
        <w:t>HSE, (1992). The tolerability of risk from nuclear power stations.</w:t>
      </w:r>
    </w:p>
    <w:p w14:paraId="2DDA0D83" w14:textId="21451D5A" w:rsidR="00A45F3D" w:rsidRDefault="00A45F3D" w:rsidP="00C40942">
      <w:pPr>
        <w:tabs>
          <w:tab w:val="left" w:pos="5194"/>
        </w:tabs>
        <w:spacing w:line="276" w:lineRule="auto"/>
        <w:jc w:val="both"/>
        <w:rPr>
          <w:sz w:val="24"/>
          <w:szCs w:val="24"/>
        </w:rPr>
      </w:pPr>
    </w:p>
    <w:p w14:paraId="7383D976" w14:textId="33985CAB" w:rsidR="00A45F3D" w:rsidRDefault="00A45F3D" w:rsidP="00C40942">
      <w:pPr>
        <w:tabs>
          <w:tab w:val="left" w:pos="5194"/>
        </w:tabs>
        <w:spacing w:line="276" w:lineRule="auto"/>
        <w:jc w:val="both"/>
        <w:rPr>
          <w:sz w:val="24"/>
          <w:szCs w:val="24"/>
        </w:rPr>
      </w:pPr>
      <w:r w:rsidRPr="00A45F3D">
        <w:rPr>
          <w:sz w:val="24"/>
          <w:szCs w:val="24"/>
        </w:rPr>
        <w:t xml:space="preserve">Ismail, F., Hashim, A.E., </w:t>
      </w:r>
      <w:proofErr w:type="spellStart"/>
      <w:r w:rsidRPr="00A45F3D">
        <w:rPr>
          <w:sz w:val="24"/>
          <w:szCs w:val="24"/>
        </w:rPr>
        <w:t>Zuriea</w:t>
      </w:r>
      <w:proofErr w:type="spellEnd"/>
      <w:r w:rsidRPr="00A45F3D">
        <w:rPr>
          <w:sz w:val="24"/>
          <w:szCs w:val="24"/>
        </w:rPr>
        <w:t xml:space="preserve">, W., Ismail, W., </w:t>
      </w:r>
      <w:proofErr w:type="spellStart"/>
      <w:r w:rsidRPr="00A45F3D">
        <w:rPr>
          <w:sz w:val="24"/>
          <w:szCs w:val="24"/>
        </w:rPr>
        <w:t>Kamarudin</w:t>
      </w:r>
      <w:proofErr w:type="spellEnd"/>
      <w:r w:rsidRPr="00A45F3D">
        <w:rPr>
          <w:sz w:val="24"/>
          <w:szCs w:val="24"/>
        </w:rPr>
        <w:t xml:space="preserve">, H. and </w:t>
      </w:r>
      <w:proofErr w:type="spellStart"/>
      <w:r w:rsidRPr="00A45F3D">
        <w:rPr>
          <w:sz w:val="24"/>
          <w:szCs w:val="24"/>
        </w:rPr>
        <w:t>Baharom</w:t>
      </w:r>
      <w:proofErr w:type="spellEnd"/>
      <w:r w:rsidRPr="00A45F3D">
        <w:rPr>
          <w:sz w:val="24"/>
          <w:szCs w:val="24"/>
        </w:rPr>
        <w:t xml:space="preserve">, Z.A., </w:t>
      </w:r>
      <w:r w:rsidR="009C1D48">
        <w:rPr>
          <w:sz w:val="24"/>
          <w:szCs w:val="24"/>
        </w:rPr>
        <w:t>(</w:t>
      </w:r>
      <w:r w:rsidRPr="00A45F3D">
        <w:rPr>
          <w:sz w:val="24"/>
          <w:szCs w:val="24"/>
        </w:rPr>
        <w:t>2012</w:t>
      </w:r>
      <w:r w:rsidR="009C1D48">
        <w:rPr>
          <w:sz w:val="24"/>
          <w:szCs w:val="24"/>
        </w:rPr>
        <w:t>)</w:t>
      </w:r>
      <w:r w:rsidRPr="00A45F3D">
        <w:rPr>
          <w:sz w:val="24"/>
          <w:szCs w:val="24"/>
        </w:rPr>
        <w:t xml:space="preserve">. Behaviour based approach for quality and safety environment improvement: Malaysian experience in the oil and gas industry. Procedia-Social and </w:t>
      </w:r>
      <w:proofErr w:type="spellStart"/>
      <w:r w:rsidRPr="00A45F3D">
        <w:rPr>
          <w:sz w:val="24"/>
          <w:szCs w:val="24"/>
        </w:rPr>
        <w:t>Behavioral</w:t>
      </w:r>
      <w:proofErr w:type="spellEnd"/>
      <w:r w:rsidRPr="00A45F3D">
        <w:rPr>
          <w:sz w:val="24"/>
          <w:szCs w:val="24"/>
        </w:rPr>
        <w:t xml:space="preserve"> Sciences, 35, pp.586-594.</w:t>
      </w:r>
    </w:p>
    <w:p w14:paraId="6E8E80EE" w14:textId="77777777" w:rsidR="00EF696A" w:rsidRPr="00104B94" w:rsidRDefault="00EF696A" w:rsidP="00C40942">
      <w:pPr>
        <w:tabs>
          <w:tab w:val="left" w:pos="5194"/>
        </w:tabs>
        <w:spacing w:line="276" w:lineRule="auto"/>
        <w:jc w:val="both"/>
        <w:rPr>
          <w:sz w:val="24"/>
          <w:szCs w:val="24"/>
        </w:rPr>
      </w:pPr>
    </w:p>
    <w:p w14:paraId="4EA5691A" w14:textId="77777777" w:rsidR="001357DE" w:rsidRPr="00C5292D" w:rsidRDefault="001357DE" w:rsidP="00C40942">
      <w:pPr>
        <w:spacing w:line="276" w:lineRule="auto"/>
        <w:jc w:val="both"/>
        <w:rPr>
          <w:sz w:val="24"/>
          <w:szCs w:val="24"/>
        </w:rPr>
      </w:pPr>
    </w:p>
    <w:p w14:paraId="3ABDECAD" w14:textId="6F76D0DE" w:rsidR="001357DE" w:rsidRDefault="001271F4" w:rsidP="00C40942">
      <w:pPr>
        <w:spacing w:line="276" w:lineRule="auto"/>
        <w:jc w:val="both"/>
        <w:rPr>
          <w:sz w:val="24"/>
          <w:szCs w:val="24"/>
        </w:rPr>
      </w:pPr>
      <w:r>
        <w:rPr>
          <w:sz w:val="24"/>
          <w:szCs w:val="24"/>
        </w:rPr>
        <w:lastRenderedPageBreak/>
        <w:t>IEA Council. (2000</w:t>
      </w:r>
      <w:proofErr w:type="gramStart"/>
      <w:r>
        <w:rPr>
          <w:sz w:val="24"/>
          <w:szCs w:val="24"/>
        </w:rPr>
        <w:t>).</w:t>
      </w:r>
      <w:r w:rsidR="001357DE" w:rsidRPr="001357DE">
        <w:rPr>
          <w:sz w:val="24"/>
          <w:szCs w:val="24"/>
        </w:rPr>
        <w:t>What</w:t>
      </w:r>
      <w:proofErr w:type="gramEnd"/>
      <w:r w:rsidR="001357DE" w:rsidRPr="001357DE">
        <w:rPr>
          <w:sz w:val="24"/>
          <w:szCs w:val="24"/>
        </w:rPr>
        <w:t xml:space="preserve"> is ergonomics. Retrieved from http://www.iea.cc/. Accessed on October 10, 2018.</w:t>
      </w:r>
    </w:p>
    <w:p w14:paraId="286B63B0" w14:textId="77777777" w:rsidR="00694BEE" w:rsidRDefault="00694BEE" w:rsidP="00C40942">
      <w:pPr>
        <w:spacing w:line="276" w:lineRule="auto"/>
        <w:jc w:val="both"/>
        <w:rPr>
          <w:sz w:val="24"/>
          <w:szCs w:val="24"/>
        </w:rPr>
      </w:pPr>
    </w:p>
    <w:p w14:paraId="5B369EDE" w14:textId="77777777" w:rsidR="00694BEE" w:rsidRPr="00694BEE" w:rsidRDefault="00694BEE" w:rsidP="00C40942">
      <w:pPr>
        <w:spacing w:line="276" w:lineRule="auto"/>
        <w:jc w:val="both"/>
        <w:rPr>
          <w:sz w:val="24"/>
          <w:szCs w:val="24"/>
        </w:rPr>
      </w:pPr>
      <w:r w:rsidRPr="00694BEE">
        <w:rPr>
          <w:sz w:val="24"/>
          <w:szCs w:val="24"/>
        </w:rPr>
        <w:t>Lee, T. Z., Wu, C. H., &amp; Hong, C. W. (2007). An empirical investigation of the influence of</w:t>
      </w:r>
    </w:p>
    <w:p w14:paraId="59798FF3" w14:textId="77777777" w:rsidR="00694BEE" w:rsidRPr="00694BEE" w:rsidRDefault="00694BEE" w:rsidP="00C40942">
      <w:pPr>
        <w:spacing w:line="276" w:lineRule="auto"/>
        <w:jc w:val="both"/>
        <w:rPr>
          <w:sz w:val="24"/>
          <w:szCs w:val="24"/>
        </w:rPr>
      </w:pPr>
      <w:r w:rsidRPr="00694BEE">
        <w:rPr>
          <w:sz w:val="24"/>
          <w:szCs w:val="24"/>
        </w:rPr>
        <w:t xml:space="preserve">safety climate on organizational citizenship behaviour in </w:t>
      </w:r>
      <w:proofErr w:type="gramStart"/>
      <w:r w:rsidRPr="00694BEE">
        <w:rPr>
          <w:sz w:val="24"/>
          <w:szCs w:val="24"/>
        </w:rPr>
        <w:t>Taiwan‘</w:t>
      </w:r>
      <w:proofErr w:type="gramEnd"/>
      <w:r w:rsidRPr="00694BEE">
        <w:rPr>
          <w:sz w:val="24"/>
          <w:szCs w:val="24"/>
        </w:rPr>
        <w:t>s facilities. International</w:t>
      </w:r>
    </w:p>
    <w:p w14:paraId="3ADC1B59" w14:textId="4D5935F5" w:rsidR="00694BEE" w:rsidRDefault="00694BEE" w:rsidP="00C40942">
      <w:pPr>
        <w:spacing w:line="276" w:lineRule="auto"/>
        <w:jc w:val="both"/>
        <w:rPr>
          <w:sz w:val="24"/>
          <w:szCs w:val="24"/>
        </w:rPr>
      </w:pPr>
      <w:r w:rsidRPr="00694BEE">
        <w:rPr>
          <w:sz w:val="24"/>
          <w:szCs w:val="24"/>
        </w:rPr>
        <w:t>Journal of Occupational Safety and Ergonomics, 13(3), 255-269.</w:t>
      </w:r>
    </w:p>
    <w:p w14:paraId="7277D4C3" w14:textId="7A2A3818" w:rsidR="00D11337" w:rsidRDefault="00D11337" w:rsidP="00C40942">
      <w:pPr>
        <w:spacing w:line="276" w:lineRule="auto"/>
        <w:jc w:val="both"/>
        <w:rPr>
          <w:sz w:val="24"/>
          <w:szCs w:val="24"/>
        </w:rPr>
      </w:pPr>
    </w:p>
    <w:p w14:paraId="40B6E947" w14:textId="29462996" w:rsidR="00D11337" w:rsidRDefault="00D11337" w:rsidP="00C40942">
      <w:pPr>
        <w:spacing w:line="276" w:lineRule="auto"/>
        <w:jc w:val="both"/>
        <w:rPr>
          <w:sz w:val="24"/>
          <w:szCs w:val="24"/>
        </w:rPr>
      </w:pPr>
      <w:r w:rsidRPr="00D11337">
        <w:rPr>
          <w:sz w:val="24"/>
          <w:szCs w:val="24"/>
        </w:rPr>
        <w:t xml:space="preserve">Lozano, R., </w:t>
      </w:r>
      <w:r w:rsidR="007D0919">
        <w:rPr>
          <w:sz w:val="24"/>
          <w:szCs w:val="24"/>
        </w:rPr>
        <w:t>(</w:t>
      </w:r>
      <w:r w:rsidRPr="00D11337">
        <w:rPr>
          <w:sz w:val="24"/>
          <w:szCs w:val="24"/>
        </w:rPr>
        <w:t>2011</w:t>
      </w:r>
      <w:r w:rsidR="007D0919">
        <w:rPr>
          <w:sz w:val="24"/>
          <w:szCs w:val="24"/>
        </w:rPr>
        <w:t>)</w:t>
      </w:r>
      <w:r w:rsidRPr="00D11337">
        <w:rPr>
          <w:sz w:val="24"/>
          <w:szCs w:val="24"/>
        </w:rPr>
        <w:t>. Addressing stakeholders and better contributing to sustainability through game theory. The Journal of Corporate Citizenship, (43), p.45.</w:t>
      </w:r>
    </w:p>
    <w:p w14:paraId="185F2C00" w14:textId="1627C595" w:rsidR="00F75F59" w:rsidRDefault="00F75F59" w:rsidP="00C40942">
      <w:pPr>
        <w:spacing w:line="276" w:lineRule="auto"/>
        <w:jc w:val="both"/>
        <w:rPr>
          <w:sz w:val="24"/>
          <w:szCs w:val="24"/>
        </w:rPr>
      </w:pPr>
    </w:p>
    <w:p w14:paraId="0ED3A6D8" w14:textId="7B899FAF" w:rsidR="00F75F59" w:rsidRDefault="00F75F59" w:rsidP="00C40942">
      <w:pPr>
        <w:spacing w:line="276" w:lineRule="auto"/>
        <w:jc w:val="both"/>
        <w:rPr>
          <w:sz w:val="24"/>
          <w:szCs w:val="24"/>
        </w:rPr>
      </w:pPr>
      <w:bookmarkStart w:id="4" w:name="_Hlk527575362"/>
      <w:r w:rsidRPr="00F75F59">
        <w:rPr>
          <w:sz w:val="24"/>
          <w:szCs w:val="24"/>
        </w:rPr>
        <w:t xml:space="preserve">Morioka, S.N. and Carvalho, M.M., </w:t>
      </w:r>
      <w:r w:rsidR="007D0919">
        <w:rPr>
          <w:sz w:val="24"/>
          <w:szCs w:val="24"/>
        </w:rPr>
        <w:t>(</w:t>
      </w:r>
      <w:r w:rsidRPr="00F75F59">
        <w:rPr>
          <w:sz w:val="24"/>
          <w:szCs w:val="24"/>
        </w:rPr>
        <w:t>2016</w:t>
      </w:r>
      <w:bookmarkEnd w:id="4"/>
      <w:r w:rsidR="007D0919">
        <w:rPr>
          <w:sz w:val="24"/>
          <w:szCs w:val="24"/>
        </w:rPr>
        <w:t>)</w:t>
      </w:r>
      <w:r w:rsidRPr="00F75F59">
        <w:rPr>
          <w:sz w:val="24"/>
          <w:szCs w:val="24"/>
        </w:rPr>
        <w:t>. Measuring sustainability in practice: exploring the inclusion of sustainability into corporate performance systems in Brazilian case studies. Journal of cleaner production, 136, pp.123-133.</w:t>
      </w:r>
    </w:p>
    <w:p w14:paraId="7BEA9D5A" w14:textId="72A37928" w:rsidR="00E93347" w:rsidRDefault="00E93347" w:rsidP="00C40942">
      <w:pPr>
        <w:spacing w:line="276" w:lineRule="auto"/>
        <w:jc w:val="both"/>
        <w:rPr>
          <w:sz w:val="24"/>
          <w:szCs w:val="24"/>
        </w:rPr>
      </w:pPr>
    </w:p>
    <w:p w14:paraId="046BF04A" w14:textId="04F813FA" w:rsidR="00E93347" w:rsidRDefault="00E93347" w:rsidP="00C40942">
      <w:pPr>
        <w:spacing w:line="276" w:lineRule="auto"/>
        <w:jc w:val="both"/>
        <w:rPr>
          <w:sz w:val="24"/>
          <w:szCs w:val="24"/>
        </w:rPr>
      </w:pPr>
      <w:r w:rsidRPr="00E93347">
        <w:rPr>
          <w:sz w:val="24"/>
          <w:szCs w:val="24"/>
        </w:rPr>
        <w:t xml:space="preserve">Porter, M.E. and Kramer, M.R., </w:t>
      </w:r>
      <w:r w:rsidR="007D0919">
        <w:rPr>
          <w:sz w:val="24"/>
          <w:szCs w:val="24"/>
        </w:rPr>
        <w:t>(</w:t>
      </w:r>
      <w:r w:rsidRPr="00E93347">
        <w:rPr>
          <w:sz w:val="24"/>
          <w:szCs w:val="24"/>
        </w:rPr>
        <w:t>2011</w:t>
      </w:r>
      <w:r w:rsidR="007D0919">
        <w:rPr>
          <w:sz w:val="24"/>
          <w:szCs w:val="24"/>
        </w:rPr>
        <w:t>)</w:t>
      </w:r>
      <w:r w:rsidRPr="00E93347">
        <w:rPr>
          <w:sz w:val="24"/>
          <w:szCs w:val="24"/>
        </w:rPr>
        <w:t>. The big idea: Creating shared value.</w:t>
      </w:r>
    </w:p>
    <w:p w14:paraId="218D7297" w14:textId="4A71E212" w:rsidR="000170DB" w:rsidRDefault="000170DB" w:rsidP="00C40942">
      <w:pPr>
        <w:spacing w:line="276" w:lineRule="auto"/>
        <w:jc w:val="both"/>
        <w:rPr>
          <w:sz w:val="24"/>
          <w:szCs w:val="24"/>
        </w:rPr>
      </w:pPr>
    </w:p>
    <w:p w14:paraId="49964F29" w14:textId="56D7DAB5" w:rsidR="000170DB" w:rsidRPr="000170DB" w:rsidRDefault="000170DB" w:rsidP="00C40942">
      <w:pPr>
        <w:spacing w:line="276" w:lineRule="auto"/>
        <w:jc w:val="both"/>
        <w:rPr>
          <w:sz w:val="24"/>
          <w:szCs w:val="24"/>
        </w:rPr>
      </w:pPr>
      <w:proofErr w:type="spellStart"/>
      <w:r w:rsidRPr="000170DB">
        <w:rPr>
          <w:sz w:val="24"/>
          <w:szCs w:val="24"/>
        </w:rPr>
        <w:t>Ruchlin</w:t>
      </w:r>
      <w:proofErr w:type="spellEnd"/>
      <w:r w:rsidRPr="000170DB">
        <w:rPr>
          <w:sz w:val="24"/>
          <w:szCs w:val="24"/>
        </w:rPr>
        <w:t xml:space="preserve">, H. S., </w:t>
      </w:r>
      <w:proofErr w:type="spellStart"/>
      <w:r w:rsidRPr="000170DB">
        <w:rPr>
          <w:sz w:val="24"/>
          <w:szCs w:val="24"/>
        </w:rPr>
        <w:t>Dubbs</w:t>
      </w:r>
      <w:proofErr w:type="spellEnd"/>
      <w:r w:rsidRPr="000170DB">
        <w:rPr>
          <w:sz w:val="24"/>
          <w:szCs w:val="24"/>
        </w:rPr>
        <w:t xml:space="preserve">, N. L., Callahan, M. A., &amp; </w:t>
      </w:r>
      <w:proofErr w:type="spellStart"/>
      <w:r w:rsidRPr="000170DB">
        <w:rPr>
          <w:sz w:val="24"/>
          <w:szCs w:val="24"/>
        </w:rPr>
        <w:t>Fosina</w:t>
      </w:r>
      <w:proofErr w:type="spellEnd"/>
      <w:r w:rsidRPr="000170DB">
        <w:rPr>
          <w:sz w:val="24"/>
          <w:szCs w:val="24"/>
        </w:rPr>
        <w:t>, M. J. (2004). The role of leadership</w:t>
      </w:r>
      <w:r w:rsidR="001271F4">
        <w:rPr>
          <w:sz w:val="24"/>
          <w:szCs w:val="24"/>
        </w:rPr>
        <w:t xml:space="preserve"> </w:t>
      </w:r>
      <w:r w:rsidRPr="000170DB">
        <w:rPr>
          <w:sz w:val="24"/>
          <w:szCs w:val="24"/>
        </w:rPr>
        <w:t>in instilling a culture of safety: lessons from the literature. Journal of Healthcare</w:t>
      </w:r>
    </w:p>
    <w:p w14:paraId="0DFAB6DE" w14:textId="2667A3F3" w:rsidR="000170DB" w:rsidRDefault="000170DB" w:rsidP="00C40942">
      <w:pPr>
        <w:spacing w:line="276" w:lineRule="auto"/>
        <w:jc w:val="both"/>
        <w:rPr>
          <w:sz w:val="24"/>
          <w:szCs w:val="24"/>
        </w:rPr>
      </w:pPr>
      <w:r w:rsidRPr="000170DB">
        <w:rPr>
          <w:sz w:val="24"/>
          <w:szCs w:val="24"/>
        </w:rPr>
        <w:t>Management, 49(1), 47.</w:t>
      </w:r>
    </w:p>
    <w:p w14:paraId="27E2D2DB" w14:textId="77777777" w:rsidR="00A0548E" w:rsidRDefault="00A0548E" w:rsidP="00C40942">
      <w:pPr>
        <w:spacing w:line="276" w:lineRule="auto"/>
        <w:jc w:val="both"/>
        <w:rPr>
          <w:sz w:val="24"/>
          <w:szCs w:val="24"/>
        </w:rPr>
      </w:pPr>
    </w:p>
    <w:p w14:paraId="43BFD1BB" w14:textId="2A2FED34" w:rsidR="00A0548E" w:rsidRDefault="00A0548E" w:rsidP="00C40942">
      <w:pPr>
        <w:spacing w:line="276" w:lineRule="auto"/>
        <w:jc w:val="both"/>
        <w:rPr>
          <w:sz w:val="24"/>
          <w:szCs w:val="24"/>
        </w:rPr>
      </w:pPr>
      <w:r w:rsidRPr="00A0548E">
        <w:rPr>
          <w:sz w:val="24"/>
          <w:szCs w:val="24"/>
        </w:rPr>
        <w:t xml:space="preserve">Thatcher, A., </w:t>
      </w:r>
      <w:r w:rsidR="007D0919">
        <w:rPr>
          <w:sz w:val="24"/>
          <w:szCs w:val="24"/>
        </w:rPr>
        <w:t>(</w:t>
      </w:r>
      <w:r w:rsidRPr="00A0548E">
        <w:rPr>
          <w:sz w:val="24"/>
          <w:szCs w:val="24"/>
        </w:rPr>
        <w:t>2013</w:t>
      </w:r>
      <w:r w:rsidR="007D0919">
        <w:rPr>
          <w:sz w:val="24"/>
          <w:szCs w:val="24"/>
        </w:rPr>
        <w:t>)</w:t>
      </w:r>
      <w:r w:rsidRPr="00A0548E">
        <w:rPr>
          <w:sz w:val="24"/>
          <w:szCs w:val="24"/>
        </w:rPr>
        <w:t>. Green ergonomics: definition and scope. Ergonomics, 56(3), pp.389-398.</w:t>
      </w:r>
    </w:p>
    <w:p w14:paraId="44420501" w14:textId="33C6D4E0" w:rsidR="00104B94" w:rsidRDefault="00104B94" w:rsidP="00C40942">
      <w:pPr>
        <w:spacing w:line="276" w:lineRule="auto"/>
        <w:jc w:val="both"/>
        <w:rPr>
          <w:sz w:val="24"/>
          <w:szCs w:val="24"/>
        </w:rPr>
      </w:pPr>
    </w:p>
    <w:p w14:paraId="6DE16339" w14:textId="539B0322" w:rsidR="00104B94" w:rsidRDefault="00104B94" w:rsidP="00C40942">
      <w:pPr>
        <w:spacing w:line="276" w:lineRule="auto"/>
        <w:jc w:val="both"/>
        <w:rPr>
          <w:sz w:val="24"/>
          <w:szCs w:val="24"/>
        </w:rPr>
      </w:pPr>
      <w:bookmarkStart w:id="5" w:name="_Hlk527577738"/>
      <w:r w:rsidRPr="00104B94">
        <w:rPr>
          <w:sz w:val="24"/>
          <w:szCs w:val="24"/>
        </w:rPr>
        <w:t xml:space="preserve">Thatcher, A. and </w:t>
      </w:r>
      <w:proofErr w:type="spellStart"/>
      <w:r w:rsidRPr="00104B94">
        <w:rPr>
          <w:sz w:val="24"/>
          <w:szCs w:val="24"/>
        </w:rPr>
        <w:t>Yeow</w:t>
      </w:r>
      <w:proofErr w:type="spellEnd"/>
      <w:r w:rsidRPr="00104B94">
        <w:rPr>
          <w:sz w:val="24"/>
          <w:szCs w:val="24"/>
        </w:rPr>
        <w:t xml:space="preserve">, P.H., </w:t>
      </w:r>
      <w:r w:rsidR="007D0919">
        <w:rPr>
          <w:sz w:val="24"/>
          <w:szCs w:val="24"/>
        </w:rPr>
        <w:t>(</w:t>
      </w:r>
      <w:r w:rsidRPr="00104B94">
        <w:rPr>
          <w:sz w:val="24"/>
          <w:szCs w:val="24"/>
        </w:rPr>
        <w:t>2018</w:t>
      </w:r>
      <w:bookmarkEnd w:id="5"/>
      <w:r w:rsidR="007D0919">
        <w:rPr>
          <w:sz w:val="24"/>
          <w:szCs w:val="24"/>
        </w:rPr>
        <w:t>)</w:t>
      </w:r>
      <w:r w:rsidRPr="00104B94">
        <w:rPr>
          <w:sz w:val="24"/>
          <w:szCs w:val="24"/>
        </w:rPr>
        <w:t>. Ergonomics and Human Factors for a Sustainable Future: Suggestions for a Way Forward. In Ergonomics and Human Factors for a Sustainable Future (pp. 373-390). Palgrave Macmillan, Singapore.</w:t>
      </w:r>
    </w:p>
    <w:p w14:paraId="36289062" w14:textId="77777777" w:rsidR="00E93347" w:rsidRDefault="00E93347" w:rsidP="00C40942">
      <w:pPr>
        <w:spacing w:line="276" w:lineRule="auto"/>
        <w:jc w:val="both"/>
        <w:rPr>
          <w:sz w:val="24"/>
          <w:szCs w:val="24"/>
        </w:rPr>
      </w:pPr>
    </w:p>
    <w:p w14:paraId="232D87B5" w14:textId="77777777" w:rsidR="00414311" w:rsidRDefault="00414311" w:rsidP="00C40942">
      <w:pPr>
        <w:spacing w:line="276" w:lineRule="auto"/>
        <w:jc w:val="both"/>
        <w:rPr>
          <w:sz w:val="24"/>
          <w:szCs w:val="24"/>
        </w:rPr>
      </w:pPr>
    </w:p>
    <w:p w14:paraId="24BC02F2" w14:textId="714B621C" w:rsidR="00414311" w:rsidRDefault="00414311" w:rsidP="00C40942">
      <w:pPr>
        <w:spacing w:line="276" w:lineRule="auto"/>
        <w:jc w:val="both"/>
        <w:rPr>
          <w:sz w:val="24"/>
          <w:szCs w:val="24"/>
        </w:rPr>
      </w:pPr>
      <w:r w:rsidRPr="00414311">
        <w:rPr>
          <w:sz w:val="24"/>
          <w:szCs w:val="24"/>
        </w:rPr>
        <w:t xml:space="preserve">Wilson, J.R., </w:t>
      </w:r>
      <w:r w:rsidR="007D0919">
        <w:rPr>
          <w:sz w:val="24"/>
          <w:szCs w:val="24"/>
        </w:rPr>
        <w:t>(</w:t>
      </w:r>
      <w:r w:rsidRPr="00414311">
        <w:rPr>
          <w:sz w:val="24"/>
          <w:szCs w:val="24"/>
        </w:rPr>
        <w:t>2014</w:t>
      </w:r>
      <w:r w:rsidR="007D0919">
        <w:rPr>
          <w:sz w:val="24"/>
          <w:szCs w:val="24"/>
        </w:rPr>
        <w:t>)</w:t>
      </w:r>
      <w:r w:rsidRPr="00414311">
        <w:rPr>
          <w:sz w:val="24"/>
          <w:szCs w:val="24"/>
        </w:rPr>
        <w:t>. Fundamentals of systems ergonomics/human factors. Applied ergonomics, 45(1), pp.5-13.</w:t>
      </w:r>
    </w:p>
    <w:p w14:paraId="5BC9CFBC" w14:textId="77777777" w:rsidR="008C7C02" w:rsidRDefault="008C7C02" w:rsidP="00C40942">
      <w:pPr>
        <w:spacing w:line="276" w:lineRule="auto"/>
        <w:jc w:val="both"/>
        <w:rPr>
          <w:sz w:val="24"/>
          <w:szCs w:val="24"/>
        </w:rPr>
      </w:pPr>
    </w:p>
    <w:p w14:paraId="6833469F" w14:textId="77777777" w:rsidR="008C7C02" w:rsidRPr="001357DE" w:rsidRDefault="008C7C02" w:rsidP="00C40942">
      <w:pPr>
        <w:spacing w:line="276" w:lineRule="auto"/>
        <w:jc w:val="both"/>
        <w:rPr>
          <w:sz w:val="24"/>
          <w:szCs w:val="24"/>
        </w:rPr>
      </w:pPr>
    </w:p>
    <w:p w14:paraId="12292E1C" w14:textId="3825070D" w:rsidR="008C7C02" w:rsidRPr="008C7C02" w:rsidRDefault="008C7C02" w:rsidP="00C40942">
      <w:pPr>
        <w:spacing w:line="276" w:lineRule="auto"/>
        <w:jc w:val="both"/>
        <w:rPr>
          <w:sz w:val="24"/>
          <w:szCs w:val="24"/>
        </w:rPr>
      </w:pPr>
      <w:r w:rsidRPr="008C7C02">
        <w:rPr>
          <w:sz w:val="24"/>
          <w:szCs w:val="24"/>
        </w:rPr>
        <w:t xml:space="preserve">WCED, </w:t>
      </w:r>
      <w:r w:rsidR="007D0919">
        <w:rPr>
          <w:sz w:val="24"/>
          <w:szCs w:val="24"/>
        </w:rPr>
        <w:t>(</w:t>
      </w:r>
      <w:r w:rsidRPr="008C7C02">
        <w:rPr>
          <w:sz w:val="24"/>
          <w:szCs w:val="24"/>
        </w:rPr>
        <w:t>1987</w:t>
      </w:r>
      <w:r w:rsidR="007D0919">
        <w:rPr>
          <w:sz w:val="24"/>
          <w:szCs w:val="24"/>
        </w:rPr>
        <w:t>)</w:t>
      </w:r>
      <w:r w:rsidRPr="008C7C02">
        <w:rPr>
          <w:sz w:val="24"/>
          <w:szCs w:val="24"/>
        </w:rPr>
        <w:t>. World Commission on Environment and Development, Our Common</w:t>
      </w:r>
    </w:p>
    <w:p w14:paraId="50DAB4AC" w14:textId="6A185D52" w:rsidR="00C5292D" w:rsidRPr="00C5292D" w:rsidRDefault="008C7C02" w:rsidP="00C40942">
      <w:pPr>
        <w:spacing w:line="276" w:lineRule="auto"/>
        <w:jc w:val="both"/>
        <w:rPr>
          <w:sz w:val="24"/>
          <w:szCs w:val="24"/>
        </w:rPr>
      </w:pPr>
      <w:r w:rsidRPr="008C7C02">
        <w:rPr>
          <w:sz w:val="24"/>
          <w:szCs w:val="24"/>
        </w:rPr>
        <w:t>Future. Oxford University Press, New York.</w:t>
      </w:r>
    </w:p>
    <w:p w14:paraId="715215C7" w14:textId="77777777" w:rsidR="00C5292D" w:rsidRPr="00C5292D" w:rsidRDefault="00C5292D" w:rsidP="00C40942">
      <w:pPr>
        <w:spacing w:line="276" w:lineRule="auto"/>
        <w:jc w:val="mediumKashida"/>
        <w:rPr>
          <w:sz w:val="24"/>
          <w:szCs w:val="24"/>
        </w:rPr>
      </w:pPr>
    </w:p>
    <w:p w14:paraId="751A77B0" w14:textId="77777777" w:rsidR="00C5292D" w:rsidRPr="00C5292D" w:rsidRDefault="00C5292D" w:rsidP="00C40942">
      <w:pPr>
        <w:spacing w:line="276" w:lineRule="auto"/>
        <w:jc w:val="mediumKashida"/>
        <w:rPr>
          <w:sz w:val="24"/>
          <w:szCs w:val="24"/>
        </w:rPr>
      </w:pPr>
    </w:p>
    <w:p w14:paraId="136E99A5" w14:textId="43C0FD56" w:rsidR="00414311" w:rsidRDefault="00C5292D" w:rsidP="00C40942">
      <w:pPr>
        <w:spacing w:line="276" w:lineRule="auto"/>
        <w:jc w:val="mediumKashida"/>
        <w:rPr>
          <w:rFonts w:ascii="Arial" w:hAnsi="Arial" w:cs="Arial"/>
          <w:sz w:val="24"/>
          <w:szCs w:val="24"/>
        </w:rPr>
      </w:pPr>
      <w:r w:rsidRPr="00C5292D">
        <w:rPr>
          <w:sz w:val="24"/>
          <w:szCs w:val="24"/>
        </w:rPr>
        <w:t xml:space="preserve">Zink, K.J., </w:t>
      </w:r>
      <w:r w:rsidR="007D0919">
        <w:rPr>
          <w:sz w:val="24"/>
          <w:szCs w:val="24"/>
        </w:rPr>
        <w:t>(</w:t>
      </w:r>
      <w:r w:rsidRPr="00C5292D">
        <w:rPr>
          <w:sz w:val="24"/>
          <w:szCs w:val="24"/>
        </w:rPr>
        <w:t>2014</w:t>
      </w:r>
      <w:r w:rsidR="007D0919">
        <w:rPr>
          <w:sz w:val="24"/>
          <w:szCs w:val="24"/>
        </w:rPr>
        <w:t>)</w:t>
      </w:r>
      <w:r w:rsidRPr="00C5292D">
        <w:rPr>
          <w:sz w:val="24"/>
          <w:szCs w:val="24"/>
        </w:rPr>
        <w:t>. Designing sustainable work systems: The need for a systems approach. Applied Ergonomics, 45(1), pp.126-132.</w:t>
      </w:r>
    </w:p>
    <w:p w14:paraId="16948A33" w14:textId="4346B5F6" w:rsidR="00B05067" w:rsidRPr="001357DE" w:rsidRDefault="00B05067" w:rsidP="00C40942">
      <w:pPr>
        <w:spacing w:line="276" w:lineRule="auto"/>
        <w:jc w:val="both"/>
        <w:rPr>
          <w:rFonts w:ascii="Arial" w:hAnsi="Arial" w:cs="Arial"/>
          <w:sz w:val="24"/>
          <w:szCs w:val="24"/>
        </w:rPr>
      </w:pPr>
    </w:p>
    <w:sectPr w:rsidR="00B05067" w:rsidRPr="001357D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F744E6" w14:textId="77777777" w:rsidR="00DD3915" w:rsidRDefault="00DD3915" w:rsidP="00E32A29">
      <w:r>
        <w:separator/>
      </w:r>
    </w:p>
  </w:endnote>
  <w:endnote w:type="continuationSeparator" w:id="0">
    <w:p w14:paraId="71DDD4FE" w14:textId="77777777" w:rsidR="00DD3915" w:rsidRDefault="00DD3915" w:rsidP="00E32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B61E8" w14:textId="77777777" w:rsidR="00DD3915" w:rsidRDefault="00DD3915" w:rsidP="00E32A29">
      <w:r>
        <w:separator/>
      </w:r>
    </w:p>
  </w:footnote>
  <w:footnote w:type="continuationSeparator" w:id="0">
    <w:p w14:paraId="3661D429" w14:textId="77777777" w:rsidR="00DD3915" w:rsidRDefault="00DD3915" w:rsidP="00E32A2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4A97"/>
    <w:rsid w:val="000020E8"/>
    <w:rsid w:val="000134DD"/>
    <w:rsid w:val="000170DB"/>
    <w:rsid w:val="00021F86"/>
    <w:rsid w:val="00025472"/>
    <w:rsid w:val="000732F0"/>
    <w:rsid w:val="00082C66"/>
    <w:rsid w:val="000C76B4"/>
    <w:rsid w:val="000E02C1"/>
    <w:rsid w:val="00103A3D"/>
    <w:rsid w:val="00104B94"/>
    <w:rsid w:val="0012454A"/>
    <w:rsid w:val="001271F4"/>
    <w:rsid w:val="001357DE"/>
    <w:rsid w:val="00140346"/>
    <w:rsid w:val="00150F4E"/>
    <w:rsid w:val="001608F1"/>
    <w:rsid w:val="00161DF9"/>
    <w:rsid w:val="001702F7"/>
    <w:rsid w:val="001A0E48"/>
    <w:rsid w:val="001A7AA0"/>
    <w:rsid w:val="001B624D"/>
    <w:rsid w:val="001C0008"/>
    <w:rsid w:val="001C757C"/>
    <w:rsid w:val="001D1DAE"/>
    <w:rsid w:val="001F3230"/>
    <w:rsid w:val="001F56BB"/>
    <w:rsid w:val="0020422D"/>
    <w:rsid w:val="00207419"/>
    <w:rsid w:val="002247A0"/>
    <w:rsid w:val="002513FC"/>
    <w:rsid w:val="0027053F"/>
    <w:rsid w:val="00286099"/>
    <w:rsid w:val="002C320A"/>
    <w:rsid w:val="002E363B"/>
    <w:rsid w:val="00386BC2"/>
    <w:rsid w:val="00396829"/>
    <w:rsid w:val="003B5EE5"/>
    <w:rsid w:val="003D17B2"/>
    <w:rsid w:val="004018D1"/>
    <w:rsid w:val="00414311"/>
    <w:rsid w:val="00423D12"/>
    <w:rsid w:val="004327CB"/>
    <w:rsid w:val="004C5375"/>
    <w:rsid w:val="004C659B"/>
    <w:rsid w:val="005260DB"/>
    <w:rsid w:val="00526AF3"/>
    <w:rsid w:val="005329A0"/>
    <w:rsid w:val="00544ABA"/>
    <w:rsid w:val="00570130"/>
    <w:rsid w:val="0058788F"/>
    <w:rsid w:val="0059042F"/>
    <w:rsid w:val="005A3B2C"/>
    <w:rsid w:val="005E680F"/>
    <w:rsid w:val="00601B6B"/>
    <w:rsid w:val="00623131"/>
    <w:rsid w:val="00694BEE"/>
    <w:rsid w:val="00701D06"/>
    <w:rsid w:val="007159F3"/>
    <w:rsid w:val="007425AE"/>
    <w:rsid w:val="00791CDF"/>
    <w:rsid w:val="007A3DD6"/>
    <w:rsid w:val="007C4FEA"/>
    <w:rsid w:val="007D0919"/>
    <w:rsid w:val="00805EFE"/>
    <w:rsid w:val="00806F63"/>
    <w:rsid w:val="00821216"/>
    <w:rsid w:val="00852D83"/>
    <w:rsid w:val="00864A97"/>
    <w:rsid w:val="00874710"/>
    <w:rsid w:val="008A67CE"/>
    <w:rsid w:val="008C7C02"/>
    <w:rsid w:val="009013DF"/>
    <w:rsid w:val="00942D0B"/>
    <w:rsid w:val="009743DF"/>
    <w:rsid w:val="00996C60"/>
    <w:rsid w:val="009B4803"/>
    <w:rsid w:val="009C1D48"/>
    <w:rsid w:val="00A0548E"/>
    <w:rsid w:val="00A411BA"/>
    <w:rsid w:val="00A45F3D"/>
    <w:rsid w:val="00A95BDA"/>
    <w:rsid w:val="00AC035C"/>
    <w:rsid w:val="00AF195D"/>
    <w:rsid w:val="00AF3599"/>
    <w:rsid w:val="00B05067"/>
    <w:rsid w:val="00B10DE7"/>
    <w:rsid w:val="00B6085C"/>
    <w:rsid w:val="00B656DC"/>
    <w:rsid w:val="00B769EE"/>
    <w:rsid w:val="00BA51CA"/>
    <w:rsid w:val="00BB609C"/>
    <w:rsid w:val="00BC37C8"/>
    <w:rsid w:val="00BF408C"/>
    <w:rsid w:val="00C40323"/>
    <w:rsid w:val="00C40942"/>
    <w:rsid w:val="00C50A95"/>
    <w:rsid w:val="00C5292D"/>
    <w:rsid w:val="00C66C84"/>
    <w:rsid w:val="00C75E5D"/>
    <w:rsid w:val="00CC18F3"/>
    <w:rsid w:val="00D11337"/>
    <w:rsid w:val="00D443B2"/>
    <w:rsid w:val="00D859AB"/>
    <w:rsid w:val="00DD2FA2"/>
    <w:rsid w:val="00DD3915"/>
    <w:rsid w:val="00DE05B7"/>
    <w:rsid w:val="00DF5274"/>
    <w:rsid w:val="00E13860"/>
    <w:rsid w:val="00E32A29"/>
    <w:rsid w:val="00E46E29"/>
    <w:rsid w:val="00E93347"/>
    <w:rsid w:val="00EC36F0"/>
    <w:rsid w:val="00ED1595"/>
    <w:rsid w:val="00EE6250"/>
    <w:rsid w:val="00EF43B9"/>
    <w:rsid w:val="00EF696A"/>
    <w:rsid w:val="00F3695D"/>
    <w:rsid w:val="00F74260"/>
    <w:rsid w:val="00F75F59"/>
    <w:rsid w:val="00F824A4"/>
    <w:rsid w:val="00FB606E"/>
    <w:rsid w:val="00FD0EC2"/>
    <w:rsid w:val="00FE2EFA"/>
    <w:rsid w:val="00FE4F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8AE94"/>
  <w15:chartTrackingRefBased/>
  <w15:docId w15:val="{4EA646CB-B0F2-446E-901E-3C8022D49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5067"/>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qFormat/>
    <w:rsid w:val="00B05067"/>
    <w:pPr>
      <w:keepNext/>
      <w:jc w:val="both"/>
      <w:outlineLvl w:val="1"/>
    </w:pPr>
    <w:rPr>
      <w:b/>
      <w:sz w:val="24"/>
    </w:rPr>
  </w:style>
  <w:style w:type="paragraph" w:styleId="Heading4">
    <w:name w:val="heading 4"/>
    <w:basedOn w:val="Normal"/>
    <w:next w:val="Normal"/>
    <w:link w:val="Heading4Char"/>
    <w:qFormat/>
    <w:rsid w:val="00B0506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05067"/>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B05067"/>
    <w:rPr>
      <w:rFonts w:ascii="Times New Roman" w:eastAsia="Times New Roman" w:hAnsi="Times New Roman" w:cs="Times New Roman"/>
      <w:sz w:val="40"/>
      <w:szCs w:val="20"/>
      <w:lang w:val="en-GB" w:eastAsia="en-GB"/>
    </w:rPr>
  </w:style>
  <w:style w:type="paragraph" w:styleId="Header">
    <w:name w:val="header"/>
    <w:basedOn w:val="Normal"/>
    <w:link w:val="HeaderChar"/>
    <w:rsid w:val="00B05067"/>
    <w:pPr>
      <w:tabs>
        <w:tab w:val="center" w:pos="4153"/>
        <w:tab w:val="right" w:pos="8306"/>
      </w:tabs>
    </w:pPr>
  </w:style>
  <w:style w:type="character" w:customStyle="1" w:styleId="HeaderChar">
    <w:name w:val="Header Char"/>
    <w:basedOn w:val="DefaultParagraphFont"/>
    <w:link w:val="Header"/>
    <w:rsid w:val="00B05067"/>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1357DE"/>
    <w:rPr>
      <w:color w:val="0563C1" w:themeColor="hyperlink"/>
      <w:u w:val="single"/>
    </w:rPr>
  </w:style>
  <w:style w:type="paragraph" w:styleId="Footer">
    <w:name w:val="footer"/>
    <w:basedOn w:val="Normal"/>
    <w:link w:val="FooterChar"/>
    <w:uiPriority w:val="99"/>
    <w:unhideWhenUsed/>
    <w:rsid w:val="00E32A29"/>
    <w:pPr>
      <w:tabs>
        <w:tab w:val="center" w:pos="4680"/>
        <w:tab w:val="right" w:pos="9360"/>
      </w:tabs>
    </w:pPr>
  </w:style>
  <w:style w:type="character" w:customStyle="1" w:styleId="FooterChar">
    <w:name w:val="Footer Char"/>
    <w:basedOn w:val="DefaultParagraphFont"/>
    <w:link w:val="Footer"/>
    <w:uiPriority w:val="99"/>
    <w:rsid w:val="00E32A29"/>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A95BDA"/>
    <w:pPr>
      <w:spacing w:before="100" w:beforeAutospacing="1" w:after="100" w:afterAutospacing="1"/>
    </w:pPr>
    <w:rPr>
      <w:sz w:val="24"/>
      <w:szCs w:val="24"/>
      <w:lang w:val="en-US" w:eastAsia="en-US"/>
    </w:rPr>
  </w:style>
  <w:style w:type="paragraph" w:styleId="BalloonText">
    <w:name w:val="Balloon Text"/>
    <w:basedOn w:val="Normal"/>
    <w:link w:val="BalloonTextChar"/>
    <w:uiPriority w:val="99"/>
    <w:semiHidden/>
    <w:unhideWhenUsed/>
    <w:rsid w:val="00852D83"/>
    <w:rPr>
      <w:sz w:val="18"/>
      <w:szCs w:val="18"/>
    </w:rPr>
  </w:style>
  <w:style w:type="character" w:customStyle="1" w:styleId="BalloonTextChar">
    <w:name w:val="Balloon Text Char"/>
    <w:basedOn w:val="DefaultParagraphFont"/>
    <w:link w:val="BalloonText"/>
    <w:uiPriority w:val="99"/>
    <w:semiHidden/>
    <w:rsid w:val="00852D83"/>
    <w:rPr>
      <w:rFonts w:ascii="Times New Roman" w:eastAsia="Times New Roman" w:hAnsi="Times New Roman" w:cs="Times New Roman"/>
      <w:sz w:val="18"/>
      <w:szCs w:val="18"/>
      <w:lang w:val="en-GB" w:eastAsia="en-GB"/>
    </w:rPr>
  </w:style>
  <w:style w:type="character" w:styleId="CommentReference">
    <w:name w:val="annotation reference"/>
    <w:basedOn w:val="DefaultParagraphFont"/>
    <w:uiPriority w:val="99"/>
    <w:semiHidden/>
    <w:unhideWhenUsed/>
    <w:rsid w:val="00852D83"/>
    <w:rPr>
      <w:sz w:val="18"/>
      <w:szCs w:val="18"/>
    </w:rPr>
  </w:style>
  <w:style w:type="paragraph" w:styleId="CommentText">
    <w:name w:val="annotation text"/>
    <w:basedOn w:val="Normal"/>
    <w:link w:val="CommentTextChar"/>
    <w:uiPriority w:val="99"/>
    <w:semiHidden/>
    <w:unhideWhenUsed/>
    <w:rsid w:val="00852D83"/>
    <w:rPr>
      <w:sz w:val="24"/>
      <w:szCs w:val="24"/>
    </w:rPr>
  </w:style>
  <w:style w:type="character" w:customStyle="1" w:styleId="CommentTextChar">
    <w:name w:val="Comment Text Char"/>
    <w:basedOn w:val="DefaultParagraphFont"/>
    <w:link w:val="CommentText"/>
    <w:uiPriority w:val="99"/>
    <w:semiHidden/>
    <w:rsid w:val="00852D83"/>
    <w:rPr>
      <w:rFonts w:ascii="Times New Roman" w:eastAsia="Times New Roman" w:hAnsi="Times New Roman" w:cs="Times New Roman"/>
      <w:sz w:val="24"/>
      <w:szCs w:val="24"/>
      <w:lang w:val="en-GB" w:eastAsia="en-GB"/>
    </w:rPr>
  </w:style>
  <w:style w:type="paragraph" w:styleId="CommentSubject">
    <w:name w:val="annotation subject"/>
    <w:basedOn w:val="CommentText"/>
    <w:next w:val="CommentText"/>
    <w:link w:val="CommentSubjectChar"/>
    <w:uiPriority w:val="99"/>
    <w:semiHidden/>
    <w:unhideWhenUsed/>
    <w:rsid w:val="00852D83"/>
    <w:rPr>
      <w:b/>
      <w:bCs/>
      <w:sz w:val="20"/>
      <w:szCs w:val="20"/>
    </w:rPr>
  </w:style>
  <w:style w:type="character" w:customStyle="1" w:styleId="CommentSubjectChar">
    <w:name w:val="Comment Subject Char"/>
    <w:basedOn w:val="CommentTextChar"/>
    <w:link w:val="CommentSubject"/>
    <w:uiPriority w:val="99"/>
    <w:semiHidden/>
    <w:rsid w:val="00852D83"/>
    <w:rPr>
      <w:rFonts w:ascii="Times New Roman" w:eastAsia="Times New Roman" w:hAnsi="Times New Roman" w:cs="Times New Roman"/>
      <w:b/>
      <w:bCs/>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929809">
      <w:bodyDiv w:val="1"/>
      <w:marLeft w:val="0"/>
      <w:marRight w:val="0"/>
      <w:marTop w:val="0"/>
      <w:marBottom w:val="0"/>
      <w:divBdr>
        <w:top w:val="none" w:sz="0" w:space="0" w:color="auto"/>
        <w:left w:val="none" w:sz="0" w:space="0" w:color="auto"/>
        <w:bottom w:val="none" w:sz="0" w:space="0" w:color="auto"/>
        <w:right w:val="none" w:sz="0" w:space="0" w:color="auto"/>
      </w:divBdr>
    </w:div>
    <w:div w:id="587537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2597</Words>
  <Characters>14805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Ghanim Kashwani</dc:creator>
  <cp:keywords/>
  <dc:description/>
  <cp:lastModifiedBy>Windows User</cp:lastModifiedBy>
  <cp:revision>2</cp:revision>
  <dcterms:created xsi:type="dcterms:W3CDTF">2018-11-09T02:43:00Z</dcterms:created>
  <dcterms:modified xsi:type="dcterms:W3CDTF">2018-11-09T02:43:00Z</dcterms:modified>
</cp:coreProperties>
</file>