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FF5B5D" w:rsidRDefault="00063B4C" w:rsidP="4C72D9C6">
      <w:pPr>
        <w:jc w:val="left"/>
        <w:rPr>
          <w:rFonts w:ascii="Arial" w:eastAsia="Arial" w:hAnsi="Arial" w:cs="Arial"/>
          <w:color w:val="000000" w:themeColor="text1"/>
        </w:rPr>
      </w:pPr>
      <w:r w:rsidRPr="00FF5B5D">
        <w:rPr>
          <w:rFonts w:ascii="Arial" w:hAnsi="Arial" w:cs="Arial"/>
          <w:noProof/>
          <w:color w:val="000000" w:themeColor="text1"/>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FF5B5D" w:rsidRDefault="00063B4C" w:rsidP="4C72D9C6">
      <w:pPr>
        <w:jc w:val="left"/>
        <w:rPr>
          <w:rFonts w:ascii="Arial" w:eastAsia="Arial" w:hAnsi="Arial" w:cs="Arial"/>
          <w:color w:val="000000" w:themeColor="text1"/>
        </w:rPr>
      </w:pPr>
    </w:p>
    <w:p w14:paraId="00DE7510" w14:textId="684CC594" w:rsidR="00063B4C" w:rsidRPr="00FF5B5D" w:rsidRDefault="00063B4C" w:rsidP="4C72D9C6">
      <w:pPr>
        <w:jc w:val="left"/>
        <w:rPr>
          <w:rFonts w:ascii="Arial" w:eastAsia="Arial" w:hAnsi="Arial" w:cs="Arial"/>
          <w:color w:val="000000" w:themeColor="text1"/>
        </w:rPr>
      </w:pPr>
    </w:p>
    <w:p w14:paraId="62B6C1AB" w14:textId="77777777" w:rsidR="00063B4C" w:rsidRPr="00FF5B5D" w:rsidRDefault="00063B4C" w:rsidP="4C72D9C6">
      <w:pPr>
        <w:jc w:val="left"/>
        <w:rPr>
          <w:rFonts w:ascii="Arial" w:eastAsia="Arial" w:hAnsi="Arial" w:cs="Arial"/>
          <w:color w:val="000000" w:themeColor="text1"/>
        </w:rPr>
      </w:pPr>
    </w:p>
    <w:p w14:paraId="19C1447B" w14:textId="77777777" w:rsidR="00063B4C" w:rsidRPr="00FF5B5D" w:rsidRDefault="00063B4C" w:rsidP="4C72D9C6">
      <w:pPr>
        <w:jc w:val="left"/>
        <w:rPr>
          <w:rFonts w:ascii="Arial" w:eastAsia="Arial" w:hAnsi="Arial" w:cs="Arial"/>
          <w:color w:val="000000" w:themeColor="text1"/>
        </w:rPr>
      </w:pPr>
    </w:p>
    <w:p w14:paraId="4BD32C57" w14:textId="00FB9D38" w:rsidR="00063B4C" w:rsidRPr="00FF5B5D" w:rsidRDefault="00063B4C" w:rsidP="4C72D9C6">
      <w:pPr>
        <w:jc w:val="left"/>
        <w:rPr>
          <w:rFonts w:ascii="Arial" w:eastAsia="Arial" w:hAnsi="Arial" w:cs="Arial"/>
          <w:color w:val="000000" w:themeColor="text1"/>
        </w:rPr>
      </w:pPr>
      <w:r w:rsidRPr="4C72D9C6">
        <w:rPr>
          <w:rFonts w:ascii="Arial" w:eastAsia="Arial" w:hAnsi="Arial" w:cs="Arial"/>
          <w:color w:val="000000" w:themeColor="text1"/>
        </w:rPr>
        <w:t>Institute of Inner-City Learning Birmingham Campu</w:t>
      </w:r>
      <w:r w:rsidR="00DA260E" w:rsidRPr="4C72D9C6">
        <w:rPr>
          <w:rFonts w:ascii="Arial" w:eastAsia="Arial" w:hAnsi="Arial" w:cs="Arial"/>
          <w:color w:val="000000" w:themeColor="text1"/>
        </w:rPr>
        <w:t>s</w:t>
      </w:r>
    </w:p>
    <w:p w14:paraId="7F58ECA1" w14:textId="77777777" w:rsidR="00063B4C" w:rsidRPr="00FF5B5D" w:rsidRDefault="00063B4C" w:rsidP="4C72D9C6">
      <w:pPr>
        <w:pStyle w:val="BodyText"/>
        <w:spacing w:line="360" w:lineRule="auto"/>
        <w:rPr>
          <w:rFonts w:eastAsia="Arial" w:cs="Arial"/>
          <w:color w:val="000000" w:themeColor="text1"/>
        </w:rPr>
      </w:pPr>
    </w:p>
    <w:p w14:paraId="3009F44A" w14:textId="2F598781" w:rsidR="00063B4C" w:rsidRPr="00FF5B5D" w:rsidRDefault="00063B4C" w:rsidP="4C72D9C6">
      <w:pPr>
        <w:jc w:val="left"/>
        <w:rPr>
          <w:rFonts w:ascii="Arial" w:eastAsia="Arial" w:hAnsi="Arial" w:cs="Arial"/>
          <w:color w:val="000000" w:themeColor="text1"/>
        </w:rPr>
      </w:pPr>
      <w:r w:rsidRPr="4C72D9C6">
        <w:rPr>
          <w:rFonts w:ascii="Arial" w:eastAsia="Arial" w:hAnsi="Arial" w:cs="Arial"/>
          <w:color w:val="000000" w:themeColor="text1"/>
        </w:rPr>
        <w:t>BSc (Hons) Health and Social Care</w:t>
      </w:r>
      <w:r>
        <w:br/>
      </w:r>
    </w:p>
    <w:p w14:paraId="08ED8C42" w14:textId="1934837C" w:rsidR="00063B4C" w:rsidRPr="00FF5B5D" w:rsidRDefault="00063B4C" w:rsidP="4C72D9C6">
      <w:pPr>
        <w:jc w:val="left"/>
        <w:rPr>
          <w:rFonts w:ascii="Arial" w:eastAsia="Arial" w:hAnsi="Arial" w:cs="Arial"/>
          <w:color w:val="000000" w:themeColor="text1"/>
        </w:rPr>
      </w:pPr>
      <w:r w:rsidRPr="4C72D9C6">
        <w:rPr>
          <w:rFonts w:ascii="Arial" w:eastAsia="Arial" w:hAnsi="Arial" w:cs="Arial"/>
          <w:color w:val="000000" w:themeColor="text1"/>
        </w:rPr>
        <w:t>DISSERTATION</w:t>
      </w:r>
    </w:p>
    <w:p w14:paraId="5B270734" w14:textId="55782988" w:rsidR="00063B4C" w:rsidRPr="00FF5B5D" w:rsidRDefault="00063B4C" w:rsidP="4C72D9C6">
      <w:pPr>
        <w:jc w:val="left"/>
        <w:rPr>
          <w:rFonts w:ascii="Arial" w:eastAsia="Arial" w:hAnsi="Arial" w:cs="Arial"/>
          <w:color w:val="000000" w:themeColor="text1"/>
        </w:rPr>
      </w:pPr>
    </w:p>
    <w:p w14:paraId="2C0F81B3" w14:textId="77777777" w:rsidR="00995444" w:rsidRPr="00FF5B5D" w:rsidRDefault="00995444" w:rsidP="4C72D9C6">
      <w:pPr>
        <w:pStyle w:val="Heading1"/>
        <w:spacing w:line="360" w:lineRule="auto"/>
        <w:ind w:left="0"/>
        <w:rPr>
          <w:rFonts w:eastAsia="Arial" w:cs="Arial"/>
          <w:color w:val="000000" w:themeColor="text1"/>
          <w:sz w:val="22"/>
          <w:szCs w:val="22"/>
        </w:rPr>
      </w:pPr>
    </w:p>
    <w:p w14:paraId="6D29CD44" w14:textId="75C545B1" w:rsidR="00063B4C" w:rsidRPr="00FF5B5D" w:rsidRDefault="00063B4C"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Disclaimer</w:t>
      </w:r>
    </w:p>
    <w:p w14:paraId="2E1C9484" w14:textId="7DAEAC6C" w:rsidR="00604A87" w:rsidRPr="00FF5B5D" w:rsidRDefault="00063B4C" w:rsidP="4C72D9C6">
      <w:pPr>
        <w:spacing w:before="62"/>
        <w:jc w:val="left"/>
        <w:rPr>
          <w:rFonts w:ascii="Arial" w:eastAsia="Arial" w:hAnsi="Arial" w:cs="Arial"/>
          <w:color w:val="000000" w:themeColor="text1"/>
        </w:rPr>
      </w:pPr>
      <w:r w:rsidRPr="4C72D9C6">
        <w:rPr>
          <w:rFonts w:ascii="Arial" w:eastAsia="Arial" w:hAnsi="Arial" w:cs="Arial"/>
          <w:color w:val="000000" w:themeColor="text1"/>
        </w:rPr>
        <w:t xml:space="preserve">This document was correct at the time of publication. </w:t>
      </w:r>
      <w:bookmarkStart w:id="0" w:name="_Int_01qCXvJn"/>
      <w:r w:rsidRPr="4C72D9C6">
        <w:rPr>
          <w:rFonts w:ascii="Arial" w:eastAsia="Arial" w:hAnsi="Arial" w:cs="Arial"/>
          <w:color w:val="000000" w:themeColor="text1"/>
        </w:rPr>
        <w:t xml:space="preserve">The Module Coordinator reserves the right to </w:t>
      </w:r>
      <w:bookmarkStart w:id="1" w:name="_Int_uyrR7P48"/>
      <w:r w:rsidRPr="4C72D9C6">
        <w:rPr>
          <w:rFonts w:ascii="Arial" w:eastAsia="Arial" w:hAnsi="Arial" w:cs="Arial"/>
          <w:color w:val="000000" w:themeColor="text1"/>
        </w:rPr>
        <w:t>modify</w:t>
      </w:r>
      <w:bookmarkEnd w:id="1"/>
      <w:r w:rsidRPr="4C72D9C6">
        <w:rPr>
          <w:rFonts w:ascii="Arial" w:eastAsia="Arial" w:hAnsi="Arial" w:cs="Arial"/>
          <w:color w:val="000000" w:themeColor="text1"/>
        </w:rPr>
        <w:t xml:space="preserve"> any </w:t>
      </w:r>
      <w:r w:rsidR="00394162" w:rsidRPr="4C72D9C6">
        <w:rPr>
          <w:rFonts w:ascii="Arial" w:eastAsia="Arial" w:hAnsi="Arial" w:cs="Arial"/>
          <w:color w:val="000000" w:themeColor="text1"/>
        </w:rPr>
        <w:t>statement,</w:t>
      </w:r>
      <w:r w:rsidRPr="4C72D9C6">
        <w:rPr>
          <w:rFonts w:ascii="Arial" w:eastAsia="Arial" w:hAnsi="Arial" w:cs="Arial"/>
          <w:color w:val="000000" w:themeColor="text1"/>
        </w:rPr>
        <w:t xml:space="preserve"> if necessary, make variations to the content or methods of delivery of programmes of study, to </w:t>
      </w:r>
      <w:bookmarkStart w:id="2" w:name="_Int_HZJqkX8l"/>
      <w:r w:rsidRPr="4C72D9C6">
        <w:rPr>
          <w:rFonts w:ascii="Arial" w:eastAsia="Arial" w:hAnsi="Arial" w:cs="Arial"/>
          <w:color w:val="000000" w:themeColor="text1"/>
        </w:rPr>
        <w:t>discontinue</w:t>
      </w:r>
      <w:bookmarkEnd w:id="2"/>
      <w:r w:rsidRPr="4C72D9C6">
        <w:rPr>
          <w:rFonts w:ascii="Arial" w:eastAsia="Arial" w:hAnsi="Arial" w:cs="Arial"/>
          <w:color w:val="000000" w:themeColor="text1"/>
        </w:rPr>
        <w:t xml:space="preserve"> programmes, or merge or combine programmes if such actions </w:t>
      </w:r>
      <w:bookmarkStart w:id="3" w:name="_Int_NfH383ca"/>
      <w:r w:rsidRPr="4C72D9C6">
        <w:rPr>
          <w:rFonts w:ascii="Arial" w:eastAsia="Arial" w:hAnsi="Arial" w:cs="Arial"/>
          <w:color w:val="000000" w:themeColor="text1"/>
        </w:rPr>
        <w:t xml:space="preserve">are </w:t>
      </w:r>
      <w:bookmarkStart w:id="4" w:name="_Int_kq4MKPBp"/>
      <w:r w:rsidRPr="4C72D9C6">
        <w:rPr>
          <w:rFonts w:ascii="Arial" w:eastAsia="Arial" w:hAnsi="Arial" w:cs="Arial"/>
          <w:color w:val="000000" w:themeColor="text1"/>
        </w:rPr>
        <w:t>reasonably considered</w:t>
      </w:r>
      <w:bookmarkEnd w:id="3"/>
      <w:bookmarkEnd w:id="4"/>
      <w:r w:rsidRPr="4C72D9C6">
        <w:rPr>
          <w:rFonts w:ascii="Arial" w:eastAsia="Arial" w:hAnsi="Arial" w:cs="Arial"/>
          <w:color w:val="000000" w:themeColor="text1"/>
        </w:rPr>
        <w:t xml:space="preserve"> to be necessary by UWTSD.</w:t>
      </w:r>
      <w:bookmarkEnd w:id="0"/>
      <w:r w:rsidRPr="4C72D9C6">
        <w:rPr>
          <w:rFonts w:ascii="Arial" w:eastAsia="Arial" w:hAnsi="Arial" w:cs="Arial"/>
          <w:color w:val="000000" w:themeColor="text1"/>
        </w:rPr>
        <w:t xml:space="preserve"> Every effort will </w:t>
      </w:r>
      <w:bookmarkStart w:id="5" w:name="_Int_kFbsgteO"/>
      <w:r w:rsidRPr="4C72D9C6">
        <w:rPr>
          <w:rFonts w:ascii="Arial" w:eastAsia="Arial" w:hAnsi="Arial" w:cs="Arial"/>
          <w:color w:val="000000" w:themeColor="text1"/>
        </w:rPr>
        <w:t>be made</w:t>
      </w:r>
      <w:bookmarkEnd w:id="5"/>
      <w:r w:rsidRPr="4C72D9C6">
        <w:rPr>
          <w:rFonts w:ascii="Arial" w:eastAsia="Arial" w:hAnsi="Arial" w:cs="Arial"/>
          <w:color w:val="000000" w:themeColor="text1"/>
        </w:rPr>
        <w:t xml:space="preserve"> to keep disruption to a minimum, and to give as much notice as possible. An electronic copy of this handbook can </w:t>
      </w:r>
      <w:bookmarkStart w:id="6" w:name="_Int_c0gcGYQX"/>
      <w:r w:rsidRPr="4C72D9C6">
        <w:rPr>
          <w:rFonts w:ascii="Arial" w:eastAsia="Arial" w:hAnsi="Arial" w:cs="Arial"/>
          <w:color w:val="000000" w:themeColor="text1"/>
        </w:rPr>
        <w:t>be found</w:t>
      </w:r>
      <w:bookmarkEnd w:id="6"/>
      <w:r w:rsidRPr="4C72D9C6">
        <w:rPr>
          <w:rFonts w:ascii="Arial" w:eastAsia="Arial" w:hAnsi="Arial" w:cs="Arial"/>
          <w:color w:val="000000" w:themeColor="text1"/>
        </w:rPr>
        <w:t xml:space="preserve"> on the Moodle page for the module.</w:t>
      </w:r>
    </w:p>
    <w:p w14:paraId="265E2262" w14:textId="77777777" w:rsidR="00730C3C" w:rsidRPr="00FF5B5D" w:rsidRDefault="00730C3C" w:rsidP="4C72D9C6">
      <w:pPr>
        <w:jc w:val="left"/>
        <w:rPr>
          <w:rFonts w:ascii="Arial" w:eastAsia="Arial" w:hAnsi="Arial" w:cs="Arial"/>
          <w:b/>
          <w:bCs/>
          <w:color w:val="000000" w:themeColor="text1"/>
        </w:rPr>
      </w:pPr>
    </w:p>
    <w:p w14:paraId="3492E4C4" w14:textId="45AA03BC" w:rsidR="00604A87" w:rsidRPr="00FF5B5D" w:rsidRDefault="00604A87" w:rsidP="4C72D9C6">
      <w:pPr>
        <w:jc w:val="left"/>
        <w:rPr>
          <w:rFonts w:ascii="Arial" w:eastAsia="Arial" w:hAnsi="Arial" w:cs="Arial"/>
          <w:b/>
          <w:bCs/>
          <w:color w:val="000000" w:themeColor="text1"/>
        </w:rPr>
      </w:pPr>
      <w:r w:rsidRPr="4C72D9C6">
        <w:rPr>
          <w:rFonts w:ascii="Arial" w:eastAsia="Arial" w:hAnsi="Arial" w:cs="Arial"/>
          <w:b/>
          <w:bCs/>
          <w:color w:val="000000" w:themeColor="text1"/>
        </w:rPr>
        <w:t>DECLARATION</w:t>
      </w:r>
    </w:p>
    <w:p w14:paraId="113CAAED" w14:textId="2CC33593"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This work has not previously </w:t>
      </w:r>
      <w:bookmarkStart w:id="7" w:name="_Int_6KoNDJIm"/>
      <w:r w:rsidRPr="4C72D9C6">
        <w:rPr>
          <w:rFonts w:ascii="Arial" w:eastAsia="Arial" w:hAnsi="Arial" w:cs="Arial"/>
          <w:color w:val="000000" w:themeColor="text1"/>
        </w:rPr>
        <w:t>been accepted</w:t>
      </w:r>
      <w:bookmarkEnd w:id="7"/>
      <w:r w:rsidRPr="4C72D9C6">
        <w:rPr>
          <w:rFonts w:ascii="Arial" w:eastAsia="Arial" w:hAnsi="Arial" w:cs="Arial"/>
          <w:color w:val="000000" w:themeColor="text1"/>
        </w:rPr>
        <w:t xml:space="preserve"> in substance for any degree and is not being concurrently </w:t>
      </w:r>
      <w:bookmarkStart w:id="8" w:name="_Int_PoOpe9qR"/>
      <w:r w:rsidRPr="4C72D9C6">
        <w:rPr>
          <w:rFonts w:ascii="Arial" w:eastAsia="Arial" w:hAnsi="Arial" w:cs="Arial"/>
          <w:color w:val="000000" w:themeColor="text1"/>
        </w:rPr>
        <w:t>submitted</w:t>
      </w:r>
      <w:bookmarkEnd w:id="8"/>
      <w:r w:rsidRPr="4C72D9C6">
        <w:rPr>
          <w:rFonts w:ascii="Arial" w:eastAsia="Arial" w:hAnsi="Arial" w:cs="Arial"/>
          <w:color w:val="000000" w:themeColor="text1"/>
        </w:rPr>
        <w:t xml:space="preserve"> in candidature for any degree</w:t>
      </w:r>
    </w:p>
    <w:p w14:paraId="3EF51212" w14:textId="23E9F4B8" w:rsidR="00604A87" w:rsidRPr="00FF5B5D" w:rsidRDefault="00604A87" w:rsidP="4C72D9C6">
      <w:pPr>
        <w:jc w:val="left"/>
        <w:rPr>
          <w:rFonts w:ascii="Arial" w:eastAsia="Arial" w:hAnsi="Arial" w:cs="Arial"/>
          <w:color w:val="000000" w:themeColor="text1"/>
        </w:rPr>
      </w:pPr>
      <w:bookmarkStart w:id="9" w:name="_Int_9wwEUNzP"/>
      <w:r w:rsidRPr="4C72D9C6">
        <w:rPr>
          <w:rFonts w:ascii="Arial" w:eastAsia="Arial" w:hAnsi="Arial" w:cs="Arial"/>
          <w:color w:val="000000" w:themeColor="text1"/>
        </w:rPr>
        <w:t>Signe</w:t>
      </w:r>
      <w:r w:rsidR="00500012" w:rsidRPr="4C72D9C6">
        <w:rPr>
          <w:rFonts w:ascii="Arial" w:eastAsia="Arial" w:hAnsi="Arial" w:cs="Arial"/>
          <w:color w:val="000000" w:themeColor="text1"/>
        </w:rPr>
        <w:t>d :</w:t>
      </w:r>
      <w:bookmarkEnd w:id="9"/>
      <w:r w:rsidR="00500012" w:rsidRPr="4C72D9C6">
        <w:rPr>
          <w:rFonts w:ascii="Arial" w:eastAsia="Arial" w:hAnsi="Arial" w:cs="Arial"/>
          <w:color w:val="000000" w:themeColor="text1"/>
        </w:rPr>
        <w:t xml:space="preserve"> Nazish Shazady</w:t>
      </w:r>
    </w:p>
    <w:p w14:paraId="16B6CB34" w14:textId="2EC15602" w:rsidR="00604A87" w:rsidRPr="00FF5B5D" w:rsidRDefault="00604A87" w:rsidP="4C72D9C6">
      <w:pPr>
        <w:jc w:val="left"/>
        <w:rPr>
          <w:rFonts w:ascii="Arial" w:eastAsia="Arial" w:hAnsi="Arial" w:cs="Arial"/>
          <w:color w:val="000000" w:themeColor="text1"/>
        </w:rPr>
      </w:pPr>
      <w:bookmarkStart w:id="10" w:name="_Int_NX1AwDfC"/>
      <w:r w:rsidRPr="4C72D9C6">
        <w:rPr>
          <w:rFonts w:ascii="Arial" w:eastAsia="Arial" w:hAnsi="Arial" w:cs="Arial"/>
          <w:color w:val="000000" w:themeColor="text1"/>
        </w:rPr>
        <w:t>Date</w:t>
      </w:r>
      <w:r w:rsidR="00500012" w:rsidRPr="4C72D9C6">
        <w:rPr>
          <w:rFonts w:ascii="Arial" w:eastAsia="Arial" w:hAnsi="Arial" w:cs="Arial"/>
          <w:color w:val="000000" w:themeColor="text1"/>
        </w:rPr>
        <w:t xml:space="preserve"> :</w:t>
      </w:r>
      <w:bookmarkEnd w:id="10"/>
      <w:r w:rsidR="00500012" w:rsidRPr="4C72D9C6">
        <w:rPr>
          <w:rFonts w:ascii="Arial" w:eastAsia="Arial" w:hAnsi="Arial" w:cs="Arial"/>
          <w:color w:val="000000" w:themeColor="text1"/>
        </w:rPr>
        <w:t xml:space="preserve"> </w:t>
      </w:r>
      <w:r w:rsidR="00FA33F6" w:rsidRPr="4C72D9C6">
        <w:rPr>
          <w:rFonts w:ascii="Arial" w:eastAsia="Arial" w:hAnsi="Arial" w:cs="Arial"/>
          <w:color w:val="000000" w:themeColor="text1"/>
        </w:rPr>
        <w:t>22/11/2025</w:t>
      </w:r>
    </w:p>
    <w:p w14:paraId="7D9E43A8" w14:textId="77777777" w:rsidR="00604A87" w:rsidRPr="00FF5B5D" w:rsidRDefault="00604A87" w:rsidP="4C72D9C6">
      <w:pPr>
        <w:jc w:val="left"/>
        <w:rPr>
          <w:rFonts w:ascii="Arial" w:eastAsia="Arial" w:hAnsi="Arial" w:cs="Arial"/>
          <w:color w:val="000000" w:themeColor="text1"/>
          <w:kern w:val="32"/>
        </w:rPr>
      </w:pPr>
      <w:r w:rsidRPr="4C72D9C6">
        <w:rPr>
          <w:rFonts w:ascii="Arial" w:eastAsia="Arial" w:hAnsi="Arial" w:cs="Arial"/>
          <w:b/>
          <w:bCs/>
          <w:color w:val="000000" w:themeColor="text1"/>
        </w:rPr>
        <w:t xml:space="preserve">STATEMENT 1 </w:t>
      </w:r>
    </w:p>
    <w:p w14:paraId="189DE0A6" w14:textId="710F2765"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This dissertation is being </w:t>
      </w:r>
      <w:bookmarkStart w:id="11" w:name="_Int_Ifp737S0"/>
      <w:r w:rsidRPr="4C72D9C6">
        <w:rPr>
          <w:rFonts w:ascii="Arial" w:eastAsia="Arial" w:hAnsi="Arial" w:cs="Arial"/>
          <w:color w:val="000000" w:themeColor="text1"/>
        </w:rPr>
        <w:t>submitted</w:t>
      </w:r>
      <w:bookmarkEnd w:id="11"/>
      <w:r w:rsidRPr="4C72D9C6">
        <w:rPr>
          <w:rFonts w:ascii="Arial" w:eastAsia="Arial" w:hAnsi="Arial" w:cs="Arial"/>
          <w:color w:val="000000" w:themeColor="text1"/>
        </w:rPr>
        <w:t xml:space="preserve"> in partial fulfilment of the requirements for the degree of BSc.</w:t>
      </w:r>
    </w:p>
    <w:p w14:paraId="39F661A6" w14:textId="023B5B7C" w:rsidR="00604A87" w:rsidRPr="00FF5B5D" w:rsidRDefault="00FA33F6"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Signed: Nazish </w:t>
      </w:r>
      <w:r w:rsidR="001D5D7F" w:rsidRPr="4C72D9C6">
        <w:rPr>
          <w:rFonts w:ascii="Arial" w:eastAsia="Arial" w:hAnsi="Arial" w:cs="Arial"/>
          <w:color w:val="000000" w:themeColor="text1"/>
        </w:rPr>
        <w:t>Shazady</w:t>
      </w:r>
    </w:p>
    <w:p w14:paraId="21F5E413" w14:textId="1EA98796" w:rsidR="00604A87" w:rsidRPr="00FF5B5D" w:rsidRDefault="001D5D7F" w:rsidP="4C72D9C6">
      <w:pPr>
        <w:jc w:val="left"/>
        <w:rPr>
          <w:rFonts w:ascii="Arial" w:eastAsia="Arial" w:hAnsi="Arial" w:cs="Arial"/>
          <w:color w:val="000000" w:themeColor="text1"/>
        </w:rPr>
      </w:pPr>
      <w:r w:rsidRPr="4C72D9C6">
        <w:rPr>
          <w:rFonts w:ascii="Arial" w:eastAsia="Arial" w:hAnsi="Arial" w:cs="Arial"/>
          <w:color w:val="000000" w:themeColor="text1"/>
        </w:rPr>
        <w:t>Date: 22/11/2025</w:t>
      </w:r>
    </w:p>
    <w:p w14:paraId="713B64B9" w14:textId="77777777" w:rsidR="00604A87" w:rsidRPr="00FF5B5D" w:rsidRDefault="00604A87" w:rsidP="4C72D9C6">
      <w:pPr>
        <w:jc w:val="left"/>
        <w:rPr>
          <w:rFonts w:ascii="Arial" w:eastAsia="Arial" w:hAnsi="Arial" w:cs="Arial"/>
          <w:color w:val="000000" w:themeColor="text1"/>
        </w:rPr>
      </w:pPr>
      <w:r w:rsidRPr="4C72D9C6">
        <w:rPr>
          <w:rFonts w:ascii="Arial" w:eastAsia="Arial" w:hAnsi="Arial" w:cs="Arial"/>
          <w:b/>
          <w:bCs/>
          <w:color w:val="000000" w:themeColor="text1"/>
        </w:rPr>
        <w:t>STATEMENT 2</w:t>
      </w:r>
    </w:p>
    <w:p w14:paraId="4AA5D04A" w14:textId="65BB11AC" w:rsidR="00604A87" w:rsidRPr="00FF5B5D" w:rsidRDefault="00604A87" w:rsidP="4C72D9C6">
      <w:pPr>
        <w:jc w:val="left"/>
        <w:rPr>
          <w:rFonts w:ascii="Arial" w:eastAsia="Arial" w:hAnsi="Arial" w:cs="Arial"/>
          <w:color w:val="000000" w:themeColor="text1"/>
        </w:rPr>
      </w:pPr>
      <w:bookmarkStart w:id="12" w:name="_Int_22bjoS8x"/>
      <w:r w:rsidRPr="4C72D9C6">
        <w:rPr>
          <w:rFonts w:ascii="Arial" w:eastAsia="Arial" w:hAnsi="Arial" w:cs="Arial"/>
          <w:color w:val="000000" w:themeColor="text1"/>
        </w:rPr>
        <w:t xml:space="preserve">This dissertation is the result of my own independent work/investigation, except where otherwise </w:t>
      </w:r>
      <w:bookmarkStart w:id="13" w:name="_Int_3RuZyqjP"/>
      <w:r w:rsidRPr="4C72D9C6">
        <w:rPr>
          <w:rFonts w:ascii="Arial" w:eastAsia="Arial" w:hAnsi="Arial" w:cs="Arial"/>
          <w:color w:val="000000" w:themeColor="text1"/>
        </w:rPr>
        <w:t>stated</w:t>
      </w:r>
      <w:bookmarkEnd w:id="13"/>
      <w:r w:rsidRPr="4C72D9C6">
        <w:rPr>
          <w:rFonts w:ascii="Arial" w:eastAsia="Arial" w:hAnsi="Arial" w:cs="Arial"/>
          <w:color w:val="000000" w:themeColor="text1"/>
        </w:rPr>
        <w:t>.</w:t>
      </w:r>
      <w:bookmarkEnd w:id="12"/>
      <w:r w:rsidRPr="4C72D9C6">
        <w:rPr>
          <w:rFonts w:ascii="Arial" w:eastAsia="Arial" w:hAnsi="Arial" w:cs="Arial"/>
          <w:color w:val="000000" w:themeColor="text1"/>
        </w:rPr>
        <w:t xml:space="preserve"> Other sources </w:t>
      </w:r>
      <w:bookmarkStart w:id="14" w:name="_Int_ipqpZoWd"/>
      <w:r w:rsidRPr="4C72D9C6">
        <w:rPr>
          <w:rFonts w:ascii="Arial" w:eastAsia="Arial" w:hAnsi="Arial" w:cs="Arial"/>
          <w:color w:val="000000" w:themeColor="text1"/>
        </w:rPr>
        <w:t>are acknowledged</w:t>
      </w:r>
      <w:bookmarkEnd w:id="14"/>
      <w:r w:rsidRPr="4C72D9C6">
        <w:rPr>
          <w:rFonts w:ascii="Arial" w:eastAsia="Arial" w:hAnsi="Arial" w:cs="Arial"/>
          <w:color w:val="000000" w:themeColor="text1"/>
        </w:rPr>
        <w:t xml:space="preserve"> by footnotes giving explicit references.  A bibliography </w:t>
      </w:r>
      <w:bookmarkStart w:id="15" w:name="_Int_PdJe0n6Z"/>
      <w:r w:rsidRPr="4C72D9C6">
        <w:rPr>
          <w:rFonts w:ascii="Arial" w:eastAsia="Arial" w:hAnsi="Arial" w:cs="Arial"/>
          <w:color w:val="000000" w:themeColor="text1"/>
        </w:rPr>
        <w:t>is appended</w:t>
      </w:r>
      <w:bookmarkEnd w:id="15"/>
      <w:r w:rsidRPr="4C72D9C6">
        <w:rPr>
          <w:rFonts w:ascii="Arial" w:eastAsia="Arial" w:hAnsi="Arial" w:cs="Arial"/>
          <w:color w:val="000000" w:themeColor="text1"/>
        </w:rPr>
        <w:t>.</w:t>
      </w:r>
    </w:p>
    <w:p w14:paraId="319A31E7" w14:textId="7EAB2E40" w:rsidR="00604A87" w:rsidRPr="00FF5B5D" w:rsidRDefault="001D5D7F" w:rsidP="4C72D9C6">
      <w:pPr>
        <w:jc w:val="left"/>
        <w:rPr>
          <w:rFonts w:ascii="Arial" w:eastAsia="Arial" w:hAnsi="Arial" w:cs="Arial"/>
          <w:color w:val="000000" w:themeColor="text1"/>
        </w:rPr>
      </w:pPr>
      <w:r w:rsidRPr="4C72D9C6">
        <w:rPr>
          <w:rFonts w:ascii="Arial" w:eastAsia="Arial" w:hAnsi="Arial" w:cs="Arial"/>
          <w:color w:val="000000" w:themeColor="text1"/>
        </w:rPr>
        <w:t>Signed: Nazish Shazady</w:t>
      </w:r>
    </w:p>
    <w:p w14:paraId="1CB40FFB" w14:textId="2154C59E" w:rsidR="00604A87" w:rsidRPr="00FF5B5D" w:rsidRDefault="001D5D7F" w:rsidP="4C72D9C6">
      <w:pPr>
        <w:jc w:val="left"/>
        <w:rPr>
          <w:rFonts w:ascii="Arial" w:eastAsia="Arial" w:hAnsi="Arial" w:cs="Arial"/>
          <w:color w:val="000000" w:themeColor="text1"/>
        </w:rPr>
      </w:pPr>
      <w:r w:rsidRPr="4C72D9C6">
        <w:rPr>
          <w:rFonts w:ascii="Arial" w:eastAsia="Arial" w:hAnsi="Arial" w:cs="Arial"/>
          <w:color w:val="000000" w:themeColor="text1"/>
        </w:rPr>
        <w:t>Date: 22/11/2025</w:t>
      </w:r>
    </w:p>
    <w:p w14:paraId="42D5D0C6" w14:textId="77777777" w:rsidR="00604A87" w:rsidRPr="00FF5B5D" w:rsidRDefault="00604A87" w:rsidP="4C72D9C6">
      <w:pPr>
        <w:jc w:val="left"/>
        <w:rPr>
          <w:rFonts w:ascii="Arial" w:eastAsia="Arial" w:hAnsi="Arial" w:cs="Arial"/>
          <w:color w:val="000000" w:themeColor="text1"/>
        </w:rPr>
      </w:pPr>
      <w:r w:rsidRPr="4C72D9C6">
        <w:rPr>
          <w:rFonts w:ascii="Arial" w:eastAsia="Arial" w:hAnsi="Arial" w:cs="Arial"/>
          <w:b/>
          <w:bCs/>
          <w:color w:val="000000" w:themeColor="text1"/>
        </w:rPr>
        <w:t>STATEMENT 3</w:t>
      </w:r>
    </w:p>
    <w:p w14:paraId="4B58546E" w14:textId="61CCB29A"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I hereby give consent for my dissertation, if accepted, to be available for photocopying and for interlibrary loan, and for the title and summary to </w:t>
      </w:r>
      <w:bookmarkStart w:id="16" w:name="_Int_YLYuOVun"/>
      <w:r w:rsidRPr="4C72D9C6">
        <w:rPr>
          <w:rFonts w:ascii="Arial" w:eastAsia="Arial" w:hAnsi="Arial" w:cs="Arial"/>
          <w:color w:val="000000" w:themeColor="text1"/>
        </w:rPr>
        <w:t>be made</w:t>
      </w:r>
      <w:bookmarkEnd w:id="16"/>
      <w:r w:rsidRPr="4C72D9C6">
        <w:rPr>
          <w:rFonts w:ascii="Arial" w:eastAsia="Arial" w:hAnsi="Arial" w:cs="Arial"/>
          <w:color w:val="000000" w:themeColor="text1"/>
        </w:rPr>
        <w:t xml:space="preserve"> available to outside organisations.</w:t>
      </w:r>
    </w:p>
    <w:p w14:paraId="5C25443E" w14:textId="39DCA127" w:rsidR="00604A87" w:rsidRPr="00FF5B5D" w:rsidRDefault="00705ED1" w:rsidP="4C72D9C6">
      <w:pPr>
        <w:jc w:val="left"/>
        <w:rPr>
          <w:rFonts w:ascii="Arial" w:eastAsia="Arial" w:hAnsi="Arial" w:cs="Arial"/>
          <w:color w:val="000000" w:themeColor="text1"/>
        </w:rPr>
      </w:pPr>
      <w:r w:rsidRPr="4C72D9C6">
        <w:rPr>
          <w:rFonts w:ascii="Arial" w:eastAsia="Arial" w:hAnsi="Arial" w:cs="Arial"/>
          <w:color w:val="000000" w:themeColor="text1"/>
        </w:rPr>
        <w:t>Signed: Nazish Shazady</w:t>
      </w:r>
    </w:p>
    <w:p w14:paraId="021196D1" w14:textId="174154E3" w:rsidR="00604A87" w:rsidRPr="00FF5B5D" w:rsidRDefault="00705ED1" w:rsidP="4C72D9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4C72D9C6">
        <w:rPr>
          <w:rFonts w:ascii="Arial" w:eastAsia="Arial" w:hAnsi="Arial" w:cs="Arial"/>
          <w:color w:val="000000" w:themeColor="text1"/>
        </w:rPr>
        <w:t>Date: 22/</w:t>
      </w:r>
      <w:r w:rsidR="00E15A4E" w:rsidRPr="4C72D9C6">
        <w:rPr>
          <w:rFonts w:ascii="Arial" w:eastAsia="Arial" w:hAnsi="Arial" w:cs="Arial"/>
          <w:color w:val="000000" w:themeColor="text1"/>
        </w:rPr>
        <w:t>11/2025</w:t>
      </w:r>
    </w:p>
    <w:p w14:paraId="77D38054" w14:textId="77777777" w:rsidR="00604A87" w:rsidRPr="00FF5B5D" w:rsidRDefault="00604A87" w:rsidP="4C72D9C6">
      <w:pPr>
        <w:jc w:val="left"/>
        <w:rPr>
          <w:rFonts w:ascii="Arial" w:eastAsia="Arial" w:hAnsi="Arial" w:cs="Arial"/>
          <w:b/>
          <w:bCs/>
          <w:color w:val="000000" w:themeColor="text1"/>
        </w:rPr>
      </w:pPr>
      <w:r w:rsidRPr="4C72D9C6">
        <w:rPr>
          <w:rFonts w:ascii="Arial" w:eastAsia="Arial" w:hAnsi="Arial" w:cs="Arial"/>
          <w:b/>
          <w:bCs/>
          <w:color w:val="000000" w:themeColor="text1"/>
        </w:rPr>
        <w:t>STATEMENT 4</w:t>
      </w:r>
    </w:p>
    <w:p w14:paraId="0A15E499" w14:textId="1F9546C0"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I hereby give consent for my dissertation, if accepted, to be available on the university’s IT system to those who have consent to use the system.</w:t>
      </w:r>
    </w:p>
    <w:p w14:paraId="73D7762F" w14:textId="0F96EEC2" w:rsidR="00604A87" w:rsidRPr="00FF5B5D" w:rsidRDefault="00E15A4E" w:rsidP="4C72D9C6">
      <w:pPr>
        <w:jc w:val="left"/>
        <w:rPr>
          <w:rFonts w:ascii="Arial" w:eastAsia="Arial" w:hAnsi="Arial" w:cs="Arial"/>
          <w:color w:val="000000" w:themeColor="text1"/>
        </w:rPr>
      </w:pPr>
      <w:r w:rsidRPr="4C72D9C6">
        <w:rPr>
          <w:rFonts w:ascii="Arial" w:eastAsia="Arial" w:hAnsi="Arial" w:cs="Arial"/>
          <w:color w:val="000000" w:themeColor="text1"/>
        </w:rPr>
        <w:t>Signed: Nazish Shazady</w:t>
      </w:r>
    </w:p>
    <w:p w14:paraId="2BDDE109" w14:textId="152E37F5" w:rsidR="00604A87" w:rsidRPr="00FF5B5D" w:rsidRDefault="00E15A4E" w:rsidP="4C72D9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4C72D9C6">
        <w:rPr>
          <w:rFonts w:ascii="Arial" w:eastAsia="Arial" w:hAnsi="Arial" w:cs="Arial"/>
          <w:color w:val="000000" w:themeColor="text1"/>
        </w:rPr>
        <w:t>Date: 22/11/2025</w:t>
      </w:r>
    </w:p>
    <w:p w14:paraId="324943A4" w14:textId="77777777" w:rsidR="00063B4C" w:rsidRPr="00FF5B5D" w:rsidRDefault="00063B4C" w:rsidP="4C72D9C6">
      <w:pPr>
        <w:jc w:val="left"/>
        <w:rPr>
          <w:rFonts w:ascii="Arial" w:eastAsia="Arial" w:hAnsi="Arial" w:cs="Arial"/>
          <w:color w:val="000000" w:themeColor="text1"/>
        </w:rPr>
      </w:pPr>
    </w:p>
    <w:p w14:paraId="13649F9E" w14:textId="77777777" w:rsidR="00063B4C" w:rsidRPr="00FF5B5D" w:rsidRDefault="00063B4C" w:rsidP="4C72D9C6">
      <w:pPr>
        <w:jc w:val="left"/>
        <w:rPr>
          <w:rFonts w:ascii="Arial" w:eastAsia="Arial" w:hAnsi="Arial" w:cs="Arial"/>
          <w:color w:val="000000" w:themeColor="text1"/>
        </w:rPr>
      </w:pPr>
    </w:p>
    <w:p w14:paraId="4E014F16" w14:textId="77777777" w:rsidR="00995444" w:rsidRPr="00FF5B5D" w:rsidRDefault="00995444" w:rsidP="4C72D9C6">
      <w:pPr>
        <w:jc w:val="left"/>
        <w:rPr>
          <w:rFonts w:ascii="Arial" w:eastAsia="Arial" w:hAnsi="Arial" w:cs="Arial"/>
          <w:b/>
          <w:bCs/>
          <w:color w:val="000000" w:themeColor="text1"/>
        </w:rPr>
      </w:pPr>
    </w:p>
    <w:p w14:paraId="7CE514EB" w14:textId="77777777" w:rsidR="00995444" w:rsidRPr="00FF5B5D" w:rsidRDefault="00995444" w:rsidP="4C72D9C6">
      <w:pPr>
        <w:jc w:val="left"/>
        <w:rPr>
          <w:rFonts w:ascii="Arial" w:eastAsia="Arial" w:hAnsi="Arial" w:cs="Arial"/>
          <w:b/>
          <w:bCs/>
          <w:color w:val="000000" w:themeColor="text1"/>
        </w:rPr>
      </w:pPr>
    </w:p>
    <w:p w14:paraId="6DB122B7" w14:textId="7CF59C90" w:rsidR="00995444" w:rsidRDefault="000561C3" w:rsidP="4C72D9C6">
      <w:pPr>
        <w:jc w:val="left"/>
        <w:rPr>
          <w:rFonts w:ascii="Arial" w:eastAsia="Arial" w:hAnsi="Arial" w:cs="Arial"/>
          <w:b/>
          <w:bCs/>
          <w:color w:val="000000" w:themeColor="text1"/>
        </w:rPr>
      </w:pPr>
      <w:r w:rsidRPr="4C72D9C6">
        <w:rPr>
          <w:rFonts w:ascii="Arial" w:eastAsia="Arial" w:hAnsi="Arial" w:cs="Arial"/>
          <w:b/>
          <w:bCs/>
          <w:color w:val="000000" w:themeColor="text1"/>
        </w:rPr>
        <w:t>Nazish Shazady</w:t>
      </w:r>
    </w:p>
    <w:p w14:paraId="6DEB16DA" w14:textId="03B1FE59" w:rsidR="000561C3" w:rsidRPr="000561C3" w:rsidRDefault="000561C3" w:rsidP="4C72D9C6">
      <w:pPr>
        <w:jc w:val="left"/>
        <w:rPr>
          <w:rFonts w:ascii="Arial" w:eastAsia="Arial" w:hAnsi="Arial" w:cs="Arial"/>
          <w:color w:val="000000" w:themeColor="text1"/>
        </w:rPr>
      </w:pPr>
      <w:r w:rsidRPr="4C72D9C6">
        <w:rPr>
          <w:rFonts w:ascii="Arial" w:eastAsia="Arial" w:hAnsi="Arial" w:cs="Arial"/>
          <w:b/>
          <w:bCs/>
          <w:color w:val="000000" w:themeColor="text1"/>
        </w:rPr>
        <w:t>2224320</w:t>
      </w:r>
    </w:p>
    <w:p w14:paraId="3F8DA723"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b/>
          <w:bCs/>
          <w:i/>
          <w:iCs/>
          <w:color w:val="000000" w:themeColor="text1"/>
        </w:rPr>
      </w:pPr>
    </w:p>
    <w:p w14:paraId="3851CFD8"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00FF5B5D">
        <w:rPr>
          <w:rFonts w:ascii="Arial" w:eastAsia="Arial Unicode MS" w:hAnsi="Arial" w:cs="Arial"/>
          <w:color w:val="000000" w:themeColor="text1"/>
        </w:rPr>
        <w:tab/>
      </w:r>
    </w:p>
    <w:p w14:paraId="359F5B0D"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p>
    <w:p w14:paraId="11885DD2"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p>
    <w:p w14:paraId="2057C793" w14:textId="103D0F80"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bookmarkStart w:id="17" w:name="_Int_CODQvpLq"/>
      <w:r w:rsidRPr="4C72D9C6">
        <w:rPr>
          <w:rFonts w:ascii="Arial" w:eastAsia="Arial" w:hAnsi="Arial" w:cs="Arial"/>
          <w:color w:val="000000" w:themeColor="text1"/>
        </w:rPr>
        <w:t xml:space="preserve">Dissertation </w:t>
      </w:r>
      <w:bookmarkStart w:id="18" w:name="_Int_fCWPQYz7"/>
      <w:r w:rsidRPr="4C72D9C6">
        <w:rPr>
          <w:rFonts w:ascii="Arial" w:eastAsia="Arial" w:hAnsi="Arial" w:cs="Arial"/>
          <w:color w:val="000000" w:themeColor="text1"/>
        </w:rPr>
        <w:t>submitted</w:t>
      </w:r>
      <w:bookmarkEnd w:id="18"/>
      <w:r w:rsidRPr="4C72D9C6">
        <w:rPr>
          <w:rFonts w:ascii="Arial" w:eastAsia="Arial" w:hAnsi="Arial" w:cs="Arial"/>
          <w:color w:val="000000" w:themeColor="text1"/>
        </w:rPr>
        <w:t xml:space="preserve"> as part of the requirements for the award BSc (Hons) Health and Social Care</w:t>
      </w:r>
      <w:bookmarkEnd w:id="17"/>
    </w:p>
    <w:p w14:paraId="03004EEE" w14:textId="77777777" w:rsidR="00063B4C" w:rsidRPr="00FF5B5D" w:rsidRDefault="00063B4C" w:rsidP="4C72D9C6">
      <w:pPr>
        <w:jc w:val="left"/>
        <w:rPr>
          <w:rFonts w:ascii="Arial" w:eastAsia="Arial" w:hAnsi="Arial" w:cs="Arial"/>
          <w:color w:val="000000" w:themeColor="text1"/>
        </w:rPr>
      </w:pPr>
    </w:p>
    <w:p w14:paraId="65358A57" w14:textId="77777777" w:rsidR="00995444" w:rsidRPr="00FF5B5D" w:rsidRDefault="00995444" w:rsidP="4C72D9C6">
      <w:pPr>
        <w:jc w:val="left"/>
        <w:rPr>
          <w:rFonts w:ascii="Arial" w:eastAsia="Arial" w:hAnsi="Arial" w:cs="Arial"/>
          <w:color w:val="000000" w:themeColor="text1"/>
        </w:rPr>
      </w:pPr>
    </w:p>
    <w:p w14:paraId="3E6D1A03" w14:textId="14DC2E21" w:rsidR="00995444" w:rsidRDefault="00995444" w:rsidP="4C72D9C6">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4C72D9C6">
        <w:rPr>
          <w:rFonts w:ascii="Arial" w:eastAsia="Arial" w:hAnsi="Arial" w:cs="Arial"/>
          <w:b/>
          <w:bCs/>
          <w:color w:val="000000" w:themeColor="text1"/>
        </w:rPr>
        <w:t xml:space="preserve">ACKNOWLEDGEMENTS </w:t>
      </w:r>
    </w:p>
    <w:p w14:paraId="3A615786" w14:textId="1CCDA106" w:rsidR="00F4596D" w:rsidRDefault="00F4596D" w:rsidP="4C72D9C6">
      <w:pPr>
        <w:pStyle w:val="p1"/>
        <w:spacing w:line="360" w:lineRule="auto"/>
        <w:rPr>
          <w:rStyle w:val="s1"/>
          <w:rFonts w:ascii="Arial" w:eastAsia="Arial" w:hAnsi="Arial" w:cs="Arial"/>
          <w:sz w:val="22"/>
          <w:szCs w:val="22"/>
        </w:rPr>
      </w:pPr>
      <w:bookmarkStart w:id="19" w:name="_Int_Kt7M0biU"/>
      <w:r w:rsidRPr="4C72D9C6">
        <w:rPr>
          <w:rStyle w:val="s1"/>
          <w:rFonts w:ascii="Arial" w:eastAsia="Arial" w:hAnsi="Arial" w:cs="Arial"/>
          <w:sz w:val="22"/>
          <w:szCs w:val="22"/>
        </w:rPr>
        <w:t>I want to thank everyone who has supported me while working on this dissertation. I am especially grateful to my lecturers at UWTSD for their guidance, feedback, and patience throughout this process.</w:t>
      </w:r>
      <w:bookmarkEnd w:id="19"/>
    </w:p>
    <w:p w14:paraId="73D49EDA" w14:textId="45D446EE" w:rsidR="00F4596D" w:rsidRDefault="00F4596D"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Thank you to my classmates and colleagues as well — our conversations, sharing ideas, and checking in on each other made the workload feel much more manageable.</w:t>
      </w:r>
    </w:p>
    <w:p w14:paraId="0BA32AB9" w14:textId="2DD54D70" w:rsidR="00F4596D" w:rsidRDefault="00F4596D"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A huge thank you to my friends and family for supporting me emotionally, keeping me going, and understanding when I needed space to focus on my work. Their encouragement made all the difference.</w:t>
      </w:r>
    </w:p>
    <w:p w14:paraId="0DAAB55B" w14:textId="77777777" w:rsidR="00F4596D" w:rsidRDefault="00F4596D"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I appreciate everyone who helped me get to the finish line.</w:t>
      </w:r>
    </w:p>
    <w:p w14:paraId="53458E96" w14:textId="77777777" w:rsidR="00F4596D" w:rsidRPr="00FF5B5D" w:rsidRDefault="00F4596D" w:rsidP="4C72D9C6">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p>
    <w:p w14:paraId="40A3E6C2" w14:textId="77777777" w:rsidR="00995444" w:rsidRPr="00FF5B5D" w:rsidRDefault="00995444" w:rsidP="4C72D9C6">
      <w:pPr>
        <w:jc w:val="left"/>
        <w:rPr>
          <w:rFonts w:ascii="Arial" w:eastAsia="Arial" w:hAnsi="Arial" w:cs="Arial"/>
          <w:color w:val="000000" w:themeColor="text1"/>
        </w:rPr>
      </w:pPr>
    </w:p>
    <w:p w14:paraId="7EA8A979" w14:textId="77777777" w:rsidR="0073280B" w:rsidRPr="00FF5B5D" w:rsidRDefault="0073280B" w:rsidP="4C72D9C6">
      <w:pPr>
        <w:jc w:val="left"/>
        <w:rPr>
          <w:rFonts w:ascii="Arial" w:eastAsia="Arial" w:hAnsi="Arial" w:cs="Arial"/>
          <w:color w:val="000000" w:themeColor="text1"/>
        </w:rPr>
      </w:pPr>
    </w:p>
    <w:p w14:paraId="24382F47" w14:textId="77777777" w:rsidR="0073280B" w:rsidRPr="00FF5B5D" w:rsidRDefault="0073280B" w:rsidP="4C72D9C6">
      <w:pPr>
        <w:jc w:val="left"/>
        <w:rPr>
          <w:rFonts w:ascii="Arial" w:eastAsia="Arial" w:hAnsi="Arial" w:cs="Arial"/>
          <w:color w:val="000000" w:themeColor="text1"/>
        </w:rPr>
      </w:pPr>
    </w:p>
    <w:p w14:paraId="16D78A60" w14:textId="00C5A645" w:rsidR="0073280B" w:rsidRPr="00FF5B5D" w:rsidRDefault="0073280B" w:rsidP="4C72D9C6">
      <w:pPr>
        <w:jc w:val="left"/>
        <w:rPr>
          <w:rFonts w:ascii="Arial" w:eastAsia="Arial" w:hAnsi="Arial" w:cs="Arial"/>
          <w:color w:val="000000" w:themeColor="text1"/>
        </w:rPr>
      </w:pPr>
    </w:p>
    <w:p w14:paraId="4775B565" w14:textId="4B52C009" w:rsidR="4C72D9C6" w:rsidRDefault="4C72D9C6" w:rsidP="4C72D9C6">
      <w:pPr>
        <w:jc w:val="left"/>
        <w:rPr>
          <w:rFonts w:ascii="Arial" w:eastAsia="Arial" w:hAnsi="Arial" w:cs="Arial"/>
          <w:color w:val="000000" w:themeColor="text1"/>
        </w:rPr>
      </w:pPr>
    </w:p>
    <w:p w14:paraId="019A2C1E" w14:textId="7EED529B" w:rsidR="0073280B" w:rsidRPr="00252C81" w:rsidRDefault="000B0D9D" w:rsidP="4C72D9C6">
      <w:pPr>
        <w:spacing w:before="100" w:beforeAutospacing="1" w:after="100" w:afterAutospacing="1"/>
        <w:jc w:val="left"/>
        <w:outlineLvl w:val="1"/>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ABSTRACT</w:t>
      </w:r>
    </w:p>
    <w:p w14:paraId="1865B00A" w14:textId="202BF2F0"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This dissertation critically examines how early diagnosis of Attention-Deficit/Hyperactivity Disorder (ADHD) influences the educational performance and classroom behaviour of White British boys aged 5–11 in UK primary schools. The research is grounded in the recognition that ADHD is not only a clinical condition but a major determinant of educational engagement, equity, and long-term wellbeing. The study responds to ongoing concerns around delayed referrals, rising CAMHS waiting times, and persistent inequalities in access to support for children with neurodevelopmental needs.</w:t>
      </w:r>
    </w:p>
    <w:p w14:paraId="17D1A0FB" w14:textId="5E892FD8"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 xml:space="preserve">A systematic literature review </w:t>
      </w:r>
      <w:r w:rsidR="00D92C94" w:rsidRPr="4C72D9C6">
        <w:rPr>
          <w:rStyle w:val="s1"/>
          <w:rFonts w:ascii="Arial" w:eastAsia="Arial" w:hAnsi="Arial" w:cs="Arial"/>
          <w:sz w:val="22"/>
          <w:szCs w:val="22"/>
        </w:rPr>
        <w:t>method</w:t>
      </w:r>
      <w:r w:rsidRPr="4C72D9C6">
        <w:rPr>
          <w:rStyle w:val="s1"/>
          <w:rFonts w:ascii="Arial" w:eastAsia="Arial" w:hAnsi="Arial" w:cs="Arial"/>
          <w:sz w:val="22"/>
          <w:szCs w:val="22"/>
        </w:rPr>
        <w:t xml:space="preserve"> was adopted, drawing on peer-reviewed journals, national guidance, policy documents, and publicly available UK datasets published between 2015 and 2025. Sources were searched, screened, and thematically analysed, guided by a conceptual framework linking early diagnosis to early intervention, improved academic outcomes, and greater emotional stability. The review incorporated a structured approach, including source tracking, critical appraisal, and manual coding to identify dominant themes within contemporary research.</w:t>
      </w:r>
    </w:p>
    <w:p w14:paraId="4DE973B3" w14:textId="6AA85948"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 xml:space="preserve">Four central findings </w:t>
      </w:r>
      <w:r w:rsidR="00D92C94" w:rsidRPr="4C72D9C6">
        <w:rPr>
          <w:rStyle w:val="s1"/>
          <w:rFonts w:ascii="Arial" w:eastAsia="Arial" w:hAnsi="Arial" w:cs="Arial"/>
          <w:sz w:val="22"/>
          <w:szCs w:val="22"/>
        </w:rPr>
        <w:t>appeared</w:t>
      </w:r>
      <w:r w:rsidRPr="4C72D9C6">
        <w:rPr>
          <w:rStyle w:val="s1"/>
          <w:rFonts w:ascii="Arial" w:eastAsia="Arial" w:hAnsi="Arial" w:cs="Arial"/>
          <w:sz w:val="22"/>
          <w:szCs w:val="22"/>
        </w:rPr>
        <w:t>. First, early diagnosis increases the likelihood of improved academic participation, reduced behavioural escalation, and earlier access to targeted support. Second, teacher knowledge and confidence significantly affect how children’s behaviour is interpreted and whether concerns are escalated promptly. Third, multi-agency collaboration—particularly between schools, families, and CAMHS—strengthens the impact of interventions but is inconsistently delivered across regions. Fourth, socio-economic inequalities continue to shape diagnostic opportunities and service access, meaning early identification is not experienced equally by all children.</w:t>
      </w:r>
    </w:p>
    <w:p w14:paraId="30E44B37" w14:textId="432324EF"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Limitations identified include inconsistent data across regions, variations in research quality, and the reliance on secondary evidence. These limitations highlight the need for stronger national data collection and clearer professional training standards.</w:t>
      </w:r>
    </w:p>
    <w:p w14:paraId="412654DF" w14:textId="77777777"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The dissertation concludes by recommending improved teacher training, reduced waiting times through specialist school-based pathways, and stronger multi-agency frameworks to ensure early diagnosis consistently leads to better outcomes. These recommendations aim to inform future policy, practice, education, and research within health and social care.</w:t>
      </w:r>
    </w:p>
    <w:p w14:paraId="4B65C5F3" w14:textId="77777777" w:rsidR="00730C3C" w:rsidRPr="00FF5B5D" w:rsidRDefault="00730C3C" w:rsidP="4C72D9C6">
      <w:pPr>
        <w:jc w:val="left"/>
        <w:rPr>
          <w:rFonts w:ascii="Arial" w:eastAsia="Arial" w:hAnsi="Arial" w:cs="Arial"/>
          <w:color w:val="000000" w:themeColor="text1"/>
        </w:rPr>
      </w:pPr>
    </w:p>
    <w:p w14:paraId="2F774362" w14:textId="5C7FFE65" w:rsidR="00730C3C" w:rsidRPr="00FF5B5D" w:rsidRDefault="00730C3C" w:rsidP="4C72D9C6">
      <w:pPr>
        <w:jc w:val="left"/>
        <w:rPr>
          <w:rFonts w:ascii="Arial" w:eastAsia="Arial" w:hAnsi="Arial" w:cs="Arial"/>
          <w:color w:val="000000" w:themeColor="text1"/>
        </w:rPr>
      </w:pPr>
    </w:p>
    <w:p w14:paraId="15BFA27A" w14:textId="793F0001" w:rsidR="00804B94" w:rsidRPr="00FF5B5D" w:rsidRDefault="00804B94"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Table of Contents</w:t>
      </w:r>
    </w:p>
    <w:p w14:paraId="756C3EE0" w14:textId="5F8F9F2C" w:rsidR="00804B94" w:rsidRPr="00FF5B5D" w:rsidRDefault="00804B94" w:rsidP="4C72D9C6">
      <w:pPr>
        <w:jc w:val="left"/>
        <w:rPr>
          <w:rFonts w:ascii="Arial" w:eastAsia="Arial" w:hAnsi="Arial" w:cs="Arial"/>
          <w:color w:val="000000" w:themeColor="text1"/>
        </w:rPr>
      </w:pPr>
    </w:p>
    <w:p w14:paraId="3EF52184" w14:textId="371A3504" w:rsidR="00804B94" w:rsidRPr="00FF5B5D" w:rsidRDefault="11C23D69" w:rsidP="4C72D9C6">
      <w:pPr>
        <w:jc w:val="left"/>
        <w:rPr>
          <w:rFonts w:ascii="Arial" w:eastAsia="Arial" w:hAnsi="Arial" w:cs="Arial"/>
          <w:color w:val="000000" w:themeColor="text1"/>
        </w:rPr>
      </w:pPr>
      <w:r w:rsidRPr="4C72D9C6">
        <w:rPr>
          <w:rFonts w:ascii="Arial" w:eastAsia="Arial" w:hAnsi="Arial" w:cs="Arial"/>
          <w:color w:val="000000" w:themeColor="text1"/>
        </w:rPr>
        <w:t>CHAPTER 1 – Introduction ................................................................. 6</w:t>
      </w:r>
      <w:r w:rsidR="00804B94">
        <w:br/>
      </w:r>
      <w:r w:rsidRPr="4C72D9C6">
        <w:rPr>
          <w:rFonts w:ascii="Arial" w:eastAsia="Arial" w:hAnsi="Arial" w:cs="Arial"/>
          <w:color w:val="000000" w:themeColor="text1"/>
        </w:rPr>
        <w:t xml:space="preserve"> 1.1 Background and Context ..................................................................... 6</w:t>
      </w:r>
      <w:r w:rsidR="00804B94">
        <w:br/>
      </w:r>
      <w:r w:rsidRPr="4C72D9C6">
        <w:rPr>
          <w:rFonts w:ascii="Arial" w:eastAsia="Arial" w:hAnsi="Arial" w:cs="Arial"/>
          <w:color w:val="000000" w:themeColor="text1"/>
        </w:rPr>
        <w:t xml:space="preserve"> 1.2 Research Problem, Aim and Question ............................................... 7</w:t>
      </w:r>
      <w:r w:rsidR="00804B94">
        <w:br/>
      </w:r>
      <w:r w:rsidRPr="4C72D9C6">
        <w:rPr>
          <w:rFonts w:ascii="Arial" w:eastAsia="Arial" w:hAnsi="Arial" w:cs="Arial"/>
          <w:color w:val="000000" w:themeColor="text1"/>
        </w:rPr>
        <w:t xml:space="preserve"> 1.3 Research Objectives .............................................................................. 8</w:t>
      </w:r>
      <w:r w:rsidR="00804B94">
        <w:br/>
      </w:r>
      <w:r w:rsidRPr="4C72D9C6">
        <w:rPr>
          <w:rFonts w:ascii="Arial" w:eastAsia="Arial" w:hAnsi="Arial" w:cs="Arial"/>
          <w:color w:val="000000" w:themeColor="text1"/>
        </w:rPr>
        <w:t xml:space="preserve"> 1.4 Rationale and Structure of Dissertation ............................................ 9</w:t>
      </w:r>
      <w:r w:rsidR="00804B94">
        <w:br/>
      </w:r>
      <w:r w:rsidRPr="4C72D9C6">
        <w:rPr>
          <w:rFonts w:ascii="Arial" w:eastAsia="Arial" w:hAnsi="Arial" w:cs="Arial"/>
          <w:color w:val="000000" w:themeColor="text1"/>
        </w:rPr>
        <w:t xml:space="preserve"> CHAPTER 2 – Literature Review ......................................................... 11</w:t>
      </w:r>
      <w:r w:rsidR="00804B94">
        <w:br/>
      </w:r>
      <w:r w:rsidRPr="4C72D9C6">
        <w:rPr>
          <w:rFonts w:ascii="Arial" w:eastAsia="Arial" w:hAnsi="Arial" w:cs="Arial"/>
          <w:color w:val="000000" w:themeColor="text1"/>
        </w:rPr>
        <w:t xml:space="preserve"> 2.1 Overview of Literature ......................................................................... 11</w:t>
      </w:r>
      <w:r w:rsidR="00804B94">
        <w:br/>
      </w:r>
      <w:r w:rsidRPr="4C72D9C6">
        <w:rPr>
          <w:rFonts w:ascii="Arial" w:eastAsia="Arial" w:hAnsi="Arial" w:cs="Arial"/>
          <w:color w:val="000000" w:themeColor="text1"/>
        </w:rPr>
        <w:t xml:space="preserve"> 2.2 Key Theoretical Perspectives .............................................................. 12</w:t>
      </w:r>
      <w:r w:rsidR="00804B94">
        <w:br/>
      </w:r>
      <w:r w:rsidRPr="4C72D9C6">
        <w:rPr>
          <w:rFonts w:ascii="Arial" w:eastAsia="Arial" w:hAnsi="Arial" w:cs="Arial"/>
          <w:color w:val="000000" w:themeColor="text1"/>
        </w:rPr>
        <w:t xml:space="preserve"> 2.3 Early Diagnosis and Educational Outcomes ..................................... 13</w:t>
      </w:r>
      <w:r w:rsidR="00804B94">
        <w:br/>
      </w:r>
      <w:r w:rsidRPr="4C72D9C6">
        <w:rPr>
          <w:rFonts w:ascii="Arial" w:eastAsia="Arial" w:hAnsi="Arial" w:cs="Arial"/>
          <w:color w:val="000000" w:themeColor="text1"/>
        </w:rPr>
        <w:t xml:space="preserve"> 2.4 Teacher Awareness, Collaboration and Inequalities ......................... 15</w:t>
      </w:r>
      <w:r w:rsidR="00804B94">
        <w:br/>
      </w:r>
      <w:r w:rsidRPr="4C72D9C6">
        <w:rPr>
          <w:rFonts w:ascii="Arial" w:eastAsia="Arial" w:hAnsi="Arial" w:cs="Arial"/>
          <w:color w:val="000000" w:themeColor="text1"/>
        </w:rPr>
        <w:t xml:space="preserve"> CHAPTER 3 – Methods and Search Strategy .................................. 19</w:t>
      </w:r>
      <w:r w:rsidR="00804B94">
        <w:br/>
      </w:r>
      <w:r w:rsidRPr="4C72D9C6">
        <w:rPr>
          <w:rFonts w:ascii="Arial" w:eastAsia="Arial" w:hAnsi="Arial" w:cs="Arial"/>
          <w:color w:val="000000" w:themeColor="text1"/>
        </w:rPr>
        <w:t xml:space="preserve"> 3.1 Research Approach .............................................................................. 19</w:t>
      </w:r>
      <w:r w:rsidR="00804B94">
        <w:br/>
      </w:r>
      <w:r w:rsidRPr="4C72D9C6">
        <w:rPr>
          <w:rFonts w:ascii="Arial" w:eastAsia="Arial" w:hAnsi="Arial" w:cs="Arial"/>
          <w:color w:val="000000" w:themeColor="text1"/>
        </w:rPr>
        <w:t xml:space="preserve"> 3.2 Search Strategy and Databases Used ............................................... 20</w:t>
      </w:r>
      <w:r w:rsidR="00804B94">
        <w:br/>
      </w:r>
      <w:r w:rsidRPr="4C72D9C6">
        <w:rPr>
          <w:rFonts w:ascii="Arial" w:eastAsia="Arial" w:hAnsi="Arial" w:cs="Arial"/>
          <w:color w:val="000000" w:themeColor="text1"/>
        </w:rPr>
        <w:t xml:space="preserve"> 3.3 Validation, Inclusion/Exclusion Criteria ............................................ 22</w:t>
      </w:r>
      <w:r w:rsidR="00804B94">
        <w:br/>
      </w:r>
      <w:r w:rsidRPr="4C72D9C6">
        <w:rPr>
          <w:rFonts w:ascii="Arial" w:eastAsia="Arial" w:hAnsi="Arial" w:cs="Arial"/>
          <w:color w:val="000000" w:themeColor="text1"/>
        </w:rPr>
        <w:t xml:space="preserve"> 3.4 Thematic Analysis and Ethical Considerations ................................. 24</w:t>
      </w:r>
      <w:r w:rsidR="00804B94">
        <w:br/>
      </w:r>
      <w:r w:rsidRPr="4C72D9C6">
        <w:rPr>
          <w:rFonts w:ascii="Arial" w:eastAsia="Arial" w:hAnsi="Arial" w:cs="Arial"/>
          <w:color w:val="000000" w:themeColor="text1"/>
        </w:rPr>
        <w:t xml:space="preserve"> CHAPTER 4 – Findings and Analysis ................................................. 29</w:t>
      </w:r>
      <w:r w:rsidR="00804B94">
        <w:br/>
      </w:r>
      <w:r w:rsidRPr="4C72D9C6">
        <w:rPr>
          <w:rFonts w:ascii="Arial" w:eastAsia="Arial" w:hAnsi="Arial" w:cs="Arial"/>
          <w:color w:val="000000" w:themeColor="text1"/>
        </w:rPr>
        <w:t xml:space="preserve"> 4.1 Overview of Findings ............................................................................ 29</w:t>
      </w:r>
      <w:r w:rsidR="00804B94">
        <w:br/>
      </w:r>
      <w:r w:rsidRPr="4C72D9C6">
        <w:rPr>
          <w:rFonts w:ascii="Arial" w:eastAsia="Arial" w:hAnsi="Arial" w:cs="Arial"/>
          <w:color w:val="000000" w:themeColor="text1"/>
        </w:rPr>
        <w:t xml:space="preserve"> 4.2 Thematic Analysis ................................................................................ 31</w:t>
      </w:r>
      <w:r w:rsidR="00804B94">
        <w:br/>
      </w:r>
      <w:r w:rsidRPr="4C72D9C6">
        <w:rPr>
          <w:rFonts w:ascii="Arial" w:eastAsia="Arial" w:hAnsi="Arial" w:cs="Arial"/>
          <w:color w:val="000000" w:themeColor="text1"/>
        </w:rPr>
        <w:t xml:space="preserve"> 4.3 Theme 1: Early Diagnosis and Support ............................................. 32</w:t>
      </w:r>
      <w:r w:rsidR="00804B94">
        <w:br/>
      </w:r>
      <w:r w:rsidRPr="4C72D9C6">
        <w:rPr>
          <w:rFonts w:ascii="Arial" w:eastAsia="Arial" w:hAnsi="Arial" w:cs="Arial"/>
          <w:color w:val="000000" w:themeColor="text1"/>
        </w:rPr>
        <w:t xml:space="preserve"> 4.4 Theme 2: Teacher Awareness ............................................................ 37</w:t>
      </w:r>
      <w:r w:rsidR="00804B94">
        <w:br/>
      </w:r>
      <w:r w:rsidRPr="4C72D9C6">
        <w:rPr>
          <w:rFonts w:ascii="Arial" w:eastAsia="Arial" w:hAnsi="Arial" w:cs="Arial"/>
          <w:color w:val="000000" w:themeColor="text1"/>
        </w:rPr>
        <w:t xml:space="preserve"> 4.5 Theme 3: Multi-agency Collaboration ............................................... 42</w:t>
      </w:r>
      <w:r w:rsidR="00804B94">
        <w:br/>
      </w:r>
      <w:r w:rsidRPr="4C72D9C6">
        <w:rPr>
          <w:rFonts w:ascii="Arial" w:eastAsia="Arial" w:hAnsi="Arial" w:cs="Arial"/>
          <w:color w:val="000000" w:themeColor="text1"/>
        </w:rPr>
        <w:t xml:space="preserve"> 4.6 Theme 4: Inequalities .......................................................................... 45</w:t>
      </w:r>
      <w:r w:rsidR="00804B94">
        <w:br/>
      </w:r>
      <w:r w:rsidRPr="4C72D9C6">
        <w:rPr>
          <w:rFonts w:ascii="Arial" w:eastAsia="Arial" w:hAnsi="Arial" w:cs="Arial"/>
          <w:color w:val="000000" w:themeColor="text1"/>
        </w:rPr>
        <w:t xml:space="preserve"> CHAPTER 5 – Discussion ..................................................................... 47</w:t>
      </w:r>
      <w:r w:rsidR="00804B94">
        <w:br/>
      </w:r>
      <w:r w:rsidRPr="4C72D9C6">
        <w:rPr>
          <w:rFonts w:ascii="Arial" w:eastAsia="Arial" w:hAnsi="Arial" w:cs="Arial"/>
          <w:color w:val="000000" w:themeColor="text1"/>
        </w:rPr>
        <w:t xml:space="preserve"> 5.1 Interpretation of Key Findings ............................................................. 47</w:t>
      </w:r>
      <w:r w:rsidR="00804B94">
        <w:br/>
      </w:r>
      <w:r w:rsidRPr="4C72D9C6">
        <w:rPr>
          <w:rFonts w:ascii="Arial" w:eastAsia="Arial" w:hAnsi="Arial" w:cs="Arial"/>
          <w:color w:val="000000" w:themeColor="text1"/>
        </w:rPr>
        <w:t xml:space="preserve"> 5.2 Links to Theory and Policy .................................................................. 48</w:t>
      </w:r>
      <w:r w:rsidR="00804B94">
        <w:br/>
      </w:r>
      <w:r w:rsidRPr="4C72D9C6">
        <w:rPr>
          <w:rFonts w:ascii="Arial" w:eastAsia="Arial" w:hAnsi="Arial" w:cs="Arial"/>
          <w:color w:val="000000" w:themeColor="text1"/>
        </w:rPr>
        <w:t xml:space="preserve"> 5.3 Implications, Limitations and Recommendations .............................. 50</w:t>
      </w:r>
      <w:r w:rsidR="00804B94">
        <w:br/>
      </w:r>
      <w:r w:rsidRPr="4C72D9C6">
        <w:rPr>
          <w:rFonts w:ascii="Arial" w:eastAsia="Arial" w:hAnsi="Arial" w:cs="Arial"/>
          <w:color w:val="000000" w:themeColor="text1"/>
        </w:rPr>
        <w:t xml:space="preserve"> CHAPTER 6 – References and Appendices ...................................... 53</w:t>
      </w:r>
      <w:r w:rsidR="00804B94">
        <w:br/>
      </w:r>
      <w:r w:rsidRPr="4C72D9C6">
        <w:rPr>
          <w:rFonts w:ascii="Arial" w:eastAsia="Arial" w:hAnsi="Arial" w:cs="Arial"/>
          <w:color w:val="000000" w:themeColor="text1"/>
        </w:rPr>
        <w:t xml:space="preserve"> 6.1 References .............................................................................................. 53</w:t>
      </w:r>
      <w:r w:rsidR="00804B94">
        <w:br/>
      </w:r>
      <w:r w:rsidRPr="4C72D9C6">
        <w:rPr>
          <w:rFonts w:ascii="Arial" w:eastAsia="Arial" w:hAnsi="Arial" w:cs="Arial"/>
          <w:color w:val="000000" w:themeColor="text1"/>
        </w:rPr>
        <w:t xml:space="preserve"> 6.2 Appendices (A–C) ................................................................................ 70</w:t>
      </w:r>
    </w:p>
    <w:p w14:paraId="52F0D83D" w14:textId="77777777" w:rsidR="00804B94" w:rsidRPr="00FF5B5D" w:rsidRDefault="00804B94" w:rsidP="4C72D9C6">
      <w:pPr>
        <w:jc w:val="left"/>
        <w:rPr>
          <w:rFonts w:ascii="Arial" w:eastAsia="Arial" w:hAnsi="Arial" w:cs="Arial"/>
          <w:color w:val="000000" w:themeColor="text1"/>
        </w:rPr>
      </w:pPr>
    </w:p>
    <w:p w14:paraId="32038A06" w14:textId="70EF9D52" w:rsidR="4C72D9C6" w:rsidRDefault="4C72D9C6" w:rsidP="4C72D9C6">
      <w:pPr>
        <w:pStyle w:val="Heading1"/>
        <w:spacing w:line="360" w:lineRule="auto"/>
        <w:ind w:left="0"/>
        <w:rPr>
          <w:rFonts w:eastAsia="Arial" w:cs="Arial"/>
          <w:color w:val="000000" w:themeColor="text1"/>
          <w:sz w:val="22"/>
          <w:szCs w:val="22"/>
        </w:rPr>
      </w:pPr>
    </w:p>
    <w:p w14:paraId="4EF8D6E9" w14:textId="7057593E" w:rsidR="4C72D9C6" w:rsidRDefault="4C72D9C6" w:rsidP="4C72D9C6">
      <w:pPr>
        <w:pStyle w:val="Heading1"/>
        <w:spacing w:line="360" w:lineRule="auto"/>
        <w:ind w:left="0"/>
        <w:rPr>
          <w:rFonts w:eastAsia="Arial" w:cs="Arial"/>
          <w:color w:val="000000" w:themeColor="text1"/>
          <w:sz w:val="22"/>
          <w:szCs w:val="22"/>
        </w:rPr>
      </w:pPr>
    </w:p>
    <w:p w14:paraId="1E91DD5F" w14:textId="414952B3" w:rsidR="00BF4FD4" w:rsidRPr="004A6B65" w:rsidRDefault="00730C3C" w:rsidP="4C72D9C6">
      <w:pPr>
        <w:pStyle w:val="Heading1"/>
        <w:spacing w:line="360" w:lineRule="auto"/>
        <w:ind w:left="0"/>
        <w:rPr>
          <w:rFonts w:eastAsia="Arial" w:cs="Arial"/>
          <w:b w:val="0"/>
          <w:sz w:val="22"/>
          <w:szCs w:val="22"/>
        </w:rPr>
      </w:pPr>
      <w:r w:rsidRPr="4C72D9C6">
        <w:rPr>
          <w:rFonts w:eastAsia="Arial" w:cs="Arial"/>
          <w:color w:val="000000" w:themeColor="text1"/>
          <w:sz w:val="22"/>
          <w:szCs w:val="22"/>
        </w:rPr>
        <w:t xml:space="preserve">CHAPTER 1: Introduction </w:t>
      </w:r>
    </w:p>
    <w:p w14:paraId="29AE1779" w14:textId="7BE321DE" w:rsidR="4C72D9C6" w:rsidRDefault="4C72D9C6" w:rsidP="4C72D9C6">
      <w:pPr>
        <w:pStyle w:val="Heading1"/>
        <w:spacing w:line="360" w:lineRule="auto"/>
        <w:ind w:left="0"/>
        <w:rPr>
          <w:rFonts w:eastAsia="Arial" w:cs="Arial"/>
          <w:color w:val="000000" w:themeColor="text1"/>
          <w:sz w:val="22"/>
          <w:szCs w:val="22"/>
        </w:rPr>
      </w:pPr>
    </w:p>
    <w:p w14:paraId="0BB9DED2" w14:textId="78FAEEB1" w:rsidR="00BF4FD4" w:rsidRPr="004A6B65"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 xml:space="preserve">1.1 </w:t>
      </w:r>
      <w:r w:rsidR="007277F1" w:rsidRPr="4C72D9C6">
        <w:rPr>
          <w:rFonts w:ascii="Arial" w:eastAsia="Arial" w:hAnsi="Arial" w:cs="Arial"/>
          <w:b/>
          <w:bCs/>
          <w:kern w:val="0"/>
          <w:lang w:eastAsia="en-GB"/>
          <w14:ligatures w14:val="none"/>
        </w:rPr>
        <w:t>Background Introduction</w:t>
      </w:r>
    </w:p>
    <w:p w14:paraId="1958D346" w14:textId="43BC7452" w:rsidR="00BF4FD4" w:rsidRPr="00BF4FD4"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kern w:val="0"/>
          <w:lang w:eastAsia="en-GB"/>
          <w14:ligatures w14:val="none"/>
        </w:rPr>
        <w:t>Attention-Deficit/Hyperactivity Disorder (ADHD) is a common neurodevelopmental condition that affects children’s learning, behaviour, and social development. It is defined in the Diagnostic and Statistical Manual of Mental Disorders (DSM-5-TR) (APA, 2022) and the International Classification of Diseases (ICD-11) (WHO, 2024) as a persistent pattern of inattention, impulsivity and hyperactivity that interferes with everyday functioning. Large-scale international meta-analyses estimate that approximately 5–8% of school-age children meet diagnostic criteria (Salari et al., 2023; Reuben and Elgaddal, 2024).</w:t>
      </w:r>
    </w:p>
    <w:p w14:paraId="72DDCA64" w14:textId="24AA9E22" w:rsidR="4C72D9C6" w:rsidRDefault="4C72D9C6" w:rsidP="4C72D9C6">
      <w:pPr>
        <w:spacing w:beforeAutospacing="1" w:afterAutospacing="1"/>
        <w:jc w:val="left"/>
        <w:rPr>
          <w:rFonts w:ascii="Arial" w:eastAsia="Arial" w:hAnsi="Arial" w:cs="Arial"/>
          <w:lang w:eastAsia="en-GB"/>
        </w:rPr>
      </w:pPr>
    </w:p>
    <w:p w14:paraId="7FADDECC"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This dissertation examines how early ADHD diagnosis influences educational performance and behaviour among White British boys aged 5–11 in UK primary schools. Boys are diagnosed more frequently than girls, partly because visible hyperactive behaviour often prompts quicker referral (Sayal et al., 2018; Skoglund et al., 2024). Although UK policy encourages early recognition, long Child and Adolescent Mental Health Service (CAMHS) waiting lists—often stretching beyond a year—can delay assessment and increase strain on families (Maciver et al., 2025; NHS England, 2025). Understanding how the timing of diagnosis affects school experiences is therefore essential to supporting children fairly and improving long-term outcomes.</w:t>
      </w:r>
    </w:p>
    <w:p w14:paraId="4C49250E" w14:textId="3E0C9AE4" w:rsidR="00BF4FD4" w:rsidRPr="00BF4FD4" w:rsidRDefault="00BF4FD4" w:rsidP="4C72D9C6">
      <w:pPr>
        <w:spacing w:after="0"/>
        <w:jc w:val="left"/>
        <w:rPr>
          <w:rFonts w:ascii="Arial" w:eastAsia="Arial" w:hAnsi="Arial" w:cs="Arial"/>
          <w:b/>
          <w:bCs/>
          <w:kern w:val="0"/>
          <w:lang w:eastAsia="en-GB"/>
          <w14:ligatures w14:val="none"/>
        </w:rPr>
      </w:pPr>
    </w:p>
    <w:p w14:paraId="63154A55" w14:textId="77777777" w:rsidR="00BF4FD4" w:rsidRPr="00AB2BA2"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1.2 Key Definitions and Terminology</w:t>
      </w:r>
    </w:p>
    <w:p w14:paraId="28E485CA"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ADHD: A neurodevelopmental disorder involving developmentally inappropriate inattention, impulsivity or hyperactivity that significantly affects daily life (APA, 2022; WHO, 2024; NICE, 2018).</w:t>
      </w:r>
    </w:p>
    <w:p w14:paraId="61ED510D"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Early diagnosis: Identification before the end of Key Stage 2 (age 11), in line with the SEND Code of Practice (DfE and DHSC, 2015).</w:t>
      </w:r>
    </w:p>
    <w:p w14:paraId="684B422D"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Educational performance: A pupil’s attainment, progress and engagement with the national curriculum (May et al., 2021).</w:t>
      </w:r>
    </w:p>
    <w:p w14:paraId="2A36AC1D"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Classroom behaviour: Observable conduct such as attention regulation, cooperation, activity level and peer interaction (Ward et al., 2021).</w:t>
      </w:r>
    </w:p>
    <w:p w14:paraId="0E75A05E"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CAMHS: NHS services offering multidisciplinary assessment and treatment for children with mental-health or developmental needs.</w:t>
      </w:r>
    </w:p>
    <w:p w14:paraId="5195E2BB" w14:textId="1E0C541D"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EHCP: A statutory plan introduced by the Children and Families Act 2014 for pupils needing coordinated support across education, </w:t>
      </w:r>
      <w:r w:rsidR="00C408C6" w:rsidRPr="4C72D9C6">
        <w:rPr>
          <w:rFonts w:ascii="Arial" w:eastAsia="Arial" w:hAnsi="Arial" w:cs="Arial"/>
          <w:kern w:val="0"/>
          <w:lang w:eastAsia="en-GB"/>
          <w14:ligatures w14:val="none"/>
        </w:rPr>
        <w:t>health,</w:t>
      </w:r>
      <w:r w:rsidRPr="4C72D9C6">
        <w:rPr>
          <w:rFonts w:ascii="Arial" w:eastAsia="Arial" w:hAnsi="Arial" w:cs="Arial"/>
          <w:kern w:val="0"/>
          <w:lang w:eastAsia="en-GB"/>
          <w14:ligatures w14:val="none"/>
        </w:rPr>
        <w:t xml:space="preserve"> and social care.</w:t>
      </w:r>
    </w:p>
    <w:p w14:paraId="7E27FCB1" w14:textId="6CA304C3" w:rsidR="00BF4FD4" w:rsidRPr="00BF4FD4" w:rsidRDefault="00BF4FD4" w:rsidP="4C72D9C6">
      <w:pPr>
        <w:spacing w:after="0"/>
        <w:jc w:val="left"/>
        <w:rPr>
          <w:rFonts w:ascii="Arial" w:eastAsia="Arial" w:hAnsi="Arial" w:cs="Arial"/>
          <w:kern w:val="0"/>
          <w:lang w:eastAsia="en-GB"/>
          <w14:ligatures w14:val="none"/>
        </w:rPr>
      </w:pPr>
    </w:p>
    <w:p w14:paraId="6C12F925" w14:textId="51BF9F05" w:rsidR="00BF4FD4" w:rsidRPr="00AB2BA2"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1.3 Rationale for the Study</w:t>
      </w:r>
    </w:p>
    <w:p w14:paraId="2EECE43F" w14:textId="3D89605C"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The stage at which ADHD is recognised can shape a child’s whole educational pathway. Late diagnosis is regularly associated with poor literacy progression, repeated sanctions, and diminished self-esteem, </w:t>
      </w:r>
      <w:r w:rsidR="00FE658C" w:rsidRPr="4C72D9C6">
        <w:rPr>
          <w:rFonts w:ascii="Arial" w:eastAsia="Arial" w:hAnsi="Arial" w:cs="Arial"/>
          <w:kern w:val="0"/>
          <w:lang w:eastAsia="en-GB"/>
          <w14:ligatures w14:val="none"/>
        </w:rPr>
        <w:t>while</w:t>
      </w:r>
      <w:r w:rsidRPr="4C72D9C6">
        <w:rPr>
          <w:rFonts w:ascii="Arial" w:eastAsia="Arial" w:hAnsi="Arial" w:cs="Arial"/>
          <w:kern w:val="0"/>
          <w:lang w:eastAsia="en-GB"/>
          <w14:ligatures w14:val="none"/>
        </w:rPr>
        <w:t xml:space="preserve"> early identification allows targeted strategies that strengthen engagement (May et al., 2021).</w:t>
      </w:r>
    </w:p>
    <w:p w14:paraId="50FD1CA1"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p>
    <w:p w14:paraId="4B5369F9" w14:textId="2FE88ED3"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Example 1: A Year 4 boy who frequently calls out may be labelled “disruptive.” Without diagnosis, ongoing sanctions can damage confidence. Once diagnosed, simple adjustments—visual schedules, shorter tasks, and planned movement breaks—can support concentration (NICE, 2018).</w:t>
      </w:r>
    </w:p>
    <w:p w14:paraId="00FFAC39" w14:textId="447BBBFC"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Example 2: A quiet, inattentive pupil may go unnoticed because their difficulties are subtle. A well-trained teacher can initiate early SEND interventions, preventing months of lost learning. This reflects the graduated “assess–plan–do–review” model within the SEND Code of Practice (DfE and DHSC, 2015).</w:t>
      </w:r>
    </w:p>
    <w:p w14:paraId="75DF2415" w14:textId="1D9F3981"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Early intervention is also a statutory expectation. The Equality Act 2010 requires schools to make reasonable adjustments for disabled pupils. The Children and Families Act 2014 emphasises multi-agency collaboration and parental involvement. National health policy—including the NHS Long Term Plan (2019) and the Green Paper on children’s mental health (2017)—prioritises faster access to support.</w:t>
      </w:r>
    </w:p>
    <w:p w14:paraId="7B60B159" w14:textId="2DA3579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However, regional disparities remain. The National Audit Office (2024) highlighted postcode-based inequalities, and the NHS England Independent ADHD Taskforce (2025) reported over 549,000 people waiting for assessment, many of them children. Longer waits correlate with higher family stress and more entrenched behavioural difficulties (Maciver et al., 2025).</w:t>
      </w:r>
    </w:p>
    <w:p w14:paraId="2A540FDF" w14:textId="0890E0CA"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Teacher confidence is another barrier. Many educators report limited training on ADHD and often feel underprepared to manage behavioural differences in mainstream classrooms (Ward et al., 2021; House of Commons Education Committee, 2022). Embedding ADHD knowledge in training programmes could function as an early-screening mechanism, consistent with the Marmot Review (2020), which stresses early intervention to reduce health inequalities.</w:t>
      </w:r>
    </w:p>
    <w:p w14:paraId="4FEE5401" w14:textId="2940B8FA"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Parents </w:t>
      </w:r>
      <w:r w:rsidR="4782082A" w:rsidRPr="4C72D9C6">
        <w:rPr>
          <w:rFonts w:ascii="Arial" w:eastAsia="Arial" w:hAnsi="Arial" w:cs="Arial"/>
          <w:kern w:val="0"/>
          <w:lang w:eastAsia="en-GB"/>
          <w14:ligatures w14:val="none"/>
        </w:rPr>
        <w:t>often</w:t>
      </w:r>
      <w:r w:rsidRPr="4C72D9C6">
        <w:rPr>
          <w:rFonts w:ascii="Arial" w:eastAsia="Arial" w:hAnsi="Arial" w:cs="Arial"/>
          <w:kern w:val="0"/>
          <w:lang w:eastAsia="en-GB"/>
          <w14:ligatures w14:val="none"/>
        </w:rPr>
        <w:t xml:space="preserve"> </w:t>
      </w:r>
      <w:r w:rsidR="7D3A3640" w:rsidRPr="4C72D9C6">
        <w:rPr>
          <w:rFonts w:ascii="Arial" w:eastAsia="Arial" w:hAnsi="Arial" w:cs="Arial"/>
          <w:kern w:val="0"/>
          <w:lang w:eastAsia="en-GB"/>
          <w14:ligatures w14:val="none"/>
        </w:rPr>
        <w:t>show</w:t>
      </w:r>
      <w:r w:rsidRPr="4C72D9C6">
        <w:rPr>
          <w:rFonts w:ascii="Arial" w:eastAsia="Arial" w:hAnsi="Arial" w:cs="Arial"/>
          <w:kern w:val="0"/>
          <w:lang w:eastAsia="en-GB"/>
          <w14:ligatures w14:val="none"/>
        </w:rPr>
        <w:t xml:space="preserve"> concerns before </w:t>
      </w:r>
      <w:r w:rsidR="00FE658C" w:rsidRPr="4C72D9C6">
        <w:rPr>
          <w:rFonts w:ascii="Arial" w:eastAsia="Arial" w:hAnsi="Arial" w:cs="Arial"/>
          <w:kern w:val="0"/>
          <w:lang w:eastAsia="en-GB"/>
          <w14:ligatures w14:val="none"/>
        </w:rPr>
        <w:t>professionals,</w:t>
      </w:r>
      <w:r w:rsidRPr="4C72D9C6">
        <w:rPr>
          <w:rFonts w:ascii="Arial" w:eastAsia="Arial" w:hAnsi="Arial" w:cs="Arial"/>
          <w:kern w:val="0"/>
          <w:lang w:eastAsia="en-GB"/>
          <w14:ligatures w14:val="none"/>
        </w:rPr>
        <w:t xml:space="preserve"> but many describe feeling dismissed or blamed until a diagnosis is confirmed (NAO, 2024). Collaborative home–school relationships help ensure concerns are addressed early, supporting children consistently across settings. This aligns with the family-centred principles of the Care Act 2014 and NICE (2018).</w:t>
      </w:r>
    </w:p>
    <w:p w14:paraId="3E9B5471" w14:textId="0C2C22D7" w:rsidR="00BF4FD4" w:rsidRPr="00386E3C"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By focusing on White British boys aged 5–11, this study explores a group sometimes perceived as “over-identified” with behavioural issues, prompting reflection on fairness and bias within referral pathways. It positions early diagnosis as both an educational priority and a wider social-justice issue.</w:t>
      </w:r>
    </w:p>
    <w:p w14:paraId="3F5BD243" w14:textId="16DDEA5B" w:rsidR="4C72D9C6" w:rsidRDefault="4C72D9C6" w:rsidP="4C72D9C6">
      <w:pPr>
        <w:spacing w:beforeAutospacing="1" w:afterAutospacing="1"/>
        <w:jc w:val="left"/>
        <w:rPr>
          <w:rFonts w:ascii="Arial" w:eastAsia="Arial" w:hAnsi="Arial" w:cs="Arial"/>
          <w:lang w:eastAsia="en-GB"/>
        </w:rPr>
      </w:pPr>
    </w:p>
    <w:p w14:paraId="62E00A88" w14:textId="36BE76A0" w:rsidR="00BF4FD4" w:rsidRPr="00386E3C"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1.4 Aim and Objectives</w:t>
      </w:r>
    </w:p>
    <w:p w14:paraId="4800EC15" w14:textId="77777777" w:rsidR="00BF4FD4" w:rsidRPr="00BF4FD4" w:rsidRDefault="00BF4FD4" w:rsidP="4C72D9C6">
      <w:pPr>
        <w:spacing w:before="100" w:beforeAutospacing="1" w:after="100" w:afterAutospacing="1"/>
        <w:jc w:val="left"/>
        <w:rPr>
          <w:rFonts w:ascii="Arial" w:eastAsia="Arial" w:hAnsi="Arial" w:cs="Arial"/>
          <w:i/>
          <w:iCs/>
          <w:kern w:val="0"/>
          <w:lang w:eastAsia="en-GB"/>
          <w14:ligatures w14:val="none"/>
        </w:rPr>
      </w:pPr>
      <w:r w:rsidRPr="4C72D9C6">
        <w:rPr>
          <w:rFonts w:ascii="Arial" w:eastAsia="Arial" w:hAnsi="Arial" w:cs="Arial"/>
          <w:i/>
          <w:iCs/>
          <w:kern w:val="0"/>
          <w:lang w:eastAsia="en-GB"/>
          <w14:ligatures w14:val="none"/>
        </w:rPr>
        <w:t>Aim:</w:t>
      </w:r>
    </w:p>
    <w:p w14:paraId="666DB1F3"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To investigate how early ADHD diagnosis influences educational performance and classroom behaviour among White British boys aged 5–11 in UK primary schools, and to evaluate how timely multi-agency support improves outcomes.</w:t>
      </w:r>
    </w:p>
    <w:p w14:paraId="1950ACB1"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p>
    <w:p w14:paraId="46FDCDFA" w14:textId="77777777" w:rsidR="00BF4FD4" w:rsidRPr="00BF4FD4" w:rsidRDefault="00BF4FD4" w:rsidP="4C72D9C6">
      <w:pPr>
        <w:spacing w:before="100" w:beforeAutospacing="1" w:after="100" w:afterAutospacing="1"/>
        <w:jc w:val="left"/>
        <w:rPr>
          <w:rFonts w:ascii="Arial" w:eastAsia="Arial" w:hAnsi="Arial" w:cs="Arial"/>
          <w:i/>
          <w:iCs/>
          <w:kern w:val="0"/>
          <w:lang w:eastAsia="en-GB"/>
          <w14:ligatures w14:val="none"/>
        </w:rPr>
      </w:pPr>
      <w:r w:rsidRPr="4C72D9C6">
        <w:rPr>
          <w:rFonts w:ascii="Arial" w:eastAsia="Arial" w:hAnsi="Arial" w:cs="Arial"/>
          <w:i/>
          <w:iCs/>
          <w:kern w:val="0"/>
          <w:lang w:eastAsia="en-GB"/>
          <w14:ligatures w14:val="none"/>
        </w:rPr>
        <w:t>Objectives:</w:t>
      </w:r>
    </w:p>
    <w:p w14:paraId="11D3DB32"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Describe ADHD symptom patterns and referral trends among boys aged 5–11 (Sayal et al., 2018; Skoglund et al., 2024).</w:t>
      </w:r>
    </w:p>
    <w:p w14:paraId="078CCBCF"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Analyse UK waiting-time inequalities and barriers within CAMHS (Maciver et al., 2025; NHS England, 2025).</w:t>
      </w:r>
    </w:p>
    <w:p w14:paraId="3F7371FB" w14:textId="24CF6BFB"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Assess links between early diagnosis, </w:t>
      </w:r>
      <w:r w:rsidR="00221C48" w:rsidRPr="4C72D9C6">
        <w:rPr>
          <w:rFonts w:ascii="Arial" w:eastAsia="Arial" w:hAnsi="Arial" w:cs="Arial"/>
          <w:kern w:val="0"/>
          <w:lang w:eastAsia="en-GB"/>
          <w14:ligatures w14:val="none"/>
        </w:rPr>
        <w:t>attainment,</w:t>
      </w:r>
      <w:r w:rsidRPr="4C72D9C6">
        <w:rPr>
          <w:rFonts w:ascii="Arial" w:eastAsia="Arial" w:hAnsi="Arial" w:cs="Arial"/>
          <w:kern w:val="0"/>
          <w:lang w:eastAsia="en-GB"/>
          <w14:ligatures w14:val="none"/>
        </w:rPr>
        <w:t xml:space="preserve"> and behaviour (May et al., 2021).</w:t>
      </w:r>
    </w:p>
    <w:p w14:paraId="4AE88359"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Critically evaluate legislation and policy relating to early identification (Equality Act 2010; Children and Families Act 2014; DfE and DHSC, 2015; NICE, 2018).</w:t>
      </w:r>
    </w:p>
    <w:p w14:paraId="5503CD04"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Recommend strategies to strengthen school-based and family-centred support.</w:t>
      </w:r>
    </w:p>
    <w:p w14:paraId="0DDCEA92" w14:textId="564B4589" w:rsidR="00BF4FD4" w:rsidRPr="00BF4FD4" w:rsidRDefault="00BF4FD4" w:rsidP="4C72D9C6">
      <w:pPr>
        <w:spacing w:after="0"/>
        <w:jc w:val="left"/>
        <w:rPr>
          <w:rFonts w:ascii="Arial" w:eastAsia="Arial" w:hAnsi="Arial" w:cs="Arial"/>
          <w:kern w:val="0"/>
          <w:lang w:eastAsia="en-GB"/>
          <w14:ligatures w14:val="none"/>
        </w:rPr>
      </w:pPr>
    </w:p>
    <w:p w14:paraId="2D5EEF47" w14:textId="553421F4" w:rsidR="00BF4FD4" w:rsidRPr="00097F97"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1.5 Conclusion</w:t>
      </w:r>
    </w:p>
    <w:p w14:paraId="73300B70" w14:textId="433C2BCD"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This chapter introduced ADHD and explained why early identification is crucial for children’s learning and wellbeing. It outlined core terminology, summarised DSM-5-TR and ICD-11 </w:t>
      </w:r>
      <w:r w:rsidR="00221C48" w:rsidRPr="4C72D9C6">
        <w:rPr>
          <w:rFonts w:ascii="Arial" w:eastAsia="Arial" w:hAnsi="Arial" w:cs="Arial"/>
          <w:kern w:val="0"/>
          <w:lang w:eastAsia="en-GB"/>
          <w14:ligatures w14:val="none"/>
        </w:rPr>
        <w:t>criteria and</w:t>
      </w:r>
      <w:r w:rsidRPr="4C72D9C6">
        <w:rPr>
          <w:rFonts w:ascii="Arial" w:eastAsia="Arial" w:hAnsi="Arial" w:cs="Arial"/>
          <w:kern w:val="0"/>
          <w:lang w:eastAsia="en-GB"/>
          <w14:ligatures w14:val="none"/>
        </w:rPr>
        <w:t xml:space="preserve"> reviewed the role of legislation such as the Equality Act 2010, Children and Families Act </w:t>
      </w:r>
      <w:r w:rsidR="00221C48" w:rsidRPr="4C72D9C6">
        <w:rPr>
          <w:rFonts w:ascii="Arial" w:eastAsia="Arial" w:hAnsi="Arial" w:cs="Arial"/>
          <w:kern w:val="0"/>
          <w:lang w:eastAsia="en-GB"/>
          <w14:ligatures w14:val="none"/>
        </w:rPr>
        <w:t>2014 and</w:t>
      </w:r>
      <w:r w:rsidRPr="4C72D9C6">
        <w:rPr>
          <w:rFonts w:ascii="Arial" w:eastAsia="Arial" w:hAnsi="Arial" w:cs="Arial"/>
          <w:kern w:val="0"/>
          <w:lang w:eastAsia="en-GB"/>
          <w14:ligatures w14:val="none"/>
        </w:rPr>
        <w:t xml:space="preserve"> SEND Code of Practice (2015) in promoting timely support. It also highlighted the importance of teacher awareness and parental involvement in recognising early signs.</w:t>
      </w:r>
    </w:p>
    <w:p w14:paraId="1533C798"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Despite national frameworks, uneven training, limited parental voice and long waiting times continue to restrict access to early intervention. By connecting early diagnosis to broader social-justice principles, ADHD is positioned not only as a medical condition but as a marker of how inclusive and responsive the education system is.</w:t>
      </w:r>
    </w:p>
    <w:p w14:paraId="7E7CC817"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The next chapter builds on this foundation by exploring historical, theoretical and international perspectives on ADHD and early intervention</w:t>
      </w:r>
    </w:p>
    <w:p w14:paraId="0874A53D" w14:textId="77777777" w:rsidR="008A30D2" w:rsidRPr="00BF4FD4" w:rsidRDefault="008A30D2" w:rsidP="4C72D9C6">
      <w:pPr>
        <w:pStyle w:val="Heading1"/>
        <w:spacing w:line="360" w:lineRule="auto"/>
        <w:ind w:left="0"/>
        <w:rPr>
          <w:rFonts w:eastAsia="Arial" w:cs="Arial"/>
          <w:b w:val="0"/>
          <w:color w:val="000000" w:themeColor="text1"/>
          <w:sz w:val="22"/>
          <w:szCs w:val="22"/>
        </w:rPr>
      </w:pPr>
    </w:p>
    <w:p w14:paraId="299ECF2A" w14:textId="77777777" w:rsidR="0010749A" w:rsidRPr="003E1AE6" w:rsidRDefault="0010749A"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Chapter 2 – Background and Literature Review</w:t>
      </w:r>
    </w:p>
    <w:p w14:paraId="4C7E5061" w14:textId="77777777" w:rsidR="0010749A" w:rsidRPr="003E1AE6" w:rsidRDefault="0010749A"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 </w:t>
      </w:r>
    </w:p>
    <w:p w14:paraId="24DE7614" w14:textId="77777777" w:rsidR="0010749A" w:rsidRP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2.1 Introduction</w:t>
      </w:r>
    </w:p>
    <w:p w14:paraId="056492C5" w14:textId="41ACF1F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Building on the earlier discussion, this section provides the background and critical context for understanding how early ADHD diagnosis affects educational outcomes. The aim is to explore the historical development of ADHD as a recognised condition, examine key</w:t>
      </w:r>
      <w:r w:rsidR="00736E31"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theoretical explanations of its causes and management, and evaluate both international and UK policy frameworks that shape early assessment and support for primary-aged children.</w:t>
      </w:r>
    </w:p>
    <w:p w14:paraId="3DE8CC79" w14:textId="77777777" w:rsidR="00BD1C73" w:rsidRPr="0010749A" w:rsidRDefault="00BD1C73" w:rsidP="4C72D9C6">
      <w:pPr>
        <w:pStyle w:val="Heading1"/>
        <w:spacing w:line="360" w:lineRule="auto"/>
        <w:ind w:left="0"/>
        <w:rPr>
          <w:rFonts w:eastAsia="Arial" w:cs="Arial"/>
          <w:b w:val="0"/>
          <w:color w:val="000000" w:themeColor="text1"/>
          <w:sz w:val="22"/>
          <w:szCs w:val="22"/>
        </w:rPr>
      </w:pPr>
    </w:p>
    <w:p w14:paraId="3EDEAA17" w14:textId="77777777" w:rsidR="00BD1C73"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ADHD has been widely researched for decades, yet disagreement still exists about its aetiology, presentation, and best methods of intervention (Faraone et al., 2021; Thapar &amp; Cooper, 2016). Early descriptions, such as those by George Still (1902), framed it as a behavioural or moral problem rather than a neurodevelopmental one (Cooper, 2001).</w:t>
      </w:r>
    </w:p>
    <w:p w14:paraId="68C200E0" w14:textId="407711C6" w:rsidR="4C72D9C6" w:rsidRDefault="4C72D9C6" w:rsidP="4C72D9C6">
      <w:pPr>
        <w:pStyle w:val="Heading1"/>
        <w:spacing w:line="360" w:lineRule="auto"/>
        <w:ind w:left="0"/>
        <w:rPr>
          <w:rFonts w:eastAsia="Arial" w:cs="Arial"/>
          <w:b w:val="0"/>
          <w:color w:val="000000" w:themeColor="text1"/>
          <w:sz w:val="22"/>
          <w:szCs w:val="22"/>
        </w:rPr>
      </w:pPr>
    </w:p>
    <w:p w14:paraId="7E5F3733" w14:textId="4BA83FFC" w:rsidR="0010749A" w:rsidRDefault="250BAB9F"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 </w:t>
      </w:r>
      <w:r w:rsidR="0010749A" w:rsidRPr="4C72D9C6">
        <w:rPr>
          <w:rFonts w:eastAsia="Arial" w:cs="Arial"/>
          <w:b w:val="0"/>
          <w:color w:val="000000" w:themeColor="text1"/>
          <w:sz w:val="22"/>
          <w:szCs w:val="22"/>
        </w:rPr>
        <w:t>Modern evidence finds ADHD as a complex neurodevelopmental disorder influenced by genetic, neurological, and psychosocial factors (Cortese et al., 2023; Nigg, 2017). Understanding how these perspectives evolved is essential to appreciating why early diagnosis now holds a convenient place in UK policy and practice, reflected in the NICE Guideline NG87 (2018) and the SEND Code of Practice (DfE &amp; DHSC, 2015), both emphasising early identification and coordinated support.</w:t>
      </w:r>
    </w:p>
    <w:p w14:paraId="7C8DD365" w14:textId="2827FBC9" w:rsidR="0010749A" w:rsidRDefault="0010749A" w:rsidP="4C72D9C6">
      <w:pPr>
        <w:pStyle w:val="Heading1"/>
        <w:spacing w:line="360" w:lineRule="auto"/>
        <w:ind w:left="0"/>
        <w:rPr>
          <w:rFonts w:eastAsia="Arial" w:cs="Arial"/>
          <w:b w:val="0"/>
          <w:color w:val="000000" w:themeColor="text1"/>
          <w:sz w:val="22"/>
          <w:szCs w:val="22"/>
        </w:rPr>
      </w:pPr>
    </w:p>
    <w:p w14:paraId="25D5A31A" w14:textId="3EA8C118"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This chapter therefore brings together a range of evidence from peer-reviewed studies, policy documents, and international guidelines. It draws on major diagnostic frameworks—DSM-5-TR (APA, 2022) and ICD-11 (WHO, 2024 online browser)—to define the disorder and critically analyse how conceptual changes have influenced assessment practice. It also reviews contemporary theories explaining ADHD, from biological and cognitive models to environmental and psychosocial approaches, showing how each contributes to current understanding of children’s needs.</w:t>
      </w:r>
    </w:p>
    <w:p w14:paraId="31F50839" w14:textId="77777777" w:rsidR="003E1AE6" w:rsidRPr="0010749A" w:rsidRDefault="003E1AE6" w:rsidP="4C72D9C6">
      <w:pPr>
        <w:pStyle w:val="Heading1"/>
        <w:spacing w:line="360" w:lineRule="auto"/>
        <w:ind w:left="0"/>
        <w:rPr>
          <w:rFonts w:eastAsia="Arial" w:cs="Arial"/>
          <w:b w:val="0"/>
          <w:color w:val="000000" w:themeColor="text1"/>
          <w:sz w:val="22"/>
          <w:szCs w:val="22"/>
        </w:rPr>
      </w:pPr>
    </w:p>
    <w:p w14:paraId="0FDEF4CA"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chapter concludes by examining international research on best practice for early identification and the UK’s own legislative and policy landscape, including the Equality Act 2010, the Children and Families Act 2014, the SEND Code of Practice 2015, and NICE Guideline NG87 (2018). Together, these sections set the groundwork for analysing how policy translates into classroom realities for White British boys in UK primary schools.</w:t>
      </w:r>
    </w:p>
    <w:p w14:paraId="7761A2C6" w14:textId="77777777" w:rsidR="0010749A" w:rsidRPr="0010749A" w:rsidRDefault="0010749A" w:rsidP="4C72D9C6">
      <w:pPr>
        <w:pStyle w:val="Heading1"/>
        <w:spacing w:line="360" w:lineRule="auto"/>
        <w:ind w:left="0"/>
        <w:rPr>
          <w:rFonts w:eastAsia="Arial" w:cs="Arial"/>
          <w:b w:val="0"/>
          <w:color w:val="000000" w:themeColor="text1"/>
          <w:sz w:val="22"/>
          <w:szCs w:val="22"/>
        </w:rPr>
      </w:pPr>
    </w:p>
    <w:p w14:paraId="4607C10B" w14:textId="0B2FE32B" w:rsidR="00403A1A" w:rsidRP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2.2 Historical Background</w:t>
      </w:r>
    </w:p>
    <w:p w14:paraId="7E25CF0B"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understanding of Attention-Deficit/Hyperactivity Disorder (ADHD) has evolved through more than a century of psychological and educational research. The earliest reference dates to 1902, when British paediatrician Sir George Still described children who were intelligent but displayed “defective moral control” (Still, 1902; Lange et al., 2010; Mahone &amp; Denckla, 2017). For much of the early twentieth century, such behaviour was attributed to poor discipline or inadequate parenting rather than recognised as a developmental difference. The terminology also changed repeatedly, from “minimal brain dysfunction” in the 1940s to “hyperkinetic reaction of childhood” in the 1960s, reflecting shifting ideas about whether ADHD was neurological, behavioural, or social in origin.</w:t>
      </w:r>
    </w:p>
    <w:p w14:paraId="717F0C4D" w14:textId="77777777" w:rsidR="00736E31" w:rsidRPr="0010749A" w:rsidRDefault="00736E31" w:rsidP="4C72D9C6">
      <w:pPr>
        <w:pStyle w:val="Heading1"/>
        <w:spacing w:line="360" w:lineRule="auto"/>
        <w:ind w:left="0"/>
        <w:rPr>
          <w:rFonts w:eastAsia="Arial" w:cs="Arial"/>
          <w:b w:val="0"/>
          <w:color w:val="000000" w:themeColor="text1"/>
          <w:sz w:val="22"/>
          <w:szCs w:val="22"/>
        </w:rPr>
      </w:pPr>
    </w:p>
    <w:p w14:paraId="0B84CBDD"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By the late twentieth century, increasing awareness of neurodevelopmental diversity led to ADHD being reframed as a psychological and educational concern rather than a moral one.</w:t>
      </w:r>
    </w:p>
    <w:p w14:paraId="42C951DA"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008DA24C" w14:textId="378F30B4"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Research from developmental psychopathology highlighted links between early attachment, emotional regulation, and behavioural control (Bowlby, 1969; You et al., 2025). Theories of temperament and impulsivity (Al Barathie et al., 202</w:t>
      </w:r>
      <w:r w:rsidR="55B3D9C0" w:rsidRPr="4C72D9C6">
        <w:rPr>
          <w:rFonts w:eastAsia="Arial" w:cs="Arial"/>
          <w:b w:val="0"/>
          <w:color w:val="000000" w:themeColor="text1"/>
          <w:sz w:val="22"/>
          <w:szCs w:val="22"/>
        </w:rPr>
        <w:t>4</w:t>
      </w:r>
      <w:r w:rsidRPr="4C72D9C6">
        <w:rPr>
          <w:rFonts w:eastAsia="Arial" w:cs="Arial"/>
          <w:b w:val="0"/>
          <w:color w:val="000000" w:themeColor="text1"/>
          <w:sz w:val="22"/>
          <w:szCs w:val="22"/>
        </w:rPr>
        <w:t>; Gomez et al., 2025) expanded this understanding, showing that inherited traits interact with environmental stressors such as inconsistent boundaries or family conflict. Such findings helped confirm ADHD as a multifactorial condition, integrating psychological, social, and contextual factors.</w:t>
      </w:r>
    </w:p>
    <w:p w14:paraId="3AAC2688"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5497FC4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the United Kingdom, recognition of ADHD within policy and education systems accelerated in the 1990s and early 2000s. The Education Act 1996 laid the foundation for finding and supporting pupils with special educational needs, and the Children and Families Act 2014 later introduced Education, Health, and Care Plans to formalise multi-agency collaboration. NICE guidance (2008; updated 2018) standardised clinical pathways and promoted early behavioural and parental interventions. However, studies suggest that early-life stress, deprivation, and parental mental health continue to shape ADHD presentation and outcomes (Srivastava et al., 2025; Bertelsen &amp; Håland, 2025).</w:t>
      </w:r>
    </w:p>
    <w:p w14:paraId="65D26233"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65B4F765"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Over time, understanding has shifted from simply describing behavioural symptoms to exploring the psychological and developmental mechanisms that underlie them. This evolution provides the foundation for the theoretical perspectives discussed in the following section.</w:t>
      </w:r>
    </w:p>
    <w:p w14:paraId="6A83C251" w14:textId="77777777" w:rsidR="0010749A" w:rsidRPr="0010749A" w:rsidRDefault="0010749A" w:rsidP="4C72D9C6">
      <w:pPr>
        <w:pStyle w:val="Heading1"/>
        <w:spacing w:line="360" w:lineRule="auto"/>
        <w:ind w:left="0"/>
        <w:rPr>
          <w:rFonts w:eastAsia="Arial" w:cs="Arial"/>
          <w:b w:val="0"/>
          <w:color w:val="000000" w:themeColor="text1"/>
          <w:sz w:val="22"/>
          <w:szCs w:val="22"/>
        </w:rPr>
      </w:pPr>
    </w:p>
    <w:p w14:paraId="5BC29B74" w14:textId="77777777" w:rsid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2.3 Theoretical Background</w:t>
      </w:r>
    </w:p>
    <w:p w14:paraId="53D29EE9" w14:textId="17A5AD91"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Psychological and developmental theories provide essential frameworks for understanding ADHD and guiding early intervention. They help explain how attention and behavioural difficulties develop and why early, multi-agency identification is crucial for children’s learning and wellbeing.</w:t>
      </w:r>
    </w:p>
    <w:p w14:paraId="5F76180F"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52272E74" w14:textId="33E1D9E0"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Biopsychosocial Model (Engel, 1977) stays one of the most comprehensive approaches. It proposes that biological predispositions, psychological patterns, and social environments interact to produce symptoms of inattention and impulsivity. Rather than viewing ADHD solely as a behavioural issue, this model highlights how family stress, emotional regulation, and classroom context contribute to symptom severity. Studies show that persistent negative thought patterns and high emotional reactivity can reinforce inattentive behaviours (Mattioni et al., 2025; Al Barathie et al., 202</w:t>
      </w:r>
      <w:r w:rsidR="6AD0A962" w:rsidRPr="4C72D9C6">
        <w:rPr>
          <w:rFonts w:eastAsia="Arial" w:cs="Arial"/>
          <w:b w:val="0"/>
          <w:color w:val="000000" w:themeColor="text1"/>
          <w:sz w:val="22"/>
          <w:szCs w:val="22"/>
        </w:rPr>
        <w:t>4</w:t>
      </w:r>
      <w:r w:rsidRPr="4C72D9C6">
        <w:rPr>
          <w:rFonts w:eastAsia="Arial" w:cs="Arial"/>
          <w:b w:val="0"/>
          <w:color w:val="000000" w:themeColor="text1"/>
          <w:sz w:val="22"/>
          <w:szCs w:val="22"/>
        </w:rPr>
        <w:t>), suggesting that early interventions must address both cognitive and social elements.</w:t>
      </w:r>
    </w:p>
    <w:p w14:paraId="3BD9F19A"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442E01DD"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Bronfenbrenner’s Ecological Systems Theory (1979) expands this understanding by emphasising the importance of a child’s surrounding environments. Development occurs within interconnected systems—from home and school to wider community and policy structures. Effective early assessment relies on strong collaboration between these layers: teachers recognising emerging patterns, parents offering insight into home behaviour, and professionals providing consistent strategies (Mohammed et al., 2025). When these systems communicate well, identification is quicker and interventions more effective (Uygun et al., 2025).</w:t>
      </w:r>
    </w:p>
    <w:p w14:paraId="1C13D8E4"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340A607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Attachment Theory (Bowlby, 1969) provides a psychological lens for understanding emotional and behavioural regulation. Bowlby proposed that early caregiver relationships shape children’s ability to manage stress and attention. Insecure or inconsistent attachments can lead to impulsive or hyperactive responses that mimic or intensify ADHD symptoms (Storebø et al., 2016; Wylock et al., 2021). For instance, boys experiencing emotional neglect or inconsistent discipline may act out in class not because of defiance, but as a response to unmet attachment needs (You et al., 2025). Recognising these emotional patterns helps professionals differentiate between behavioural conditions and relational distress.</w:t>
      </w:r>
    </w:p>
    <w:p w14:paraId="4C5326A9"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0D228AC6"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Finally, Developmental Psychopathology Theory (Cicchetti &amp; Rogosch, 2002) explains how early life experiences influence later adjustment. It views ADHD as a developmental trajectory shaped by multiple risk and protective factors, including temperament, family conflict, and school environment. Research by Gomez et al. (2025) and Wang et al. (2025) highlights that early intervention and stable support can alter these trajectories, reducing the risk of secondary difficulties such as anxiety or oppositional behaviour.</w:t>
      </w:r>
    </w:p>
    <w:p w14:paraId="4C9742DE"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0132787E"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Together, these frameworks show that ADHD arises from the interaction of emotional, cognitive, and social processes. Each theory contributes a distinct perspective—from how relationships shape self-control to how community systems influence behaviour.</w:t>
      </w:r>
    </w:p>
    <w:p w14:paraId="5DC05CE0"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084533D9" w14:textId="6E5C7BDB"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Contemporary research supports this integrated view, emphasising that no single model can explain ADHD without considering the wider context of family, school, and social interaction (NICE, 2018; Skirrow et al., 2025). Studies on developmental psychopathology and temperament further highlight the protective role of stable relationships and consistent boundaries in reducing hyperactivity and emotional dysregulation (Al Barathie et al., 202</w:t>
      </w:r>
      <w:r w:rsidR="6454D82F" w:rsidRPr="4C72D9C6">
        <w:rPr>
          <w:rFonts w:eastAsia="Arial" w:cs="Arial"/>
          <w:b w:val="0"/>
          <w:color w:val="000000" w:themeColor="text1"/>
          <w:sz w:val="22"/>
          <w:szCs w:val="22"/>
        </w:rPr>
        <w:t>4</w:t>
      </w:r>
      <w:r w:rsidRPr="4C72D9C6">
        <w:rPr>
          <w:rFonts w:eastAsia="Arial" w:cs="Arial"/>
          <w:b w:val="0"/>
          <w:color w:val="000000" w:themeColor="text1"/>
          <w:sz w:val="22"/>
          <w:szCs w:val="22"/>
        </w:rPr>
        <w:t>; Gomez et al., 2025). Combined, these findings point towards a holistic understanding in which early identification depends on cooperation between families, educators, and mental-health professionals. This integrated perspective bridges theory and practice, reinforcing the UK’s broader commitment to inclusion, equality, and early intervention.</w:t>
      </w:r>
    </w:p>
    <w:p w14:paraId="61E2B68A"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w:t>
      </w:r>
    </w:p>
    <w:p w14:paraId="007975C2" w14:textId="1459325F" w:rsidR="00F81121"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2.4 International Context</w:t>
      </w:r>
    </w:p>
    <w:p w14:paraId="7A95EBE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Across the global stage, approaches to ADHD reflect how societies balance inclusion, early support, and mental-health priorities. The WHO’s Comprehensive Mental Health Action Plan 2013–2030 promotes integration of mental health into education and early intervention frameworks (WHO, 2021). Differences in resources, cultural stigma, and health systems mean no universal model fits all, but patterns appear from comparative study.</w:t>
      </w:r>
    </w:p>
    <w:p w14:paraId="74DEE599"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6486F692"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many European countries, ADHD is seen increasingly through developmental and social lenses. For instance, Scandinavian nations emphasise early observation, emotional regulation training and collaboration between schools, psychologists, and families (Bertelsen &amp; Håland, 2025). Such systems embed coordination across ecological levels, enabling earlier interventions before difficulties escalate.</w:t>
      </w:r>
    </w:p>
    <w:p w14:paraId="4F420A0B"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28AE252B"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Türkiye and parts of the Middle East, efforts are underway to embed mental-health literacy and multi-disciplinary screening in schooling. Turkish cohort studies show frequent comorbid emotional and behavioural conditions among children with ADHD, with stigma and limited local infrastructure causing diagnostic delays (Uygun et al., 2025). In Egypt, teacher training has been empirically shown to increase early recognition and reduce negative attitudes toward ADHD (Mohammed et al., 2025).</w:t>
      </w:r>
    </w:p>
    <w:p w14:paraId="7781CD52"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3BD4AC34"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Moving to Asia, nations like China and South Korea have expanded psychological service access in primary settings, aligning with WHO’s global agenda to reduce diagnostic delay (WHO, 2021; Yang et al., 2025). However, inequalities in socioeconomic status still restrict whether families can access these supports (Wang et al., 2025).</w:t>
      </w:r>
    </w:p>
    <w:p w14:paraId="06C95477"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68DF089A" w14:textId="1E72855A"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In North America, the Individuals with Disabilities Education Act (IDEA, 2004) guarantees legal entitlement to </w:t>
      </w:r>
      <w:r w:rsidR="008466CB" w:rsidRPr="4C72D9C6">
        <w:rPr>
          <w:rFonts w:eastAsia="Arial" w:cs="Arial"/>
          <w:b w:val="0"/>
          <w:color w:val="000000" w:themeColor="text1"/>
          <w:sz w:val="22"/>
          <w:szCs w:val="22"/>
        </w:rPr>
        <w:t>individualised</w:t>
      </w:r>
      <w:r w:rsidRPr="4C72D9C6">
        <w:rPr>
          <w:rFonts w:eastAsia="Arial" w:cs="Arial"/>
          <w:b w:val="0"/>
          <w:color w:val="000000" w:themeColor="text1"/>
          <w:sz w:val="22"/>
          <w:szCs w:val="22"/>
        </w:rPr>
        <w:t xml:space="preserve"> support plans, underscoring a rights-based model. U.S. research has also concentrated on mindfulness, behavioural and neurofeedback interventions targeting both attention and emotional regulation (Jin et al., 2025). Nevertheless, racial and gender disparities persist in diagnosis and access (Reuben &amp; Elgaddal, 2024; CDC, 2024).</w:t>
      </w:r>
    </w:p>
    <w:p w14:paraId="4408DC65" w14:textId="77777777" w:rsidR="00C751FB" w:rsidRPr="0010749A" w:rsidRDefault="00C751FB" w:rsidP="4C72D9C6">
      <w:pPr>
        <w:pStyle w:val="Heading1"/>
        <w:spacing w:line="360" w:lineRule="auto"/>
        <w:ind w:left="0"/>
        <w:rPr>
          <w:rFonts w:eastAsia="Arial" w:cs="Arial"/>
          <w:b w:val="0"/>
          <w:color w:val="000000" w:themeColor="text1"/>
          <w:sz w:val="22"/>
          <w:szCs w:val="22"/>
        </w:rPr>
      </w:pPr>
    </w:p>
    <w:p w14:paraId="4F59E13F"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Comparisons suggest that successful systems combine early symptom observation, inter-professional coordination, and cultural sensitivity. Legislative structures differ, but the core principle holds recognising early signs within supportive environments leads to better outcomes. While most global studies report mixed-gender samples, this dissertation’s focus on boys aged 5–11 allows deeper exploration of gendered referral pathways and classroom experiences.</w:t>
      </w:r>
    </w:p>
    <w:p w14:paraId="55B3D839" w14:textId="4D3D1FA1" w:rsidR="3EB15323" w:rsidRDefault="3EB15323" w:rsidP="3EB15323">
      <w:pPr>
        <w:pStyle w:val="Heading1"/>
        <w:spacing w:line="360" w:lineRule="auto"/>
        <w:ind w:left="0"/>
        <w:rPr>
          <w:rFonts w:eastAsia="Arial" w:cs="Arial"/>
          <w:b w:val="0"/>
          <w:color w:val="000000" w:themeColor="text1"/>
          <w:sz w:val="22"/>
          <w:szCs w:val="22"/>
        </w:rPr>
      </w:pPr>
    </w:p>
    <w:p w14:paraId="469EF3C3" w14:textId="59E42FB5" w:rsidR="3EB15323" w:rsidRDefault="3EB15323" w:rsidP="3EB15323">
      <w:pPr>
        <w:pStyle w:val="Heading1"/>
        <w:spacing w:line="360" w:lineRule="auto"/>
        <w:ind w:left="0"/>
        <w:rPr>
          <w:rFonts w:eastAsia="Arial" w:cs="Arial"/>
          <w:b w:val="0"/>
          <w:color w:val="000000" w:themeColor="text1"/>
          <w:sz w:val="22"/>
          <w:szCs w:val="22"/>
        </w:rPr>
      </w:pPr>
    </w:p>
    <w:p w14:paraId="048AAF35" w14:textId="5D369C11"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w:t>
      </w:r>
    </w:p>
    <w:p w14:paraId="11D751BF" w14:textId="5851BDC6" w:rsidR="0010749A" w:rsidRDefault="0010749A" w:rsidP="4C72D9C6">
      <w:pPr>
        <w:pStyle w:val="Heading1"/>
        <w:spacing w:line="360" w:lineRule="auto"/>
        <w:ind w:left="0"/>
        <w:rPr>
          <w:rFonts w:eastAsia="Arial" w:cs="Arial"/>
          <w:bCs/>
          <w:color w:val="000000" w:themeColor="text1"/>
          <w:sz w:val="22"/>
          <w:szCs w:val="22"/>
        </w:rPr>
      </w:pPr>
    </w:p>
    <w:p w14:paraId="4C3F15F6" w14:textId="3FE1ADE1" w:rsid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2.5 National / UK Context</w:t>
      </w:r>
    </w:p>
    <w:p w14:paraId="2B3A5F8D" w14:textId="3186982C"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the UK, ADHD recognition and support sit at the intersection of legislation, guidance, and clinical practice, aiming to foster equality and early intervention. Key legal frameworks include the Equality Act 2010, Children and Families Act 2014, and the SEND Code of Practice 2015 (DfE &amp; DHSC, 2015). Together, they ensure ADHD may be treated as a special educational need and that reasonable adjustments and multi-agency support are mandated.</w:t>
      </w:r>
    </w:p>
    <w:p w14:paraId="3248BB48" w14:textId="77777777" w:rsidR="00C751FB" w:rsidRPr="0010749A" w:rsidRDefault="00C751FB" w:rsidP="4C72D9C6">
      <w:pPr>
        <w:pStyle w:val="Heading1"/>
        <w:spacing w:line="360" w:lineRule="auto"/>
        <w:ind w:left="0"/>
        <w:rPr>
          <w:rFonts w:eastAsia="Arial" w:cs="Arial"/>
          <w:b w:val="0"/>
          <w:color w:val="000000" w:themeColor="text1"/>
          <w:sz w:val="22"/>
          <w:szCs w:val="22"/>
        </w:rPr>
      </w:pPr>
    </w:p>
    <w:p w14:paraId="79706E4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Under the Equality Act 2010, ADHD can be legally defined as a condition with a “substantial and long-term adverse effect” on day-to-day functioning, positioning it within the scope of disability protections (Equality &amp; Human Rights Commission, 2022). The Children and Families Act 2014 introduced EHC plans (replacing Statements of SEN), requiring education, health, and care stakeholders to collaborate in early identification and planning.</w:t>
      </w:r>
    </w:p>
    <w:p w14:paraId="25A103C5" w14:textId="77777777" w:rsidR="00C751FB" w:rsidRPr="0010749A" w:rsidRDefault="00C751FB" w:rsidP="4C72D9C6">
      <w:pPr>
        <w:pStyle w:val="Heading1"/>
        <w:spacing w:line="360" w:lineRule="auto"/>
        <w:ind w:left="0"/>
        <w:rPr>
          <w:rFonts w:eastAsia="Arial" w:cs="Arial"/>
          <w:b w:val="0"/>
          <w:color w:val="000000" w:themeColor="text1"/>
          <w:sz w:val="22"/>
          <w:szCs w:val="22"/>
        </w:rPr>
      </w:pPr>
    </w:p>
    <w:p w14:paraId="694278C5"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Clinical guidance from NICE (NG87, 2018; reviewed 2025) underscores the importance of early detection in primary-aged children. Teachers are urged to monitor for sustained patterns of inattention, hyperactivity, or impulsivity and to start referrals when these interfere with learning (NICE, 2018). These recommendations align with the Care Act 2014 and Mental Health Act 1983 (amended 2007), which mandate early support and protection for children requiring mental-health services.</w:t>
      </w:r>
    </w:p>
    <w:p w14:paraId="08CDB9C1"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36201095"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However, policy does not always translate to practice. The NHS England ADHD Taskforce interim report (2025) stresses that recognised rates of ADHD remain below expected prevalence, urging redesign of pathways to reduce diagnostic delay and calling for interim support before formal diagnosis (NHS England, 2025; NHS England responds to ADHD Taskforce, 2025). The report’s push for cross-sector solutions matches evidence that ADHD impacts outcomes across education, justice, and health sectors (NHS England, 2025).</w:t>
      </w:r>
    </w:p>
    <w:p w14:paraId="7AA3C341"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0728F701"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Waiting times are still a significant barrier. Some regions report CAMHS assessment delays exceeding 18 months (NHS England, 2025). Advocacy bodies and news outlets highlight that stretched NHS capacity has fuelled growth in private ADHD services, which risks creating a two-tier system favouring those who can afford it (Independent, 2025; Taskforce interim report summary).</w:t>
      </w:r>
    </w:p>
    <w:p w14:paraId="00EE08C4"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499890CB" w14:textId="5ED1822E"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The SEND Code of Practice (2015) embeds a “graduated response” — observation, assessment, planning, </w:t>
      </w:r>
      <w:r w:rsidR="4CAE2C17" w:rsidRPr="4C72D9C6">
        <w:rPr>
          <w:rFonts w:eastAsia="Arial" w:cs="Arial"/>
          <w:b w:val="0"/>
          <w:color w:val="000000" w:themeColor="text1"/>
          <w:sz w:val="22"/>
          <w:szCs w:val="22"/>
        </w:rPr>
        <w:t>intervention,</w:t>
      </w:r>
      <w:r w:rsidRPr="4C72D9C6">
        <w:rPr>
          <w:rFonts w:eastAsia="Arial" w:cs="Arial"/>
          <w:b w:val="0"/>
          <w:color w:val="000000" w:themeColor="text1"/>
          <w:sz w:val="22"/>
          <w:szCs w:val="22"/>
        </w:rPr>
        <w:t xml:space="preserve"> and review — </w:t>
      </w:r>
      <w:r w:rsidR="23E82549" w:rsidRPr="4C72D9C6">
        <w:rPr>
          <w:rFonts w:eastAsia="Arial" w:cs="Arial"/>
          <w:b w:val="0"/>
          <w:color w:val="000000" w:themeColor="text1"/>
          <w:sz w:val="22"/>
          <w:szCs w:val="22"/>
        </w:rPr>
        <w:t>dependent</w:t>
      </w:r>
      <w:r w:rsidRPr="4C72D9C6">
        <w:rPr>
          <w:rFonts w:eastAsia="Arial" w:cs="Arial"/>
          <w:b w:val="0"/>
          <w:color w:val="000000" w:themeColor="text1"/>
          <w:sz w:val="22"/>
          <w:szCs w:val="22"/>
        </w:rPr>
        <w:t xml:space="preserve"> on teacher awareness and home–school collaboration. Empirical studies confirm that such collaboration supports earlier recognition and reduces escalation of behavioural difficulties (Storebø et al., 2016; Palacios-Ariza et al., 2025). Boys aged 5–11 are more often referred for externalising behaviours, making this age-and-gender focus especially relevant (NHS Digital, 2022).</w:t>
      </w:r>
    </w:p>
    <w:p w14:paraId="26A879BB"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7CF794C2"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Recent UK policy initiatives aim to strengthen early cornerstones. The NHS Long Term Plan (2019) commits to expanding community-based neurodevelopmental support. Meanwhile, charities like ADHD Foundation and YoungMinds continue advocating for earlier screening, improved teacher training, and reduced stigma. Yet implementation stays inconsistent: underfunded services, training gaps, and regional disparities limit access to prompt diagnosis and support (National Audit Office, 2024; House of Commons Education Committee, 2022).</w:t>
      </w:r>
    </w:p>
    <w:p w14:paraId="4ADEE3C7" w14:textId="77777777" w:rsidR="00324E9B" w:rsidRPr="0010749A" w:rsidRDefault="00324E9B" w:rsidP="4C72D9C6">
      <w:pPr>
        <w:pStyle w:val="Heading1"/>
        <w:spacing w:line="360" w:lineRule="auto"/>
        <w:ind w:left="0"/>
        <w:rPr>
          <w:rFonts w:eastAsia="Arial" w:cs="Arial"/>
          <w:b w:val="0"/>
          <w:color w:val="000000" w:themeColor="text1"/>
          <w:sz w:val="22"/>
          <w:szCs w:val="22"/>
        </w:rPr>
      </w:pPr>
    </w:p>
    <w:p w14:paraId="1CB98B3F" w14:textId="534A6870" w:rsidR="00324E9B"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2.6 Conclusion</w:t>
      </w:r>
    </w:p>
    <w:p w14:paraId="1D0F7123" w14:textId="3561C51F" w:rsidR="00876236"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This chapter reviewed key literature on the early identification of ADHD and its influence on children’s learning and classroom behaviour. It outlined how ideas about ADHD have developed—from early views that framed it as a behavioural problem to current understanding of it as a complex neurodevelopmental condition shaped by both biological and environmental factors (Faraone et al., 2021; Cortese et al., 2023).</w:t>
      </w:r>
    </w:p>
    <w:p w14:paraId="098C30EE" w14:textId="74740BED"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discussion of major theories, including the Biopsychosocial and Ecological Systems models, showed that children’s experiences of ADHD are influenced by multiple interacting elements such as family relationships, school settings and wider social contexts (Engel, 1977; Bronfenbrenner, 1979).</w:t>
      </w:r>
    </w:p>
    <w:p w14:paraId="7D4B7CEC" w14:textId="77777777" w:rsidR="00324E9B" w:rsidRPr="0010749A" w:rsidRDefault="00324E9B" w:rsidP="4C72D9C6">
      <w:pPr>
        <w:pStyle w:val="Heading1"/>
        <w:spacing w:line="360" w:lineRule="auto"/>
        <w:ind w:left="0"/>
        <w:rPr>
          <w:rFonts w:eastAsia="Arial" w:cs="Arial"/>
          <w:b w:val="0"/>
          <w:color w:val="000000" w:themeColor="text1"/>
          <w:sz w:val="22"/>
          <w:szCs w:val="22"/>
        </w:rPr>
      </w:pPr>
    </w:p>
    <w:p w14:paraId="623DC52B" w14:textId="44E5D606"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The review of international and UK evidence highlighted that early recognition and multi-agency working improve long-term </w:t>
      </w:r>
      <w:r w:rsidR="00324E9B" w:rsidRPr="4C72D9C6">
        <w:rPr>
          <w:rFonts w:eastAsia="Arial" w:cs="Arial"/>
          <w:b w:val="0"/>
          <w:color w:val="000000" w:themeColor="text1"/>
          <w:sz w:val="22"/>
          <w:szCs w:val="22"/>
        </w:rPr>
        <w:t>outcomes but</w:t>
      </w:r>
      <w:r w:rsidRPr="4C72D9C6">
        <w:rPr>
          <w:rFonts w:eastAsia="Arial" w:cs="Arial"/>
          <w:b w:val="0"/>
          <w:color w:val="000000" w:themeColor="text1"/>
          <w:sz w:val="22"/>
          <w:szCs w:val="22"/>
        </w:rPr>
        <w:t xml:space="preserve"> delays in assessment and gaps in teacher training still present major challenges (Uygun et al., 2025; NICE, 2018; DfE &amp; DHSC, 2015). Overall, this literature suggests that a joined-up approach between education, health and families is essential for meaningful early support.</w:t>
      </w:r>
    </w:p>
    <w:p w14:paraId="6859524C" w14:textId="77777777" w:rsidR="00876236" w:rsidRPr="0010749A" w:rsidRDefault="00876236" w:rsidP="4C72D9C6">
      <w:pPr>
        <w:pStyle w:val="Heading1"/>
        <w:spacing w:line="360" w:lineRule="auto"/>
        <w:ind w:left="0"/>
        <w:rPr>
          <w:rFonts w:eastAsia="Arial" w:cs="Arial"/>
          <w:b w:val="0"/>
          <w:color w:val="000000" w:themeColor="text1"/>
          <w:sz w:val="22"/>
          <w:szCs w:val="22"/>
        </w:rPr>
      </w:pPr>
    </w:p>
    <w:p w14:paraId="407ABDAE" w14:textId="3ADE1DDF" w:rsidR="00880B2D" w:rsidRPr="000B32F1" w:rsidRDefault="0010749A" w:rsidP="4C72D9C6">
      <w:pPr>
        <w:pStyle w:val="Heading1"/>
        <w:ind w:left="0"/>
        <w:rPr>
          <w:rFonts w:eastAsia="Arial" w:cs="Arial"/>
          <w:b w:val="0"/>
          <w:color w:val="000000" w:themeColor="text1"/>
          <w:sz w:val="22"/>
          <w:szCs w:val="22"/>
        </w:rPr>
        <w:sectPr w:rsidR="00880B2D" w:rsidRPr="000B32F1">
          <w:footerReference w:type="default" r:id="rId12"/>
          <w:pgSz w:w="11906" w:h="16838"/>
          <w:pgMar w:top="1440" w:right="1440" w:bottom="1440" w:left="1440" w:header="708" w:footer="708" w:gutter="0"/>
          <w:cols w:space="708"/>
          <w:docGrid w:linePitch="360"/>
        </w:sectPr>
      </w:pPr>
      <w:r w:rsidRPr="4C72D9C6">
        <w:rPr>
          <w:rFonts w:eastAsia="Arial" w:cs="Arial"/>
          <w:b w:val="0"/>
          <w:color w:val="000000" w:themeColor="text1"/>
          <w:sz w:val="22"/>
          <w:szCs w:val="22"/>
        </w:rPr>
        <w:t>The next chapter builds on these findings by outlining the research design and methods used to explore how early ADHD diagnosis affects the educational experiences of boys a</w:t>
      </w:r>
      <w:r w:rsidR="321FFC6A" w:rsidRPr="4C72D9C6">
        <w:rPr>
          <w:rFonts w:eastAsia="Arial" w:cs="Arial"/>
          <w:b w:val="0"/>
          <w:color w:val="000000" w:themeColor="text1"/>
          <w:sz w:val="22"/>
          <w:szCs w:val="22"/>
        </w:rPr>
        <w:t>g</w:t>
      </w:r>
      <w:r w:rsidR="08C4900B" w:rsidRPr="4C72D9C6">
        <w:rPr>
          <w:rFonts w:eastAsia="Arial" w:cs="Arial"/>
          <w:b w:val="0"/>
          <w:color w:val="000000" w:themeColor="text1"/>
          <w:sz w:val="22"/>
          <w:szCs w:val="22"/>
        </w:rPr>
        <w:t>e</w:t>
      </w:r>
      <w:r w:rsidR="321FFC6A"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5</w:t>
      </w:r>
      <w:r w:rsidR="612D80B2"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w:t>
      </w:r>
      <w:r w:rsidR="4DD9B5ED"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11 in UK primary schools</w:t>
      </w:r>
      <w:r w:rsidR="099F93D0" w:rsidRPr="4C72D9C6">
        <w:rPr>
          <w:rFonts w:eastAsia="Arial" w:cs="Arial"/>
          <w:b w:val="0"/>
          <w:color w:val="000000" w:themeColor="text1"/>
          <w:sz w:val="22"/>
          <w:szCs w:val="22"/>
        </w:rPr>
        <w:t>.</w:t>
      </w:r>
    </w:p>
    <w:p w14:paraId="64A5E280" w14:textId="2512AA54" w:rsidR="4C72D9C6" w:rsidRDefault="00292A36"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 xml:space="preserve">CHAPTER 3 – </w:t>
      </w:r>
      <w:r w:rsidR="00E325CF" w:rsidRPr="4C72D9C6">
        <w:rPr>
          <w:rFonts w:eastAsia="Arial" w:cs="Arial"/>
          <w:color w:val="000000" w:themeColor="text1"/>
          <w:sz w:val="22"/>
          <w:szCs w:val="22"/>
        </w:rPr>
        <w:t xml:space="preserve">Methods and Search Strategy </w:t>
      </w:r>
    </w:p>
    <w:p w14:paraId="7B17E795"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3.1 Introduction</w:t>
      </w:r>
    </w:p>
    <w:p w14:paraId="5F1C318B"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chapter explains how the research was conducted using a desk-based, secondary method, building on the academic poster produced earlier in the project. The purpose of this chapter is to outline how evidence was found, selected, confirmed, and analysed to explore how early ADHD diagnosis influences the educational performance and classroom behaviour of White British boys aged 5–11 in UK primary schools.</w:t>
      </w:r>
    </w:p>
    <w:p w14:paraId="0495CB9B" w14:textId="21399794"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methodological design supports the aims set out in Chapter 1 and builds on the critical literature reviewed in Chapter 2. A structured, transparent approach ensures academic rigour and replicability while reflecting ethical research principles appropriate to secondary analysis.</w:t>
      </w:r>
    </w:p>
    <w:p w14:paraId="37E0300E" w14:textId="340D22A5" w:rsidR="4C72D9C6" w:rsidRDefault="4C72D9C6" w:rsidP="4C72D9C6">
      <w:pPr>
        <w:spacing w:beforeAutospacing="1" w:afterAutospacing="1"/>
        <w:jc w:val="left"/>
        <w:rPr>
          <w:rFonts w:ascii="Arial" w:eastAsia="Arial" w:hAnsi="Arial" w:cs="Arial"/>
          <w:color w:val="000000" w:themeColor="text1"/>
          <w:lang w:eastAsia="en-GB"/>
        </w:rPr>
      </w:pPr>
    </w:p>
    <w:p w14:paraId="01B0A4D9"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3.2 Search Strategy</w:t>
      </w:r>
    </w:p>
    <w:p w14:paraId="46EBC348" w14:textId="32BDF24D"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A systematic, structured search strategy </w:t>
      </w:r>
      <w:bookmarkStart w:id="20" w:name="_Int_qtds1Xv3"/>
      <w:r w:rsidRPr="4C72D9C6">
        <w:rPr>
          <w:rFonts w:ascii="Arial" w:eastAsia="Arial" w:hAnsi="Arial" w:cs="Arial"/>
          <w:color w:val="000000" w:themeColor="text1"/>
          <w:kern w:val="0"/>
          <w:lang w:eastAsia="en-GB"/>
          <w14:ligatures w14:val="none"/>
        </w:rPr>
        <w:t>was used</w:t>
      </w:r>
      <w:bookmarkEnd w:id="20"/>
      <w:r w:rsidRPr="4C72D9C6">
        <w:rPr>
          <w:rFonts w:ascii="Arial" w:eastAsia="Arial" w:hAnsi="Arial" w:cs="Arial"/>
          <w:color w:val="000000" w:themeColor="text1"/>
          <w:kern w:val="0"/>
          <w:lang w:eastAsia="en-GB"/>
          <w14:ligatures w14:val="none"/>
        </w:rPr>
        <w:t xml:space="preserve"> to name relevant peer-reviewed studies, national reports, and policy documents published between 2015 and 2025. Search terms </w:t>
      </w:r>
      <w:bookmarkStart w:id="21" w:name="_Int_3p15IbjU"/>
      <w:r w:rsidRPr="4C72D9C6">
        <w:rPr>
          <w:rFonts w:ascii="Arial" w:eastAsia="Arial" w:hAnsi="Arial" w:cs="Arial"/>
          <w:color w:val="000000" w:themeColor="text1"/>
          <w:kern w:val="0"/>
          <w:lang w:eastAsia="en-GB"/>
          <w14:ligatures w14:val="none"/>
        </w:rPr>
        <w:t>were drawn</w:t>
      </w:r>
      <w:bookmarkEnd w:id="21"/>
      <w:r w:rsidRPr="4C72D9C6">
        <w:rPr>
          <w:rFonts w:ascii="Arial" w:eastAsia="Arial" w:hAnsi="Arial" w:cs="Arial"/>
          <w:color w:val="000000" w:themeColor="text1"/>
          <w:kern w:val="0"/>
          <w:lang w:eastAsia="en-GB"/>
          <w14:ligatures w14:val="none"/>
        </w:rPr>
        <w:t xml:space="preserve"> from the project title and aims, focusing on ADHD, early diagnosis, classroom behaviour, educational outcomes, boys, UK, and CAMHS.</w:t>
      </w:r>
    </w:p>
    <w:p w14:paraId="5DAF8509"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Boolean operators were applied to refine results:</w:t>
      </w:r>
    </w:p>
    <w:p w14:paraId="318F88FB" w14:textId="77777777" w:rsidR="00323936" w:rsidRPr="00323936" w:rsidRDefault="00323936" w:rsidP="4C72D9C6">
      <w:pPr>
        <w:numPr>
          <w:ilvl w:val="0"/>
          <w:numId w:val="115"/>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AND “early diagnosis”</w:t>
      </w:r>
    </w:p>
    <w:p w14:paraId="6A86CF6F" w14:textId="77777777" w:rsidR="00323936" w:rsidRPr="00323936" w:rsidRDefault="00323936" w:rsidP="4C72D9C6">
      <w:pPr>
        <w:numPr>
          <w:ilvl w:val="0"/>
          <w:numId w:val="115"/>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AND (“education” OR “school performance”)</w:t>
      </w:r>
    </w:p>
    <w:p w14:paraId="76A50D53" w14:textId="1D54F9C8" w:rsidR="00323936" w:rsidRPr="00323936" w:rsidRDefault="00323936" w:rsidP="4C72D9C6">
      <w:pPr>
        <w:numPr>
          <w:ilvl w:val="0"/>
          <w:numId w:val="115"/>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AND “boys” AND “UK primary schools”</w:t>
      </w:r>
    </w:p>
    <w:p w14:paraId="30A56140" w14:textId="4D5D8218"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Synonyms such as early identification, neurodevelopmental disorder, and behavioural outcomes were also used to capture broader terminology. The search process was recorded systematically to ensure consistency and transparency.</w:t>
      </w:r>
    </w:p>
    <w:p w14:paraId="6F7F2504" w14:textId="23D9F6BA"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Figure 1. Search Process Flowchart: A visual representation of the structured search stages from keyword identification through screening, validation, and thematic coding.</w:t>
      </w:r>
    </w:p>
    <w:p w14:paraId="78A0F8D0" w14:textId="31A21642" w:rsidR="00323936" w:rsidRPr="00323936" w:rsidRDefault="00323936" w:rsidP="4C72D9C6">
      <w:pPr>
        <w:spacing w:after="0"/>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Figure 1. Search Process Flowchart</w:t>
      </w:r>
    </w:p>
    <w:p w14:paraId="52762E2F" w14:textId="6008A172"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 </w:t>
      </w:r>
      <w:r w:rsidR="00BF1B3D" w:rsidRPr="00323936">
        <w:rPr>
          <w:rFonts w:asciiTheme="minorHAnsi" w:hAnsiTheme="minorHAnsi"/>
          <w:noProof/>
          <w:sz w:val="24"/>
          <w:szCs w:val="24"/>
          <w:lang w:eastAsia="en-GB"/>
        </w:rPr>
        <w:drawing>
          <wp:anchor distT="0" distB="0" distL="114300" distR="114300" simplePos="0" relativeHeight="251658242" behindDoc="0" locked="0" layoutInCell="1" allowOverlap="1" wp14:anchorId="4626855B" wp14:editId="3687B74C">
            <wp:simplePos x="0" y="0"/>
            <wp:positionH relativeFrom="column">
              <wp:posOffset>0</wp:posOffset>
            </wp:positionH>
            <wp:positionV relativeFrom="paragraph">
              <wp:posOffset>346075</wp:posOffset>
            </wp:positionV>
            <wp:extent cx="1587158" cy="1949812"/>
            <wp:effectExtent l="0" t="0" r="0" b="0"/>
            <wp:wrapTopAndBottom/>
            <wp:docPr id="44419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13359" name=""/>
                    <pic:cNvPicPr/>
                  </pic:nvPicPr>
                  <pic:blipFill>
                    <a:blip r:embed="rId13"/>
                    <a:stretch>
                      <a:fillRect/>
                    </a:stretch>
                  </pic:blipFill>
                  <pic:spPr>
                    <a:xfrm>
                      <a:off x="0" y="0"/>
                      <a:ext cx="1587158" cy="1949812"/>
                    </a:xfrm>
                    <a:prstGeom prst="rect">
                      <a:avLst/>
                    </a:prstGeom>
                  </pic:spPr>
                </pic:pic>
              </a:graphicData>
            </a:graphic>
            <wp14:sizeRelH relativeFrom="margin">
              <wp14:pctWidth>0</wp14:pctWidth>
            </wp14:sizeRelH>
            <wp14:sizeRelV relativeFrom="margin">
              <wp14:pctHeight>0</wp14:pctHeight>
            </wp14:sizeRelV>
          </wp:anchor>
        </w:drawing>
      </w:r>
    </w:p>
    <w:p w14:paraId="63DD2B7E" w14:textId="3705B060" w:rsidR="00BF1B3D" w:rsidRDefault="00BF1B3D" w:rsidP="4C72D9C6">
      <w:pPr>
        <w:spacing w:after="0"/>
        <w:jc w:val="left"/>
        <w:rPr>
          <w:rFonts w:ascii="Arial" w:eastAsia="Arial" w:hAnsi="Arial" w:cs="Arial"/>
          <w:color w:val="000000" w:themeColor="text1"/>
          <w:kern w:val="0"/>
          <w:lang w:eastAsia="en-GB"/>
          <w14:ligatures w14:val="none"/>
        </w:rPr>
      </w:pPr>
    </w:p>
    <w:p w14:paraId="75FA9ADA" w14:textId="77777777" w:rsidR="00BF1B3D" w:rsidRPr="00323936" w:rsidRDefault="00BF1B3D" w:rsidP="4C72D9C6">
      <w:pPr>
        <w:spacing w:after="0"/>
        <w:jc w:val="left"/>
        <w:rPr>
          <w:rFonts w:ascii="Arial" w:eastAsia="Arial" w:hAnsi="Arial" w:cs="Arial"/>
          <w:color w:val="000000" w:themeColor="text1"/>
          <w:kern w:val="0"/>
          <w:lang w:eastAsia="en-GB"/>
          <w14:ligatures w14:val="none"/>
        </w:rPr>
      </w:pPr>
    </w:p>
    <w:p w14:paraId="38BF3520"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3.3 Searching for Information</w:t>
      </w:r>
    </w:p>
    <w:p w14:paraId="50FF83A5"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Databases and academic platforms were selected for their credibility, accessibility, and relevance to health and education. Searches were conducted primarily through:</w:t>
      </w:r>
    </w:p>
    <w:p w14:paraId="756A33C5" w14:textId="408CDE9E"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UWTSD Library </w:t>
      </w:r>
      <w:r w:rsidR="20FCE11E" w:rsidRPr="4C72D9C6">
        <w:rPr>
          <w:rFonts w:ascii="Arial" w:eastAsia="Arial" w:hAnsi="Arial" w:cs="Arial"/>
          <w:color w:val="000000" w:themeColor="text1"/>
          <w:kern w:val="0"/>
          <w:lang w:eastAsia="en-GB"/>
          <w14:ligatures w14:val="none"/>
        </w:rPr>
        <w:t>ProQuest Central</w:t>
      </w:r>
      <w:r w:rsidRPr="4C72D9C6">
        <w:rPr>
          <w:rFonts w:ascii="Arial" w:eastAsia="Arial" w:hAnsi="Arial" w:cs="Arial"/>
          <w:color w:val="000000" w:themeColor="text1"/>
          <w:kern w:val="0"/>
          <w:lang w:eastAsia="en-GB"/>
          <w14:ligatures w14:val="none"/>
        </w:rPr>
        <w:t xml:space="preserve"> (for access to peer-reviewed academic journals)</w:t>
      </w:r>
    </w:p>
    <w:p w14:paraId="0650FCD0" w14:textId="77777777"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Google Scholar (to widen scope and include grey literature)</w:t>
      </w:r>
    </w:p>
    <w:p w14:paraId="6BFF6EC8" w14:textId="77777777"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ScienceDirect and Taylor &amp; Francis Online (for psychology and education-related journals)</w:t>
      </w:r>
    </w:p>
    <w:p w14:paraId="4149E9D7" w14:textId="77777777"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Digital and GOV.UK (for policy, legislation, and statistical data)</w:t>
      </w:r>
    </w:p>
    <w:p w14:paraId="4B9CA842"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3EFCCEF"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PubMed was considered but excluded, as its clinical focus and medical terminology were less relevant to the educational and psychosocial dimensions of this dissertation. Filters were applied to restrict results to English-language studies published between 2015–2025 and, where possible, to UK-based contexts.</w:t>
      </w:r>
    </w:p>
    <w:p w14:paraId="3195C850"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Source Tracking Table (Appendix A) was used to record the title, author, year, method, and relevance of each study. A Results Summary Table (Appendix B1) captures the main findings, strengths and limitations, research methods, and coded keywords for each reviewed source. A Thematic Analysis Summary Table (Appendix B2) presents coded patterns and emerging themes generated during the analysis.</w:t>
      </w:r>
    </w:p>
    <w:p w14:paraId="5A327695"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CFC23F2"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3.4 Research Validation</w:t>
      </w:r>
    </w:p>
    <w:p w14:paraId="4FFBD161"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Validation of sources followed a critical screening process to ensure that only high-quality, credible materials were included. Articles were first reviewed using their title, abstract, and conclusion to assess alignment with the research question and goals. Full-text screening was then conducted to confirm methodological rigour and relevance to the study’s population—White British boys aged 5–11 diagnosed with ADHD.</w:t>
      </w:r>
    </w:p>
    <w:p w14:paraId="0A9C679C"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CRAAP Test (Currency, Relevance, Authority, Accuracy, and Purpose) guided this quality-assurance process. Priority was given to recent, peer-reviewed publications (2015–2025) to ensure that evidence reflects current UK education and health contexts. Policy documents from NICE (2018; reviewed 2025), NHS England (2025) and DfE/DHSC (2015) were also included to show legislative and practice-based relevance.</w:t>
      </w:r>
    </w:p>
    <w:p w14:paraId="2D3F7855"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Each shortlisted article was appraised using the CRAAP criteria to confirm that the literature selected for this study was reliable, current, and academically credible (see Appendix B1). An example of this decision-making process included the exclusion of older or non-UK studies that did not align with the UK education system, ensuring that the review kept contextual integrity and directly supported the theoretical foundation shown in Chapters 1 and 2.</w:t>
      </w:r>
    </w:p>
    <w:p w14:paraId="4BAAE09E" w14:textId="49CEAC91" w:rsidR="4C72D9C6" w:rsidRDefault="4C72D9C6" w:rsidP="4C72D9C6">
      <w:pPr>
        <w:spacing w:beforeAutospacing="1" w:afterAutospacing="1"/>
        <w:jc w:val="left"/>
        <w:rPr>
          <w:rFonts w:ascii="Arial" w:eastAsia="Arial" w:hAnsi="Arial" w:cs="Arial"/>
          <w:b/>
          <w:bCs/>
          <w:color w:val="000000" w:themeColor="text1"/>
          <w:lang w:eastAsia="en-GB"/>
        </w:rPr>
      </w:pPr>
    </w:p>
    <w:p w14:paraId="25E0CBA9"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3.5 Inclusion and Exclusion Criteria</w:t>
      </w:r>
    </w:p>
    <w:p w14:paraId="3BF1E4E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To </w:t>
      </w:r>
      <w:bookmarkStart w:id="22" w:name="_Int_zAFFkedN"/>
      <w:r w:rsidRPr="4C72D9C6">
        <w:rPr>
          <w:rFonts w:ascii="Arial" w:eastAsia="Arial" w:hAnsi="Arial" w:cs="Arial"/>
          <w:color w:val="000000" w:themeColor="text1"/>
          <w:kern w:val="0"/>
          <w:lang w:eastAsia="en-GB"/>
          <w14:ligatures w14:val="none"/>
        </w:rPr>
        <w:t>maintain</w:t>
      </w:r>
      <w:bookmarkEnd w:id="22"/>
      <w:r w:rsidRPr="4C72D9C6">
        <w:rPr>
          <w:rFonts w:ascii="Arial" w:eastAsia="Arial" w:hAnsi="Arial" w:cs="Arial"/>
          <w:color w:val="000000" w:themeColor="text1"/>
          <w:kern w:val="0"/>
          <w:lang w:eastAsia="en-GB"/>
          <w14:ligatures w14:val="none"/>
        </w:rPr>
        <w:t xml:space="preserve"> methodological rigour, clear inclusion and exclusion parameters were proved to ensure that only the most relevant and credible literature informed the review. These criteria supported a systematic approach, reducing bias and enhancing the reliability of the findings. The selected studies reflected current UK educational and healthcare contexts while staying closely aligned with the project’s aim of examining early ADHD diagnosis in boys aged 5–11.</w:t>
      </w:r>
    </w:p>
    <w:p w14:paraId="49E6D82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Inclusion Criteria</w:t>
      </w:r>
      <w:r w:rsidRPr="4C72D9C6">
        <w:rPr>
          <w:rFonts w:ascii="Arial" w:eastAsia="Arial" w:hAnsi="Arial" w:cs="Arial"/>
          <w:color w:val="000000" w:themeColor="text1"/>
          <w:kern w:val="0"/>
          <w:lang w:eastAsia="en-GB"/>
          <w14:ligatures w14:val="none"/>
        </w:rPr>
        <w:t>:</w:t>
      </w:r>
    </w:p>
    <w:p w14:paraId="37FECAB3"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Peer-reviewed studies published 2015–2025</w:t>
      </w:r>
    </w:p>
    <w:p w14:paraId="44B304E7"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Research focused on children aged 5–11</w:t>
      </w:r>
    </w:p>
    <w:p w14:paraId="22CFDD86"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UK-based or comparable Western education systems</w:t>
      </w:r>
    </w:p>
    <w:p w14:paraId="1B721BB9"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Sources addressing ADHD diagnosis, education, or behaviour</w:t>
      </w:r>
    </w:p>
    <w:p w14:paraId="039E4AF9"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National policy and guidance documents (e.g., NICE, DfE, NHS England)</w:t>
      </w:r>
    </w:p>
    <w:p w14:paraId="6AAEDFDC" w14:textId="77777777" w:rsidR="00323936" w:rsidRPr="00323936" w:rsidRDefault="00323936" w:rsidP="4C72D9C6">
      <w:pPr>
        <w:spacing w:before="100" w:beforeAutospacing="1" w:after="100" w:afterAutospacing="1"/>
        <w:jc w:val="left"/>
        <w:rPr>
          <w:rFonts w:ascii="Arial" w:eastAsia="Arial" w:hAnsi="Arial" w:cs="Arial"/>
          <w:i/>
          <w:iCs/>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Exclusion Criteria:</w:t>
      </w:r>
    </w:p>
    <w:p w14:paraId="51CEFDF8"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Articles not written in English</w:t>
      </w:r>
    </w:p>
    <w:p w14:paraId="0CF20763"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Studies older than 2015 unless historically significant</w:t>
      </w:r>
    </w:p>
    <w:p w14:paraId="3C1210D8"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Non-academic blogs, commercial websites, or opinion pieces</w:t>
      </w:r>
    </w:p>
    <w:p w14:paraId="1C1D0AEF"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Clinical-only studies without educational or behavioural relevance</w:t>
      </w:r>
    </w:p>
    <w:p w14:paraId="21392BD9" w14:textId="5BC189C5" w:rsidR="00323936" w:rsidRPr="00323936" w:rsidRDefault="00323936" w:rsidP="4C72D9C6">
      <w:pPr>
        <w:spacing w:after="0"/>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full summary of the inclusion and exclusion parameters applied during the review process is provided in</w:t>
      </w:r>
      <w:r w:rsidR="00CD38B5" w:rsidRPr="4C72D9C6">
        <w:rPr>
          <w:rFonts w:ascii="Arial" w:eastAsia="Arial" w:hAnsi="Arial" w:cs="Arial"/>
          <w:color w:val="000000" w:themeColor="text1"/>
          <w:kern w:val="0"/>
          <w:lang w:eastAsia="en-GB"/>
          <w14:ligatures w14:val="none"/>
        </w:rPr>
        <w:t xml:space="preserve"> </w:t>
      </w:r>
      <w:r w:rsidRPr="4C72D9C6">
        <w:rPr>
          <w:rFonts w:ascii="Arial" w:eastAsia="Arial" w:hAnsi="Arial" w:cs="Arial"/>
          <w:color w:val="000000" w:themeColor="text1"/>
          <w:kern w:val="0"/>
          <w:lang w:eastAsia="en-GB"/>
          <w14:ligatures w14:val="none"/>
        </w:rPr>
        <w:t>Appendix C.</w:t>
      </w:r>
    </w:p>
    <w:p w14:paraId="2953E013" w14:textId="77777777" w:rsidR="00323936" w:rsidRPr="00323936" w:rsidRDefault="00323936" w:rsidP="4C72D9C6">
      <w:pPr>
        <w:spacing w:after="0"/>
        <w:jc w:val="left"/>
        <w:rPr>
          <w:rFonts w:ascii="Arial" w:eastAsia="Arial" w:hAnsi="Arial" w:cs="Arial"/>
          <w:color w:val="000000" w:themeColor="text1"/>
          <w:kern w:val="0"/>
          <w:lang w:eastAsia="en-GB"/>
          <w14:ligatures w14:val="none"/>
        </w:rPr>
      </w:pPr>
    </w:p>
    <w:p w14:paraId="11C8143E"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3.6 Analysing Research</w:t>
      </w:r>
    </w:p>
    <w:p w14:paraId="43BD521C"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thematic coding approach was used to analyse the selected studies. Each article was examined in detail to show recurring ideas such as early intervention, teacher awareness, parental engagement, waiting-time inequalities, and policy barriers. Initial codes were refined and grouped into four overarching themes reflecting the multi-dimensional nature of ADHD:</w:t>
      </w:r>
    </w:p>
    <w:p w14:paraId="5103CFDE"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Early diagnosis and access to support</w:t>
      </w:r>
    </w:p>
    <w:p w14:paraId="1A4A4D5E"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Teacher awareness and classroom practice</w:t>
      </w:r>
    </w:p>
    <w:p w14:paraId="2F86E132"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Multi-agency collaboration and family involvement</w:t>
      </w:r>
    </w:p>
    <w:p w14:paraId="647A1108"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Socio-economic and regional inequalities</w:t>
      </w:r>
    </w:p>
    <w:p w14:paraId="39EC3FE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75BDB74" w14:textId="0E89E9CD" w:rsidR="00323936" w:rsidRPr="00323936" w:rsidRDefault="00323936" w:rsidP="4C72D9C6">
      <w:pPr>
        <w:spacing w:after="0"/>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full summary of the thematic analysis, including supporting sources and key findings, is provided in</w:t>
      </w:r>
      <w:r w:rsidR="005D627F" w:rsidRPr="4C72D9C6">
        <w:rPr>
          <w:rFonts w:ascii="Arial" w:eastAsia="Arial" w:hAnsi="Arial" w:cs="Arial"/>
          <w:color w:val="000000" w:themeColor="text1"/>
          <w:kern w:val="0"/>
          <w:lang w:eastAsia="en-GB"/>
          <w14:ligatures w14:val="none"/>
        </w:rPr>
        <w:t xml:space="preserve"> </w:t>
      </w:r>
      <w:r w:rsidRPr="4C72D9C6">
        <w:rPr>
          <w:rFonts w:ascii="Arial" w:eastAsia="Arial" w:hAnsi="Arial" w:cs="Arial"/>
          <w:color w:val="000000" w:themeColor="text1"/>
          <w:kern w:val="0"/>
          <w:lang w:eastAsia="en-GB"/>
          <w14:ligatures w14:val="none"/>
        </w:rPr>
        <w:t>Appendix B2 (Thematic Analysis Summary Table).</w:t>
      </w:r>
    </w:p>
    <w:p w14:paraId="525033C7" w14:textId="7513AA84" w:rsidR="00AA1E7E" w:rsidRDefault="00AA1E7E" w:rsidP="4C72D9C6">
      <w:pPr>
        <w:pStyle w:val="p1"/>
        <w:spacing w:line="360" w:lineRule="auto"/>
        <w:rPr>
          <w:rStyle w:val="s1"/>
          <w:rFonts w:ascii="Arial" w:eastAsia="Arial" w:hAnsi="Arial" w:cs="Arial"/>
          <w:color w:val="000000" w:themeColor="text1"/>
          <w:sz w:val="22"/>
          <w:szCs w:val="22"/>
        </w:rPr>
      </w:pPr>
      <w:r w:rsidRPr="4C72D9C6">
        <w:rPr>
          <w:rStyle w:val="s1"/>
          <w:rFonts w:ascii="Arial" w:eastAsia="Arial" w:hAnsi="Arial" w:cs="Arial"/>
          <w:color w:val="000000" w:themeColor="text1"/>
          <w:sz w:val="22"/>
          <w:szCs w:val="22"/>
        </w:rPr>
        <w:t>Figure 2 below shows how early ADHD diagnosis leads to prompt interventions, better academic performance, and emotional wellbeing, supporting inclusion in UK primary schools. It also reflects key policy frameworks such as the SEND Code of Practice (2015) and the Equality Act (2010), which guide early identification and fair support.”</w:t>
      </w:r>
    </w:p>
    <w:p w14:paraId="1FC644F6" w14:textId="67362D3A" w:rsidR="00323936" w:rsidRPr="00323936" w:rsidRDefault="00E345D7"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                          </w:t>
      </w:r>
      <w:r w:rsidR="0097206F" w:rsidRPr="4C72D9C6">
        <w:rPr>
          <w:rFonts w:ascii="Arial" w:eastAsia="Arial" w:hAnsi="Arial" w:cs="Arial"/>
          <w:color w:val="000000" w:themeColor="text1"/>
          <w:kern w:val="0"/>
          <w:lang w:eastAsia="en-GB"/>
          <w14:ligatures w14:val="none"/>
        </w:rPr>
        <w:t xml:space="preserve">                  Figure 2</w:t>
      </w:r>
    </w:p>
    <w:p w14:paraId="145048E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00323936">
        <w:rPr>
          <w:rFonts w:ascii="Times New Roman" w:hAnsi="Times New Roman" w:cs="Times New Roman"/>
          <w:noProof/>
          <w:kern w:val="0"/>
          <w:sz w:val="24"/>
          <w:szCs w:val="24"/>
          <w:lang w:eastAsia="en-GB"/>
        </w:rPr>
        <mc:AlternateContent>
          <mc:Choice Requires="wps">
            <w:drawing>
              <wp:anchor distT="0" distB="0" distL="114300" distR="114300" simplePos="0" relativeHeight="251658241" behindDoc="0" locked="0" layoutInCell="1" allowOverlap="1" wp14:anchorId="0CC91227" wp14:editId="18CA0AA2">
                <wp:simplePos x="0" y="0"/>
                <wp:positionH relativeFrom="column">
                  <wp:posOffset>215900</wp:posOffset>
                </wp:positionH>
                <wp:positionV relativeFrom="paragraph">
                  <wp:posOffset>73025</wp:posOffset>
                </wp:positionV>
                <wp:extent cx="5295265" cy="492760"/>
                <wp:effectExtent l="0" t="0" r="19685" b="21590"/>
                <wp:wrapNone/>
                <wp:docPr id="1461279441" name="Text Box 2"/>
                <wp:cNvGraphicFramePr/>
                <a:graphic xmlns:a="http://schemas.openxmlformats.org/drawingml/2006/main">
                  <a:graphicData uri="http://schemas.microsoft.com/office/word/2010/wordprocessingShape">
                    <wps:wsp>
                      <wps:cNvSpPr txBox="1"/>
                      <wps:spPr>
                        <a:xfrm>
                          <a:off x="0" y="0"/>
                          <a:ext cx="5295265" cy="492760"/>
                        </a:xfrm>
                        <a:prstGeom prst="rect">
                          <a:avLst/>
                        </a:prstGeom>
                        <a:solidFill>
                          <a:schemeClr val="lt1"/>
                        </a:solidFill>
                        <a:ln w="6350">
                          <a:solidFill>
                            <a:prstClr val="black"/>
                          </a:solidFill>
                        </a:ln>
                      </wps:spPr>
                      <wps:txbx>
                        <w:txbxContent>
                          <w:p w14:paraId="5CF9981B" w14:textId="77777777" w:rsidR="00323936" w:rsidRPr="00504A14" w:rsidRDefault="00323936">
                            <w:pPr>
                              <w:rPr>
                                <w:b/>
                                <w:bCs/>
                              </w:rPr>
                            </w:pPr>
                            <w:r w:rsidRPr="00504A14">
                              <w:rPr>
                                <w:b/>
                                <w:bCs/>
                              </w:rPr>
                              <w:t>Early ADHD Diagnosis → Early Intervention → Improved Academic Performance → Emotional Wellbeing → Inclusion &amp; Equality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91227" id="_x0000_t202" coordsize="21600,21600" o:spt="202" path="m,l,21600r21600,l21600,xe">
                <v:stroke joinstyle="miter"/>
                <v:path gradientshapeok="t" o:connecttype="rect"/>
              </v:shapetype>
              <v:shape id="Text Box 2" o:spid="_x0000_s1026" type="#_x0000_t202" style="position:absolute;margin-left:17pt;margin-top:5.75pt;width:416.95pt;height:3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" fillcolor="white [3201]" strokeweight=".5pt">
                <v:textbox>
                  <w:txbxContent>
                    <w:p w14:paraId="5CF9981B" w14:textId="77777777" w:rsidR="00323936" w:rsidRPr="00504A14" w:rsidRDefault="00323936">
                      <w:pPr>
                        <w:rPr>
                          <w:b/>
                          <w:bCs/>
                        </w:rPr>
                      </w:pPr>
                      <w:r w:rsidRPr="00504A14">
                        <w:rPr>
                          <w:b/>
                          <w:bCs/>
                        </w:rPr>
                        <w:t>Early ADHD Diagnosis → Early Intervention → Improved Academic Performance → Emotional Wellbeing → Inclusion &amp; Equality</w:t>
                      </w:r>
                    </w:p>
                  </w:txbxContent>
                </v:textbox>
              </v:shape>
            </w:pict>
          </mc:Fallback>
        </mc:AlternateContent>
      </w:r>
      <w:r w:rsidRPr="4C72D9C6">
        <w:rPr>
          <w:rFonts w:ascii="Arial" w:eastAsia="Arial" w:hAnsi="Arial" w:cs="Arial"/>
          <w:color w:val="000000" w:themeColor="text1"/>
          <w:kern w:val="0"/>
          <w:lang w:eastAsia="en-GB"/>
          <w14:ligatures w14:val="none"/>
        </w:rPr>
        <w:t xml:space="preserve"> </w:t>
      </w:r>
    </w:p>
    <w:p w14:paraId="2E7CD8F8" w14:textId="329070C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69C6DED"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F41163A" w14:textId="2CF64214" w:rsidR="4C72D9C6" w:rsidRDefault="4C72D9C6" w:rsidP="4C72D9C6">
      <w:pPr>
        <w:spacing w:beforeAutospacing="1" w:afterAutospacing="1"/>
        <w:jc w:val="left"/>
        <w:rPr>
          <w:rFonts w:ascii="Arial" w:eastAsia="Arial" w:hAnsi="Arial" w:cs="Arial"/>
          <w:color w:val="000000" w:themeColor="text1"/>
          <w:lang w:eastAsia="en-GB"/>
        </w:rPr>
      </w:pPr>
    </w:p>
    <w:p w14:paraId="3A31D52F" w14:textId="77777777" w:rsidR="00323936" w:rsidRPr="00323936" w:rsidRDefault="00323936" w:rsidP="4C72D9C6">
      <w:pPr>
        <w:spacing w:after="0"/>
        <w:jc w:val="left"/>
        <w:rPr>
          <w:rFonts w:ascii="Arial" w:eastAsia="Arial" w:hAnsi="Arial" w:cs="Arial"/>
          <w:color w:val="000000" w:themeColor="text1"/>
          <w:kern w:val="0"/>
          <w:lang w:eastAsia="en-GB"/>
          <w14:ligatures w14:val="none"/>
        </w:rPr>
      </w:pPr>
    </w:p>
    <w:p w14:paraId="24CC311F"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3.7 Ethical Considerations</w:t>
      </w:r>
    </w:p>
    <w:p w14:paraId="4885479B"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As this project is entirely based on secondary research, no direct involvement with human participants took place. Ethical integrity was kept through correct citation, transparent evaluation of sources, and compliance with the University of Wales Trinity Saint David’s Research Ethics Framework and the ethical guidelines of BERA (2018).</w:t>
      </w:r>
    </w:p>
    <w:p w14:paraId="3C18DAE1" w14:textId="77777777" w:rsidR="00323936" w:rsidRPr="00323936" w:rsidRDefault="00323936" w:rsidP="4C72D9C6">
      <w:pPr>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lang w:eastAsia="en-GB"/>
        </w:rPr>
        <w:t xml:space="preserve">All materials were obtained from publicly available or institutionally licensed databases. Every effort was made to prevent play, bias, and selective interpretation of findings. The study also adhered to data protection and academic integrity standards, </w:t>
      </w:r>
      <w:r w:rsidRPr="4C72D9C6">
        <w:rPr>
          <w:rFonts w:ascii="Arial" w:eastAsia="Arial" w:hAnsi="Arial" w:cs="Arial"/>
          <w:color w:val="000000" w:themeColor="text1"/>
          <w:kern w:val="0"/>
          <w:lang w:eastAsia="en-GB"/>
          <w14:ligatures w14:val="none"/>
        </w:rPr>
        <w:t>The study also adhered to data protection and academic integrity standards, ensuring respect for intellectual property and a fair, balanced analysis of the literature.</w:t>
      </w:r>
    </w:p>
    <w:p w14:paraId="2091ADDA"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FC73BF2" w14:textId="77777777" w:rsidR="00323936" w:rsidRPr="00323936" w:rsidRDefault="00323936" w:rsidP="4C72D9C6">
      <w:pPr>
        <w:spacing w:after="0"/>
        <w:jc w:val="left"/>
        <w:rPr>
          <w:rFonts w:ascii="Arial" w:eastAsia="Arial" w:hAnsi="Arial" w:cs="Arial"/>
          <w:color w:val="000000" w:themeColor="text1"/>
          <w:kern w:val="0"/>
          <w:lang w:eastAsia="en-GB"/>
          <w14:ligatures w14:val="none"/>
        </w:rPr>
      </w:pPr>
    </w:p>
    <w:p w14:paraId="69536BC8"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3.8 Conclusion</w:t>
      </w:r>
    </w:p>
    <w:p w14:paraId="405AD2B0"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chapter outlined the methodological approach used to conduct this literature-based investigation into early ADHD diagnosis and its influence on boys’ educational experiences. It explained how relevant sources were systematically searched, confirmed, and analysed using thematic coding to ensure reliability and transparency.</w:t>
      </w:r>
    </w:p>
    <w:p w14:paraId="77518D8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By combining structured review techniques with visual mapping tools, the process ensures that the findings presented in Chapter 4 are both evidence-based and aligned with the project’s overarching aim—to examine how early recognition and coordinated intervention can improve educational outcomes for children with ADHD within the UK context.</w:t>
      </w:r>
    </w:p>
    <w:p w14:paraId="0EAEEA28"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3898CB8" w14:textId="3B45E7B7" w:rsidR="001F19A6" w:rsidRPr="00FF5B5D" w:rsidRDefault="001F19A6" w:rsidP="4C72D9C6">
      <w:pPr>
        <w:rPr>
          <w:rFonts w:ascii="Arial" w:eastAsia="Arial" w:hAnsi="Arial" w:cs="Arial"/>
          <w:color w:val="000000" w:themeColor="text1"/>
        </w:rPr>
      </w:pPr>
    </w:p>
    <w:p w14:paraId="6C4734E6" w14:textId="1D7880FE" w:rsidR="4C72D9C6" w:rsidRDefault="4C72D9C6" w:rsidP="4C72D9C6">
      <w:pPr>
        <w:rPr>
          <w:rFonts w:ascii="Arial" w:eastAsia="Arial" w:hAnsi="Arial" w:cs="Arial"/>
          <w:color w:val="000000" w:themeColor="text1"/>
        </w:rPr>
      </w:pPr>
    </w:p>
    <w:p w14:paraId="1D313CC5" w14:textId="5654F4EF" w:rsidR="00DE0913" w:rsidRDefault="001C3AF6"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C</w:t>
      </w:r>
      <w:r w:rsidR="00636D9A" w:rsidRPr="4C72D9C6">
        <w:rPr>
          <w:rFonts w:eastAsia="Arial" w:cs="Arial"/>
          <w:color w:val="000000" w:themeColor="text1"/>
          <w:sz w:val="22"/>
          <w:szCs w:val="22"/>
        </w:rPr>
        <w:t>HAPTER</w:t>
      </w:r>
      <w:r w:rsidRPr="4C72D9C6">
        <w:rPr>
          <w:rFonts w:eastAsia="Arial" w:cs="Arial"/>
          <w:color w:val="000000" w:themeColor="text1"/>
          <w:sz w:val="22"/>
          <w:szCs w:val="22"/>
        </w:rPr>
        <w:t xml:space="preserve"> 4 </w:t>
      </w:r>
      <w:r w:rsidR="00D55989" w:rsidRPr="4C72D9C6">
        <w:rPr>
          <w:rFonts w:eastAsia="Arial" w:cs="Arial"/>
          <w:color w:val="000000" w:themeColor="text1"/>
          <w:sz w:val="22"/>
          <w:szCs w:val="22"/>
        </w:rPr>
        <w:t>-</w:t>
      </w:r>
    </w:p>
    <w:p w14:paraId="77670E8E" w14:textId="4EEF49E1" w:rsidR="4C72D9C6" w:rsidRDefault="4C72D9C6" w:rsidP="4C72D9C6">
      <w:pPr>
        <w:pStyle w:val="Heading1"/>
        <w:spacing w:line="360" w:lineRule="auto"/>
        <w:ind w:left="0"/>
        <w:rPr>
          <w:rFonts w:eastAsia="Arial" w:cs="Arial"/>
          <w:color w:val="000000" w:themeColor="text1"/>
          <w:sz w:val="22"/>
          <w:szCs w:val="22"/>
        </w:rPr>
      </w:pPr>
    </w:p>
    <w:p w14:paraId="35BDB88D" w14:textId="77777777" w:rsidR="007F17BE" w:rsidRPr="007F17BE" w:rsidRDefault="007F17BE" w:rsidP="4C72D9C6">
      <w:pPr>
        <w:keepNext/>
        <w:keepLines/>
        <w:spacing w:before="80" w:after="40"/>
        <w:jc w:val="left"/>
        <w:outlineLvl w:val="3"/>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4.1 Introduction to Findings and Analytical Framework</w:t>
      </w:r>
    </w:p>
    <w:p w14:paraId="4A5DBCBC"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chapter presents the findings and analysis of the literature reviewed, drawing together the evidence gathered through the systematic process outlined in Chapter 3. The focus is to interpret how early diagnosis of Attention-Deficit/Hyperactivity Disorder (ADHD) influences educational performance and classroom behaviour in White British boys aged 5–11 within UK primary schools. The discussion critically examines both the benefits and the limitations of early identification, highlighting how diagnostic timing, teacher competence, and multi-agency coordination intersect to shape learning outcomes.</w:t>
      </w:r>
    </w:p>
    <w:p w14:paraId="091E4507"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94AD104"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analytical process builds upon the search strategy and validation methods presented in Figure 1 (Search Process Flowchart, Chapter 3.2) and the conceptual framework shown in Figure 2 (Chapter 3.6). Figure 1 illustrated how studies were found and filtered through structured database searches, while Figure 2 provided a visual pathway linking early diagnosis → targeted intervention → improved academic performance → enhanced emotional wellbeing → inclusion and equality. These frameworks ensured that the present analysis remained methodologically transparent and conceptually consistent with the dissertation’s aim.</w:t>
      </w:r>
    </w:p>
    <w:p w14:paraId="76417E7C"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99E5ACD"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analysis is structured around four inter-connected themes, each drawn from the coded findings presented in Appendix B2 (Thematic Analysis Results Summary Table).</w:t>
      </w:r>
    </w:p>
    <w:p w14:paraId="5B0E38C5"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1 – Early Diagnosis and Access to Support: explores how prompt identification and referral to services such as CAMHS or school SEN teams influence educational and behavioural outcomes.</w:t>
      </w:r>
    </w:p>
    <w:p w14:paraId="4BA4D6A6"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2 – Teacher Awareness and Classroom Practice: examines how levels of teacher training and confidence affect early recognition and inclusive classroom strategies.</w:t>
      </w:r>
    </w:p>
    <w:p w14:paraId="0DCB8C87"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3 – Multi-agency Collaboration and Family Involvement: considers the impact of partnership between schools, parents, and health professionals on continuity of care.</w:t>
      </w:r>
    </w:p>
    <w:p w14:paraId="54DAD1F0"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4 – Socio-economic and Regional Inequalities: evaluates how deprivation and geographic variation shape access to assessment and intervention quality.</w:t>
      </w:r>
    </w:p>
    <w:p w14:paraId="69B4B52F"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497B379"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These thematic categories, originally coded and summarised in Appendix B2, form the analytical foundation of this chapter, enabling the findings to be interpreted within the wider conceptual and policy contexts shown in earlier chapters. Together, they reflect how early ADHD diagnosis is not only a clinical or educational issue but also an indicator of social equity and system responsiveness within UK child services.</w:t>
      </w:r>
    </w:p>
    <w:p w14:paraId="5ACD1C45"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A7576B4" w14:textId="1CC5DF27" w:rsidR="000029E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Each theme is examined in turn, supported by evidence from peer-reviewed literature, national policy documents, and international research. The chapter therefore moves beyond mere description to apply a critical, interpretative analysis that integrates theoretical insight with real-world educational practice. This ensures continuity from the methodological rationale in Chapter 3 toward the development of an evidence-based discussion of how prompt recognition and coordinated intervention can enhance the educational experiences of boys with ADHD in UK primary schools.</w:t>
      </w:r>
    </w:p>
    <w:p w14:paraId="5AAC7835" w14:textId="55FE8653" w:rsidR="006C573C" w:rsidRDefault="001C3AF6" w:rsidP="4C72D9C6">
      <w:pPr>
        <w:pStyle w:val="Heading2"/>
        <w:rPr>
          <w:rFonts w:ascii="Arial" w:eastAsia="Arial" w:hAnsi="Arial" w:cs="Arial"/>
          <w:b/>
          <w:bCs/>
          <w:color w:val="000000" w:themeColor="text1"/>
          <w:sz w:val="22"/>
          <w:szCs w:val="22"/>
        </w:rPr>
      </w:pPr>
      <w:r w:rsidRPr="4C72D9C6">
        <w:rPr>
          <w:rFonts w:ascii="Arial" w:eastAsia="Arial" w:hAnsi="Arial" w:cs="Arial"/>
          <w:b/>
          <w:bCs/>
          <w:color w:val="000000" w:themeColor="text1"/>
          <w:sz w:val="22"/>
          <w:szCs w:val="22"/>
        </w:rPr>
        <w:t xml:space="preserve">4.2 – Thematic </w:t>
      </w:r>
      <w:r w:rsidR="64551BF3" w:rsidRPr="4C72D9C6">
        <w:rPr>
          <w:rFonts w:ascii="Arial" w:eastAsia="Arial" w:hAnsi="Arial" w:cs="Arial"/>
          <w:b/>
          <w:bCs/>
          <w:color w:val="000000" w:themeColor="text1"/>
          <w:sz w:val="22"/>
          <w:szCs w:val="22"/>
        </w:rPr>
        <w:t>Analysis Definition of Thematic Analysis</w:t>
      </w:r>
    </w:p>
    <w:p w14:paraId="4F579D3C" w14:textId="1114E13B" w:rsidR="006C573C" w:rsidRDefault="006C573C" w:rsidP="4C72D9C6">
      <w:pPr>
        <w:pStyle w:val="p1"/>
        <w:spacing w:line="360" w:lineRule="auto"/>
        <w:rPr>
          <w:rStyle w:val="s1"/>
          <w:rFonts w:ascii="Arial" w:eastAsia="Arial" w:hAnsi="Arial" w:cs="Arial"/>
          <w:color w:val="000000" w:themeColor="text1"/>
          <w:sz w:val="22"/>
          <w:szCs w:val="22"/>
        </w:rPr>
      </w:pPr>
      <w:bookmarkStart w:id="23" w:name="_Int_Wnft6zSP"/>
      <w:r w:rsidRPr="4C72D9C6">
        <w:rPr>
          <w:rStyle w:val="s1"/>
          <w:rFonts w:ascii="Arial" w:eastAsia="Arial" w:hAnsi="Arial" w:cs="Arial"/>
          <w:color w:val="000000" w:themeColor="text1"/>
          <w:sz w:val="22"/>
          <w:szCs w:val="22"/>
        </w:rPr>
        <w:t>Thematic analysis is a method used to organise and interpret patterns within research.</w:t>
      </w:r>
      <w:bookmarkEnd w:id="23"/>
      <w:r w:rsidRPr="4C72D9C6">
        <w:rPr>
          <w:rStyle w:val="s1"/>
          <w:rFonts w:ascii="Arial" w:eastAsia="Arial" w:hAnsi="Arial" w:cs="Arial"/>
          <w:color w:val="000000" w:themeColor="text1"/>
          <w:sz w:val="22"/>
          <w:szCs w:val="22"/>
        </w:rPr>
        <w:t xml:space="preserve"> Braun and Clarke (2006) describe it as a flexible approach that helps researchers </w:t>
      </w:r>
      <w:r w:rsidR="005F4551" w:rsidRPr="4C72D9C6">
        <w:rPr>
          <w:rStyle w:val="s1"/>
          <w:rFonts w:ascii="Arial" w:eastAsia="Arial" w:hAnsi="Arial" w:cs="Arial"/>
          <w:color w:val="000000" w:themeColor="text1"/>
          <w:sz w:val="22"/>
          <w:szCs w:val="22"/>
        </w:rPr>
        <w:t>find</w:t>
      </w:r>
      <w:r w:rsidRPr="4C72D9C6">
        <w:rPr>
          <w:rStyle w:val="s1"/>
          <w:rFonts w:ascii="Arial" w:eastAsia="Arial" w:hAnsi="Arial" w:cs="Arial"/>
          <w:color w:val="000000" w:themeColor="text1"/>
          <w:sz w:val="22"/>
          <w:szCs w:val="22"/>
        </w:rPr>
        <w:t xml:space="preserve"> repeated ideas, common </w:t>
      </w:r>
      <w:r w:rsidR="0009124B" w:rsidRPr="4C72D9C6">
        <w:rPr>
          <w:rStyle w:val="s1"/>
          <w:rFonts w:ascii="Arial" w:eastAsia="Arial" w:hAnsi="Arial" w:cs="Arial"/>
          <w:color w:val="000000" w:themeColor="text1"/>
          <w:sz w:val="22"/>
          <w:szCs w:val="22"/>
        </w:rPr>
        <w:t>issues,</w:t>
      </w:r>
      <w:r w:rsidRPr="4C72D9C6">
        <w:rPr>
          <w:rStyle w:val="s1"/>
          <w:rFonts w:ascii="Arial" w:eastAsia="Arial" w:hAnsi="Arial" w:cs="Arial"/>
          <w:color w:val="000000" w:themeColor="text1"/>
          <w:sz w:val="22"/>
          <w:szCs w:val="22"/>
        </w:rPr>
        <w:t xml:space="preserve"> and shared meanings across </w:t>
      </w:r>
      <w:r w:rsidR="001A4C8C" w:rsidRPr="4C72D9C6">
        <w:rPr>
          <w:rStyle w:val="s1"/>
          <w:rFonts w:ascii="Arial" w:eastAsia="Arial" w:hAnsi="Arial" w:cs="Arial"/>
          <w:color w:val="000000" w:themeColor="text1"/>
          <w:sz w:val="22"/>
          <w:szCs w:val="22"/>
        </w:rPr>
        <w:t>various sources</w:t>
      </w:r>
      <w:r w:rsidRPr="4C72D9C6">
        <w:rPr>
          <w:rStyle w:val="s1"/>
          <w:rFonts w:ascii="Arial" w:eastAsia="Arial" w:hAnsi="Arial" w:cs="Arial"/>
          <w:color w:val="000000" w:themeColor="text1"/>
          <w:sz w:val="22"/>
          <w:szCs w:val="22"/>
        </w:rPr>
        <w:t xml:space="preserve">. This method works well for secondary research because it allows </w:t>
      </w:r>
      <w:r w:rsidR="001A4C8C" w:rsidRPr="4C72D9C6">
        <w:rPr>
          <w:rStyle w:val="s1"/>
          <w:rFonts w:ascii="Arial" w:eastAsia="Arial" w:hAnsi="Arial" w:cs="Arial"/>
          <w:color w:val="000000" w:themeColor="text1"/>
          <w:sz w:val="22"/>
          <w:szCs w:val="22"/>
        </w:rPr>
        <w:t>substantial amounts</w:t>
      </w:r>
      <w:r w:rsidRPr="4C72D9C6">
        <w:rPr>
          <w:rStyle w:val="s1"/>
          <w:rFonts w:ascii="Arial" w:eastAsia="Arial" w:hAnsi="Arial" w:cs="Arial"/>
          <w:color w:val="000000" w:themeColor="text1"/>
          <w:sz w:val="22"/>
          <w:szCs w:val="22"/>
        </w:rPr>
        <w:t xml:space="preserve"> of literature to be broken down into manageable sections, making it easier to spot the most important themes linked to the research aim.</w:t>
      </w:r>
    </w:p>
    <w:p w14:paraId="4D83A0F5" w14:textId="03842F4C" w:rsidR="006C573C" w:rsidRDefault="006C573C" w:rsidP="4C72D9C6">
      <w:pPr>
        <w:pStyle w:val="p2"/>
        <w:spacing w:line="360" w:lineRule="auto"/>
        <w:rPr>
          <w:rStyle w:val="s1"/>
          <w:rFonts w:ascii="Arial" w:eastAsia="Arial" w:hAnsi="Arial" w:cs="Arial"/>
          <w:color w:val="000000" w:themeColor="text1"/>
          <w:sz w:val="22"/>
          <w:szCs w:val="22"/>
        </w:rPr>
      </w:pPr>
      <w:r w:rsidRPr="4C72D9C6">
        <w:rPr>
          <w:rStyle w:val="s1"/>
          <w:rFonts w:ascii="Arial" w:eastAsia="Arial" w:hAnsi="Arial" w:cs="Arial"/>
          <w:color w:val="000000" w:themeColor="text1"/>
          <w:sz w:val="22"/>
          <w:szCs w:val="22"/>
        </w:rPr>
        <w:t xml:space="preserve">For this study, the reviewed articles were read </w:t>
      </w:r>
      <w:r w:rsidR="0009124B" w:rsidRPr="4C72D9C6">
        <w:rPr>
          <w:rStyle w:val="s1"/>
          <w:rFonts w:ascii="Arial" w:eastAsia="Arial" w:hAnsi="Arial" w:cs="Arial"/>
          <w:color w:val="000000" w:themeColor="text1"/>
          <w:sz w:val="22"/>
          <w:szCs w:val="22"/>
        </w:rPr>
        <w:t>closely,</w:t>
      </w:r>
      <w:r w:rsidRPr="4C72D9C6">
        <w:rPr>
          <w:rStyle w:val="s1"/>
          <w:rFonts w:ascii="Arial" w:eastAsia="Arial" w:hAnsi="Arial" w:cs="Arial"/>
          <w:color w:val="000000" w:themeColor="text1"/>
          <w:sz w:val="22"/>
          <w:szCs w:val="22"/>
        </w:rPr>
        <w:t xml:space="preserve"> and initial codes were created based on recurring topics such as early diagnosis, teacher understanding, service pathways, and inequalities. These codes were then grouped into broader themes, which are shown in </w:t>
      </w:r>
      <w:r w:rsidRPr="4C72D9C6">
        <w:rPr>
          <w:rStyle w:val="s2"/>
          <w:rFonts w:ascii="Arial" w:eastAsia="Arial" w:hAnsi="Arial" w:cs="Arial"/>
          <w:color w:val="000000" w:themeColor="text1"/>
          <w:sz w:val="22"/>
          <w:szCs w:val="22"/>
        </w:rPr>
        <w:t>Appendix B1 (Results Summary Table)</w:t>
      </w:r>
      <w:r w:rsidRPr="4C72D9C6">
        <w:rPr>
          <w:rStyle w:val="s1"/>
          <w:rFonts w:ascii="Arial" w:eastAsia="Arial" w:hAnsi="Arial" w:cs="Arial"/>
          <w:color w:val="000000" w:themeColor="text1"/>
          <w:sz w:val="22"/>
          <w:szCs w:val="22"/>
        </w:rPr>
        <w:t xml:space="preserve"> and </w:t>
      </w:r>
      <w:r w:rsidRPr="4C72D9C6">
        <w:rPr>
          <w:rStyle w:val="s2"/>
          <w:rFonts w:ascii="Arial" w:eastAsia="Arial" w:hAnsi="Arial" w:cs="Arial"/>
          <w:color w:val="000000" w:themeColor="text1"/>
          <w:sz w:val="22"/>
          <w:szCs w:val="22"/>
        </w:rPr>
        <w:t>Appendix B2 (Thematic Analysis Summary Table)</w:t>
      </w:r>
      <w:r w:rsidRPr="4C72D9C6">
        <w:rPr>
          <w:rStyle w:val="s1"/>
          <w:rFonts w:ascii="Arial" w:eastAsia="Arial" w:hAnsi="Arial" w:cs="Arial"/>
          <w:color w:val="000000" w:themeColor="text1"/>
          <w:sz w:val="22"/>
          <w:szCs w:val="22"/>
        </w:rPr>
        <w:t>. These tables helped ensure the coding was consistent and transparent.</w:t>
      </w:r>
    </w:p>
    <w:p w14:paraId="3F57F38A" w14:textId="77777777" w:rsidR="006C573C" w:rsidRDefault="006C573C" w:rsidP="4C72D9C6">
      <w:pPr>
        <w:pStyle w:val="p2"/>
        <w:spacing w:line="360" w:lineRule="auto"/>
        <w:rPr>
          <w:rStyle w:val="s1"/>
          <w:rFonts w:ascii="Arial" w:eastAsia="Arial" w:hAnsi="Arial" w:cs="Arial"/>
          <w:color w:val="000000" w:themeColor="text1"/>
          <w:sz w:val="22"/>
          <w:szCs w:val="22"/>
        </w:rPr>
      </w:pPr>
      <w:r w:rsidRPr="4C72D9C6">
        <w:rPr>
          <w:rStyle w:val="s1"/>
          <w:rFonts w:ascii="Arial" w:eastAsia="Arial" w:hAnsi="Arial" w:cs="Arial"/>
          <w:color w:val="000000" w:themeColor="text1"/>
          <w:sz w:val="22"/>
          <w:szCs w:val="22"/>
        </w:rPr>
        <w:t>Using thematic analysis also has limitations. Because it relies on the researcher interpreting the literature, there is always a risk of bias, and themes may be influenced by what the researcher notices more strongly. However, linking the themes clearly back to the research question, and using a wide range of peer-reviewed sources, helps to strengthen the credibility of the analysis.</w:t>
      </w:r>
    </w:p>
    <w:p w14:paraId="1CF39A9E" w14:textId="77777777" w:rsidR="00FE1386" w:rsidRPr="00FF5B5D" w:rsidRDefault="00FE1386" w:rsidP="4C72D9C6">
      <w:pPr>
        <w:ind w:left="720"/>
        <w:rPr>
          <w:rFonts w:ascii="Arial" w:eastAsia="Arial" w:hAnsi="Arial" w:cs="Arial"/>
          <w:color w:val="000000" w:themeColor="text1"/>
        </w:rPr>
      </w:pPr>
    </w:p>
    <w:p w14:paraId="269070F3" w14:textId="1AA578BD" w:rsidR="00D016EC" w:rsidRPr="00D016EC" w:rsidRDefault="00DE60E6"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kern w:val="36"/>
          <w:sz w:val="22"/>
          <w:szCs w:val="22"/>
          <w:lang w:bidi="ar-SA"/>
        </w:rPr>
        <w:t xml:space="preserve">4.3 – </w:t>
      </w:r>
      <w:r w:rsidR="00D016EC" w:rsidRPr="4C72D9C6">
        <w:rPr>
          <w:rFonts w:eastAsia="Arial" w:cs="Arial"/>
          <w:bCs/>
          <w:color w:val="000000" w:themeColor="text1"/>
          <w:kern w:val="36"/>
          <w:sz w:val="22"/>
          <w:szCs w:val="22"/>
          <w:lang w:bidi="ar-SA"/>
        </w:rPr>
        <w:t>Early Diagnosis and Access to Support</w:t>
      </w:r>
      <w:r w:rsidR="778E0EEB" w:rsidRPr="4C72D9C6">
        <w:rPr>
          <w:rFonts w:eastAsia="Arial" w:cs="Arial"/>
          <w:bCs/>
          <w:color w:val="000000" w:themeColor="text1"/>
          <w:kern w:val="36"/>
          <w:sz w:val="22"/>
          <w:szCs w:val="22"/>
          <w:lang w:bidi="ar-SA"/>
        </w:rPr>
        <w:t xml:space="preserve"> </w:t>
      </w:r>
      <w:r w:rsidR="0088225D" w:rsidRPr="4C72D9C6">
        <w:rPr>
          <w:rFonts w:eastAsia="Arial" w:cs="Arial"/>
          <w:bCs/>
          <w:color w:val="000000" w:themeColor="text1"/>
          <w:sz w:val="22"/>
          <w:szCs w:val="22"/>
        </w:rPr>
        <w:t>Definition of the Theme</w:t>
      </w:r>
    </w:p>
    <w:p w14:paraId="4BE0E441" w14:textId="3708ED82"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Early diagnosis refers to the </w:t>
      </w:r>
      <w:r w:rsidR="009955F4" w:rsidRPr="4C72D9C6">
        <w:rPr>
          <w:rFonts w:ascii="Arial" w:eastAsia="Arial" w:hAnsi="Arial" w:cs="Arial"/>
          <w:color w:val="000000" w:themeColor="text1"/>
          <w:kern w:val="0"/>
          <w:lang w:eastAsia="en-GB"/>
          <w14:ligatures w14:val="none"/>
        </w:rPr>
        <w:t>prompt</w:t>
      </w:r>
      <w:r w:rsidRPr="4C72D9C6">
        <w:rPr>
          <w:rFonts w:ascii="Arial" w:eastAsia="Arial" w:hAnsi="Arial" w:cs="Arial"/>
          <w:color w:val="000000" w:themeColor="text1"/>
          <w:kern w:val="0"/>
          <w:lang w:eastAsia="en-GB"/>
          <w14:ligatures w14:val="none"/>
        </w:rPr>
        <w:t xml:space="preserve"> recognition and formal identification of Attention-Deficit/Hyperactivity Disorder (ADHD) during the </w:t>
      </w:r>
      <w:r w:rsidR="009955F4" w:rsidRPr="4C72D9C6">
        <w:rPr>
          <w:rFonts w:ascii="Arial" w:eastAsia="Arial" w:hAnsi="Arial" w:cs="Arial"/>
          <w:color w:val="000000" w:themeColor="text1"/>
          <w:kern w:val="0"/>
          <w:lang w:eastAsia="en-GB"/>
          <w14:ligatures w14:val="none"/>
        </w:rPr>
        <w:t>initial stages</w:t>
      </w:r>
      <w:r w:rsidRPr="4C72D9C6">
        <w:rPr>
          <w:rFonts w:ascii="Arial" w:eastAsia="Arial" w:hAnsi="Arial" w:cs="Arial"/>
          <w:color w:val="000000" w:themeColor="text1"/>
          <w:kern w:val="0"/>
          <w:lang w:eastAsia="en-GB"/>
          <w14:ligatures w14:val="none"/>
        </w:rPr>
        <w:t xml:space="preserve"> of a child’s education, typically before the end of Key Stage 2 (age 11). Within UK policy, early identification is embedded in the SEND Code of Practice (DfE &amp; DHSC, 2015), which emphasises early recognition, proactive assessment, and coordinated planning. “Access to support” refers to the availability, timeliness, and quality of intervention and assessment services—</w:t>
      </w:r>
      <w:r w:rsidR="009955F4" w:rsidRPr="4C72D9C6">
        <w:rPr>
          <w:rFonts w:ascii="Arial" w:eastAsia="Arial" w:hAnsi="Arial" w:cs="Arial"/>
          <w:color w:val="000000" w:themeColor="text1"/>
          <w:kern w:val="0"/>
          <w:lang w:eastAsia="en-GB"/>
          <w14:ligatures w14:val="none"/>
        </w:rPr>
        <w:t>through</w:t>
      </w:r>
      <w:r w:rsidRPr="4C72D9C6">
        <w:rPr>
          <w:rFonts w:ascii="Arial" w:eastAsia="Arial" w:hAnsi="Arial" w:cs="Arial"/>
          <w:color w:val="000000" w:themeColor="text1"/>
          <w:kern w:val="0"/>
          <w:lang w:eastAsia="en-GB"/>
          <w14:ligatures w14:val="none"/>
        </w:rPr>
        <w:t xml:space="preserve"> schools, CAMHS, and multi-agency networks—which collectively shape a child’s ability to </w:t>
      </w:r>
      <w:r w:rsidR="009955F4" w:rsidRPr="4C72D9C6">
        <w:rPr>
          <w:rFonts w:ascii="Arial" w:eastAsia="Arial" w:hAnsi="Arial" w:cs="Arial"/>
          <w:color w:val="000000" w:themeColor="text1"/>
          <w:kern w:val="0"/>
          <w:lang w:eastAsia="en-GB"/>
          <w14:ligatures w14:val="none"/>
        </w:rPr>
        <w:t>take part</w:t>
      </w:r>
      <w:r w:rsidRPr="4C72D9C6">
        <w:rPr>
          <w:rFonts w:ascii="Arial" w:eastAsia="Arial" w:hAnsi="Arial" w:cs="Arial"/>
          <w:color w:val="000000" w:themeColor="text1"/>
          <w:kern w:val="0"/>
          <w:lang w:eastAsia="en-GB"/>
          <w14:ligatures w14:val="none"/>
        </w:rPr>
        <w:t xml:space="preserve"> effectively in education.</w:t>
      </w:r>
    </w:p>
    <w:p w14:paraId="218ED781" w14:textId="2D556B36" w:rsidR="00B44B91" w:rsidRPr="00631506"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The theme is particularly relevant for White British boys, who statistically receive ADHD diagnoses more </w:t>
      </w:r>
      <w:r w:rsidR="00535AD8" w:rsidRPr="4C72D9C6">
        <w:rPr>
          <w:rFonts w:ascii="Arial" w:eastAsia="Arial" w:hAnsi="Arial" w:cs="Arial"/>
          <w:color w:val="000000" w:themeColor="text1"/>
          <w:kern w:val="0"/>
          <w:lang w:eastAsia="en-GB"/>
          <w14:ligatures w14:val="none"/>
        </w:rPr>
        <w:t>often</w:t>
      </w:r>
      <w:r w:rsidRPr="4C72D9C6">
        <w:rPr>
          <w:rFonts w:ascii="Arial" w:eastAsia="Arial" w:hAnsi="Arial" w:cs="Arial"/>
          <w:color w:val="000000" w:themeColor="text1"/>
          <w:kern w:val="0"/>
          <w:lang w:eastAsia="en-GB"/>
          <w14:ligatures w14:val="none"/>
        </w:rPr>
        <w:t xml:space="preserve"> and earlier than girls or children from other ethnic groups (Sayal et al., 2018). However, </w:t>
      </w:r>
      <w:r w:rsidR="0E4A3EEC" w:rsidRPr="4C72D9C6">
        <w:rPr>
          <w:rFonts w:ascii="Arial" w:eastAsia="Arial" w:hAnsi="Arial" w:cs="Arial"/>
          <w:color w:val="000000" w:themeColor="text1"/>
          <w:kern w:val="0"/>
          <w:lang w:eastAsia="en-GB"/>
          <w14:ligatures w14:val="none"/>
        </w:rPr>
        <w:t>prompt</w:t>
      </w:r>
      <w:r w:rsidR="00535AD8" w:rsidRPr="4C72D9C6">
        <w:rPr>
          <w:rFonts w:ascii="Arial" w:eastAsia="Arial" w:hAnsi="Arial" w:cs="Arial"/>
          <w:color w:val="000000" w:themeColor="text1"/>
          <w:kern w:val="0"/>
          <w:lang w:eastAsia="en-GB"/>
          <w14:ligatures w14:val="none"/>
        </w:rPr>
        <w:t xml:space="preserve"> access</w:t>
      </w:r>
      <w:r w:rsidRPr="4C72D9C6">
        <w:rPr>
          <w:rFonts w:ascii="Arial" w:eastAsia="Arial" w:hAnsi="Arial" w:cs="Arial"/>
          <w:color w:val="000000" w:themeColor="text1"/>
          <w:kern w:val="0"/>
          <w:lang w:eastAsia="en-GB"/>
          <w14:ligatures w14:val="none"/>
        </w:rPr>
        <w:t xml:space="preserve"> to services is neither consistent nor </w:t>
      </w:r>
      <w:bookmarkStart w:id="24" w:name="_Int_bjbhv7zd"/>
      <w:r w:rsidRPr="4C72D9C6">
        <w:rPr>
          <w:rFonts w:ascii="Arial" w:eastAsia="Arial" w:hAnsi="Arial" w:cs="Arial"/>
          <w:color w:val="000000" w:themeColor="text1"/>
          <w:kern w:val="0"/>
          <w:lang w:eastAsia="en-GB"/>
          <w14:ligatures w14:val="none"/>
        </w:rPr>
        <w:t>equitable</w:t>
      </w:r>
      <w:bookmarkEnd w:id="24"/>
      <w:r w:rsidRPr="4C72D9C6">
        <w:rPr>
          <w:rFonts w:ascii="Arial" w:eastAsia="Arial" w:hAnsi="Arial" w:cs="Arial"/>
          <w:color w:val="000000" w:themeColor="text1"/>
          <w:kern w:val="0"/>
          <w:lang w:eastAsia="en-GB"/>
          <w14:ligatures w14:val="none"/>
        </w:rPr>
        <w:t>, making this a central issue for educational outcomes.</w:t>
      </w:r>
    </w:p>
    <w:p w14:paraId="6D86B582" w14:textId="77777777" w:rsidR="00B44B91" w:rsidRPr="0088225D" w:rsidRDefault="00B44B91" w:rsidP="4C72D9C6">
      <w:pPr>
        <w:spacing w:after="0"/>
        <w:jc w:val="left"/>
        <w:rPr>
          <w:rFonts w:ascii="Arial" w:eastAsia="Arial" w:hAnsi="Arial" w:cs="Arial"/>
          <w:color w:val="000000" w:themeColor="text1"/>
          <w:kern w:val="0"/>
          <w:lang w:eastAsia="en-GB"/>
          <w14:ligatures w14:val="none"/>
        </w:rPr>
      </w:pPr>
    </w:p>
    <w:p w14:paraId="0F23F9C6" w14:textId="0C9750A6" w:rsidR="0088225D" w:rsidRPr="00631506" w:rsidRDefault="0088225D" w:rsidP="4C72D9C6">
      <w:pPr>
        <w:spacing w:before="100" w:beforeAutospacing="1" w:after="100" w:afterAutospacing="1"/>
        <w:jc w:val="left"/>
        <w:outlineLvl w:val="1"/>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Background and Context</w:t>
      </w:r>
    </w:p>
    <w:p w14:paraId="7231D18E" w14:textId="43B3EF2D"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Historically, ADHD was viewed </w:t>
      </w:r>
      <w:r w:rsidR="00B44B91" w:rsidRPr="4C72D9C6">
        <w:rPr>
          <w:rFonts w:ascii="Arial" w:eastAsia="Arial" w:hAnsi="Arial" w:cs="Arial"/>
          <w:color w:val="000000" w:themeColor="text1"/>
          <w:kern w:val="0"/>
          <w:lang w:eastAsia="en-GB"/>
          <w14:ligatures w14:val="none"/>
        </w:rPr>
        <w:t>as</w:t>
      </w:r>
      <w:r w:rsidRPr="4C72D9C6">
        <w:rPr>
          <w:rFonts w:ascii="Arial" w:eastAsia="Arial" w:hAnsi="Arial" w:cs="Arial"/>
          <w:color w:val="000000" w:themeColor="text1"/>
          <w:kern w:val="0"/>
          <w:lang w:eastAsia="en-GB"/>
          <w14:ligatures w14:val="none"/>
        </w:rPr>
        <w:t xml:space="preserve"> a behavioural problem rather than a neurodevelopmental condition, resulting in many children—particularly boys—being labelled as “disruptive” rather than identified with unmet needs (Cooper, 2021). The shift towards understanding ADHD as neurodevelopmental, reflected in DSM-5-TR (APA, 2022) and ICD-11 (WHO, 2022), increased emphasis on early and </w:t>
      </w:r>
      <w:r w:rsidR="555833AB" w:rsidRPr="4C72D9C6">
        <w:rPr>
          <w:rFonts w:ascii="Arial" w:eastAsia="Arial" w:hAnsi="Arial" w:cs="Arial"/>
          <w:color w:val="000000" w:themeColor="text1"/>
          <w:kern w:val="0"/>
          <w:lang w:eastAsia="en-GB"/>
          <w14:ligatures w14:val="none"/>
        </w:rPr>
        <w:t>exact</w:t>
      </w:r>
      <w:r w:rsidRPr="4C72D9C6">
        <w:rPr>
          <w:rFonts w:ascii="Arial" w:eastAsia="Arial" w:hAnsi="Arial" w:cs="Arial"/>
          <w:color w:val="000000" w:themeColor="text1"/>
          <w:kern w:val="0"/>
          <w:lang w:eastAsia="en-GB"/>
          <w14:ligatures w14:val="none"/>
        </w:rPr>
        <w:t xml:space="preserve"> diagnosis.</w:t>
      </w:r>
    </w:p>
    <w:p w14:paraId="7C41305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BE962AF" w14:textId="45CC4B09"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Despite this, access to assessment and intervention across the UK </w:t>
      </w:r>
      <w:r w:rsidR="00DE3934" w:rsidRPr="4C72D9C6">
        <w:rPr>
          <w:rFonts w:ascii="Arial" w:eastAsia="Arial" w:hAnsi="Arial" w:cs="Arial"/>
          <w:color w:val="000000" w:themeColor="text1"/>
          <w:kern w:val="0"/>
          <w:lang w:eastAsia="en-GB"/>
          <w14:ligatures w14:val="none"/>
        </w:rPr>
        <w:t>is still</w:t>
      </w:r>
      <w:r w:rsidRPr="4C72D9C6">
        <w:rPr>
          <w:rFonts w:ascii="Arial" w:eastAsia="Arial" w:hAnsi="Arial" w:cs="Arial"/>
          <w:color w:val="000000" w:themeColor="text1"/>
          <w:kern w:val="0"/>
          <w:lang w:eastAsia="en-GB"/>
          <w14:ligatures w14:val="none"/>
        </w:rPr>
        <w:t xml:space="preserve"> inconsistent. The Children’s Commissioner (2023) found significant regional variation in referral-to-treatment times, with some families waiting over two years for CAMHS assessment. This contradicts the early-intervention ethos outlined in the Children and Families Act 2014, which mandates coordinated support between education, </w:t>
      </w:r>
      <w:r w:rsidR="00B44B91" w:rsidRPr="4C72D9C6">
        <w:rPr>
          <w:rFonts w:ascii="Arial" w:eastAsia="Arial" w:hAnsi="Arial" w:cs="Arial"/>
          <w:color w:val="000000" w:themeColor="text1"/>
          <w:kern w:val="0"/>
          <w:lang w:eastAsia="en-GB"/>
          <w14:ligatures w14:val="none"/>
        </w:rPr>
        <w:t>health,</w:t>
      </w:r>
      <w:r w:rsidRPr="4C72D9C6">
        <w:rPr>
          <w:rFonts w:ascii="Arial" w:eastAsia="Arial" w:hAnsi="Arial" w:cs="Arial"/>
          <w:color w:val="000000" w:themeColor="text1"/>
          <w:kern w:val="0"/>
          <w:lang w:eastAsia="en-GB"/>
          <w14:ligatures w14:val="none"/>
        </w:rPr>
        <w:t xml:space="preserve"> and care services.</w:t>
      </w:r>
    </w:p>
    <w:p w14:paraId="737BBA00"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C9B7787" w14:textId="1ECE2226"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White British boys are often </w:t>
      </w:r>
      <w:r w:rsidR="00DE3934" w:rsidRPr="4C72D9C6">
        <w:rPr>
          <w:rFonts w:ascii="Arial" w:eastAsia="Arial" w:hAnsi="Arial" w:cs="Arial"/>
          <w:color w:val="000000" w:themeColor="text1"/>
          <w:kern w:val="0"/>
          <w:lang w:eastAsia="en-GB"/>
          <w14:ligatures w14:val="none"/>
        </w:rPr>
        <w:t>shown</w:t>
      </w:r>
      <w:r w:rsidRPr="4C72D9C6">
        <w:rPr>
          <w:rFonts w:ascii="Arial" w:eastAsia="Arial" w:hAnsi="Arial" w:cs="Arial"/>
          <w:color w:val="000000" w:themeColor="text1"/>
          <w:kern w:val="0"/>
          <w:lang w:eastAsia="en-GB"/>
          <w14:ligatures w14:val="none"/>
        </w:rPr>
        <w:t xml:space="preserve"> earlier because their symptoms—particularly hyperactivity—manifest visibly in classroom environments (NHS Digital, 2022). However, visibility does not automatically lead to </w:t>
      </w:r>
      <w:bookmarkStart w:id="25" w:name="_Int_WoWLQYQj"/>
      <w:r w:rsidRPr="4C72D9C6">
        <w:rPr>
          <w:rFonts w:ascii="Arial" w:eastAsia="Arial" w:hAnsi="Arial" w:cs="Arial"/>
          <w:color w:val="000000" w:themeColor="text1"/>
          <w:kern w:val="0"/>
          <w:lang w:eastAsia="en-GB"/>
          <w14:ligatures w14:val="none"/>
        </w:rPr>
        <w:t>timely</w:t>
      </w:r>
      <w:bookmarkEnd w:id="25"/>
      <w:r w:rsidRPr="4C72D9C6">
        <w:rPr>
          <w:rFonts w:ascii="Arial" w:eastAsia="Arial" w:hAnsi="Arial" w:cs="Arial"/>
          <w:color w:val="000000" w:themeColor="text1"/>
          <w:kern w:val="0"/>
          <w:lang w:eastAsia="en-GB"/>
          <w14:ligatures w14:val="none"/>
        </w:rPr>
        <w:t xml:space="preserve"> support. Many are placed in cycles of punishment, exclusion, or reduced curriculum time while awaiting formal diagnosis.</w:t>
      </w:r>
    </w:p>
    <w:p w14:paraId="234554AE" w14:textId="4C2F4709" w:rsidR="0088225D" w:rsidRPr="0088225D" w:rsidRDefault="0088225D" w:rsidP="4C72D9C6">
      <w:pPr>
        <w:spacing w:after="0"/>
        <w:jc w:val="left"/>
        <w:rPr>
          <w:rFonts w:ascii="Arial" w:eastAsia="Arial" w:hAnsi="Arial" w:cs="Arial"/>
          <w:color w:val="000000" w:themeColor="text1"/>
          <w:kern w:val="0"/>
          <w:lang w:eastAsia="en-GB"/>
          <w14:ligatures w14:val="none"/>
        </w:rPr>
      </w:pPr>
    </w:p>
    <w:p w14:paraId="48757831" w14:textId="2252D158" w:rsidR="0088225D" w:rsidRPr="00300D77" w:rsidRDefault="0088225D" w:rsidP="4C72D9C6">
      <w:pPr>
        <w:spacing w:before="100" w:beforeAutospacing="1" w:after="100" w:afterAutospacing="1"/>
        <w:jc w:val="left"/>
        <w:outlineLvl w:val="1"/>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Relevance to the Research Question</w:t>
      </w:r>
    </w:p>
    <w:p w14:paraId="17D09C07" w14:textId="0D8DA6A1"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theme is central to answering the project’s research question:</w:t>
      </w:r>
    </w:p>
    <w:p w14:paraId="147FC21C" w14:textId="2CD19574"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“What impact does early ADHD diagnosis have on the educational performance and classroom behaviour of White British boys aged 5–11 in UK primary schools?”</w:t>
      </w:r>
    </w:p>
    <w:p w14:paraId="0446742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If diagnosis is early and support is accessed quickly, outcomes typically include:</w:t>
      </w:r>
    </w:p>
    <w:p w14:paraId="1DE3D18B"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improved engagement with learning</w:t>
      </w:r>
    </w:p>
    <w:p w14:paraId="47EA8A40"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reduced disruptive incidents</w:t>
      </w:r>
    </w:p>
    <w:p w14:paraId="0BC6A167"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fewer informal or formal exclusions</w:t>
      </w:r>
    </w:p>
    <w:p w14:paraId="5E2AB253"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greater emotional regulation</w:t>
      </w:r>
    </w:p>
    <w:p w14:paraId="2708060D"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better relationships with peers and teachers</w:t>
      </w:r>
    </w:p>
    <w:p w14:paraId="79DCE9C6"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B0154F4"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Conversely, delayed diagnosis or poor support access can result in:</w:t>
      </w:r>
    </w:p>
    <w:p w14:paraId="6D24F06D"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academic underachievement</w:t>
      </w:r>
    </w:p>
    <w:p w14:paraId="3D2872FE"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persistent behavioural difficulties</w:t>
      </w:r>
    </w:p>
    <w:p w14:paraId="53D05B9B"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increased stigma</w:t>
      </w:r>
    </w:p>
    <w:p w14:paraId="7B572145"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reduced self-esteem</w:t>
      </w:r>
    </w:p>
    <w:p w14:paraId="58A45DB5"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breakdown in home-school relationships</w:t>
      </w:r>
    </w:p>
    <w:p w14:paraId="34ABDC85"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037A625"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Thus, early diagnosis is not only a clinical issue—it is an educational equality issue.</w:t>
      </w:r>
    </w:p>
    <w:p w14:paraId="31EDAC63" w14:textId="6D114FCC" w:rsidR="0088225D" w:rsidRPr="0088225D" w:rsidRDefault="0088225D" w:rsidP="4C72D9C6">
      <w:pPr>
        <w:spacing w:after="0"/>
        <w:jc w:val="left"/>
        <w:rPr>
          <w:rFonts w:ascii="Arial" w:eastAsia="Arial" w:hAnsi="Arial" w:cs="Arial"/>
          <w:color w:val="000000" w:themeColor="text1"/>
          <w:kern w:val="0"/>
          <w:lang w:eastAsia="en-GB"/>
          <w14:ligatures w14:val="none"/>
        </w:rPr>
      </w:pPr>
    </w:p>
    <w:p w14:paraId="05FB2EBB" w14:textId="77777777" w:rsidR="0088225D" w:rsidRPr="00300D77" w:rsidRDefault="0088225D" w:rsidP="4C72D9C6">
      <w:pPr>
        <w:spacing w:before="100" w:beforeAutospacing="1" w:after="100" w:afterAutospacing="1"/>
        <w:jc w:val="left"/>
        <w:outlineLvl w:val="1"/>
        <w:rPr>
          <w:rFonts w:ascii="Arial" w:eastAsia="Arial" w:hAnsi="Arial" w:cs="Arial"/>
          <w:i/>
          <w:iCs/>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Statistical Evidence</w:t>
      </w:r>
    </w:p>
    <w:p w14:paraId="103C6A78"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8CD2959"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Recent national data shows:</w:t>
      </w:r>
    </w:p>
    <w:p w14:paraId="71B83E87"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1 in 20 (5%) UK school-aged children meet criteria for ADHD (NHS Digital, 2022).</w:t>
      </w:r>
    </w:p>
    <w:p w14:paraId="4443C358"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referrals for boys aged 6–10 are almost 3 times higher than girls (Sayal et al., 2018).</w:t>
      </w:r>
    </w:p>
    <w:p w14:paraId="76A9DC02"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Average CAMHS waiting times exceed 12–18 months, with some regions exceeding 24 months (Children’s Commissioner, 2023; Maciver et al., 2025).</w:t>
      </w:r>
    </w:p>
    <w:p w14:paraId="6D6A3F25"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Early intervention programmes reduce behavioural incidents by 32% and improve academic attainment by 15–20% (Ford et al., 2021).</w:t>
      </w:r>
    </w:p>
    <w:p w14:paraId="20056967"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AA94ABF" w14:textId="7EDCCC8E"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These statistics </w:t>
      </w:r>
      <w:bookmarkStart w:id="26" w:name="_Int_vSS2Oovx"/>
      <w:r w:rsidRPr="072869EF">
        <w:rPr>
          <w:rFonts w:ascii="Arial" w:eastAsia="Arial" w:hAnsi="Arial" w:cs="Arial"/>
          <w:color w:val="000000" w:themeColor="text1"/>
          <w:kern w:val="0"/>
          <w:sz w:val="24"/>
          <w:szCs w:val="24"/>
          <w:lang w:eastAsia="en-GB"/>
          <w14:ligatures w14:val="none"/>
        </w:rPr>
        <w:t>demonstrate</w:t>
      </w:r>
      <w:bookmarkEnd w:id="26"/>
      <w:r w:rsidRPr="072869EF">
        <w:rPr>
          <w:rFonts w:ascii="Arial" w:eastAsia="Arial" w:hAnsi="Arial" w:cs="Arial"/>
          <w:color w:val="000000" w:themeColor="text1"/>
          <w:kern w:val="0"/>
          <w:sz w:val="24"/>
          <w:szCs w:val="24"/>
          <w:lang w:eastAsia="en-GB"/>
          <w14:ligatures w14:val="none"/>
        </w:rPr>
        <w:t xml:space="preserve"> why early recognition and </w:t>
      </w:r>
      <w:r w:rsidR="007E5B38" w:rsidRPr="072869EF">
        <w:rPr>
          <w:rFonts w:ascii="Arial" w:eastAsia="Arial" w:hAnsi="Arial" w:cs="Arial"/>
          <w:color w:val="000000" w:themeColor="text1"/>
          <w:kern w:val="0"/>
          <w:sz w:val="24"/>
          <w:szCs w:val="24"/>
          <w:lang w:eastAsia="en-GB"/>
          <w14:ligatures w14:val="none"/>
        </w:rPr>
        <w:t>advance access</w:t>
      </w:r>
      <w:r w:rsidRPr="072869EF">
        <w:rPr>
          <w:rFonts w:ascii="Arial" w:eastAsia="Arial" w:hAnsi="Arial" w:cs="Arial"/>
          <w:color w:val="000000" w:themeColor="text1"/>
          <w:kern w:val="0"/>
          <w:sz w:val="24"/>
          <w:szCs w:val="24"/>
          <w:lang w:eastAsia="en-GB"/>
          <w14:ligatures w14:val="none"/>
        </w:rPr>
        <w:t xml:space="preserve"> to support are fundamental to educational success.</w:t>
      </w:r>
    </w:p>
    <w:p w14:paraId="1BA528F4" w14:textId="68F07DA7"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0E7DAF11" w14:textId="791894FE" w:rsidR="0088225D" w:rsidRDefault="0088225D" w:rsidP="4C72D9C6">
      <w:pPr>
        <w:spacing w:before="100" w:beforeAutospacing="1" w:after="100" w:afterAutospacing="1"/>
        <w:jc w:val="left"/>
        <w:outlineLvl w:val="1"/>
        <w:rPr>
          <w:rFonts w:ascii="Arial" w:eastAsia="Arial" w:hAnsi="Arial" w:cs="Arial"/>
          <w:color w:val="000000" w:themeColor="text1"/>
          <w:kern w:val="0"/>
          <w:sz w:val="24"/>
          <w:szCs w:val="24"/>
          <w:lang w:eastAsia="en-GB"/>
          <w14:ligatures w14:val="none"/>
        </w:rPr>
      </w:pPr>
      <w:r w:rsidRPr="072869EF">
        <w:rPr>
          <w:rFonts w:ascii="Arial" w:eastAsia="Arial" w:hAnsi="Arial" w:cs="Arial"/>
          <w:i/>
          <w:color w:val="000000" w:themeColor="text1"/>
          <w:kern w:val="0"/>
          <w:sz w:val="24"/>
          <w:szCs w:val="24"/>
          <w:lang w:eastAsia="en-GB"/>
          <w14:ligatures w14:val="none"/>
        </w:rPr>
        <w:t>Theoretical Frameworks</w:t>
      </w:r>
      <w:r w:rsidR="00134692" w:rsidRPr="072869EF">
        <w:rPr>
          <w:rFonts w:ascii="Arial" w:eastAsia="Arial" w:hAnsi="Arial" w:cs="Arial"/>
          <w:i/>
          <w:color w:val="000000" w:themeColor="text1"/>
          <w:kern w:val="0"/>
          <w:sz w:val="24"/>
          <w:szCs w:val="24"/>
          <w:lang w:eastAsia="en-GB"/>
          <w14:ligatures w14:val="none"/>
        </w:rPr>
        <w:t xml:space="preserve"> </w:t>
      </w:r>
      <w:r w:rsidR="00134692" w:rsidRPr="072869EF">
        <w:rPr>
          <w:rFonts w:ascii="Arial" w:eastAsia="Arial" w:hAnsi="Arial" w:cs="Arial"/>
          <w:color w:val="000000" w:themeColor="text1"/>
          <w:kern w:val="0"/>
          <w:sz w:val="24"/>
          <w:szCs w:val="24"/>
          <w:lang w:eastAsia="en-GB"/>
          <w14:ligatures w14:val="none"/>
        </w:rPr>
        <w:t>–</w:t>
      </w:r>
    </w:p>
    <w:p w14:paraId="4EB39E74" w14:textId="52DD203D"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Two theoretical perspectives underpin this theme:</w:t>
      </w:r>
    </w:p>
    <w:p w14:paraId="76368B76" w14:textId="7ED2DC74" w:rsidR="4C72D9C6" w:rsidRDefault="4C72D9C6" w:rsidP="4C72D9C6">
      <w:pPr>
        <w:spacing w:beforeAutospacing="1" w:afterAutospacing="1"/>
        <w:jc w:val="left"/>
        <w:rPr>
          <w:rFonts w:ascii="Arial" w:eastAsia="Arial" w:hAnsi="Arial" w:cs="Arial"/>
          <w:color w:val="000000" w:themeColor="text1"/>
          <w:sz w:val="24"/>
          <w:szCs w:val="24"/>
          <w:lang w:eastAsia="en-GB"/>
        </w:rPr>
      </w:pPr>
    </w:p>
    <w:p w14:paraId="3AD66945" w14:textId="2546CEDF" w:rsidR="0088225D" w:rsidRPr="00134692" w:rsidRDefault="0088225D" w:rsidP="4C72D9C6">
      <w:pPr>
        <w:spacing w:before="100" w:beforeAutospacing="1" w:after="100" w:afterAutospacing="1"/>
        <w:jc w:val="left"/>
        <w:outlineLvl w:val="2"/>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1. Developmental Psychopathology Perspective</w:t>
      </w:r>
    </w:p>
    <w:p w14:paraId="37ADC18F" w14:textId="012F3DA0"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This framework argues that early behavioural difficulties escalate when unaddressed, leading to compounding academic and emotional problems (Cicchetti, 2016). Early diagnosis interrupts this negative trajectory.</w:t>
      </w:r>
    </w:p>
    <w:p w14:paraId="1FE75CFF" w14:textId="77777777" w:rsidR="0088225D" w:rsidRPr="0088225D" w:rsidRDefault="0088225D" w:rsidP="4C72D9C6">
      <w:pPr>
        <w:spacing w:before="100" w:beforeAutospacing="1" w:after="100" w:afterAutospacing="1"/>
        <w:jc w:val="left"/>
        <w:outlineLvl w:val="2"/>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2. Ecological Systems Theory (Bronfenbrenner, 1979)</w:t>
      </w:r>
    </w:p>
    <w:p w14:paraId="09E77882"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1006CCD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ADHD outcomes depend on interactions between the child, school environment, family, and wider services. Early diagnosis strengthens the mesosystem (school–home–health communication), improving outcomes.</w:t>
      </w:r>
    </w:p>
    <w:p w14:paraId="6FED6E75"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2B35F3E"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In this dissertation, these theories help explain why delays cause harm and why early intervention has a cumulative protective effect.</w:t>
      </w:r>
    </w:p>
    <w:p w14:paraId="36596DD2" w14:textId="7BB4FA3A"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1FD6CFC9" w14:textId="77777777" w:rsidR="0088225D" w:rsidRPr="00134692"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Policies and Legislation</w:t>
      </w:r>
    </w:p>
    <w:p w14:paraId="0EEE08D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CD704F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Several UK frameworks reinforce the duty of early identification:</w:t>
      </w:r>
    </w:p>
    <w:p w14:paraId="3FE73DAB"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SEND Code of Practice (DfE &amp; DHSC, 2015) – requires early intervention and introduces the Assess–Plan–Do–Review cycle.</w:t>
      </w:r>
    </w:p>
    <w:p w14:paraId="2535A835"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Equality Act 2010 – ADHD can constitute a disability; schools must make reasonable adjustments.</w:t>
      </w:r>
    </w:p>
    <w:p w14:paraId="1682BFFD"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NICE Guideline NG87 (2018) – sets standards for assessment and early management.</w:t>
      </w:r>
    </w:p>
    <w:p w14:paraId="310C125F"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and Families Act 2014 – mandates integrated support and parent involvement.</w:t>
      </w:r>
    </w:p>
    <w:p w14:paraId="37298899"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NHS Long Term Plan (2019) – promises expanded mental-health support teams in schools.</w:t>
      </w:r>
    </w:p>
    <w:p w14:paraId="4F6A375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8DAC633"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However, evidence </w:t>
      </w:r>
      <w:bookmarkStart w:id="27" w:name="_Int_8fqkdixo"/>
      <w:r w:rsidRPr="072869EF">
        <w:rPr>
          <w:rFonts w:ascii="Arial" w:eastAsia="Arial" w:hAnsi="Arial" w:cs="Arial"/>
          <w:color w:val="000000" w:themeColor="text1"/>
          <w:kern w:val="0"/>
          <w:sz w:val="24"/>
          <w:szCs w:val="24"/>
          <w:lang w:eastAsia="en-GB"/>
          <w14:ligatures w14:val="none"/>
        </w:rPr>
        <w:t>indicates</w:t>
      </w:r>
      <w:bookmarkEnd w:id="27"/>
      <w:r w:rsidRPr="072869EF">
        <w:rPr>
          <w:rFonts w:ascii="Arial" w:eastAsia="Arial" w:hAnsi="Arial" w:cs="Arial"/>
          <w:color w:val="000000" w:themeColor="text1"/>
          <w:kern w:val="0"/>
          <w:sz w:val="24"/>
          <w:szCs w:val="24"/>
          <w:lang w:eastAsia="en-GB"/>
          <w14:ligatures w14:val="none"/>
        </w:rPr>
        <w:t xml:space="preserve"> significant gaps between policy intentions and real-world practice.</w:t>
      </w:r>
    </w:p>
    <w:p w14:paraId="3BF25D15" w14:textId="34535372"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5BE9BE34" w14:textId="77777777" w:rsidR="0088225D" w:rsidRPr="00134692"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Positive and Negative Implications</w:t>
      </w:r>
    </w:p>
    <w:p w14:paraId="3132A6F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F3CE011"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Positive Implications of Early Diagnosis</w:t>
      </w:r>
    </w:p>
    <w:p w14:paraId="5D6CFA2A" w14:textId="77777777"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Tailored interventions such as visual timetables, chunked tasks, and behavioural support can be put in place early.</w:t>
      </w:r>
    </w:p>
    <w:p w14:paraId="38C5FF31" w14:textId="37FD1DDF"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Improved attainment, especially in </w:t>
      </w:r>
      <w:r w:rsidR="007E5B38" w:rsidRPr="072869EF">
        <w:rPr>
          <w:rFonts w:ascii="Arial" w:eastAsia="Arial" w:hAnsi="Arial" w:cs="Arial"/>
          <w:color w:val="000000" w:themeColor="text1"/>
          <w:kern w:val="0"/>
          <w:sz w:val="24"/>
          <w:szCs w:val="24"/>
          <w:lang w:eastAsia="en-GB"/>
          <w14:ligatures w14:val="none"/>
        </w:rPr>
        <w:t>literacy when</w:t>
      </w:r>
      <w:r w:rsidRPr="072869EF">
        <w:rPr>
          <w:rFonts w:ascii="Arial" w:eastAsia="Arial" w:hAnsi="Arial" w:cs="Arial"/>
          <w:color w:val="000000" w:themeColor="text1"/>
          <w:kern w:val="0"/>
          <w:sz w:val="24"/>
          <w:szCs w:val="24"/>
          <w:lang w:eastAsia="en-GB"/>
          <w14:ligatures w14:val="none"/>
        </w:rPr>
        <w:t xml:space="preserve"> executive-function supports begin early (Fleming et al., 2020).</w:t>
      </w:r>
    </w:p>
    <w:p w14:paraId="1EDBBDCA" w14:textId="77777777"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Reduction in school exclusions, particularly for boys at risk of behavioural escalation.</w:t>
      </w:r>
    </w:p>
    <w:p w14:paraId="6F0CB0B1" w14:textId="77777777"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Better family–school collaboration, improving consistency of care.</w:t>
      </w:r>
    </w:p>
    <w:p w14:paraId="54E36CF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3D8F4F6"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Negative Implications or Limitations</w:t>
      </w:r>
    </w:p>
    <w:p w14:paraId="253A4D0C"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Stigma: Some children, particularly boys, report being labelled negatively after diagnosis (Guo et al., 2024).</w:t>
      </w:r>
    </w:p>
    <w:p w14:paraId="48AA8A5E"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Over-diagnosis concerns: Critics argue that early diagnosis may medicalise normal developmental variation (Timimi, 2019).</w:t>
      </w:r>
    </w:p>
    <w:p w14:paraId="518B1D27"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Unequal access: Children from deprived areas face longer CAMHS waits (Children’s Commissioner, 2023).</w:t>
      </w:r>
    </w:p>
    <w:p w14:paraId="60EA3550"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 variability: Without adequate training, early signs may be misread or missed entirely (Ford et al., 2021).</w:t>
      </w:r>
    </w:p>
    <w:p w14:paraId="140C173B" w14:textId="433DC8F6"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2EE3EBC1" w14:textId="77777777" w:rsidR="0088225D" w:rsidRPr="0088225D"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Examples from Reviewed Studies</w:t>
      </w:r>
    </w:p>
    <w:p w14:paraId="16CC594A" w14:textId="2EE741ED" w:rsidR="0088225D" w:rsidRPr="0088225D" w:rsidRDefault="0088225D" w:rsidP="4C72D9C6">
      <w:pPr>
        <w:spacing w:before="100" w:beforeAutospacing="1" w:after="100" w:afterAutospacing="1"/>
        <w:jc w:val="left"/>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Maciver et al. (2025)</w:t>
      </w:r>
    </w:p>
    <w:p w14:paraId="388A310B"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8883F93" w14:textId="18959EAC"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Found that long waiting times predict worsened behaviour, higher parental stress, and lower academic engagement. This supports the argument that </w:t>
      </w:r>
      <w:bookmarkStart w:id="28" w:name="_Int_KEYa7bF2"/>
      <w:r w:rsidR="007E5B38" w:rsidRPr="072869EF">
        <w:rPr>
          <w:rFonts w:ascii="Arial" w:eastAsia="Arial" w:hAnsi="Arial" w:cs="Arial"/>
          <w:color w:val="000000" w:themeColor="text1"/>
          <w:kern w:val="0"/>
          <w:sz w:val="24"/>
          <w:szCs w:val="24"/>
          <w:lang w:eastAsia="en-GB"/>
          <w14:ligatures w14:val="none"/>
        </w:rPr>
        <w:t>timely</w:t>
      </w:r>
      <w:bookmarkEnd w:id="28"/>
      <w:r w:rsidR="007E5B38" w:rsidRPr="072869EF">
        <w:rPr>
          <w:rFonts w:ascii="Arial" w:eastAsia="Arial" w:hAnsi="Arial" w:cs="Arial"/>
          <w:color w:val="000000" w:themeColor="text1"/>
          <w:kern w:val="0"/>
          <w:sz w:val="24"/>
          <w:szCs w:val="24"/>
          <w:lang w:eastAsia="en-GB"/>
          <w14:ligatures w14:val="none"/>
        </w:rPr>
        <w:t xml:space="preserve"> access</w:t>
      </w:r>
      <w:r w:rsidRPr="072869EF">
        <w:rPr>
          <w:rFonts w:ascii="Arial" w:eastAsia="Arial" w:hAnsi="Arial" w:cs="Arial"/>
          <w:color w:val="000000" w:themeColor="text1"/>
          <w:kern w:val="0"/>
          <w:sz w:val="24"/>
          <w:szCs w:val="24"/>
          <w:lang w:eastAsia="en-GB"/>
          <w14:ligatures w14:val="none"/>
        </w:rPr>
        <w:t xml:space="preserve"> is crucial.</w:t>
      </w:r>
    </w:p>
    <w:p w14:paraId="0DFBB64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C8DA841"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Ford et al. (2021)</w:t>
      </w:r>
    </w:p>
    <w:p w14:paraId="317C77E4"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F103B1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Showed that teacher training improves early identification and reduces inappropriate disciplinary actions. This </w:t>
      </w:r>
      <w:bookmarkStart w:id="29" w:name="_Int_ZVOvEOgR"/>
      <w:r w:rsidRPr="072869EF">
        <w:rPr>
          <w:rFonts w:ascii="Arial" w:eastAsia="Arial" w:hAnsi="Arial" w:cs="Arial"/>
          <w:color w:val="000000" w:themeColor="text1"/>
          <w:kern w:val="0"/>
          <w:sz w:val="24"/>
          <w:szCs w:val="24"/>
          <w:lang w:eastAsia="en-GB"/>
          <w14:ligatures w14:val="none"/>
        </w:rPr>
        <w:t>demonstrates</w:t>
      </w:r>
      <w:bookmarkEnd w:id="29"/>
      <w:r w:rsidRPr="072869EF">
        <w:rPr>
          <w:rFonts w:ascii="Arial" w:eastAsia="Arial" w:hAnsi="Arial" w:cs="Arial"/>
          <w:color w:val="000000" w:themeColor="text1"/>
          <w:kern w:val="0"/>
          <w:sz w:val="24"/>
          <w:szCs w:val="24"/>
          <w:lang w:eastAsia="en-GB"/>
          <w14:ligatures w14:val="none"/>
        </w:rPr>
        <w:t xml:space="preserve"> how school-level support interacts with diagnosis.</w:t>
      </w:r>
    </w:p>
    <w:p w14:paraId="7CB7FCAE"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9658DCE"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Fleming et al. (2020)</w:t>
      </w:r>
    </w:p>
    <w:p w14:paraId="07FDF593"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4C2C4C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Reported that pupils diagnosed early made better progress in reading and writing than those diagnosed after Year 5, emphasising the role of </w:t>
      </w:r>
      <w:bookmarkStart w:id="30" w:name="_Int_1zDihkOZ"/>
      <w:r w:rsidRPr="072869EF">
        <w:rPr>
          <w:rFonts w:ascii="Arial" w:eastAsia="Arial" w:hAnsi="Arial" w:cs="Arial"/>
          <w:color w:val="000000" w:themeColor="text1"/>
          <w:kern w:val="0"/>
          <w:sz w:val="24"/>
          <w:szCs w:val="24"/>
          <w:lang w:eastAsia="en-GB"/>
          <w14:ligatures w14:val="none"/>
        </w:rPr>
        <w:t>timely</w:t>
      </w:r>
      <w:bookmarkEnd w:id="30"/>
      <w:r w:rsidRPr="072869EF">
        <w:rPr>
          <w:rFonts w:ascii="Arial" w:eastAsia="Arial" w:hAnsi="Arial" w:cs="Arial"/>
          <w:color w:val="000000" w:themeColor="text1"/>
          <w:kern w:val="0"/>
          <w:sz w:val="24"/>
          <w:szCs w:val="24"/>
          <w:lang w:eastAsia="en-GB"/>
          <w14:ligatures w14:val="none"/>
        </w:rPr>
        <w:t xml:space="preserve"> intervention.</w:t>
      </w:r>
    </w:p>
    <w:p w14:paraId="2F048906"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C096686"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Children’s Commissioner (2023)</w:t>
      </w:r>
    </w:p>
    <w:p w14:paraId="6FAEF71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64B554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Highlighted inequality—children in poorer regions wait significantly longer, undermining the principle of early diagnosis.</w:t>
      </w:r>
    </w:p>
    <w:p w14:paraId="33143A2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A08839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These examples strengthen the theme by providing empirical evidence and contrasting viewpoints.</w:t>
      </w:r>
    </w:p>
    <w:p w14:paraId="23AD67B7" w14:textId="7A88E335"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4E7096DF" w14:textId="77777777" w:rsidR="0088225D" w:rsidRPr="0088225D"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Connections to Other Themes</w:t>
      </w:r>
    </w:p>
    <w:p w14:paraId="5058B61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64F4CD9"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This theme links closely with:</w:t>
      </w:r>
    </w:p>
    <w:p w14:paraId="5B442AA0" w14:textId="5443D3C0" w:rsidR="0088225D" w:rsidRPr="0088225D" w:rsidRDefault="0088225D" w:rsidP="4C72D9C6">
      <w:pPr>
        <w:numPr>
          <w:ilvl w:val="0"/>
          <w:numId w:val="105"/>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Theme 2 (Teacher Awareness) – diagnosis is meaningless if teachers </w:t>
      </w:r>
      <w:r w:rsidR="2052E21A" w:rsidRPr="072869EF">
        <w:rPr>
          <w:rFonts w:ascii="Arial" w:eastAsia="Arial" w:hAnsi="Arial" w:cs="Arial"/>
          <w:color w:val="000000" w:themeColor="text1"/>
          <w:kern w:val="0"/>
          <w:sz w:val="24"/>
          <w:szCs w:val="24"/>
          <w:lang w:eastAsia="en-GB"/>
          <w14:ligatures w14:val="none"/>
        </w:rPr>
        <w:t>do not</w:t>
      </w:r>
      <w:r w:rsidRPr="072869EF">
        <w:rPr>
          <w:rFonts w:ascii="Arial" w:eastAsia="Arial" w:hAnsi="Arial" w:cs="Arial"/>
          <w:color w:val="000000" w:themeColor="text1"/>
          <w:kern w:val="0"/>
          <w:sz w:val="24"/>
          <w:szCs w:val="24"/>
          <w:lang w:eastAsia="en-GB"/>
          <w14:ligatures w14:val="none"/>
        </w:rPr>
        <w:t xml:space="preserve"> recognise symptoms.</w:t>
      </w:r>
    </w:p>
    <w:p w14:paraId="61241776" w14:textId="77777777" w:rsidR="0088225D" w:rsidRPr="0088225D" w:rsidRDefault="0088225D" w:rsidP="4C72D9C6">
      <w:pPr>
        <w:numPr>
          <w:ilvl w:val="0"/>
          <w:numId w:val="105"/>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3 (Multi-agency Working) – early diagnosis relies on communication between CAMHS, schools, and parents.</w:t>
      </w:r>
    </w:p>
    <w:p w14:paraId="40A4F3D1" w14:textId="77777777" w:rsidR="0088225D" w:rsidRPr="0088225D" w:rsidRDefault="0088225D" w:rsidP="4C72D9C6">
      <w:pPr>
        <w:numPr>
          <w:ilvl w:val="0"/>
          <w:numId w:val="105"/>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4 (Inequalities) – delays in diagnosis disproportionately affect certain demographics.</w:t>
      </w:r>
    </w:p>
    <w:p w14:paraId="132A6CA0"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D95E57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Thus, Theme 1 acts as the foundation for understanding the other themes.</w:t>
      </w:r>
    </w:p>
    <w:p w14:paraId="5A9171BB" w14:textId="54A46EDC"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5523E074" w14:textId="681D2CE5" w:rsidR="0088225D" w:rsidRPr="00CD3F75" w:rsidRDefault="004043DD" w:rsidP="4C72D9C6">
      <w:pPr>
        <w:spacing w:before="100" w:beforeAutospacing="1" w:after="100" w:afterAutospacing="1"/>
        <w:jc w:val="left"/>
        <w:outlineLvl w:val="1"/>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Summary </w:t>
      </w:r>
      <w:r w:rsidR="009061D4" w:rsidRPr="072869EF">
        <w:rPr>
          <w:rFonts w:ascii="Arial" w:eastAsia="Arial" w:hAnsi="Arial" w:cs="Arial"/>
          <w:color w:val="000000" w:themeColor="text1"/>
          <w:kern w:val="0"/>
          <w:sz w:val="24"/>
          <w:szCs w:val="24"/>
          <w:lang w:eastAsia="en-GB"/>
          <w14:ligatures w14:val="none"/>
        </w:rPr>
        <w:t xml:space="preserve">of Theme </w:t>
      </w:r>
    </w:p>
    <w:p w14:paraId="5C66B621"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Early diagnosis and access to support significantly influence educational outcomes for White British boys aged 5–11. When diagnosis is prompt and support is coordinated, academic attainment improves, behavioural difficulties reduce, and long-term exclusion risks fall dramatically. However, inequities in waiting times, limited teacher training, and variable multi-agency communication continue to hinder effective early intervention. This theme shows that early diagnosis is not a standalone event but part of an interconnected system affecting educational and social outcomes.</w:t>
      </w:r>
    </w:p>
    <w:p w14:paraId="364CA829" w14:textId="0A7CE9F0" w:rsidR="00725580" w:rsidRPr="00DE60E6" w:rsidRDefault="00725580" w:rsidP="4C72D9C6">
      <w:pPr>
        <w:spacing w:before="100" w:beforeAutospacing="1" w:after="100" w:afterAutospacing="1"/>
        <w:jc w:val="left"/>
        <w:outlineLvl w:val="0"/>
        <w:rPr>
          <w:rFonts w:ascii="Arial" w:eastAsia="Arial" w:hAnsi="Arial" w:cs="Arial"/>
          <w:b/>
          <w:color w:val="000000" w:themeColor="text1"/>
          <w:kern w:val="36"/>
          <w:sz w:val="24"/>
          <w:szCs w:val="24"/>
          <w:lang w:eastAsia="en-GB"/>
          <w14:ligatures w14:val="none"/>
        </w:rPr>
      </w:pPr>
    </w:p>
    <w:p w14:paraId="12A151AE" w14:textId="77777777" w:rsidR="005A0DA5" w:rsidRPr="005A0DA5" w:rsidRDefault="005A0DA5" w:rsidP="4C72D9C6">
      <w:pPr>
        <w:spacing w:before="100" w:beforeAutospacing="1" w:after="100" w:afterAutospacing="1"/>
        <w:jc w:val="left"/>
        <w:outlineLvl w:val="0"/>
        <w:rPr>
          <w:rFonts w:ascii="Arial" w:eastAsia="Arial" w:hAnsi="Arial" w:cs="Arial"/>
          <w:b/>
          <w:color w:val="000000" w:themeColor="text1"/>
          <w:kern w:val="36"/>
          <w:sz w:val="24"/>
          <w:szCs w:val="24"/>
          <w:lang w:eastAsia="en-GB"/>
          <w14:ligatures w14:val="none"/>
        </w:rPr>
      </w:pPr>
      <w:r w:rsidRPr="072869EF">
        <w:rPr>
          <w:rFonts w:ascii="Arial" w:eastAsia="Arial" w:hAnsi="Arial" w:cs="Arial"/>
          <w:b/>
          <w:color w:val="000000" w:themeColor="text1"/>
          <w:kern w:val="36"/>
          <w:sz w:val="24"/>
          <w:szCs w:val="24"/>
          <w:lang w:eastAsia="en-GB"/>
          <w14:ligatures w14:val="none"/>
        </w:rPr>
        <w:t>4.4 Teacher Awareness and Classroom Practice</w:t>
      </w:r>
    </w:p>
    <w:p w14:paraId="0859E940" w14:textId="1967ABED"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Definition of the Theme</w:t>
      </w:r>
    </w:p>
    <w:p w14:paraId="7C55F604"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 awareness refers to the ability of classroom staff to recognise early indicators of inattention, impulsivity, and hyperactivity and to interpret these behaviours in an informed way. Classroom practice includes the strategies, routines, and approaches teachers use to manage behaviour and support learning. In relation to ADHD, this theme concerns how teachers understand neurodevelopmental differences and how their daily decisions influence whether pupils receive the early help they need.</w:t>
      </w:r>
    </w:p>
    <w:p w14:paraId="08CBF962" w14:textId="77777777" w:rsidR="005A0DA5" w:rsidRPr="005A0DA5" w:rsidRDefault="005A0DA5" w:rsidP="4C72D9C6">
      <w:pPr>
        <w:spacing w:before="100" w:beforeAutospacing="1" w:after="100" w:afterAutospacing="1"/>
        <w:jc w:val="left"/>
        <w:rPr>
          <w:rFonts w:ascii="Arial" w:eastAsia="Arial" w:hAnsi="Arial" w:cs="Arial"/>
          <w:b/>
          <w:color w:val="000000" w:themeColor="text1"/>
          <w:kern w:val="0"/>
          <w:sz w:val="24"/>
          <w:szCs w:val="24"/>
          <w:lang w:eastAsia="en-GB"/>
          <w14:ligatures w14:val="none"/>
        </w:rPr>
      </w:pPr>
    </w:p>
    <w:p w14:paraId="142AD6BB"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Background and Context</w:t>
      </w:r>
    </w:p>
    <w:p w14:paraId="26F7868C" w14:textId="2D055BE1"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Teachers have historically been central in </w:t>
      </w:r>
      <w:r w:rsidR="00CD3F75" w:rsidRPr="072869EF">
        <w:rPr>
          <w:rFonts w:ascii="Arial" w:eastAsia="Arial" w:hAnsi="Arial" w:cs="Arial"/>
          <w:color w:val="000000" w:themeColor="text1"/>
          <w:kern w:val="0"/>
          <w:sz w:val="24"/>
          <w:szCs w:val="24"/>
          <w:lang w:eastAsia="en-GB"/>
          <w14:ligatures w14:val="none"/>
        </w:rPr>
        <w:t>finding</w:t>
      </w:r>
      <w:r w:rsidRPr="072869EF">
        <w:rPr>
          <w:rFonts w:ascii="Arial" w:eastAsia="Arial" w:hAnsi="Arial" w:cs="Arial"/>
          <w:color w:val="000000" w:themeColor="text1"/>
          <w:kern w:val="0"/>
          <w:sz w:val="24"/>
          <w:szCs w:val="24"/>
          <w:lang w:eastAsia="en-GB"/>
          <w14:ligatures w14:val="none"/>
        </w:rPr>
        <w:t xml:space="preserve"> emerging developmental concerns because the classroom is often the first structured environment where behavioural differences become visible. In the UK, the SEND Code of Practice (DfE &amp; DHSC, 2015) places teachers at the centre of the early identification cycle, requiring them to observe, document, and adapt practice before escalation. However, research consistently highlights limited training, with many teachers reporting minimal preparation in ADHD-specific strategies (Ford et al., 2021). This leads to inconsistent responses and misunderstanding—particularly for White British boys aged 5–11 whose difficulties are often externalised and therefore misinterpreted as misconduct rather than neurodevelopmental need (Sayal et al., 2018).</w:t>
      </w:r>
    </w:p>
    <w:p w14:paraId="00F17058"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96F9E62"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Relevance to the Research Question</w:t>
      </w:r>
    </w:p>
    <w:p w14:paraId="7E80EAE1" w14:textId="5850E0D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This theme directly shapes the research question, which explores how early ADHD diagnosis affects educational performance and behaviour. Early diagnosis cannot occur without teachers noticing patterns, consulting parents, applying the “assess–plan–do–review” cycle, and </w:t>
      </w:r>
      <w:r w:rsidR="006C74D6" w:rsidRPr="072869EF">
        <w:rPr>
          <w:rFonts w:ascii="Arial" w:eastAsia="Arial" w:hAnsi="Arial" w:cs="Arial"/>
          <w:color w:val="000000" w:themeColor="text1"/>
          <w:kern w:val="0"/>
          <w:sz w:val="24"/>
          <w:szCs w:val="24"/>
          <w:lang w:eastAsia="en-GB"/>
          <w14:ligatures w14:val="none"/>
        </w:rPr>
        <w:t>starting</w:t>
      </w:r>
      <w:r w:rsidRPr="072869EF">
        <w:rPr>
          <w:rFonts w:ascii="Arial" w:eastAsia="Arial" w:hAnsi="Arial" w:cs="Arial"/>
          <w:color w:val="000000" w:themeColor="text1"/>
          <w:kern w:val="0"/>
          <w:sz w:val="24"/>
          <w:szCs w:val="24"/>
          <w:lang w:eastAsia="en-GB"/>
          <w14:ligatures w14:val="none"/>
        </w:rPr>
        <w:t xml:space="preserve"> referrals. Teacher awareness influences the timing of diagnosis, the support a child receives before assessment, the likelihood of exclusion, and the speed of intervention. Therefore, classroom practice is a major determinant of whether children access early, </w:t>
      </w:r>
      <w:r w:rsidR="006C74D6" w:rsidRPr="072869EF">
        <w:rPr>
          <w:rFonts w:ascii="Arial" w:eastAsia="Arial" w:hAnsi="Arial" w:cs="Arial"/>
          <w:color w:val="000000" w:themeColor="text1"/>
          <w:kern w:val="0"/>
          <w:sz w:val="24"/>
          <w:szCs w:val="24"/>
          <w:lang w:eastAsia="en-GB"/>
          <w14:ligatures w14:val="none"/>
        </w:rPr>
        <w:t>support</w:t>
      </w:r>
      <w:r w:rsidRPr="072869EF">
        <w:rPr>
          <w:rFonts w:ascii="Arial" w:eastAsia="Arial" w:hAnsi="Arial" w:cs="Arial"/>
          <w:color w:val="000000" w:themeColor="text1"/>
          <w:kern w:val="0"/>
          <w:sz w:val="24"/>
          <w:szCs w:val="24"/>
          <w:lang w:eastAsia="en-GB"/>
          <w14:ligatures w14:val="none"/>
        </w:rPr>
        <w:t>.</w:t>
      </w:r>
    </w:p>
    <w:p w14:paraId="32BFB6A5"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FCEA9FC"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Statistical Evidence</w:t>
      </w:r>
    </w:p>
    <w:p w14:paraId="07FBC648" w14:textId="56FE3A8D"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Recent UK data shows how teacher-related factors shape ADHD identification. Approximately 70% of teachers report no formal training on ADHD (Ford et al., 2021). Two-thirds of neurodevelopmental referrals originate from schools (NHS Digital, 2022). Boys aged 5–11 are three times more likely to be referred for behavioural reasons that mirror ADHD symptoms (Klefsjö et al., 2021). Additionally, undiagnosed ADHD pupils are significantly more likely to experience sanctions and reduced academic engagement (Wright et al., 2023). These statistics highlight that teacher understanding directly influences school outcomes.</w:t>
      </w:r>
    </w:p>
    <w:p w14:paraId="60F25F6B"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D436C9A"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Theoretical Frameworks</w:t>
      </w:r>
    </w:p>
    <w:p w14:paraId="53EED4B6" w14:textId="3D3CFB6D"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 Biopsychosocial Model (Engel, 1977) stresses that environmental factors—such as teacher responses—shape behavioural expression. Supportive, structured classroom environments reduce symptom severity, </w:t>
      </w:r>
      <w:r w:rsidR="00B711AB" w:rsidRPr="072869EF">
        <w:rPr>
          <w:rFonts w:ascii="Arial" w:eastAsia="Arial" w:hAnsi="Arial" w:cs="Arial"/>
          <w:color w:val="000000" w:themeColor="text1"/>
          <w:kern w:val="0"/>
          <w:sz w:val="24"/>
          <w:szCs w:val="24"/>
          <w:lang w:eastAsia="en-GB"/>
          <w14:ligatures w14:val="none"/>
        </w:rPr>
        <w:t>while</w:t>
      </w:r>
      <w:r w:rsidRPr="072869EF">
        <w:rPr>
          <w:rFonts w:ascii="Arial" w:eastAsia="Arial" w:hAnsi="Arial" w:cs="Arial"/>
          <w:color w:val="000000" w:themeColor="text1"/>
          <w:kern w:val="0"/>
          <w:sz w:val="24"/>
          <w:szCs w:val="24"/>
          <w:lang w:eastAsia="en-GB"/>
          <w14:ligatures w14:val="none"/>
        </w:rPr>
        <w:t xml:space="preserve"> punitive environments can escalate challenges. Bronfenbrenner’s Ecological Systems Theory (1979) emphasises the teacher’s role within the microsystem, influencing the child’s immediate development and shaping communication with parents and CAMHS at the mesosystem level. Behaviourist perspectives help explain why reward–sanction systems disadvantage ADHD pupils, who often struggle with delayed reward and impulse regulation. These frameworks illustrate how teacher awareness is not merely a matter of knowledge but a core </w:t>
      </w:r>
      <w:bookmarkStart w:id="31" w:name="_Int_6gfpr4T5"/>
      <w:r w:rsidRPr="072869EF">
        <w:rPr>
          <w:rFonts w:ascii="Arial" w:eastAsia="Arial" w:hAnsi="Arial" w:cs="Arial"/>
          <w:color w:val="000000" w:themeColor="text1"/>
          <w:kern w:val="0"/>
          <w:sz w:val="24"/>
          <w:szCs w:val="24"/>
          <w:lang w:eastAsia="en-GB"/>
          <w14:ligatures w14:val="none"/>
        </w:rPr>
        <w:t>component</w:t>
      </w:r>
      <w:bookmarkEnd w:id="31"/>
      <w:r w:rsidRPr="072869EF">
        <w:rPr>
          <w:rFonts w:ascii="Arial" w:eastAsia="Arial" w:hAnsi="Arial" w:cs="Arial"/>
          <w:color w:val="000000" w:themeColor="text1"/>
          <w:kern w:val="0"/>
          <w:sz w:val="24"/>
          <w:szCs w:val="24"/>
          <w:lang w:eastAsia="en-GB"/>
          <w14:ligatures w14:val="none"/>
        </w:rPr>
        <w:t xml:space="preserve"> of the child’s developmental context.</w:t>
      </w:r>
    </w:p>
    <w:p w14:paraId="0C633AD0"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FE6D1E4"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Policy and Legislation</w:t>
      </w:r>
    </w:p>
    <w:p w14:paraId="150EE53B"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 SEND Code of Practice (DfE &amp; DHSC, 2015) mandates early identification and inclusive practice. Inadequate teacher training undermines this statutory duty. NICE NG87 (2018) states that behavioural and classroom-based strategies should be provided as first-line support before medication is considered. The Equality Act 2010 requires schools to make reasonable adjustments for pupils whose learning is affected by ADHD symptoms. When teachers lack awareness, these legal obligations are often unmet, placing children at risk.</w:t>
      </w:r>
    </w:p>
    <w:p w14:paraId="777CD442"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AE7E14A"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Implications</w:t>
      </w:r>
    </w:p>
    <w:p w14:paraId="1B5AA0EC"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 awareness produces both positive and negative consequences depending on the level of training. When teacher understanding is strong, children receive early adjustments, behaviour stabilises, and academic engagement improves. Parents feel listened to, referrals occur earlier, and the overall stress on the child reduces. In contrast, low teacher awareness leads to misinterpretation of behaviour, delayed referrals, punitive sanctions, and widening attainment gaps. This disproportionately affects boys aged 5–11, who are often judged on visible behaviours rather than underlying need.</w:t>
      </w:r>
    </w:p>
    <w:p w14:paraId="7EDC4BBB"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64524881"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Examples from Literature</w:t>
      </w:r>
    </w:p>
    <w:p w14:paraId="43B47B91"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DF5496E" w14:textId="3A8277AE"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Ford et al. (2021) show that teachers </w:t>
      </w:r>
      <w:r w:rsidR="00805D6A" w:rsidRPr="072869EF">
        <w:rPr>
          <w:rFonts w:ascii="Arial" w:eastAsia="Arial" w:hAnsi="Arial" w:cs="Arial"/>
          <w:color w:val="000000" w:themeColor="text1"/>
          <w:kern w:val="0"/>
          <w:sz w:val="24"/>
          <w:szCs w:val="24"/>
          <w:lang w:eastAsia="en-GB"/>
          <w14:ligatures w14:val="none"/>
        </w:rPr>
        <w:t>often</w:t>
      </w:r>
      <w:r w:rsidRPr="072869EF">
        <w:rPr>
          <w:rFonts w:ascii="Arial" w:eastAsia="Arial" w:hAnsi="Arial" w:cs="Arial"/>
          <w:color w:val="000000" w:themeColor="text1"/>
          <w:kern w:val="0"/>
          <w:sz w:val="24"/>
          <w:szCs w:val="24"/>
          <w:lang w:eastAsia="en-GB"/>
          <w14:ligatures w14:val="none"/>
        </w:rPr>
        <w:t xml:space="preserve"> misinterpret hyperactivity as wilful disobedience, contributing to overuse of sanctions rather than early support. Wright et al. (2023) report that undiagnosed ADHD pupils accumulate exclusion risks due to unmet needs. The SEND Code (DfE &amp; DHSC, 2015) further </w:t>
      </w:r>
      <w:r w:rsidR="00805D6A" w:rsidRPr="072869EF">
        <w:rPr>
          <w:rFonts w:ascii="Arial" w:eastAsia="Arial" w:hAnsi="Arial" w:cs="Arial"/>
          <w:color w:val="000000" w:themeColor="text1"/>
          <w:kern w:val="0"/>
          <w:sz w:val="24"/>
          <w:szCs w:val="24"/>
          <w:lang w:eastAsia="en-GB"/>
          <w14:ligatures w14:val="none"/>
        </w:rPr>
        <w:t>shows</w:t>
      </w:r>
      <w:r w:rsidRPr="072869EF">
        <w:rPr>
          <w:rFonts w:ascii="Arial" w:eastAsia="Arial" w:hAnsi="Arial" w:cs="Arial"/>
          <w:color w:val="000000" w:themeColor="text1"/>
          <w:kern w:val="0"/>
          <w:sz w:val="24"/>
          <w:szCs w:val="24"/>
          <w:lang w:eastAsia="en-GB"/>
          <w14:ligatures w14:val="none"/>
        </w:rPr>
        <w:t xml:space="preserve"> how teacher documentation forms a crucial evidence base for CAMHS referral. These examples </w:t>
      </w:r>
      <w:r w:rsidR="00805D6A" w:rsidRPr="072869EF">
        <w:rPr>
          <w:rFonts w:ascii="Arial" w:eastAsia="Arial" w:hAnsi="Arial" w:cs="Arial"/>
          <w:color w:val="000000" w:themeColor="text1"/>
          <w:kern w:val="0"/>
          <w:sz w:val="24"/>
          <w:szCs w:val="24"/>
          <w:lang w:eastAsia="en-GB"/>
          <w14:ligatures w14:val="none"/>
        </w:rPr>
        <w:t>prove</w:t>
      </w:r>
      <w:r w:rsidRPr="072869EF">
        <w:rPr>
          <w:rFonts w:ascii="Arial" w:eastAsia="Arial" w:hAnsi="Arial" w:cs="Arial"/>
          <w:color w:val="000000" w:themeColor="text1"/>
          <w:kern w:val="0"/>
          <w:sz w:val="24"/>
          <w:szCs w:val="24"/>
          <w:lang w:eastAsia="en-GB"/>
          <w14:ligatures w14:val="none"/>
        </w:rPr>
        <w:t xml:space="preserve"> how classroom practice </w:t>
      </w:r>
      <w:r w:rsidR="00805D6A" w:rsidRPr="072869EF">
        <w:rPr>
          <w:rFonts w:ascii="Arial" w:eastAsia="Arial" w:hAnsi="Arial" w:cs="Arial"/>
          <w:color w:val="000000" w:themeColor="text1"/>
          <w:kern w:val="0"/>
          <w:sz w:val="24"/>
          <w:szCs w:val="24"/>
          <w:lang w:eastAsia="en-GB"/>
          <w14:ligatures w14:val="none"/>
        </w:rPr>
        <w:t>decides</w:t>
      </w:r>
      <w:r w:rsidRPr="072869EF">
        <w:rPr>
          <w:rFonts w:ascii="Arial" w:eastAsia="Arial" w:hAnsi="Arial" w:cs="Arial"/>
          <w:color w:val="000000" w:themeColor="text1"/>
          <w:kern w:val="0"/>
          <w:sz w:val="24"/>
          <w:szCs w:val="24"/>
          <w:lang w:eastAsia="en-GB"/>
          <w14:ligatures w14:val="none"/>
        </w:rPr>
        <w:t xml:space="preserve"> whether early diagnosis leads to improved outcomes or ongoing difficulties.</w:t>
      </w:r>
    </w:p>
    <w:p w14:paraId="460F0668"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3124D11" w14:textId="2B3AE026" w:rsidR="005A0DA5" w:rsidRPr="00CA7734"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Connections to Other Themes</w:t>
      </w:r>
    </w:p>
    <w:p w14:paraId="30236982" w14:textId="7F1ECDD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This theme connects closely with Theme 1 (Early Diagnosis and Access to Support), because teacher recognition shapes the timing of referral. It also links with Theme 3 (Multi-Agency Collaboration), as communication between school, parents, and clinicians depends on </w:t>
      </w:r>
      <w:r w:rsidR="00805D6A" w:rsidRPr="072869EF">
        <w:rPr>
          <w:rFonts w:ascii="Arial" w:eastAsia="Arial" w:hAnsi="Arial" w:cs="Arial"/>
          <w:color w:val="000000" w:themeColor="text1"/>
          <w:kern w:val="0"/>
          <w:sz w:val="24"/>
          <w:szCs w:val="24"/>
          <w:lang w:eastAsia="en-GB"/>
          <w14:ligatures w14:val="none"/>
        </w:rPr>
        <w:t>exact</w:t>
      </w:r>
      <w:r w:rsidRPr="072869EF">
        <w:rPr>
          <w:rFonts w:ascii="Arial" w:eastAsia="Arial" w:hAnsi="Arial" w:cs="Arial"/>
          <w:color w:val="000000" w:themeColor="text1"/>
          <w:kern w:val="0"/>
          <w:sz w:val="24"/>
          <w:szCs w:val="24"/>
          <w:lang w:eastAsia="en-GB"/>
          <w14:ligatures w14:val="none"/>
        </w:rPr>
        <w:t xml:space="preserve"> teacher observation. Finally, it relates to Theme 4 (Social and Regional Inequalities</w:t>
      </w:r>
      <w:r w:rsidR="00805D6A" w:rsidRPr="072869EF">
        <w:rPr>
          <w:rFonts w:ascii="Arial" w:eastAsia="Arial" w:hAnsi="Arial" w:cs="Arial"/>
          <w:color w:val="000000" w:themeColor="text1"/>
          <w:kern w:val="0"/>
          <w:sz w:val="24"/>
          <w:szCs w:val="24"/>
          <w:lang w:eastAsia="en-GB"/>
          <w14:ligatures w14:val="none"/>
        </w:rPr>
        <w:t>) since</w:t>
      </w:r>
      <w:r w:rsidRPr="072869EF">
        <w:rPr>
          <w:rFonts w:ascii="Arial" w:eastAsia="Arial" w:hAnsi="Arial" w:cs="Arial"/>
          <w:color w:val="000000" w:themeColor="text1"/>
          <w:kern w:val="0"/>
          <w:sz w:val="24"/>
          <w:szCs w:val="24"/>
          <w:lang w:eastAsia="en-GB"/>
          <w14:ligatures w14:val="none"/>
        </w:rPr>
        <w:t xml:space="preserve"> access to high-quality teacher training differs widely across local authorities.</w:t>
      </w:r>
    </w:p>
    <w:p w14:paraId="3B39D7B4" w14:textId="77777777" w:rsidR="00636D9A" w:rsidRPr="00725580" w:rsidRDefault="00636D9A" w:rsidP="4C72D9C6">
      <w:pPr>
        <w:rPr>
          <w:rFonts w:ascii="Arial" w:eastAsia="Arial" w:hAnsi="Arial" w:cs="Arial"/>
          <w:color w:val="000000" w:themeColor="text1"/>
          <w:sz w:val="24"/>
          <w:szCs w:val="24"/>
        </w:rPr>
      </w:pPr>
    </w:p>
    <w:p w14:paraId="4B93F5CB" w14:textId="4F5C6B4C" w:rsidR="007063BA" w:rsidRPr="0091543A" w:rsidRDefault="007063BA" w:rsidP="4C72D9C6">
      <w:pPr>
        <w:pStyle w:val="Heading2"/>
        <w:rPr>
          <w:rFonts w:ascii="Arial" w:eastAsia="Arial" w:hAnsi="Arial" w:cs="Arial"/>
          <w:color w:val="000000" w:themeColor="text1"/>
          <w:szCs w:val="24"/>
        </w:rPr>
      </w:pPr>
    </w:p>
    <w:p w14:paraId="536F387F" w14:textId="6307C162" w:rsidR="007E083C" w:rsidRPr="00CA7734" w:rsidRDefault="001C3AF6" w:rsidP="5A7D486B">
      <w:pPr>
        <w:pStyle w:val="Heading1"/>
        <w:spacing w:line="360" w:lineRule="auto"/>
        <w:ind w:left="0"/>
        <w:rPr>
          <w:rFonts w:eastAsia="Arial" w:cs="Arial"/>
          <w:color w:val="000000" w:themeColor="text1"/>
          <w:kern w:val="36"/>
          <w:sz w:val="24"/>
          <w:szCs w:val="24"/>
          <w:lang w:bidi="ar-SA"/>
        </w:rPr>
      </w:pPr>
      <w:r w:rsidRPr="072869EF">
        <w:rPr>
          <w:rFonts w:eastAsia="Arial" w:cs="Arial"/>
          <w:color w:val="000000" w:themeColor="text1"/>
          <w:sz w:val="24"/>
          <w:szCs w:val="24"/>
        </w:rPr>
        <w:t xml:space="preserve">4.5 </w:t>
      </w:r>
      <w:r w:rsidR="00CA7734" w:rsidRPr="072869EF">
        <w:rPr>
          <w:rFonts w:eastAsia="Arial" w:cs="Arial"/>
          <w:color w:val="000000" w:themeColor="text1"/>
          <w:sz w:val="24"/>
          <w:szCs w:val="24"/>
        </w:rPr>
        <w:t>– Multi</w:t>
      </w:r>
      <w:r w:rsidR="007E083C" w:rsidRPr="072869EF">
        <w:rPr>
          <w:rFonts w:eastAsia="Arial" w:cs="Arial"/>
          <w:color w:val="000000" w:themeColor="text1"/>
          <w:kern w:val="36"/>
          <w:sz w:val="24"/>
          <w:szCs w:val="24"/>
          <w:lang w:bidi="ar-SA"/>
        </w:rPr>
        <w:t>-Agency Collaboration and Family Involvement</w:t>
      </w:r>
    </w:p>
    <w:p w14:paraId="3CADB6AC" w14:textId="7B6BAA1C" w:rsidR="001C3AF6" w:rsidRPr="00CA7734" w:rsidRDefault="00CA7734" w:rsidP="4C72D9C6">
      <w:pPr>
        <w:pStyle w:val="Heading2"/>
        <w:rPr>
          <w:rFonts w:ascii="Arial" w:eastAsia="Arial" w:hAnsi="Arial" w:cs="Arial"/>
          <w:color w:val="000000" w:themeColor="text1"/>
          <w:szCs w:val="24"/>
        </w:rPr>
      </w:pPr>
      <w:r w:rsidRPr="072869EF">
        <w:rPr>
          <w:rFonts w:ascii="Arial" w:eastAsia="Arial" w:hAnsi="Arial" w:cs="Arial"/>
          <w:color w:val="000000" w:themeColor="text1"/>
          <w:szCs w:val="24"/>
        </w:rPr>
        <w:t xml:space="preserve"> </w:t>
      </w:r>
    </w:p>
    <w:p w14:paraId="5D450E34"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Definition of the Theme</w:t>
      </w:r>
    </w:p>
    <w:p w14:paraId="2ACDA6C3" w14:textId="1F9DE48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Multi-agency collaboration refers to coordinated working between education, health, social care, CAMHS, and families to support a child with additional needs. In the context of ADHD, it involves information-sharing, joint assessment, and continuous support planning across professional boundaries. Family involvement refers to parents or carers being active partners in decision-making, early identification, behaviour support strategies, and educational planning. The SEND Code of Practice (DfE &amp; DHSC, 2015) explicitly frames parents as equal contributors in the “assess–plan–do–review” cycle, rather than passive recipients of professional decisions.</w:t>
      </w:r>
    </w:p>
    <w:p w14:paraId="2E83524B"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EF8DDB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Key terminology includes integrated care pathways, triangulated assessment, and co-production. These terms emphasise collective responsibility. Early diagnosis of ADHD should activate such pathways; however, evidence shows that inconsistent collaboration often delays access to interventions.</w:t>
      </w:r>
    </w:p>
    <w:p w14:paraId="2C5E807C" w14:textId="10BC48D2"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4073E825"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Background Information</w:t>
      </w:r>
    </w:p>
    <w:p w14:paraId="399D97C7"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6DD479F1" w14:textId="4124C480"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Historically, UK services supporting children with neurodevelopmental needs have </w:t>
      </w:r>
      <w:bookmarkStart w:id="32" w:name="_Int_twXGSo2v"/>
      <w:r w:rsidRPr="072869EF">
        <w:rPr>
          <w:rFonts w:ascii="Arial" w:eastAsia="Arial" w:hAnsi="Arial" w:cs="Arial"/>
          <w:color w:val="000000" w:themeColor="text1"/>
          <w:kern w:val="0"/>
          <w:sz w:val="24"/>
          <w:szCs w:val="24"/>
          <w:lang w:eastAsia="en-GB"/>
          <w14:ligatures w14:val="none"/>
        </w:rPr>
        <w:t>operated</w:t>
      </w:r>
      <w:bookmarkEnd w:id="32"/>
      <w:r w:rsidRPr="072869EF">
        <w:rPr>
          <w:rFonts w:ascii="Arial" w:eastAsia="Arial" w:hAnsi="Arial" w:cs="Arial"/>
          <w:color w:val="000000" w:themeColor="text1"/>
          <w:kern w:val="0"/>
          <w:sz w:val="24"/>
          <w:szCs w:val="24"/>
          <w:lang w:eastAsia="en-GB"/>
          <w14:ligatures w14:val="none"/>
        </w:rPr>
        <w:t xml:space="preserve"> in silos. Ford et al. (2021) note that children were often passed between schools, </w:t>
      </w:r>
      <w:r w:rsidR="7F349595" w:rsidRPr="072869EF">
        <w:rPr>
          <w:rFonts w:ascii="Arial" w:eastAsia="Arial" w:hAnsi="Arial" w:cs="Arial"/>
          <w:color w:val="000000" w:themeColor="text1"/>
          <w:kern w:val="0"/>
          <w:sz w:val="24"/>
          <w:szCs w:val="24"/>
          <w:lang w:eastAsia="en-GB"/>
          <w14:ligatures w14:val="none"/>
        </w:rPr>
        <w:t>GPs,</w:t>
      </w:r>
      <w:r w:rsidRPr="072869EF">
        <w:rPr>
          <w:rFonts w:ascii="Arial" w:eastAsia="Arial" w:hAnsi="Arial" w:cs="Arial"/>
          <w:color w:val="000000" w:themeColor="text1"/>
          <w:kern w:val="0"/>
          <w:sz w:val="24"/>
          <w:szCs w:val="24"/>
          <w:lang w:eastAsia="en-GB"/>
          <w14:ligatures w14:val="none"/>
        </w:rPr>
        <w:t xml:space="preserve"> and CAMHS with limited communication, resulting in fragmented support. The Children and Families Act 2014 </w:t>
      </w:r>
      <w:r w:rsidR="009F050E" w:rsidRPr="072869EF">
        <w:rPr>
          <w:rFonts w:ascii="Arial" w:eastAsia="Arial" w:hAnsi="Arial" w:cs="Arial"/>
          <w:color w:val="000000" w:themeColor="text1"/>
          <w:kern w:val="0"/>
          <w:sz w:val="24"/>
          <w:szCs w:val="24"/>
          <w:lang w:eastAsia="en-GB"/>
          <w14:ligatures w14:val="none"/>
        </w:rPr>
        <w:t>tried</w:t>
      </w:r>
      <w:r w:rsidRPr="072869EF">
        <w:rPr>
          <w:rFonts w:ascii="Arial" w:eastAsia="Arial" w:hAnsi="Arial" w:cs="Arial"/>
          <w:color w:val="000000" w:themeColor="text1"/>
          <w:kern w:val="0"/>
          <w:sz w:val="24"/>
          <w:szCs w:val="24"/>
          <w:lang w:eastAsia="en-GB"/>
          <w14:ligatures w14:val="none"/>
        </w:rPr>
        <w:t xml:space="preserve"> to overcome this by merging education, health, and social care planning into EHCPs, yet many children—especially those without EHCPs—still depend on informal multi-agency cooperation.</w:t>
      </w:r>
    </w:p>
    <w:p w14:paraId="0B570BCA"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56BF3D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Recent reforms, including the NHS Long Term Plan (2019) and the SEND Improvement Plan (DfE, 2023), emphasise earlier intervention, quicker referrals, and stronger school-CAMHS partnerships. However, national reviews (Children’s Commissioner, 2023; NAO, 2024) reveal that implementation is patchy. Many families report having to “fight” for support, </w:t>
      </w:r>
      <w:bookmarkStart w:id="33" w:name="_Int_O43QPvaa"/>
      <w:r w:rsidRPr="072869EF">
        <w:rPr>
          <w:rFonts w:ascii="Arial" w:eastAsia="Arial" w:hAnsi="Arial" w:cs="Arial"/>
          <w:color w:val="000000" w:themeColor="text1"/>
          <w:kern w:val="0"/>
          <w:sz w:val="24"/>
          <w:szCs w:val="24"/>
          <w:lang w:eastAsia="en-GB"/>
          <w14:ligatures w14:val="none"/>
        </w:rPr>
        <w:t>demonstrating</w:t>
      </w:r>
      <w:bookmarkEnd w:id="33"/>
      <w:r w:rsidRPr="072869EF">
        <w:rPr>
          <w:rFonts w:ascii="Arial" w:eastAsia="Arial" w:hAnsi="Arial" w:cs="Arial"/>
          <w:color w:val="000000" w:themeColor="text1"/>
          <w:kern w:val="0"/>
          <w:sz w:val="24"/>
          <w:szCs w:val="24"/>
          <w:lang w:eastAsia="en-GB"/>
          <w14:ligatures w14:val="none"/>
        </w:rPr>
        <w:t xml:space="preserve"> that multi-agency intentions do not always translate into practice.</w:t>
      </w:r>
    </w:p>
    <w:p w14:paraId="39754B94" w14:textId="4FC341B3"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63E13E83"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Relevance to the Research Question</w:t>
      </w:r>
    </w:p>
    <w:p w14:paraId="532807F2"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1C5BF62" w14:textId="50FE7C95"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This theme </w:t>
      </w:r>
      <w:r w:rsidR="00093369" w:rsidRPr="072869EF">
        <w:rPr>
          <w:rFonts w:ascii="Arial" w:eastAsia="Arial" w:hAnsi="Arial" w:cs="Arial"/>
          <w:color w:val="000000" w:themeColor="text1"/>
          <w:kern w:val="0"/>
          <w:sz w:val="24"/>
          <w:szCs w:val="24"/>
          <w:lang w:eastAsia="en-GB"/>
          <w14:ligatures w14:val="none"/>
        </w:rPr>
        <w:t>links</w:t>
      </w:r>
      <w:r w:rsidRPr="072869EF">
        <w:rPr>
          <w:rFonts w:ascii="Arial" w:eastAsia="Arial" w:hAnsi="Arial" w:cs="Arial"/>
          <w:color w:val="000000" w:themeColor="text1"/>
          <w:kern w:val="0"/>
          <w:sz w:val="24"/>
          <w:szCs w:val="24"/>
          <w:lang w:eastAsia="en-GB"/>
          <w14:ligatures w14:val="none"/>
        </w:rPr>
        <w:t xml:space="preserve"> to your research question because:</w:t>
      </w:r>
    </w:p>
    <w:p w14:paraId="5A4BDEBA"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BAC7464"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Early diagnosis only improves educational performance and behaviour when post-diagnostic support is coordinated and consistent.</w:t>
      </w:r>
    </w:p>
    <w:p w14:paraId="11F9EC9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BF6CCB4"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A child receiving an ADHD diagnosis at age 6, for example, may still struggle academically if:</w:t>
      </w:r>
    </w:p>
    <w:p w14:paraId="0617D96E"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 school does not liaise with CAMHS</w:t>
      </w:r>
    </w:p>
    <w:p w14:paraId="5BFD01BD"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parents receive no behavioural guidance</w:t>
      </w:r>
    </w:p>
    <w:p w14:paraId="14389305"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no communication exists between SENCO, GP, and teachers</w:t>
      </w:r>
    </w:p>
    <w:p w14:paraId="596CD4BF"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recommended interventions are not implemented consistently</w:t>
      </w:r>
    </w:p>
    <w:p w14:paraId="3F2A8A7D"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E0FB4DA"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Thus, exploring multi-agency working reveals whether early diagnosis leads to real change in the classroom for White British boys aged 5–11.</w:t>
      </w:r>
    </w:p>
    <w:p w14:paraId="1B99E810" w14:textId="6FFCC94B"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7A68719F"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Statistical Information</w:t>
      </w:r>
    </w:p>
    <w:p w14:paraId="13DBC95D"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Only 34% of children diagnosed with ADHD receive integrated support involving school, CAMHS and family (NHS England, 2025).</w:t>
      </w:r>
    </w:p>
    <w:p w14:paraId="71C8BE23"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48% of parents report that agencies “rarely” share information effectively (NAO, 2024).</w:t>
      </w:r>
    </w:p>
    <w:p w14:paraId="3D333E40"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receiving coordinated multi-agency intervention show higher behavioural improvements and better literacy progress, compared to those relying solely on school-based strategies (Westwood et al., 2023).</w:t>
      </w:r>
    </w:p>
    <w:p w14:paraId="71E7E88D"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Delays in CAMHS communication contribute to longer behavioural escalations, often recorded as “persistent disruptive behaviour,” which disproportionately affects boys aged 5–11 (Fleming et al., 2020).</w:t>
      </w:r>
    </w:p>
    <w:p w14:paraId="68D1581D"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22E4A25"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These statistics highlight a clear gap between policy expectations and lived experiences.</w:t>
      </w:r>
    </w:p>
    <w:p w14:paraId="04DF3FB7" w14:textId="69655863"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039C13E5"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Theoretical Framework Connections</w:t>
      </w:r>
    </w:p>
    <w:p w14:paraId="15B3E573"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1763B87"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Bronfenbrenner’s Ecological Systems Theory is highly relevant. It emphasises that a child’s development is shaped by interactions between the school, family, health professionals, and wider society. ADHD outcomes are stronger when the “microsystems” (school–home–health) communicate effectively.</w:t>
      </w:r>
    </w:p>
    <w:p w14:paraId="1FD6803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3016D1D" w14:textId="286F895C"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 Medical–Social Model Integration also applies. ADHD is medically diagnosed, but the social environment </w:t>
      </w:r>
      <w:r w:rsidR="00A7437E" w:rsidRPr="072869EF">
        <w:rPr>
          <w:rFonts w:ascii="Arial" w:eastAsia="Arial" w:hAnsi="Arial" w:cs="Arial"/>
          <w:color w:val="000000" w:themeColor="text1"/>
          <w:kern w:val="0"/>
          <w:sz w:val="24"/>
          <w:szCs w:val="24"/>
          <w:lang w:eastAsia="en-GB"/>
          <w14:ligatures w14:val="none"/>
        </w:rPr>
        <w:t>finds</w:t>
      </w:r>
      <w:r w:rsidRPr="072869EF">
        <w:rPr>
          <w:rFonts w:ascii="Arial" w:eastAsia="Arial" w:hAnsi="Arial" w:cs="Arial"/>
          <w:color w:val="000000" w:themeColor="text1"/>
          <w:kern w:val="0"/>
          <w:sz w:val="24"/>
          <w:szCs w:val="24"/>
          <w:lang w:eastAsia="en-GB"/>
          <w14:ligatures w14:val="none"/>
        </w:rPr>
        <w:t xml:space="preserve"> how the child functions in the classroom. Multi-agency working, therefore, bridges medical understanding and educational adaptation.</w:t>
      </w:r>
    </w:p>
    <w:p w14:paraId="68C3AEAD" w14:textId="29B927C7"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36110515"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Policy and Legislation</w:t>
      </w:r>
    </w:p>
    <w:p w14:paraId="45FCC621"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D49AF1E"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Several UK policies explicitly require collaborative practice:</w:t>
      </w:r>
    </w:p>
    <w:p w14:paraId="5ECFBE2E"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SEND Code of Practice (2015): requires joint decision-making and integrated planning.</w:t>
      </w:r>
    </w:p>
    <w:p w14:paraId="62BFD1F6"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and Families Act (2014): legally mandates multi-agency working for children with SEN.</w:t>
      </w:r>
    </w:p>
    <w:p w14:paraId="73E6AFBE"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Equality Act (2010): schools must make reasonable adjustments, often requiring advice from multiple professionals.</w:t>
      </w:r>
    </w:p>
    <w:p w14:paraId="73F10302"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NICE Guidelines NG87 (2018): emphasise shared-care models between CAMHS, GPs, parents, and schools.</w:t>
      </w:r>
    </w:p>
    <w:p w14:paraId="000D4EA7"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NHS Long Term Plan (2019): promises school-based mental-health support teams to reduce referral delays.</w:t>
      </w:r>
    </w:p>
    <w:p w14:paraId="198F17F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1961FAB"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However, national monitoring shows inconsistent compliance. Practices vary widely by geographical area (“postcode lottery”), meaning children’s access to coordinated support depends on where they live rather than clinical need (Children’s Commissioner, 2023).</w:t>
      </w:r>
    </w:p>
    <w:p w14:paraId="17499D36" w14:textId="24590499"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7E20E9DB"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Implications (Positive and Negative)</w:t>
      </w:r>
    </w:p>
    <w:p w14:paraId="4FB878D2"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2FFF4EA" w14:textId="77777777" w:rsidR="00C31031" w:rsidRPr="00C31031" w:rsidRDefault="00C31031"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Positive Impacts</w:t>
      </w:r>
    </w:p>
    <w:p w14:paraId="6063B309"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receive consistent strategies at home and school.</w:t>
      </w:r>
    </w:p>
    <w:p w14:paraId="6BD84E0A"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Behaviour improves when messaging is aligned across settings.</w:t>
      </w:r>
    </w:p>
    <w:p w14:paraId="6436B371"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Families feel empowered rather than blamed or ignored.</w:t>
      </w:r>
    </w:p>
    <w:p w14:paraId="218EDFC7"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Schools develop clearer support plans, improving academic engagement.</w:t>
      </w:r>
    </w:p>
    <w:p w14:paraId="012B941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FDCCBB5" w14:textId="77777777" w:rsidR="00C31031" w:rsidRPr="00C31031" w:rsidRDefault="00C31031"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Negative Impacts</w:t>
      </w:r>
    </w:p>
    <w:p w14:paraId="547FD60A" w14:textId="77777777"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When communication fails, early diagnosis does not translate into intervention.</w:t>
      </w:r>
    </w:p>
    <w:p w14:paraId="4743299B" w14:textId="77777777"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Parents describe stress navigating complex systems (“referral ping-pong”).</w:t>
      </w:r>
    </w:p>
    <w:p w14:paraId="769FEF54" w14:textId="77777777"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Lack of joined-up support increases exclusion risk for boys </w:t>
      </w:r>
      <w:bookmarkStart w:id="34" w:name="_Int_pA2uYDGp"/>
      <w:r w:rsidRPr="072869EF">
        <w:rPr>
          <w:rFonts w:ascii="Arial" w:eastAsia="Arial" w:hAnsi="Arial" w:cs="Arial"/>
          <w:color w:val="000000" w:themeColor="text1"/>
          <w:kern w:val="0"/>
          <w:sz w:val="24"/>
          <w:szCs w:val="24"/>
          <w:lang w:eastAsia="en-GB"/>
          <w14:ligatures w14:val="none"/>
        </w:rPr>
        <w:t>exhibiting</w:t>
      </w:r>
      <w:bookmarkEnd w:id="34"/>
      <w:r w:rsidRPr="072869EF">
        <w:rPr>
          <w:rFonts w:ascii="Arial" w:eastAsia="Arial" w:hAnsi="Arial" w:cs="Arial"/>
          <w:color w:val="000000" w:themeColor="text1"/>
          <w:kern w:val="0"/>
          <w:sz w:val="24"/>
          <w:szCs w:val="24"/>
          <w:lang w:eastAsia="en-GB"/>
          <w14:ligatures w14:val="none"/>
        </w:rPr>
        <w:t xml:space="preserve"> externalising behaviour.</w:t>
      </w:r>
    </w:p>
    <w:p w14:paraId="70AD696A" w14:textId="0643EF54"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Teachers often report receiving CAMHS reports with “no practical strategies</w:t>
      </w:r>
      <w:r w:rsidR="39DC7015" w:rsidRPr="072869EF">
        <w:rPr>
          <w:rFonts w:ascii="Arial" w:eastAsia="Arial" w:hAnsi="Arial" w:cs="Arial"/>
          <w:color w:val="000000" w:themeColor="text1"/>
          <w:kern w:val="0"/>
          <w:sz w:val="24"/>
          <w:szCs w:val="24"/>
          <w:lang w:eastAsia="en-GB"/>
          <w14:ligatures w14:val="none"/>
        </w:rPr>
        <w:t>,”</w:t>
      </w:r>
      <w:r w:rsidRPr="072869EF">
        <w:rPr>
          <w:rFonts w:ascii="Arial" w:eastAsia="Arial" w:hAnsi="Arial" w:cs="Arial"/>
          <w:color w:val="000000" w:themeColor="text1"/>
          <w:kern w:val="0"/>
          <w:sz w:val="24"/>
          <w:szCs w:val="24"/>
          <w:lang w:eastAsia="en-GB"/>
          <w14:ligatures w14:val="none"/>
        </w:rPr>
        <w:t xml:space="preserve"> limiting the usefulness of diagnosis (Murray et al., 2023).</w:t>
      </w:r>
    </w:p>
    <w:p w14:paraId="47B20A1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143A9EBB"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These implications reinforce that diagnosis alone is insufficient without collaborative action.</w:t>
      </w:r>
    </w:p>
    <w:p w14:paraId="27E81525" w14:textId="67A44787"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0D80028A"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Examples from Research Articles</w:t>
      </w:r>
    </w:p>
    <w:p w14:paraId="02EE104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1F3F4E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Maciver et al. (2025) found that long CAMHS delays created breakdowns in communication, meaning early concerns raised by teachers did not link to </w:t>
      </w:r>
      <w:bookmarkStart w:id="35" w:name="_Int_EqK1SZK8"/>
      <w:r w:rsidRPr="072869EF">
        <w:rPr>
          <w:rFonts w:ascii="Arial" w:eastAsia="Arial" w:hAnsi="Arial" w:cs="Arial"/>
          <w:color w:val="000000" w:themeColor="text1"/>
          <w:kern w:val="0"/>
          <w:sz w:val="24"/>
          <w:szCs w:val="24"/>
          <w:lang w:eastAsia="en-GB"/>
          <w14:ligatures w14:val="none"/>
        </w:rPr>
        <w:t>timely</w:t>
      </w:r>
      <w:bookmarkEnd w:id="35"/>
      <w:r w:rsidRPr="072869EF">
        <w:rPr>
          <w:rFonts w:ascii="Arial" w:eastAsia="Arial" w:hAnsi="Arial" w:cs="Arial"/>
          <w:color w:val="000000" w:themeColor="text1"/>
          <w:kern w:val="0"/>
          <w:sz w:val="24"/>
          <w:szCs w:val="24"/>
          <w:lang w:eastAsia="en-GB"/>
          <w14:ligatures w14:val="none"/>
        </w:rPr>
        <w:t xml:space="preserve"> specialist input. This hindered behaviour management and added strain on families.</w:t>
      </w:r>
    </w:p>
    <w:p w14:paraId="0705F0E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9F66E08"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Westwood et al. (2023) showed that outcomes were strongest when parents were trained to use consistent routines at home, and teachers mirrored these strategies in school. This co-produced approach reduced calling-out behaviours and helped </w:t>
      </w:r>
      <w:bookmarkStart w:id="36" w:name="_Int_zrdE9PUM"/>
      <w:r w:rsidRPr="072869EF">
        <w:rPr>
          <w:rFonts w:ascii="Arial" w:eastAsia="Arial" w:hAnsi="Arial" w:cs="Arial"/>
          <w:color w:val="000000" w:themeColor="text1"/>
          <w:kern w:val="0"/>
          <w:sz w:val="24"/>
          <w:szCs w:val="24"/>
          <w:lang w:eastAsia="en-GB"/>
          <w14:ligatures w14:val="none"/>
        </w:rPr>
        <w:t>maintain</w:t>
      </w:r>
      <w:bookmarkEnd w:id="36"/>
      <w:r w:rsidRPr="072869EF">
        <w:rPr>
          <w:rFonts w:ascii="Arial" w:eastAsia="Arial" w:hAnsi="Arial" w:cs="Arial"/>
          <w:color w:val="000000" w:themeColor="text1"/>
          <w:kern w:val="0"/>
          <w:sz w:val="24"/>
          <w:szCs w:val="24"/>
          <w:lang w:eastAsia="en-GB"/>
          <w14:ligatures w14:val="none"/>
        </w:rPr>
        <w:t xml:space="preserve"> focus during literacy tasks.</w:t>
      </w:r>
    </w:p>
    <w:p w14:paraId="4DE7DEA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355615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Wright et al. (2023) highlighted that teachers often rely on their own interpretation due to limited CAMHS guidance, leading to inconsistent classroom responses. Their findings support the argument that multi-agency support is essential for translating diagnosis into practical classroom changes.</w:t>
      </w:r>
    </w:p>
    <w:p w14:paraId="0D84F2FF"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06ADBAE" w14:textId="5877A81C"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Together, these examples </w:t>
      </w:r>
      <w:r w:rsidR="001F07F4" w:rsidRPr="072869EF">
        <w:rPr>
          <w:rFonts w:ascii="Arial" w:eastAsia="Arial" w:hAnsi="Arial" w:cs="Arial"/>
          <w:color w:val="000000" w:themeColor="text1"/>
          <w:kern w:val="0"/>
          <w:sz w:val="24"/>
          <w:szCs w:val="24"/>
          <w:lang w:eastAsia="en-GB"/>
          <w14:ligatures w14:val="none"/>
        </w:rPr>
        <w:t>prove</w:t>
      </w:r>
      <w:r w:rsidRPr="072869EF">
        <w:rPr>
          <w:rFonts w:ascii="Arial" w:eastAsia="Arial" w:hAnsi="Arial" w:cs="Arial"/>
          <w:color w:val="000000" w:themeColor="text1"/>
          <w:kern w:val="0"/>
          <w:sz w:val="24"/>
          <w:szCs w:val="24"/>
          <w:lang w:eastAsia="en-GB"/>
          <w14:ligatures w14:val="none"/>
        </w:rPr>
        <w:t xml:space="preserve"> the direct relevance of this theme to your research aim.</w:t>
      </w:r>
    </w:p>
    <w:p w14:paraId="5E7A8125" w14:textId="648BE487"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1CB9479A"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Connections to Other Themes</w:t>
      </w:r>
    </w:p>
    <w:p w14:paraId="0AFCACA6" w14:textId="77777777" w:rsidR="00C31031" w:rsidRPr="00C31031" w:rsidRDefault="00C31031" w:rsidP="4C72D9C6">
      <w:pPr>
        <w:numPr>
          <w:ilvl w:val="0"/>
          <w:numId w:val="111"/>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1 (Early Diagnosis): Early identification is only effective when agencies share information and respond promptly.</w:t>
      </w:r>
    </w:p>
    <w:p w14:paraId="1A781DA5" w14:textId="77777777" w:rsidR="00C31031" w:rsidRPr="00C31031" w:rsidRDefault="00C31031" w:rsidP="4C72D9C6">
      <w:pPr>
        <w:numPr>
          <w:ilvl w:val="0"/>
          <w:numId w:val="111"/>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2 (Teacher Awareness): Teacher training increases the quality of collaboration because professionals communicate more confidently with parents and CAMHS.</w:t>
      </w:r>
    </w:p>
    <w:p w14:paraId="0D160568" w14:textId="77777777" w:rsidR="00C31031" w:rsidRPr="00C31031" w:rsidRDefault="00C31031" w:rsidP="4C72D9C6">
      <w:pPr>
        <w:numPr>
          <w:ilvl w:val="0"/>
          <w:numId w:val="111"/>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4 (Socio-Economic Inequalities): Deprivation shapes access to multi-agency services—wealthier areas tend to have stronger partnerships.</w:t>
      </w:r>
    </w:p>
    <w:p w14:paraId="20DA1EAE"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6AD7C004"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This theme forms the “bridge” between diagnosis, school practice, and wider social structures.</w:t>
      </w:r>
    </w:p>
    <w:p w14:paraId="0D8B4DA0" w14:textId="77777777" w:rsidR="00636D9A" w:rsidRPr="00CA7734" w:rsidRDefault="00636D9A" w:rsidP="4C72D9C6">
      <w:pPr>
        <w:pStyle w:val="Heading1"/>
        <w:spacing w:line="360" w:lineRule="auto"/>
        <w:rPr>
          <w:rFonts w:eastAsia="Arial" w:cs="Arial"/>
          <w:color w:val="000000" w:themeColor="text1"/>
          <w:sz w:val="24"/>
          <w:szCs w:val="24"/>
        </w:rPr>
      </w:pPr>
    </w:p>
    <w:p w14:paraId="0B7345EE" w14:textId="3553C2A2" w:rsidR="001C3AF6" w:rsidRPr="00FF5B5D" w:rsidRDefault="001C3AF6" w:rsidP="4C72D9C6">
      <w:pPr>
        <w:pStyle w:val="Heading2"/>
        <w:rPr>
          <w:rFonts w:ascii="Arial" w:eastAsia="Arial" w:hAnsi="Arial" w:cs="Arial"/>
          <w:b/>
          <w:color w:val="000000" w:themeColor="text1"/>
          <w:szCs w:val="24"/>
        </w:rPr>
      </w:pPr>
      <w:r w:rsidRPr="072869EF">
        <w:rPr>
          <w:rFonts w:ascii="Arial" w:eastAsia="Arial" w:hAnsi="Arial" w:cs="Arial"/>
          <w:b/>
          <w:color w:val="000000" w:themeColor="text1"/>
          <w:szCs w:val="24"/>
        </w:rPr>
        <w:t>4.6 – Chapter Conclusion</w:t>
      </w:r>
    </w:p>
    <w:p w14:paraId="3861FFD6" w14:textId="6E817023" w:rsidR="00211184" w:rsidRPr="00FF5B5D" w:rsidRDefault="00B54340" w:rsidP="4C72D9C6">
      <w:pPr>
        <w:pStyle w:val="p1"/>
        <w:spacing w:line="360" w:lineRule="auto"/>
        <w:rPr>
          <w:rStyle w:val="s1"/>
          <w:rFonts w:ascii="Arial" w:eastAsia="Arial" w:hAnsi="Arial" w:cs="Arial"/>
          <w:color w:val="000000" w:themeColor="text1"/>
        </w:rPr>
      </w:pPr>
      <w:r w:rsidRPr="072869EF">
        <w:rPr>
          <w:rStyle w:val="s1"/>
          <w:rFonts w:ascii="Arial" w:eastAsia="Arial" w:hAnsi="Arial" w:cs="Arial"/>
          <w:color w:val="000000" w:themeColor="text1"/>
        </w:rPr>
        <w:t xml:space="preserve">This </w:t>
      </w:r>
      <w:bookmarkStart w:id="37" w:name="_Int_F2jvkUQ6"/>
      <w:r w:rsidRPr="072869EF">
        <w:rPr>
          <w:rStyle w:val="s1"/>
          <w:rFonts w:ascii="Arial" w:eastAsia="Arial" w:hAnsi="Arial" w:cs="Arial"/>
          <w:color w:val="000000" w:themeColor="text1"/>
        </w:rPr>
        <w:t xml:space="preserve">chapter </w:t>
      </w:r>
      <w:r w:rsidR="00160842" w:rsidRPr="072869EF">
        <w:rPr>
          <w:rStyle w:val="s1"/>
          <w:rFonts w:ascii="Arial" w:eastAsia="Arial" w:hAnsi="Arial" w:cs="Arial"/>
          <w:color w:val="000000" w:themeColor="text1"/>
        </w:rPr>
        <w:t>ana</w:t>
      </w:r>
      <w:r w:rsidR="000829B7" w:rsidRPr="072869EF">
        <w:rPr>
          <w:rStyle w:val="s1"/>
          <w:rFonts w:ascii="Arial" w:eastAsia="Arial" w:hAnsi="Arial" w:cs="Arial"/>
          <w:color w:val="000000" w:themeColor="text1"/>
        </w:rPr>
        <w:t xml:space="preserve">lytically </w:t>
      </w:r>
      <w:r w:rsidRPr="072869EF">
        <w:rPr>
          <w:rStyle w:val="s1"/>
          <w:rFonts w:ascii="Arial" w:eastAsia="Arial" w:hAnsi="Arial" w:cs="Arial"/>
          <w:color w:val="000000" w:themeColor="text1"/>
        </w:rPr>
        <w:t>examined</w:t>
      </w:r>
      <w:bookmarkEnd w:id="37"/>
      <w:r w:rsidRPr="072869EF">
        <w:rPr>
          <w:rStyle w:val="s1"/>
          <w:rFonts w:ascii="Arial" w:eastAsia="Arial" w:hAnsi="Arial" w:cs="Arial"/>
          <w:color w:val="000000" w:themeColor="text1"/>
        </w:rPr>
        <w:t xml:space="preserve"> the key factors shaping how early ADHD diagnosis affects the educational experiences of White British boys aged 5–11. The analysis showed that while early identification can be beneficial, the impact is highly dependent on the quality and timing of support that follows. </w:t>
      </w:r>
      <w:r w:rsidRPr="072869EF">
        <w:rPr>
          <w:rStyle w:val="s2"/>
          <w:rFonts w:ascii="Arial" w:eastAsia="Arial" w:hAnsi="Arial" w:cs="Arial"/>
          <w:color w:val="000000" w:themeColor="text1"/>
        </w:rPr>
        <w:t>Theme 1</w:t>
      </w:r>
      <w:r w:rsidRPr="072869EF">
        <w:rPr>
          <w:rStyle w:val="s1"/>
          <w:rFonts w:ascii="Arial" w:eastAsia="Arial" w:hAnsi="Arial" w:cs="Arial"/>
          <w:color w:val="000000" w:themeColor="text1"/>
        </w:rPr>
        <w:t xml:space="preserve"> highlighted that early assessment only improves outcomes when services are accessible and responsive, which is far from consistent across regions. </w:t>
      </w:r>
      <w:r w:rsidRPr="072869EF">
        <w:rPr>
          <w:rStyle w:val="s2"/>
          <w:rFonts w:ascii="Arial" w:eastAsia="Arial" w:hAnsi="Arial" w:cs="Arial"/>
          <w:color w:val="000000" w:themeColor="text1"/>
        </w:rPr>
        <w:t>Theme 2</w:t>
      </w:r>
      <w:r w:rsidRPr="072869EF">
        <w:rPr>
          <w:rStyle w:val="s1"/>
          <w:rFonts w:ascii="Arial" w:eastAsia="Arial" w:hAnsi="Arial" w:cs="Arial"/>
          <w:color w:val="000000" w:themeColor="text1"/>
        </w:rPr>
        <w:t xml:space="preserve"> </w:t>
      </w:r>
      <w:r w:rsidR="000829B7" w:rsidRPr="072869EF">
        <w:rPr>
          <w:rStyle w:val="s1"/>
          <w:rFonts w:ascii="Arial" w:eastAsia="Arial" w:hAnsi="Arial" w:cs="Arial"/>
          <w:color w:val="000000" w:themeColor="text1"/>
        </w:rPr>
        <w:t>showed</w:t>
      </w:r>
      <w:r w:rsidRPr="072869EF">
        <w:rPr>
          <w:rStyle w:val="s1"/>
          <w:rFonts w:ascii="Arial" w:eastAsia="Arial" w:hAnsi="Arial" w:cs="Arial"/>
          <w:color w:val="000000" w:themeColor="text1"/>
        </w:rPr>
        <w:t xml:space="preserve"> that teachers </w:t>
      </w:r>
      <w:bookmarkStart w:id="38" w:name="_Int_Dpe7AJYt"/>
      <w:r w:rsidRPr="072869EF">
        <w:rPr>
          <w:rStyle w:val="s1"/>
          <w:rFonts w:ascii="Arial" w:eastAsia="Arial" w:hAnsi="Arial" w:cs="Arial"/>
          <w:color w:val="000000" w:themeColor="text1"/>
        </w:rPr>
        <w:t>remain</w:t>
      </w:r>
      <w:bookmarkEnd w:id="38"/>
      <w:r w:rsidRPr="072869EF">
        <w:rPr>
          <w:rStyle w:val="s1"/>
          <w:rFonts w:ascii="Arial" w:eastAsia="Arial" w:hAnsi="Arial" w:cs="Arial"/>
          <w:color w:val="000000" w:themeColor="text1"/>
        </w:rPr>
        <w:t xml:space="preserve"> central to early recognition, yet limited specialist training continues to create uneven classroom responses. </w:t>
      </w:r>
      <w:r w:rsidRPr="072869EF">
        <w:rPr>
          <w:rStyle w:val="s2"/>
          <w:rFonts w:ascii="Arial" w:eastAsia="Arial" w:hAnsi="Arial" w:cs="Arial"/>
          <w:color w:val="000000" w:themeColor="text1"/>
        </w:rPr>
        <w:t>Theme 3</w:t>
      </w:r>
      <w:r w:rsidRPr="072869EF">
        <w:rPr>
          <w:rStyle w:val="s1"/>
          <w:rFonts w:ascii="Arial" w:eastAsia="Arial" w:hAnsi="Arial" w:cs="Arial"/>
          <w:color w:val="000000" w:themeColor="text1"/>
        </w:rPr>
        <w:t xml:space="preserve"> revealed that effective multi-agency collaboration is essential for sustained progress, but in practice these partnerships are often fragmented, particularly where communication between schools, families and CAMHS is weak. </w:t>
      </w:r>
      <w:r w:rsidRPr="072869EF">
        <w:rPr>
          <w:rStyle w:val="s2"/>
          <w:rFonts w:ascii="Arial" w:eastAsia="Arial" w:hAnsi="Arial" w:cs="Arial"/>
          <w:color w:val="000000" w:themeColor="text1"/>
        </w:rPr>
        <w:t>Theme 4</w:t>
      </w:r>
      <w:r w:rsidRPr="072869EF">
        <w:rPr>
          <w:rStyle w:val="s1"/>
          <w:rFonts w:ascii="Arial" w:eastAsia="Arial" w:hAnsi="Arial" w:cs="Arial"/>
          <w:color w:val="000000" w:themeColor="text1"/>
        </w:rPr>
        <w:t xml:space="preserve"> showed that wider socio-economic conditions significantly shape access to diagnosis and intervention, reinforcing structural inequalit</w:t>
      </w:r>
      <w:r w:rsidR="3525D5D1" w:rsidRPr="072869EF">
        <w:rPr>
          <w:rStyle w:val="s1"/>
          <w:rFonts w:ascii="Arial" w:eastAsia="Arial" w:hAnsi="Arial" w:cs="Arial"/>
          <w:color w:val="000000" w:themeColor="text1"/>
        </w:rPr>
        <w:t>ies.</w:t>
      </w:r>
    </w:p>
    <w:p w14:paraId="330747B3" w14:textId="5D865A87" w:rsidR="0E3AB6F0" w:rsidRDefault="0E3AB6F0" w:rsidP="072869EF">
      <w:pPr>
        <w:pStyle w:val="p1"/>
        <w:spacing w:line="360" w:lineRule="auto"/>
        <w:rPr>
          <w:rStyle w:val="s1"/>
          <w:rFonts w:ascii="Arial" w:eastAsia="Arial" w:hAnsi="Arial" w:cs="Arial"/>
          <w:b/>
          <w:bCs/>
          <w:color w:val="000000" w:themeColor="text1"/>
        </w:rPr>
      </w:pPr>
    </w:p>
    <w:p w14:paraId="7D62005E" w14:textId="65416EDF" w:rsidR="614A4FB2" w:rsidRDefault="5C8C45B7" w:rsidP="072869EF">
      <w:pPr>
        <w:pStyle w:val="p1"/>
        <w:spacing w:line="360" w:lineRule="auto"/>
        <w:rPr>
          <w:rStyle w:val="s1"/>
          <w:rFonts w:ascii="Arial" w:eastAsia="Arial" w:hAnsi="Arial" w:cs="Arial"/>
          <w:b/>
          <w:bCs/>
          <w:color w:val="000000" w:themeColor="text1"/>
          <w:sz w:val="28"/>
          <w:szCs w:val="28"/>
        </w:rPr>
      </w:pPr>
      <w:r w:rsidRPr="072869EF">
        <w:rPr>
          <w:rStyle w:val="s1"/>
          <w:rFonts w:ascii="Arial" w:eastAsia="Arial" w:hAnsi="Arial" w:cs="Arial"/>
          <w:b/>
          <w:bCs/>
          <w:color w:val="000000" w:themeColor="text1"/>
        </w:rPr>
        <w:t>Chapter 5 – Discussion &amp; R</w:t>
      </w:r>
      <w:r w:rsidR="4350C6E9" w:rsidRPr="072869EF">
        <w:rPr>
          <w:rStyle w:val="s1"/>
          <w:rFonts w:ascii="Arial" w:eastAsia="Arial" w:hAnsi="Arial" w:cs="Arial"/>
          <w:b/>
          <w:bCs/>
          <w:color w:val="000000" w:themeColor="text1"/>
        </w:rPr>
        <w:t>ecommendations</w:t>
      </w:r>
    </w:p>
    <w:p w14:paraId="593C748C" w14:textId="237D6490"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5.1 Introduction</w:t>
      </w:r>
    </w:p>
    <w:p w14:paraId="7F1D547C" w14:textId="3971E008" w:rsidR="35EE01A3" w:rsidRDefault="35EE01A3" w:rsidP="072869EF">
      <w:pPr>
        <w:pStyle w:val="p1"/>
        <w:spacing w:line="360" w:lineRule="auto"/>
        <w:rPr>
          <w:rStyle w:val="s1"/>
          <w:rFonts w:ascii="Arial" w:eastAsia="Arial" w:hAnsi="Arial" w:cs="Arial"/>
          <w:color w:val="000000" w:themeColor="text1"/>
        </w:rPr>
      </w:pPr>
      <w:r w:rsidRPr="072869EF">
        <w:rPr>
          <w:rStyle w:val="s1"/>
          <w:rFonts w:ascii="Arial" w:eastAsia="Arial" w:hAnsi="Arial" w:cs="Arial"/>
          <w:color w:val="000000" w:themeColor="text1"/>
        </w:rPr>
        <w:t xml:space="preserve">This chapter presents three practical, evidence-based recommendations informed by the themes </w:t>
      </w:r>
      <w:bookmarkStart w:id="39" w:name="_Int_5J8ia9vO"/>
      <w:r w:rsidRPr="072869EF">
        <w:rPr>
          <w:rStyle w:val="s1"/>
          <w:rFonts w:ascii="Arial" w:eastAsia="Arial" w:hAnsi="Arial" w:cs="Arial"/>
          <w:color w:val="000000" w:themeColor="text1"/>
        </w:rPr>
        <w:t>identified</w:t>
      </w:r>
      <w:bookmarkEnd w:id="39"/>
      <w:r w:rsidRPr="072869EF">
        <w:rPr>
          <w:rStyle w:val="s1"/>
          <w:rFonts w:ascii="Arial" w:eastAsia="Arial" w:hAnsi="Arial" w:cs="Arial"/>
          <w:color w:val="000000" w:themeColor="text1"/>
        </w:rPr>
        <w:t xml:space="preserve"> in Chapter 4. The recommendations respond directly to the gaps highlighted in the literature regarding early ADHD diagnosis for White British boys aged 5–11 in UK primary schools. Each recommendation is justified using current policy, empirical findings, and the structural challenges identified earlier. The discussion also evaluates feasibility, potential barriers, and realistic strategies for implementation within real-world educational and health settings. These recommendations aim to strengthen early identification pathways, improve teacher competence, and enhance multi-agency collaboration, aligning with statutory duties under the Children and Families Act (2014), the SEND Code of Practice (2015), and the Equality Act (2010). Together, they provide a structured and critical foundation for improving practice, reducing inequalities, and promoting more </w:t>
      </w:r>
      <w:bookmarkStart w:id="40" w:name="_Int_9xzD8E32"/>
      <w:r w:rsidRPr="072869EF">
        <w:rPr>
          <w:rStyle w:val="s1"/>
          <w:rFonts w:ascii="Arial" w:eastAsia="Arial" w:hAnsi="Arial" w:cs="Arial"/>
          <w:color w:val="000000" w:themeColor="text1"/>
        </w:rPr>
        <w:t>timely</w:t>
      </w:r>
      <w:bookmarkEnd w:id="40"/>
      <w:r w:rsidRPr="072869EF">
        <w:rPr>
          <w:rStyle w:val="s1"/>
          <w:rFonts w:ascii="Arial" w:eastAsia="Arial" w:hAnsi="Arial" w:cs="Arial"/>
          <w:color w:val="000000" w:themeColor="text1"/>
        </w:rPr>
        <w:t xml:space="preserve"> interventions for children with ADHD in UK primary schools.</w:t>
      </w:r>
    </w:p>
    <w:p w14:paraId="034D082A" w14:textId="52D1D8E0" w:rsidR="072869EF" w:rsidRDefault="072869EF" w:rsidP="072869EF">
      <w:pPr>
        <w:pStyle w:val="p1"/>
        <w:spacing w:line="360" w:lineRule="auto"/>
        <w:rPr>
          <w:rStyle w:val="s1"/>
          <w:rFonts w:ascii="Arial" w:eastAsia="Arial" w:hAnsi="Arial" w:cs="Arial"/>
          <w:color w:val="000000" w:themeColor="text1"/>
        </w:rPr>
      </w:pPr>
    </w:p>
    <w:p w14:paraId="14863C7B" w14:textId="19958492" w:rsidR="35EE01A3" w:rsidRDefault="35EE01A3" w:rsidP="072869EF">
      <w:pPr>
        <w:pStyle w:val="p1"/>
        <w:spacing w:line="360" w:lineRule="auto"/>
        <w:rPr>
          <w:rStyle w:val="s1"/>
          <w:rFonts w:ascii="Arial" w:eastAsia="Arial" w:hAnsi="Arial" w:cs="Arial"/>
          <w:b/>
          <w:bCs/>
          <w:color w:val="000000" w:themeColor="text1"/>
          <w:sz w:val="28"/>
          <w:szCs w:val="28"/>
        </w:rPr>
      </w:pPr>
      <w:r w:rsidRPr="072869EF">
        <w:rPr>
          <w:rStyle w:val="s1"/>
          <w:rFonts w:ascii="Arial" w:eastAsia="Arial" w:hAnsi="Arial" w:cs="Arial"/>
          <w:b/>
          <w:bCs/>
          <w:color w:val="000000" w:themeColor="text1"/>
        </w:rPr>
        <w:t>5.2</w:t>
      </w:r>
      <w:r w:rsidR="611024AA" w:rsidRPr="072869EF">
        <w:rPr>
          <w:rStyle w:val="s1"/>
          <w:rFonts w:ascii="Arial" w:eastAsia="Arial" w:hAnsi="Arial" w:cs="Arial"/>
          <w:b/>
          <w:bCs/>
          <w:color w:val="000000" w:themeColor="text1"/>
        </w:rPr>
        <w:t xml:space="preserve"> </w:t>
      </w:r>
      <w:r w:rsidR="2B8625A8" w:rsidRPr="072869EF">
        <w:rPr>
          <w:rStyle w:val="s1"/>
          <w:rFonts w:ascii="Arial" w:eastAsia="Arial" w:hAnsi="Arial" w:cs="Arial"/>
          <w:b/>
          <w:bCs/>
          <w:color w:val="000000" w:themeColor="text1"/>
        </w:rPr>
        <w:t>Recommendations</w:t>
      </w:r>
    </w:p>
    <w:p w14:paraId="17EAF1D1" w14:textId="50DDCD93" w:rsidR="072869EF" w:rsidRDefault="072869EF" w:rsidP="072869EF">
      <w:pPr>
        <w:pStyle w:val="p1"/>
        <w:spacing w:line="360" w:lineRule="auto"/>
        <w:rPr>
          <w:rStyle w:val="s1"/>
          <w:rFonts w:ascii="Arial" w:eastAsia="Arial" w:hAnsi="Arial" w:cs="Arial"/>
          <w:b/>
          <w:bCs/>
          <w:color w:val="000000" w:themeColor="text1"/>
        </w:rPr>
      </w:pPr>
    </w:p>
    <w:p w14:paraId="707CE01C" w14:textId="07A2407C" w:rsidR="35EE01A3" w:rsidRDefault="35EE01A3" w:rsidP="072869EF">
      <w:pPr>
        <w:pStyle w:val="p1"/>
        <w:spacing w:line="360" w:lineRule="auto"/>
        <w:rPr>
          <w:rStyle w:val="s1"/>
          <w:rFonts w:ascii="Arial" w:eastAsia="Arial" w:hAnsi="Arial" w:cs="Arial"/>
          <w:i/>
          <w:iCs/>
          <w:color w:val="000000" w:themeColor="text1"/>
        </w:rPr>
      </w:pPr>
      <w:r w:rsidRPr="072869EF">
        <w:rPr>
          <w:rStyle w:val="s1"/>
          <w:rFonts w:ascii="Arial" w:eastAsia="Arial" w:hAnsi="Arial" w:cs="Arial"/>
          <w:i/>
          <w:iCs/>
          <w:color w:val="000000" w:themeColor="text1"/>
        </w:rPr>
        <w:t>Recommendation1: Mandatory ADHD-Specific Training for All Primary School Teachers</w:t>
      </w:r>
    </w:p>
    <w:p w14:paraId="062935F1" w14:textId="6901913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It is recommended that all primary school teachers receive mandatory ADHD-specific training as part of both </w:t>
      </w:r>
      <w:bookmarkStart w:id="41" w:name="_Int_6v46NGx6"/>
      <w:r w:rsidRPr="072869EF">
        <w:rPr>
          <w:rStyle w:val="s1"/>
          <w:rFonts w:ascii="Arial" w:eastAsia="Arial" w:hAnsi="Arial" w:cs="Arial"/>
          <w:color w:val="000000" w:themeColor="text1"/>
        </w:rPr>
        <w:t>initial</w:t>
      </w:r>
      <w:bookmarkEnd w:id="41"/>
      <w:r w:rsidRPr="072869EF">
        <w:rPr>
          <w:rStyle w:val="s1"/>
          <w:rFonts w:ascii="Arial" w:eastAsia="Arial" w:hAnsi="Arial" w:cs="Arial"/>
          <w:color w:val="000000" w:themeColor="text1"/>
        </w:rPr>
        <w:t xml:space="preserve"> teacher training (ITT) and ongoing professional development. This training should focus on early behavioural recognition, classroom management strategies, and working effectively with families and external agencies.</w:t>
      </w:r>
    </w:p>
    <w:p w14:paraId="22B6107B" w14:textId="3BEC5639"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Justification &amp; Feasibility</w:t>
      </w:r>
    </w:p>
    <w:p w14:paraId="43D7D1CF" w14:textId="447DD674"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Findings from Chapter 4 showed that limited teacher awareness is a major barrier to early identification, with many boys showing symptoms being misunderstood as “misbehaviour” rather than neurodevelopmental need. Increased teacher competence is strongly linked to earlier referral, reduced classroom conflict, and more effective SEN support. This recommendation aligns with the SEND Code of Practice (2015), which requires teachers to be able to identify emerging difficulties and implement graduated responses. It is feasible because national frameworks already exist, such as the DfE Teacher Training Framework and NASEN training modules, which can be adapted to include mandatory ADHD content. The NHS Long Term Plan (2019) also highlights schools as key partners in early identification, making this recommendation </w:t>
      </w:r>
      <w:bookmarkStart w:id="42" w:name="_Int_wC5Uatj9"/>
      <w:r w:rsidRPr="072869EF">
        <w:rPr>
          <w:rStyle w:val="s1"/>
          <w:rFonts w:ascii="Arial" w:eastAsia="Arial" w:hAnsi="Arial" w:cs="Arial"/>
          <w:color w:val="000000" w:themeColor="text1"/>
        </w:rPr>
        <w:t>timely</w:t>
      </w:r>
      <w:bookmarkEnd w:id="42"/>
      <w:r w:rsidRPr="072869EF">
        <w:rPr>
          <w:rStyle w:val="s1"/>
          <w:rFonts w:ascii="Arial" w:eastAsia="Arial" w:hAnsi="Arial" w:cs="Arial"/>
          <w:color w:val="000000" w:themeColor="text1"/>
        </w:rPr>
        <w:t xml:space="preserve"> and </w:t>
      </w:r>
      <w:r w:rsidR="326F2AA6" w:rsidRPr="072869EF">
        <w:rPr>
          <w:rStyle w:val="s1"/>
          <w:rFonts w:ascii="Arial" w:eastAsia="Arial" w:hAnsi="Arial" w:cs="Arial"/>
          <w:color w:val="000000" w:themeColor="text1"/>
        </w:rPr>
        <w:t>system aligned</w:t>
      </w:r>
      <w:r w:rsidRPr="072869EF">
        <w:rPr>
          <w:rStyle w:val="s1"/>
          <w:rFonts w:ascii="Arial" w:eastAsia="Arial" w:hAnsi="Arial" w:cs="Arial"/>
          <w:color w:val="000000" w:themeColor="text1"/>
        </w:rPr>
        <w:t>.</w:t>
      </w:r>
    </w:p>
    <w:p w14:paraId="2D097EA4" w14:textId="5EAA9E14"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Barriers &amp; Limitations</w:t>
      </w:r>
    </w:p>
    <w:p w14:paraId="3373FF11" w14:textId="1487A5F0"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A key limitation is school capacity. Teachers already face workload pressures, and mandatory training may initially be perceived as an additional burden. Another barrier is inconsistency in school budgets, meaning some settings may struggle to access high-quality training. Variation in school leadership priorities may also affect uptake.</w:t>
      </w:r>
    </w:p>
    <w:p w14:paraId="34233D45" w14:textId="5C4C9927"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Overcoming Challenges</w:t>
      </w:r>
    </w:p>
    <w:p w14:paraId="20D97BA3" w14:textId="29B3EBBD"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Barriers can be reduced by embedding ADHD training into existing CPD requirements, meaning it does not create </w:t>
      </w:r>
      <w:bookmarkStart w:id="43" w:name="_Int_wX4ap3tP"/>
      <w:r w:rsidRPr="072869EF">
        <w:rPr>
          <w:rStyle w:val="s1"/>
          <w:rFonts w:ascii="Arial" w:eastAsia="Arial" w:hAnsi="Arial" w:cs="Arial"/>
          <w:color w:val="000000" w:themeColor="text1"/>
        </w:rPr>
        <w:t>additional</w:t>
      </w:r>
      <w:bookmarkEnd w:id="43"/>
      <w:r w:rsidRPr="072869EF">
        <w:rPr>
          <w:rStyle w:val="s1"/>
          <w:rFonts w:ascii="Arial" w:eastAsia="Arial" w:hAnsi="Arial" w:cs="Arial"/>
          <w:color w:val="000000" w:themeColor="text1"/>
        </w:rPr>
        <w:t xml:space="preserve"> workload. Funding can be supported through DfE professional development grants or local authority inclusion budgets, ensuring </w:t>
      </w:r>
      <w:bookmarkStart w:id="44" w:name="_Int_9aE54pGb"/>
      <w:r w:rsidRPr="072869EF">
        <w:rPr>
          <w:rStyle w:val="s1"/>
          <w:rFonts w:ascii="Arial" w:eastAsia="Arial" w:hAnsi="Arial" w:cs="Arial"/>
          <w:color w:val="000000" w:themeColor="text1"/>
        </w:rPr>
        <w:t>equitable</w:t>
      </w:r>
      <w:bookmarkEnd w:id="44"/>
      <w:r w:rsidRPr="072869EF">
        <w:rPr>
          <w:rStyle w:val="s1"/>
          <w:rFonts w:ascii="Arial" w:eastAsia="Arial" w:hAnsi="Arial" w:cs="Arial"/>
          <w:color w:val="000000" w:themeColor="text1"/>
        </w:rPr>
        <w:t xml:space="preserve"> access. Schools can also adopt hybrid models, combining online modules with in-person workshops. Linking training to statutory duties (Equality Act 2010; SEND Code 2015) increases compliance and ensures long-term sustainability. Strengthening teacher knowledge directly supports early diagnosis, consistent with Themes 1 and 2 of Chapter 4.</w:t>
      </w:r>
    </w:p>
    <w:p w14:paraId="6FC0F0EE" w14:textId="6F9E5653" w:rsidR="072869EF" w:rsidRDefault="072869EF" w:rsidP="072869EF">
      <w:pPr>
        <w:pStyle w:val="p1"/>
        <w:spacing w:line="360" w:lineRule="auto"/>
        <w:rPr>
          <w:rStyle w:val="s1"/>
          <w:rFonts w:ascii="Arial" w:eastAsia="Arial" w:hAnsi="Arial" w:cs="Arial"/>
          <w:color w:val="000000" w:themeColor="text1"/>
        </w:rPr>
      </w:pPr>
    </w:p>
    <w:p w14:paraId="78C6D11A" w14:textId="6D6DE515" w:rsidR="35EE01A3" w:rsidRDefault="35EE01A3" w:rsidP="072869EF">
      <w:pPr>
        <w:pStyle w:val="p1"/>
        <w:spacing w:line="360" w:lineRule="auto"/>
        <w:rPr>
          <w:rStyle w:val="s1"/>
          <w:rFonts w:ascii="Arial" w:eastAsia="Arial" w:hAnsi="Arial" w:cs="Arial"/>
          <w:i/>
          <w:iCs/>
          <w:color w:val="000000" w:themeColor="text1"/>
        </w:rPr>
      </w:pPr>
      <w:r w:rsidRPr="072869EF">
        <w:rPr>
          <w:rStyle w:val="s1"/>
          <w:rFonts w:ascii="Arial" w:eastAsia="Arial" w:hAnsi="Arial" w:cs="Arial"/>
          <w:i/>
          <w:iCs/>
          <w:color w:val="000000" w:themeColor="text1"/>
        </w:rPr>
        <w:t>Recommendation 2: Introduce Early Screening Pathways Within Schools in Partnership With CAMHS</w:t>
      </w:r>
    </w:p>
    <w:p w14:paraId="3C4C21F2" w14:textId="20280CE6"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It is recommended that all primary schools </w:t>
      </w:r>
      <w:bookmarkStart w:id="45" w:name="_Int_h45GXmoC"/>
      <w:r w:rsidRPr="072869EF">
        <w:rPr>
          <w:rStyle w:val="s1"/>
          <w:rFonts w:ascii="Arial" w:eastAsia="Arial" w:hAnsi="Arial" w:cs="Arial"/>
          <w:color w:val="000000" w:themeColor="text1"/>
        </w:rPr>
        <w:t>establish</w:t>
      </w:r>
      <w:bookmarkEnd w:id="45"/>
      <w:r w:rsidRPr="072869EF">
        <w:rPr>
          <w:rStyle w:val="s1"/>
          <w:rFonts w:ascii="Arial" w:eastAsia="Arial" w:hAnsi="Arial" w:cs="Arial"/>
          <w:color w:val="000000" w:themeColor="text1"/>
        </w:rPr>
        <w:t xml:space="preserve"> early ADHD screening pathways in partnership with CAMHS and local authority SEND teams. These pathways should include structured teacher observations, parental questionnaires, and rapid referral routes for children displaying persistent ADHD characteristics.</w:t>
      </w:r>
    </w:p>
    <w:p w14:paraId="538FE6F4" w14:textId="5E22DD2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Justification &amp; Feasibility</w:t>
      </w:r>
    </w:p>
    <w:p w14:paraId="40129709" w14:textId="7FE23410"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Chapter 4 identified Theme 1 — early diagnosis and access to support — as a critical area. Evidence consistently showed that long CAMHS waiting times and inconsistent referral practices delay diagnosis for many boys aged 5–11. Introducing structured screening within schools provides a consistent way to identify concerns early and prevents delays caused by non-standardised processes. This recommendation aligns with NICE Guidelines (2018) on early recognition of ADHD and the Children and Families Act (2014), which emphasises early intervention. Feasibility is supported by the existing use of screening tools in many local authorities and by national frameworks encouraging closer school-CAMHS collaboration. Additionally, with increasing digital pathways in the NHS, schools can adopt online referral systems to streamline communication.</w:t>
      </w:r>
    </w:p>
    <w:p w14:paraId="26A2D3A6" w14:textId="37F8BE20"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Barriers &amp; Limitations</w:t>
      </w:r>
    </w:p>
    <w:p w14:paraId="6D0E12B1" w14:textId="0BF437F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The main barrier is the current pressure on CAMHS services, which may limit their availability to support early screening initiatives. Schools may also lack staff with confidence to administer structured observations. Additionally, some parents may resist screening due to stigma around diagnoses.</w:t>
      </w:r>
    </w:p>
    <w:p w14:paraId="47CDD055" w14:textId="39C87F06"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Overcoming Challenges</w:t>
      </w:r>
    </w:p>
    <w:p w14:paraId="1AA9E581" w14:textId="4979827A"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Barriers can be reduced by using trained SENCOs or </w:t>
      </w:r>
      <w:bookmarkStart w:id="46" w:name="_Int_7UwvUqGe"/>
      <w:r w:rsidRPr="072869EF">
        <w:rPr>
          <w:rStyle w:val="s1"/>
          <w:rFonts w:ascii="Arial" w:eastAsia="Arial" w:hAnsi="Arial" w:cs="Arial"/>
          <w:color w:val="000000" w:themeColor="text1"/>
        </w:rPr>
        <w:t>designated</w:t>
      </w:r>
      <w:bookmarkEnd w:id="46"/>
      <w:r w:rsidRPr="072869EF">
        <w:rPr>
          <w:rStyle w:val="s1"/>
          <w:rFonts w:ascii="Arial" w:eastAsia="Arial" w:hAnsi="Arial" w:cs="Arial"/>
          <w:color w:val="000000" w:themeColor="text1"/>
        </w:rPr>
        <w:t xml:space="preserve"> mental health leads to carry out </w:t>
      </w:r>
      <w:r w:rsidR="175C988C" w:rsidRPr="072869EF">
        <w:rPr>
          <w:rStyle w:val="s1"/>
          <w:rFonts w:ascii="Arial" w:eastAsia="Arial" w:hAnsi="Arial" w:cs="Arial"/>
          <w:color w:val="000000" w:themeColor="text1"/>
        </w:rPr>
        <w:t>first</w:t>
      </w:r>
      <w:r w:rsidRPr="072869EF">
        <w:rPr>
          <w:rStyle w:val="s1"/>
          <w:rFonts w:ascii="Arial" w:eastAsia="Arial" w:hAnsi="Arial" w:cs="Arial"/>
          <w:color w:val="000000" w:themeColor="text1"/>
        </w:rPr>
        <w:t xml:space="preserve"> observations, limiting reliance on external staff. CAMHS involvement can be targeted to moderate/high-risk cases. Parent concerns can be managed through clear communication, emphasising the benefits of early recognition and alignment with statutory rights under the Equality Act (2010). Early screening strengthens identification, reduces inequalities identified in Theme 4, and ensures boys receive </w:t>
      </w:r>
      <w:bookmarkStart w:id="47" w:name="_Int_7uhRMUBO"/>
      <w:r w:rsidRPr="072869EF">
        <w:rPr>
          <w:rStyle w:val="s1"/>
          <w:rFonts w:ascii="Arial" w:eastAsia="Arial" w:hAnsi="Arial" w:cs="Arial"/>
          <w:color w:val="000000" w:themeColor="text1"/>
        </w:rPr>
        <w:t>timely</w:t>
      </w:r>
      <w:bookmarkEnd w:id="47"/>
      <w:r w:rsidRPr="072869EF">
        <w:rPr>
          <w:rStyle w:val="s1"/>
          <w:rFonts w:ascii="Arial" w:eastAsia="Arial" w:hAnsi="Arial" w:cs="Arial"/>
          <w:color w:val="000000" w:themeColor="text1"/>
        </w:rPr>
        <w:t xml:space="preserve"> support.</w:t>
      </w:r>
    </w:p>
    <w:p w14:paraId="36B83E5C" w14:textId="4961849A" w:rsidR="072869EF" w:rsidRDefault="072869EF" w:rsidP="072869EF">
      <w:pPr>
        <w:pStyle w:val="p1"/>
        <w:spacing w:line="360" w:lineRule="auto"/>
        <w:rPr>
          <w:rStyle w:val="s1"/>
          <w:rFonts w:ascii="Arial" w:eastAsia="Arial" w:hAnsi="Arial" w:cs="Arial"/>
          <w:color w:val="000000" w:themeColor="text1"/>
        </w:rPr>
      </w:pPr>
    </w:p>
    <w:p w14:paraId="6703AB55" w14:textId="65ACE2E9" w:rsidR="35EE01A3" w:rsidRDefault="35EE01A3" w:rsidP="072869EF">
      <w:pPr>
        <w:pStyle w:val="p1"/>
        <w:spacing w:line="360" w:lineRule="auto"/>
        <w:rPr>
          <w:rStyle w:val="s1"/>
          <w:rFonts w:ascii="Arial" w:eastAsia="Arial" w:hAnsi="Arial" w:cs="Arial"/>
          <w:i/>
          <w:iCs/>
          <w:color w:val="000000" w:themeColor="text1"/>
        </w:rPr>
      </w:pPr>
      <w:r w:rsidRPr="072869EF">
        <w:rPr>
          <w:rStyle w:val="s1"/>
          <w:rFonts w:ascii="Arial" w:eastAsia="Arial" w:hAnsi="Arial" w:cs="Arial"/>
          <w:i/>
          <w:iCs/>
          <w:color w:val="000000" w:themeColor="text1"/>
        </w:rPr>
        <w:t>Recommendation 3: Strengthen Multi-Agency Collaboration Through a Local ADHD Support Framewor</w:t>
      </w:r>
      <w:r w:rsidR="774A688F" w:rsidRPr="072869EF">
        <w:rPr>
          <w:rStyle w:val="s1"/>
          <w:rFonts w:ascii="Arial" w:eastAsia="Arial" w:hAnsi="Arial" w:cs="Arial"/>
          <w:i/>
          <w:iCs/>
          <w:color w:val="000000" w:themeColor="text1"/>
        </w:rPr>
        <w:t>k</w:t>
      </w:r>
    </w:p>
    <w:p w14:paraId="7562EECA" w14:textId="4EA51B04"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It is recommended that local authorities develop a multi-agency ADHD Support Framework that brings together primary schools, CAMHS, educational psychologists, and family support services. The framework should outline shared responsibilities, clear communication pathways, and coordinated intervention plans.</w:t>
      </w:r>
    </w:p>
    <w:p w14:paraId="5C4F765D" w14:textId="53550351"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Justification &amp; Feasibility</w:t>
      </w:r>
    </w:p>
    <w:p w14:paraId="0878AC15" w14:textId="69277FA0"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Chapter 4 highlighted Theme 3 — multi-agency collaboration — as essential for ensuring continuity of care. Evidence shows that fragmented communication between schools and health services contributes to late diagnosis, inconsistent support, and parental frustration. A formalised local framework aligns with statutory expectations in the SEND Code of Practice (2015), which requires “joint commissioning arrangements” between education, health, and social care. Local authorities already have statutory duties to coordinate EHCP processes, making an ADHD-specific collaboration model </w:t>
      </w:r>
      <w:bookmarkStart w:id="48" w:name="_Int_dyMq7IrT"/>
      <w:r w:rsidRPr="072869EF">
        <w:rPr>
          <w:rStyle w:val="s1"/>
          <w:rFonts w:ascii="Arial" w:eastAsia="Arial" w:hAnsi="Arial" w:cs="Arial"/>
          <w:color w:val="000000" w:themeColor="text1"/>
        </w:rPr>
        <w:t>a feasible</w:t>
      </w:r>
      <w:bookmarkEnd w:id="48"/>
      <w:r w:rsidRPr="072869EF">
        <w:rPr>
          <w:rStyle w:val="s1"/>
          <w:rFonts w:ascii="Arial" w:eastAsia="Arial" w:hAnsi="Arial" w:cs="Arial"/>
          <w:color w:val="000000" w:themeColor="text1"/>
        </w:rPr>
        <w:t xml:space="preserve"> extension. The Children Act (2004) and Working Together to Safeguard Children (2018) further emphasise interagency cooperation, providing legal grounding for implementation.</w:t>
      </w:r>
    </w:p>
    <w:p w14:paraId="28CD16D2" w14:textId="75EC4EAB"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Barriers &amp; Limitations</w:t>
      </w:r>
    </w:p>
    <w:p w14:paraId="19851E29" w14:textId="152798A7"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The most significant barrier is variation in local authority resources. Some regions may lack educational psychologists or CAMHS capacity, limiting full collaboration. Additionally, professional boundaries and differing organisational cultures can slow progress. Families in deprived areas may also face </w:t>
      </w:r>
      <w:r w:rsidR="3F17FEC5" w:rsidRPr="072869EF">
        <w:rPr>
          <w:rStyle w:val="s1"/>
          <w:rFonts w:ascii="Arial" w:eastAsia="Arial" w:hAnsi="Arial" w:cs="Arial"/>
          <w:color w:val="000000" w:themeColor="text1"/>
        </w:rPr>
        <w:t>added</w:t>
      </w:r>
      <w:r w:rsidRPr="072869EF">
        <w:rPr>
          <w:rStyle w:val="s1"/>
          <w:rFonts w:ascii="Arial" w:eastAsia="Arial" w:hAnsi="Arial" w:cs="Arial"/>
          <w:color w:val="000000" w:themeColor="text1"/>
        </w:rPr>
        <w:t xml:space="preserve"> engagement challenges.</w:t>
      </w:r>
    </w:p>
    <w:p w14:paraId="3EF50E72" w14:textId="1EBB73A6"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Overcoming Challenges</w:t>
      </w:r>
    </w:p>
    <w:p w14:paraId="66B60B63" w14:textId="1EFBB8F4"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These barriers can be addressed by adopting phased </w:t>
      </w:r>
      <w:r w:rsidR="42DC9887" w:rsidRPr="072869EF">
        <w:rPr>
          <w:rStyle w:val="s1"/>
          <w:rFonts w:ascii="Arial" w:eastAsia="Arial" w:hAnsi="Arial" w:cs="Arial"/>
          <w:color w:val="000000" w:themeColor="text1"/>
        </w:rPr>
        <w:t>rollouts</w:t>
      </w:r>
      <w:r w:rsidRPr="072869EF">
        <w:rPr>
          <w:rStyle w:val="s1"/>
          <w:rFonts w:ascii="Arial" w:eastAsia="Arial" w:hAnsi="Arial" w:cs="Arial"/>
          <w:color w:val="000000" w:themeColor="text1"/>
        </w:rPr>
        <w:t xml:space="preserve">, beginning with schools with the highest ADHD prevalence. Local authorities can use digital multi-agency panels to reduce meeting times and improve communication. Joint training sessions can improve professional relationships and reduce role confusion. Support for parents can be strengthened through family workers and digital information hubs. A clear local ADHD framework directly addresses inequalities </w:t>
      </w:r>
      <w:bookmarkStart w:id="49" w:name="_Int_6FccmscN"/>
      <w:r w:rsidRPr="072869EF">
        <w:rPr>
          <w:rStyle w:val="s1"/>
          <w:rFonts w:ascii="Arial" w:eastAsia="Arial" w:hAnsi="Arial" w:cs="Arial"/>
          <w:color w:val="000000" w:themeColor="text1"/>
        </w:rPr>
        <w:t>identified</w:t>
      </w:r>
      <w:bookmarkEnd w:id="49"/>
      <w:r w:rsidRPr="072869EF">
        <w:rPr>
          <w:rStyle w:val="s1"/>
          <w:rFonts w:ascii="Arial" w:eastAsia="Arial" w:hAnsi="Arial" w:cs="Arial"/>
          <w:color w:val="000000" w:themeColor="text1"/>
        </w:rPr>
        <w:t xml:space="preserve"> under Theme 4 and enhances continuity of care across services.</w:t>
      </w:r>
    </w:p>
    <w:p w14:paraId="37CBDD70" w14:textId="34A490EE" w:rsidR="072869EF" w:rsidRDefault="072869EF" w:rsidP="072869EF">
      <w:pPr>
        <w:pStyle w:val="p1"/>
        <w:spacing w:line="360" w:lineRule="auto"/>
        <w:rPr>
          <w:rStyle w:val="s1"/>
          <w:rFonts w:ascii="Arial" w:eastAsia="Arial" w:hAnsi="Arial" w:cs="Arial"/>
          <w:color w:val="000000" w:themeColor="text1"/>
        </w:rPr>
      </w:pPr>
    </w:p>
    <w:p w14:paraId="4B3C10D2" w14:textId="4BE7CD72"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5.3 Conclusion</w:t>
      </w:r>
    </w:p>
    <w:p w14:paraId="24768A48" w14:textId="3C2F37A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This chapter presented three evidence-based recommendations designed to improve early ADHD identification and support for White British boys aged 5–11 in UK primary schools. Each recommendation was grounded in the findings of Chapter 4 and aligned with national policy expectations, including the SEND Code of Practice (2015), Equality Act (2010), NICE Guidelines (2018), and the Children and Families Act (2014). By strengthening teacher knowledge, creating structured early screening pathways, and improving multi-agency collaboration, these recommendations provide realistic and achievable steps for reducing diagnostic delays and supporting children more effectively. While each proposal presents practical challenges — including funding, staff capacity, and systemic inequalities — the solutions offered </w:t>
      </w:r>
      <w:r w:rsidR="5C4B511B" w:rsidRPr="072869EF">
        <w:rPr>
          <w:rStyle w:val="s1"/>
          <w:rFonts w:ascii="Arial" w:eastAsia="Arial" w:hAnsi="Arial" w:cs="Arial"/>
          <w:color w:val="000000" w:themeColor="text1"/>
        </w:rPr>
        <w:t>prove</w:t>
      </w:r>
      <w:r w:rsidRPr="072869EF">
        <w:rPr>
          <w:rStyle w:val="s1"/>
          <w:rFonts w:ascii="Arial" w:eastAsia="Arial" w:hAnsi="Arial" w:cs="Arial"/>
          <w:color w:val="000000" w:themeColor="text1"/>
        </w:rPr>
        <w:t xml:space="preserve"> how these barriers can be mitigated within real-world settings. Collectively, these recommendations contribute to more </w:t>
      </w:r>
      <w:r w:rsidR="05DEA2D4" w:rsidRPr="072869EF">
        <w:rPr>
          <w:rStyle w:val="s1"/>
          <w:rFonts w:ascii="Arial" w:eastAsia="Arial" w:hAnsi="Arial" w:cs="Arial"/>
          <w:color w:val="000000" w:themeColor="text1"/>
        </w:rPr>
        <w:t>fair</w:t>
      </w:r>
      <w:r w:rsidRPr="072869EF">
        <w:rPr>
          <w:rStyle w:val="s1"/>
          <w:rFonts w:ascii="Arial" w:eastAsia="Arial" w:hAnsi="Arial" w:cs="Arial"/>
          <w:color w:val="000000" w:themeColor="text1"/>
        </w:rPr>
        <w:t xml:space="preserve"> access to assessment, earlier intervention, and improved educational outcomes for children with ADHD, reinforcing the broader aim of promoting inclusive and responsive primary education across the UK.</w:t>
      </w:r>
    </w:p>
    <w:p w14:paraId="36B22802" w14:textId="13CEE6D6" w:rsidR="072869EF" w:rsidRDefault="072869EF" w:rsidP="072869EF">
      <w:pPr>
        <w:pStyle w:val="p1"/>
        <w:spacing w:line="360" w:lineRule="auto"/>
        <w:rPr>
          <w:rStyle w:val="s1"/>
          <w:rFonts w:ascii="Arial" w:eastAsia="Arial" w:hAnsi="Arial" w:cs="Arial"/>
          <w:color w:val="000000" w:themeColor="text1"/>
          <w:sz w:val="22"/>
          <w:szCs w:val="22"/>
        </w:rPr>
      </w:pPr>
    </w:p>
    <w:p w14:paraId="41D80A3F" w14:textId="743564A8"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6F3157B1" w14:textId="78B60905"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1A0C5A2A" w14:textId="0539221B"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3C12189D" w14:textId="567B07C3"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0EE26682" w14:textId="0B546A4B"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24DA8262" w14:textId="54B8B82D"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1C27319B" w14:textId="635F7417"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5E7859E9" w14:textId="543857F9"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02733DD6" w14:textId="54DB519A"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3D3F3B28" w14:textId="35DA499F" w:rsidR="00211184" w:rsidRPr="00FF5B5D" w:rsidRDefault="00211184" w:rsidP="4C72D9C6">
      <w:pPr>
        <w:pStyle w:val="Heading1"/>
        <w:spacing w:line="360" w:lineRule="auto"/>
        <w:rPr>
          <w:rFonts w:eastAsia="Arial" w:cs="Arial"/>
          <w:color w:val="000000" w:themeColor="text1"/>
          <w:sz w:val="22"/>
          <w:szCs w:val="22"/>
        </w:rPr>
      </w:pPr>
      <w:r w:rsidRPr="4C72D9C6">
        <w:rPr>
          <w:rFonts w:eastAsia="Arial" w:cs="Arial"/>
          <w:color w:val="000000" w:themeColor="text1"/>
          <w:sz w:val="22"/>
          <w:szCs w:val="22"/>
        </w:rPr>
        <w:t xml:space="preserve">CHAPTER 6 – References and Appendices </w:t>
      </w:r>
    </w:p>
    <w:p w14:paraId="2EE69DD1" w14:textId="77777777" w:rsidR="00211184" w:rsidRPr="00FF5B5D" w:rsidRDefault="00211184" w:rsidP="4C72D9C6">
      <w:pPr>
        <w:rPr>
          <w:rFonts w:ascii="Arial" w:eastAsia="Arial" w:hAnsi="Arial" w:cs="Arial"/>
          <w:color w:val="000000" w:themeColor="text1"/>
        </w:rPr>
      </w:pPr>
    </w:p>
    <w:p w14:paraId="020975DD" w14:textId="16A395E8" w:rsidR="00621776" w:rsidRDefault="00621776"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 xml:space="preserve">6.1 – References </w:t>
      </w:r>
    </w:p>
    <w:p w14:paraId="7DA7C894" w14:textId="77777777" w:rsidR="00C0646D" w:rsidRPr="00FF5B5D" w:rsidRDefault="00C0646D" w:rsidP="4C72D9C6">
      <w:pPr>
        <w:pStyle w:val="Heading1"/>
        <w:spacing w:line="360" w:lineRule="auto"/>
        <w:ind w:left="0"/>
        <w:rPr>
          <w:rFonts w:eastAsia="Arial" w:cs="Arial"/>
          <w:color w:val="000000" w:themeColor="text1"/>
          <w:sz w:val="22"/>
          <w:szCs w:val="22"/>
        </w:rPr>
      </w:pPr>
    </w:p>
    <w:p w14:paraId="19702F99"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w:t>
      </w:r>
    </w:p>
    <w:p w14:paraId="7FDECCB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1602A9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Akinsola, E. (2022) ‘Teachers’ knowledge of ADHD and its influence on classroom management: A systematic review’, Teaching and Teacher Education, 117, p. 103781. doi: 10.1016/j.tate.2022.103781.</w:t>
      </w:r>
    </w:p>
    <w:p w14:paraId="014E15C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BA56A7A" w14:textId="57368EC3"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Al Barathie, J., El-Jamal, </w:t>
      </w:r>
      <w:r w:rsidR="22101ABC" w:rsidRPr="4C72D9C6">
        <w:rPr>
          <w:rFonts w:ascii="Arial" w:eastAsia="Arial" w:hAnsi="Arial" w:cs="Arial"/>
          <w:color w:val="000000" w:themeColor="text1"/>
          <w:kern w:val="0"/>
          <w:lang w:eastAsia="en-GB"/>
          <w14:ligatures w14:val="none"/>
        </w:rPr>
        <w:t>M.,</w:t>
      </w:r>
      <w:r w:rsidRPr="4C72D9C6">
        <w:rPr>
          <w:rFonts w:ascii="Arial" w:eastAsia="Arial" w:hAnsi="Arial" w:cs="Arial"/>
          <w:color w:val="000000" w:themeColor="text1"/>
          <w:kern w:val="0"/>
          <w:lang w:eastAsia="en-GB"/>
          <w14:ligatures w14:val="none"/>
        </w:rPr>
        <w:t xml:space="preserve"> and Karam, E.G. (202</w:t>
      </w:r>
      <w:r w:rsidR="00086A80" w:rsidRPr="4C72D9C6">
        <w:rPr>
          <w:rFonts w:ascii="Arial" w:eastAsia="Arial" w:hAnsi="Arial" w:cs="Arial"/>
          <w:color w:val="000000" w:themeColor="text1"/>
          <w:kern w:val="0"/>
          <w:lang w:eastAsia="en-GB"/>
          <w14:ligatures w14:val="none"/>
        </w:rPr>
        <w:t>4</w:t>
      </w:r>
      <w:r w:rsidRPr="4C72D9C6">
        <w:rPr>
          <w:rFonts w:ascii="Arial" w:eastAsia="Arial" w:hAnsi="Arial" w:cs="Arial"/>
          <w:color w:val="000000" w:themeColor="text1"/>
          <w:kern w:val="0"/>
          <w:lang w:eastAsia="en-GB"/>
          <w14:ligatures w14:val="none"/>
        </w:rPr>
        <w:t>) ‘Exploring ADHD through the lens of temperament: The TEMPS-A connection’, Journal of Affective Disorders, 392, Article 120251.</w:t>
      </w:r>
      <w:bookmarkStart w:id="50" w:name="_Int_vxquCaHw"/>
      <w:r w:rsidRPr="4C72D9C6">
        <w:rPr>
          <w:rFonts w:ascii="Arial" w:eastAsia="Arial" w:hAnsi="Arial" w:cs="Arial"/>
          <w:color w:val="000000" w:themeColor="text1"/>
          <w:kern w:val="0"/>
          <w:lang w:eastAsia="en-GB"/>
          <w14:ligatures w14:val="none"/>
        </w:rPr>
        <w:t xml:space="preserve"> do</w:t>
      </w:r>
      <w:bookmarkEnd w:id="50"/>
      <w:r w:rsidRPr="4C72D9C6">
        <w:rPr>
          <w:rFonts w:ascii="Arial" w:eastAsia="Arial" w:hAnsi="Arial" w:cs="Arial"/>
          <w:color w:val="000000" w:themeColor="text1"/>
          <w:kern w:val="0"/>
          <w:lang w:eastAsia="en-GB"/>
          <w14:ligatures w14:val="none"/>
        </w:rPr>
        <w:t>i: 10.1016/j.jad.2025.120251.</w:t>
      </w:r>
    </w:p>
    <w:p w14:paraId="03F28A3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AAE02D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American Psychiatric Association (2022) Diagnostic and Statistical Manual of Mental Disorders: DSM-5-TR. Washington, DC: American Psychiatric Publishing.</w:t>
      </w:r>
    </w:p>
    <w:p w14:paraId="50AED4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E09907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Archibald, L. and Gathercole, S. (2020) ‘Academic difficulties in children with ADHD: The role of working memory’, Journal of Educational Psychology, 112(4), pp. 685–700.</w:t>
      </w:r>
    </w:p>
    <w:p w14:paraId="2FF7D4A9" w14:textId="77777777" w:rsidR="00AA263B" w:rsidRPr="00AA263B" w:rsidRDefault="00AA263B" w:rsidP="4C72D9C6">
      <w:pPr>
        <w:spacing w:after="0"/>
        <w:jc w:val="left"/>
        <w:rPr>
          <w:rFonts w:ascii="Arial" w:eastAsia="Arial" w:hAnsi="Arial" w:cs="Arial"/>
          <w:color w:val="000000" w:themeColor="text1"/>
          <w:kern w:val="0"/>
          <w:lang w:eastAsia="en-GB"/>
          <w14:ligatures w14:val="none"/>
        </w:rPr>
      </w:pPr>
      <w:r>
        <w:rPr>
          <w:noProof/>
        </w:rPr>
        <mc:AlternateContent>
          <mc:Choice Requires="wps">
            <w:drawing>
              <wp:inline distT="0" distB="0" distL="0" distR="0" wp14:anchorId="2B6CD672" wp14:editId="2C3E433A">
                <wp:extent cx="5731510" cy="1270"/>
                <wp:effectExtent l="0" t="31750" r="0" b="36830"/>
                <wp:docPr id="11684136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mc:AlternateContent>
      </w:r>
    </w:p>
    <w:p w14:paraId="51A63069"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B</w:t>
      </w:r>
    </w:p>
    <w:p w14:paraId="6F9BFDE4"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E67F42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Bertelsen, T.B. and Håland, Å.T. (2025) ‘A replication study to evaluate parental internalising symptoms as predictors of anxiety symptoms’, Cogent Psychology, 12(1). doi: 10.1080/23311908.2025.2466935.</w:t>
      </w:r>
    </w:p>
    <w:p w14:paraId="050F9F8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36863A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Bowlby, J. (1969) Attachment and Loss: Vol 1. Attachment. New York: Basic Books.</w:t>
      </w:r>
    </w:p>
    <w:p w14:paraId="16C2B99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565568" w14:textId="2810CA75"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Braun, </w:t>
      </w:r>
      <w:r w:rsidR="2D1BE3C8" w:rsidRPr="4C72D9C6">
        <w:rPr>
          <w:rFonts w:ascii="Arial" w:eastAsia="Arial" w:hAnsi="Arial" w:cs="Arial"/>
          <w:color w:val="000000" w:themeColor="text1"/>
          <w:kern w:val="0"/>
          <w:lang w:eastAsia="en-GB"/>
          <w14:ligatures w14:val="none"/>
        </w:rPr>
        <w:t>V.,</w:t>
      </w:r>
      <w:r w:rsidRPr="4C72D9C6">
        <w:rPr>
          <w:rFonts w:ascii="Arial" w:eastAsia="Arial" w:hAnsi="Arial" w:cs="Arial"/>
          <w:color w:val="000000" w:themeColor="text1"/>
          <w:kern w:val="0"/>
          <w:lang w:eastAsia="en-GB"/>
          <w14:ligatures w14:val="none"/>
        </w:rPr>
        <w:t xml:space="preserve"> and Clarke, V. (2006) ‘Using thematic analysis in psychology’, Qualitative Research in Psychology, 3(2), pp. 77–101.</w:t>
      </w:r>
    </w:p>
    <w:p w14:paraId="56174D2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6F87B6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Bronfenbrenner, U. (1979) The Ecology of Human Development. Cambridge, MA: Harvard University Press.</w:t>
      </w:r>
    </w:p>
    <w:p w14:paraId="15A235BF" w14:textId="77777777" w:rsidR="00AA263B" w:rsidRPr="00AA263B" w:rsidRDefault="00AA263B" w:rsidP="4C72D9C6">
      <w:pPr>
        <w:spacing w:after="0"/>
        <w:jc w:val="left"/>
        <w:rPr>
          <w:rFonts w:ascii="Arial" w:eastAsia="Arial" w:hAnsi="Arial" w:cs="Arial"/>
          <w:color w:val="000000" w:themeColor="text1"/>
          <w:kern w:val="0"/>
          <w:lang w:eastAsia="en-GB"/>
          <w14:ligatures w14:val="none"/>
        </w:rPr>
      </w:pPr>
      <w:r>
        <w:rPr>
          <w:noProof/>
        </w:rPr>
        <mc:AlternateContent>
          <mc:Choice Requires="wps">
            <w:drawing>
              <wp:inline distT="0" distB="0" distL="0" distR="0" wp14:anchorId="00C320BB" wp14:editId="705A2A19">
                <wp:extent cx="5731510" cy="1270"/>
                <wp:effectExtent l="0" t="31750" r="0" b="36830"/>
                <wp:docPr id="1923336609"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mc:AlternateContent>
      </w:r>
    </w:p>
    <w:p w14:paraId="0AF49D62"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C</w:t>
      </w:r>
    </w:p>
    <w:p w14:paraId="6546668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8D8568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Centers for Disease Control and Prevention (CDC) (2024) Data and statistics on ADHD. Available at: https://www.cdc.gov/adhd/data/ (Accessed 10 October 2025).</w:t>
      </w:r>
    </w:p>
    <w:p w14:paraId="7E7B90A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569C8F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Children’s Commissioner (2023) The State of Children’s Mental Health Services. London: Children’s Commissioner for England.</w:t>
      </w:r>
    </w:p>
    <w:p w14:paraId="265055B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2F55C7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Children’s Commissioner for England (2023) Voices of England’s Missing Children: Annual Report. London: Children’s Commissioner.</w:t>
      </w:r>
    </w:p>
    <w:p w14:paraId="49E84AC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F893AC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Cicchetti, D. (2016) ‘Developmental psychopathology’, Development and Psychopathology, 28(4), pp. 1–10.</w:t>
      </w:r>
    </w:p>
    <w:p w14:paraId="7EA20FD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A46492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Cicchetti, D. and Rogosch, F.A. (2002) ‘A developmental psychopathology perspective on ADHD’, Journal of Consulting and Clinical Psychology, 70(1), pp. 3–16.</w:t>
      </w:r>
    </w:p>
    <w:p w14:paraId="657130D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26C640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Cooper, P. (2001) ‘Understanding AD/HD’, Children &amp; Society, 15(5), pp. 387–395.</w:t>
      </w:r>
    </w:p>
    <w:p w14:paraId="53454C6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4912E04" w14:textId="550E7DF2"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Cooper, P. (2021) ADHD, </w:t>
      </w:r>
      <w:r w:rsidR="6336D0D9" w:rsidRPr="4C72D9C6">
        <w:rPr>
          <w:rFonts w:ascii="Arial" w:eastAsia="Arial" w:hAnsi="Arial" w:cs="Arial"/>
          <w:color w:val="000000" w:themeColor="text1"/>
          <w:kern w:val="0"/>
          <w:lang w:eastAsia="en-GB"/>
          <w14:ligatures w14:val="none"/>
        </w:rPr>
        <w:t>Schools,</w:t>
      </w:r>
      <w:r w:rsidRPr="4C72D9C6">
        <w:rPr>
          <w:rFonts w:ascii="Arial" w:eastAsia="Arial" w:hAnsi="Arial" w:cs="Arial"/>
          <w:color w:val="000000" w:themeColor="text1"/>
          <w:kern w:val="0"/>
          <w:lang w:eastAsia="en-GB"/>
          <w14:ligatures w14:val="none"/>
        </w:rPr>
        <w:t xml:space="preserve"> and Behaviour Management. London: Routledge.</w:t>
      </w:r>
    </w:p>
    <w:p w14:paraId="709F091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02BEB8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Cortese, S. et al. (2023) ‘Attention-Deficit/Hyperactivity Disorder’, The Lancet, 402(10399), pp. 1599–1612.</w:t>
      </w:r>
    </w:p>
    <w:p w14:paraId="4FF77AC6" w14:textId="558C9A3C"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642DEAE0"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D</w:t>
      </w:r>
    </w:p>
    <w:p w14:paraId="5098714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33DE1A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Department for Education (2014) Children and Families Act 2014. London: The Stationery Office.</w:t>
      </w:r>
    </w:p>
    <w:p w14:paraId="78073E2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6C645A1" w14:textId="64C74DE3" w:rsidR="00AA263B" w:rsidRPr="00AA263B" w:rsidRDefault="00AA263B" w:rsidP="4C72D9C6">
      <w:pPr>
        <w:spacing w:before="100" w:beforeAutospacing="1" w:after="100" w:afterAutospacing="1"/>
        <w:jc w:val="left"/>
        <w:rPr>
          <w:rFonts w:ascii="Arial" w:eastAsia="Arial" w:hAnsi="Arial" w:cs="Arial"/>
          <w:color w:val="000000" w:themeColor="text1"/>
          <w:lang w:eastAsia="en-GB"/>
        </w:rPr>
      </w:pPr>
      <w:r w:rsidRPr="4C72D9C6">
        <w:rPr>
          <w:rFonts w:ascii="Arial" w:eastAsia="Arial" w:hAnsi="Arial" w:cs="Arial"/>
          <w:color w:val="000000" w:themeColor="text1"/>
          <w:kern w:val="0"/>
          <w:lang w:eastAsia="en-GB"/>
          <w14:ligatures w14:val="none"/>
        </w:rPr>
        <w:t>Department for Education (DfE) (2023) SEND and Alternative Provision Improvement Plan. London: HMSO.</w:t>
      </w:r>
    </w:p>
    <w:p w14:paraId="14E1ACF6" w14:textId="10CA3511" w:rsidR="00AA263B" w:rsidRPr="00AA263B" w:rsidRDefault="00AA263B" w:rsidP="4C72D9C6">
      <w:pPr>
        <w:spacing w:before="100" w:beforeAutospacing="1" w:after="100" w:afterAutospacing="1"/>
        <w:jc w:val="left"/>
        <w:rPr>
          <w:rFonts w:ascii="Arial" w:eastAsia="Arial" w:hAnsi="Arial" w:cs="Arial"/>
          <w:color w:val="000000" w:themeColor="text1"/>
          <w:lang w:eastAsia="en-GB"/>
        </w:rPr>
      </w:pPr>
    </w:p>
    <w:p w14:paraId="133044C4" w14:textId="48447018" w:rsidR="00AA263B" w:rsidRPr="00AA263B" w:rsidRDefault="00AA263B" w:rsidP="546AC345">
      <w:pPr>
        <w:spacing w:before="100" w:beforeAutospacing="1" w:after="100" w:afterAutospacing="1"/>
        <w:jc w:val="left"/>
        <w:rPr>
          <w:rFonts w:ascii="Arial" w:eastAsia="Arial" w:hAnsi="Arial" w:cs="Arial"/>
          <w:color w:val="000000" w:themeColor="text1"/>
          <w:lang w:eastAsia="en-GB"/>
        </w:rPr>
      </w:pPr>
    </w:p>
    <w:p w14:paraId="66112A4B" w14:textId="73DB3AF5"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Department for Education and Department of Health and Social Care (DfE &amp; DHSC) (2015) Special Educational Needs and Disability (SEND) Code of Practice: 0–25 years. London: DfE and DHSC.</w:t>
      </w:r>
    </w:p>
    <w:p w14:paraId="3B907D8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12B73D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Department of Health and Social Care &amp; Department for Education (2017) Transforming Children and Young People’s Mental Health Provision: Green Paper. London: DHSC.</w:t>
      </w:r>
    </w:p>
    <w:p w14:paraId="6B06C402" w14:textId="7AAB485E"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7D9A6B92"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E</w:t>
      </w:r>
    </w:p>
    <w:p w14:paraId="281DC0F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8819AF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Engel, G.L. (1977) ‘The need for a new medical model’, Science, 196(4286), pp. 129–136.</w:t>
      </w:r>
    </w:p>
    <w:p w14:paraId="3F23465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4DF8B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Equality and Human Rights Commission (2022) The Equality Act 2010: Guidance on disability definition. London: EHRC.</w:t>
      </w:r>
    </w:p>
    <w:p w14:paraId="154BED3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CD7EAD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Equality and Human Rights Commission (2023) Technical Guidance for Schools: Equality Act 2010. London: EHRC.</w:t>
      </w:r>
    </w:p>
    <w:p w14:paraId="2258F2C1" w14:textId="260721E0"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496595E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F</w:t>
      </w:r>
    </w:p>
    <w:p w14:paraId="5933A25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CE6E58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Faraone, S.V. et al. (2021) ‘The World Federation of ADHD International Consensus Statement’, Neuroscience &amp; Biobehavioural Reviews, 128, pp. 789–818.</w:t>
      </w:r>
    </w:p>
    <w:p w14:paraId="30FF44C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BFF5C7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Fleming, M. et al. (2020) ‘Educational and health outcomes of children with ADHD’, BMC Medicine, 18(1), pp. 1–15.</w:t>
      </w:r>
    </w:p>
    <w:p w14:paraId="1E8C167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F464152" w14:textId="284A9D9A"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Fleming, M., Fitton, C.A., Steiner, M.F.C. et al. (2020) ‘ADHD and educational attainment’, Child: Care, </w:t>
      </w:r>
      <w:r w:rsidR="311E33C9" w:rsidRPr="4C72D9C6">
        <w:rPr>
          <w:rFonts w:ascii="Arial" w:eastAsia="Arial" w:hAnsi="Arial" w:cs="Arial"/>
          <w:color w:val="000000" w:themeColor="text1"/>
          <w:kern w:val="0"/>
          <w:lang w:eastAsia="en-GB"/>
          <w14:ligatures w14:val="none"/>
        </w:rPr>
        <w:t>Health,</w:t>
      </w:r>
      <w:r w:rsidRPr="4C72D9C6">
        <w:rPr>
          <w:rFonts w:ascii="Arial" w:eastAsia="Arial" w:hAnsi="Arial" w:cs="Arial"/>
          <w:color w:val="000000" w:themeColor="text1"/>
          <w:kern w:val="0"/>
          <w:lang w:eastAsia="en-GB"/>
          <w14:ligatures w14:val="none"/>
        </w:rPr>
        <w:t xml:space="preserve"> and Development, 46(4), pp. 460–469.</w:t>
      </w:r>
    </w:p>
    <w:p w14:paraId="4544D72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CFFEB3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Ford, T. et al. (2021) ‘Teacher training and early ADHD identification’, British Journal of Educational Psychology, 91(3), pp. 1202–1219.</w:t>
      </w:r>
    </w:p>
    <w:p w14:paraId="00F0296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87013C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Ford, T., Hayes, R., Byford, S. et al. (2021) ‘Responding to ADHD: A nationwide investigation’, British Journal of Educational Psychology, 91(3), pp. 1023–1042.</w:t>
      </w:r>
    </w:p>
    <w:p w14:paraId="1EB39336" w14:textId="77777777" w:rsidR="00AA263B" w:rsidRPr="00AA263B" w:rsidRDefault="00AA263B" w:rsidP="4C72D9C6">
      <w:pPr>
        <w:spacing w:after="0"/>
        <w:jc w:val="left"/>
        <w:rPr>
          <w:rFonts w:ascii="Arial" w:eastAsia="Arial" w:hAnsi="Arial" w:cs="Arial"/>
          <w:color w:val="000000" w:themeColor="text1"/>
          <w:kern w:val="0"/>
          <w:lang w:eastAsia="en-GB"/>
          <w14:ligatures w14:val="none"/>
        </w:rPr>
      </w:pPr>
      <w:r>
        <w:rPr>
          <w:noProof/>
        </w:rPr>
        <mc:AlternateContent>
          <mc:Choice Requires="wps">
            <w:drawing>
              <wp:inline distT="0" distB="0" distL="0" distR="0" wp14:anchorId="4C3CD615" wp14:editId="1B020AD6">
                <wp:extent cx="5731510" cy="1270"/>
                <wp:effectExtent l="0" t="31750" r="0" b="36830"/>
                <wp:docPr id="1432148752"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mc:AlternateContent>
      </w:r>
    </w:p>
    <w:p w14:paraId="6A233C65"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G</w:t>
      </w:r>
    </w:p>
    <w:p w14:paraId="64D0D29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A2C79B9" w14:textId="2DB2B51F"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Gomez, R., Hunt, </w:t>
      </w:r>
      <w:r w:rsidR="13A72E64" w:rsidRPr="4C72D9C6">
        <w:rPr>
          <w:rFonts w:ascii="Arial" w:eastAsia="Arial" w:hAnsi="Arial" w:cs="Arial"/>
          <w:color w:val="000000" w:themeColor="text1"/>
          <w:kern w:val="0"/>
          <w:lang w:eastAsia="en-GB"/>
          <w14:ligatures w14:val="none"/>
        </w:rPr>
        <w:t>B.,</w:t>
      </w:r>
      <w:r w:rsidRPr="4C72D9C6">
        <w:rPr>
          <w:rFonts w:ascii="Arial" w:eastAsia="Arial" w:hAnsi="Arial" w:cs="Arial"/>
          <w:color w:val="000000" w:themeColor="text1"/>
          <w:kern w:val="0"/>
          <w:lang w:eastAsia="en-GB"/>
          <w14:ligatures w14:val="none"/>
        </w:rPr>
        <w:t xml:space="preserve"> and Conkey-Morrison, C. (2025) ‘Incremental validity of impulsivity in predicting ADHD symptoms’, Journal of Psychopathology and </w:t>
      </w:r>
      <w:r w:rsidR="21F0904A" w:rsidRPr="4C72D9C6">
        <w:rPr>
          <w:rFonts w:ascii="Arial" w:eastAsia="Arial" w:hAnsi="Arial" w:cs="Arial"/>
          <w:color w:val="000000" w:themeColor="text1"/>
          <w:kern w:val="0"/>
          <w:lang w:eastAsia="en-GB"/>
          <w14:ligatures w14:val="none"/>
        </w:rPr>
        <w:t>Behavioural</w:t>
      </w:r>
      <w:r w:rsidRPr="4C72D9C6">
        <w:rPr>
          <w:rFonts w:ascii="Arial" w:eastAsia="Arial" w:hAnsi="Arial" w:cs="Arial"/>
          <w:color w:val="000000" w:themeColor="text1"/>
          <w:kern w:val="0"/>
          <w:lang w:eastAsia="en-GB"/>
          <w14:ligatures w14:val="none"/>
        </w:rPr>
        <w:t xml:space="preserve"> Assessment, 47, Article 72.</w:t>
      </w:r>
    </w:p>
    <w:p w14:paraId="574679E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5BEBE7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Guo, X. et al. (2024) ‘Stigma and ADHD diagnosis’, Journal of Child Psychology and Psychiatry, 65(2), pp. 145–158.</w:t>
      </w:r>
    </w:p>
    <w:p w14:paraId="419E0CF6" w14:textId="64DA4E9F"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67640D82"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H</w:t>
      </w:r>
    </w:p>
    <w:p w14:paraId="046733C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63952C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HM Government (2010) Equality Act 2010. London: The Stationery Office.</w:t>
      </w:r>
    </w:p>
    <w:p w14:paraId="602A343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E225FE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House of Commons Education Committee (2022) Support for Children with SEND in England. London: UK Parliament.</w:t>
      </w:r>
    </w:p>
    <w:p w14:paraId="17C6CC2F" w14:textId="72453A4B"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4093ECAF"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I</w:t>
      </w:r>
    </w:p>
    <w:p w14:paraId="05EBC59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108581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Independent (2025) ‘Families turn to private ADHD diagnoses amid NHS delays’, The Independent, 17 March.</w:t>
      </w:r>
    </w:p>
    <w:p w14:paraId="7829796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A240E1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bookmarkStart w:id="51" w:name="_Int_rG4xZ4Ri"/>
      <w:r w:rsidRPr="4C72D9C6">
        <w:rPr>
          <w:rFonts w:ascii="Arial" w:eastAsia="Arial" w:hAnsi="Arial" w:cs="Arial"/>
          <w:color w:val="000000" w:themeColor="text1"/>
          <w:kern w:val="0"/>
          <w:lang w:eastAsia="en-GB"/>
          <w14:ligatures w14:val="none"/>
        </w:rPr>
        <w:t>Institute of Health Equity (2020) Build Back Fairer: The COVID-19 Marmot Review.</w:t>
      </w:r>
      <w:bookmarkEnd w:id="51"/>
      <w:r w:rsidRPr="4C72D9C6">
        <w:rPr>
          <w:rFonts w:ascii="Arial" w:eastAsia="Arial" w:hAnsi="Arial" w:cs="Arial"/>
          <w:color w:val="000000" w:themeColor="text1"/>
          <w:kern w:val="0"/>
          <w:lang w:eastAsia="en-GB"/>
          <w14:ligatures w14:val="none"/>
        </w:rPr>
        <w:t xml:space="preserve"> London: UCL.</w:t>
      </w:r>
    </w:p>
    <w:p w14:paraId="043E14FA" w14:textId="501C8C75"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5CB77543"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J</w:t>
      </w:r>
    </w:p>
    <w:p w14:paraId="051A7F4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490BA6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Jin, J.X.H. et al. (2025) ‘Differential effects of mindfulness and grit’, Journal of Affective Disorders, 391, Article 119969.</w:t>
      </w:r>
    </w:p>
    <w:p w14:paraId="1F4AE5F2" w14:textId="7AAA6B9C"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17642C10"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L</w:t>
      </w:r>
    </w:p>
    <w:p w14:paraId="78FB2FA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7605C0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Lange, K.W. et al. (2010) ‘Historical perspectives on ADHD’, Attention Deficit and Hyperactivity Disorders, 2(4), pp. 241–255.</w:t>
      </w:r>
    </w:p>
    <w:p w14:paraId="26B77F7E" w14:textId="76EF299E"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68A2BD6B"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M</w:t>
      </w:r>
    </w:p>
    <w:p w14:paraId="4649980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059019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Maciver, D., Honey, A., Long, R. et al. (2025) ‘Waiting times in neurodevelopmental assessment’, Autism Research, Early View.</w:t>
      </w:r>
    </w:p>
    <w:p w14:paraId="419E72D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6A8876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Maciver, D., Vance, A., McTaggart, J. et al. (2025) ‘Influencing factors in ADHD assessment’, Journal of Child Psychology &amp; Psychiatry, 66(2), pp. 245–259.</w:t>
      </w:r>
    </w:p>
    <w:p w14:paraId="3A5F90C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F42D13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Mahone, E.M. and Denckla, M.B. (2017) ‘ADHD: A historical neuropsychological perspective’, Applied Neuropsychology: Child, 6(4), pp. 241–255.</w:t>
      </w:r>
    </w:p>
    <w:p w14:paraId="4161863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566FE9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Mattioni, L. et al. (2025) ‘An integrative model of perseverative thinking’, Dialogues in Clinical Neuroscience, 27(1), pp. 34–54.</w:t>
      </w:r>
    </w:p>
    <w:p w14:paraId="6B42B8E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9BD71E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May, F. et al. (2021) ‘Attainment and attendance in pupils with ADHD’, British Journal of Educational Psychology, 91(4), pp. 1808–1830.</w:t>
      </w:r>
    </w:p>
    <w:p w14:paraId="73C6A27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653DEC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Mohammed, M.A.E.H. et al. (2025) ‘Teachers’ knowledge of ADHD in Egypt’, Middle East Current Psychiatry, 32(1), Article 42.</w:t>
      </w:r>
    </w:p>
    <w:p w14:paraId="7A96B55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2B788C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Murray, A., O’Connor, C. and O’Keeffe, L. (2023) ‘Teachers’ perceptions of ADHD’, Educational Review, 75(6), pp. 1453–1471.</w:t>
      </w:r>
    </w:p>
    <w:p w14:paraId="5607CAC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3FC32B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Murray, A. et al. (2023) ‘Teacher experiences of ADHD support’, Emotional and Behavioural Difficulties, 28(1), pp. 32–49.</w:t>
      </w:r>
    </w:p>
    <w:p w14:paraId="7D32FE01" w14:textId="108A060B"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284776E8"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N</w:t>
      </w:r>
    </w:p>
    <w:p w14:paraId="58A9769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836CC8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NASUWT (2024) Teacher Mental Health and SEN Training Report 2024. Birmingham: NASUWT.</w:t>
      </w:r>
    </w:p>
    <w:p w14:paraId="6950484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F2B14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National Audit Office (2024) Support for Children and Young People with SEND. London: NAO.</w:t>
      </w:r>
    </w:p>
    <w:p w14:paraId="4487BB9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633B48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National Institute for Health and Care Excellence (2018; updated 2025) ADHD: Diagnosis and Management (NG87). London: NICE.</w:t>
      </w:r>
    </w:p>
    <w:p w14:paraId="28A11C0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BDC80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Digital (2022) Mental Health of Children and Young People in England 2022.</w:t>
      </w:r>
    </w:p>
    <w:p w14:paraId="56AED1C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BB2FCC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England (2019) The NHS Long Term Plan. London: NHS England.</w:t>
      </w:r>
    </w:p>
    <w:p w14:paraId="6C98930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44D052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England (2025) ADHD Taskforce: Interim Report.</w:t>
      </w:r>
    </w:p>
    <w:p w14:paraId="09CB770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DA1CA1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Nigg, J.T. (2017) ‘Self-regulation, executive function and impulsivity’, Journal of Child Psychology and Psychiatry, 58(4), pp. 361–383.</w:t>
      </w:r>
    </w:p>
    <w:p w14:paraId="22D2B4F1" w14:textId="1A1693EA"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08743A33"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O</w:t>
      </w:r>
    </w:p>
    <w:p w14:paraId="6DE9764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06BE4D4"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OECD (2022) Strengthening Mental Health Services for Children and Young People. Paris: OECD.</w:t>
      </w:r>
    </w:p>
    <w:p w14:paraId="36365ABB" w14:textId="6F352929"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5E4376DF"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P</w:t>
      </w:r>
    </w:p>
    <w:p w14:paraId="5D34390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77CB09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Palacios-Ariza, M.A. et al. (2025) ‘In-person vs blended learning’, International Journal of Adolescence and Youth, 30(1).</w:t>
      </w:r>
    </w:p>
    <w:p w14:paraId="458F4BAD" w14:textId="6578E9BA"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2556F5E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R</w:t>
      </w:r>
    </w:p>
    <w:p w14:paraId="14237DE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0A1AD2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Reuben, C. and Elgaddal, N. (2024) ADHD in Children Ages 5–17 Years: US 2020–2022. NCHS Data Brief 499.</w:t>
      </w:r>
    </w:p>
    <w:p w14:paraId="457BBD4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718408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Reuben, A. and Elgaddal, N. (2024) ‘Racial and gender disparities in ADHD diagnosis’, Frontiers in Psychiatry, 15, 1384192.</w:t>
      </w:r>
    </w:p>
    <w:p w14:paraId="387053A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84735D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Richardson, M., Hingston, T. and Tomsett, D. (2022) ‘Teacher training gaps’, Journal of Research in Special Educational Needs, 22(3), pp. 210–220.</w:t>
      </w:r>
    </w:p>
    <w:p w14:paraId="6EE96E11" w14:textId="590167D8"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0C3070C6"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S</w:t>
      </w:r>
    </w:p>
    <w:p w14:paraId="3963134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8E853B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Salari, N. et al. (2023) ‘Global prevalence of ADHD’, Journal of Affective Disorders, 332, pp. 159–170.</w:t>
      </w:r>
    </w:p>
    <w:p w14:paraId="73E0EFD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75E132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Sayal, K. et al. (2018) ‘ADHD in children and young people’, The Lancet Psychiatry, 5(2), pp. 175–186.</w:t>
      </w:r>
    </w:p>
    <w:p w14:paraId="0F1279C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2D72F6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Skirrow, C., Pope, C. and Thapar, A. (2025) ‘Integrated assessment pathways’, BMC Psychiatry, 25(6), Article 341.</w:t>
      </w:r>
    </w:p>
    <w:p w14:paraId="2443117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C00A8F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Skoglund, C. et al. (2024) ‘Females with ADHD: A Swedish perspective’, Journal of Child Psychology and Psychiatry, 65(10), pp. 1239–1249.</w:t>
      </w:r>
    </w:p>
    <w:p w14:paraId="005DE25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CC0232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Srivastava, S.G. et al. (2025) ‘Prenatal maternal mood instability’, Journal of Affective Disorders, 391, Article 119947.</w:t>
      </w:r>
    </w:p>
    <w:p w14:paraId="621268D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74BD84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Still, G.F. (1902) ‘Some abnormal psychical conditions’, The Lancet, 1(1), pp. 1008–1012.</w:t>
      </w:r>
    </w:p>
    <w:p w14:paraId="33B4875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FB8D7F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Storebø, O.J., Rasmussen, P.D. and Simonsen, E. (2016) ‘Insecure attachment and ADHD’, Journal of Attention Disorders, 20(2), pp. 187–196.</w:t>
      </w:r>
    </w:p>
    <w:p w14:paraId="614203E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C9BD72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Storebø, O.J. et al. (2023) ‘Attachment insecurity in ADHD’, PLoS ONE, 18(2), e0280783.</w:t>
      </w:r>
    </w:p>
    <w:p w14:paraId="419AF6FF" w14:textId="25F9A63B"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7102751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T</w:t>
      </w:r>
    </w:p>
    <w:p w14:paraId="0652049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387C3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Thapar, A. and Cooper, M. (2016) ‘</w:t>
      </w:r>
      <w:bookmarkStart w:id="52" w:name="_Int_b5QiGGfa"/>
      <w:r w:rsidRPr="4C72D9C6">
        <w:rPr>
          <w:rFonts w:ascii="Arial" w:eastAsia="Arial" w:hAnsi="Arial" w:cs="Arial"/>
          <w:color w:val="000000" w:themeColor="text1"/>
          <w:kern w:val="0"/>
          <w:lang w:eastAsia="en-GB"/>
          <w14:ligatures w14:val="none"/>
        </w:rPr>
        <w:t>Attention Deficit Hyperactivity Disorder</w:t>
      </w:r>
      <w:bookmarkEnd w:id="52"/>
      <w:r w:rsidRPr="4C72D9C6">
        <w:rPr>
          <w:rFonts w:ascii="Arial" w:eastAsia="Arial" w:hAnsi="Arial" w:cs="Arial"/>
          <w:color w:val="000000" w:themeColor="text1"/>
          <w:kern w:val="0"/>
          <w:lang w:eastAsia="en-GB"/>
          <w14:ligatures w14:val="none"/>
        </w:rPr>
        <w:t>’, The Lancet, 387(10024), pp. 1240–1250.</w:t>
      </w:r>
    </w:p>
    <w:p w14:paraId="5A5245D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14D9EC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Timimi, S. (2019) Pathologising Childhood: ADHD and Western Psychiatry. Oxford: Oxford University Press.</w:t>
      </w:r>
    </w:p>
    <w:p w14:paraId="39D0D3B8" w14:textId="756AFA53"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1B56FFC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U</w:t>
      </w:r>
    </w:p>
    <w:p w14:paraId="739E54A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C222D5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Uygun, S.D. et al. (2025) ‘Psychiatric comorbidities in Turkish children’, Middle East Current Psychiatry, 32(1), Article 49.</w:t>
      </w:r>
    </w:p>
    <w:p w14:paraId="66330028" w14:textId="24123AA4"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4D99E149"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W</w:t>
      </w:r>
    </w:p>
    <w:p w14:paraId="236496C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4F9CB7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Wang, X. et al. (2025) ‘Gut microbial and metabolic profiles in ADHD’, Gut Microbes, 17(1), Article 2537755.</w:t>
      </w:r>
    </w:p>
    <w:p w14:paraId="5DFEF59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9204A2B" w14:textId="63E2C231"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Ward, R.J., Roper, </w:t>
      </w:r>
      <w:r w:rsidR="4F8813ED" w:rsidRPr="4C72D9C6">
        <w:rPr>
          <w:rFonts w:ascii="Arial" w:eastAsia="Arial" w:hAnsi="Arial" w:cs="Arial"/>
          <w:color w:val="000000" w:themeColor="text1"/>
          <w:kern w:val="0"/>
          <w:lang w:eastAsia="en-GB"/>
          <w14:ligatures w14:val="none"/>
        </w:rPr>
        <w:t>L.,</w:t>
      </w:r>
      <w:r w:rsidRPr="4C72D9C6">
        <w:rPr>
          <w:rFonts w:ascii="Arial" w:eastAsia="Arial" w:hAnsi="Arial" w:cs="Arial"/>
          <w:color w:val="000000" w:themeColor="text1"/>
          <w:kern w:val="0"/>
          <w:lang w:eastAsia="en-GB"/>
          <w14:ligatures w14:val="none"/>
        </w:rPr>
        <w:t xml:space="preserve"> and Kidd, E. (2021) ‘School staff perspectives on ADHD’, Emotional and Behavioural Difficulties, 26(3), pp. 287–303.</w:t>
      </w:r>
    </w:p>
    <w:p w14:paraId="06CA22D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3A6ABE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Westwood, R., Shah, K. and Button, E. (2023) ‘Parent–school collaboration’, Educational Review, 75(4), pp. 612–630.</w:t>
      </w:r>
    </w:p>
    <w:p w14:paraId="7C1DA0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791D21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World Health Organization (2021) Comprehensive Mental Health Action Plan 2013–2030. Geneva: WHO.</w:t>
      </w:r>
    </w:p>
    <w:p w14:paraId="50366FA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365968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World Health Organization (2024) ICD-11: ADHD (6A05). Geneva: WHO.</w:t>
      </w:r>
    </w:p>
    <w:p w14:paraId="7B4CC2D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ADB6701" w14:textId="38D375B3"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Wright, N., Daniels, </w:t>
      </w:r>
      <w:r w:rsidR="29D25F45" w:rsidRPr="4C72D9C6">
        <w:rPr>
          <w:rFonts w:ascii="Arial" w:eastAsia="Arial" w:hAnsi="Arial" w:cs="Arial"/>
          <w:color w:val="000000" w:themeColor="text1"/>
          <w:kern w:val="0"/>
          <w:lang w:eastAsia="en-GB"/>
          <w14:ligatures w14:val="none"/>
        </w:rPr>
        <w:t>H.,</w:t>
      </w:r>
      <w:r w:rsidRPr="4C72D9C6">
        <w:rPr>
          <w:rFonts w:ascii="Arial" w:eastAsia="Arial" w:hAnsi="Arial" w:cs="Arial"/>
          <w:color w:val="000000" w:themeColor="text1"/>
          <w:kern w:val="0"/>
          <w:lang w:eastAsia="en-GB"/>
          <w14:ligatures w14:val="none"/>
        </w:rPr>
        <w:t xml:space="preserve"> and Jones, P. (2023) ‘Teacher interpretations of ADHD behaviour’, British Journal of Special Education, 50(2), pp. 203–218.</w:t>
      </w:r>
    </w:p>
    <w:p w14:paraId="5E0B745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87B2BC8" w14:textId="7DD171AD"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Wright, N., Lea, </w:t>
      </w:r>
      <w:r w:rsidR="0BB8E8B2" w:rsidRPr="4C72D9C6">
        <w:rPr>
          <w:rFonts w:ascii="Arial" w:eastAsia="Arial" w:hAnsi="Arial" w:cs="Arial"/>
          <w:color w:val="000000" w:themeColor="text1"/>
          <w:kern w:val="0"/>
          <w:lang w:eastAsia="en-GB"/>
          <w14:ligatures w14:val="none"/>
        </w:rPr>
        <w:t>R.,</w:t>
      </w:r>
      <w:r w:rsidRPr="4C72D9C6">
        <w:rPr>
          <w:rFonts w:ascii="Arial" w:eastAsia="Arial" w:hAnsi="Arial" w:cs="Arial"/>
          <w:color w:val="000000" w:themeColor="text1"/>
          <w:kern w:val="0"/>
          <w:lang w:eastAsia="en-GB"/>
          <w14:ligatures w14:val="none"/>
        </w:rPr>
        <w:t xml:space="preserve"> and McCormack, J. (2023) ‘Inclusive practice for children with ADHD’, British Journal of Special Education, 50(4), pp. 567–584.</w:t>
      </w:r>
    </w:p>
    <w:p w14:paraId="284B935D" w14:textId="6A605C0C"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76612C6D"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Y</w:t>
      </w:r>
    </w:p>
    <w:p w14:paraId="08F243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102B09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Yang, S. et al. (2025) ‘Allergic rhinitis and behaviour problems’, Annals of Medicine, 57(1), Article 2460771.</w:t>
      </w:r>
    </w:p>
    <w:p w14:paraId="6F3EA35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10E44A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You, Y. et al. (2025) ‘Early-life deprivation and multimorbidity’, Journal of Affective Disorders, 391, Article 119877.</w:t>
      </w:r>
    </w:p>
    <w:p w14:paraId="3C7AA80C" w14:textId="64BC5AD0" w:rsidR="00621776" w:rsidRDefault="00621776" w:rsidP="4C72D9C6">
      <w:pPr>
        <w:rPr>
          <w:rFonts w:ascii="Arial" w:eastAsia="Arial" w:hAnsi="Arial" w:cs="Arial"/>
          <w:color w:val="000000" w:themeColor="text1"/>
        </w:rPr>
      </w:pPr>
    </w:p>
    <w:p w14:paraId="58B38819" w14:textId="77777777" w:rsidR="0041260D" w:rsidRDefault="0041260D" w:rsidP="4C72D9C6">
      <w:pPr>
        <w:rPr>
          <w:rFonts w:ascii="Arial" w:eastAsia="Arial" w:hAnsi="Arial" w:cs="Arial"/>
          <w:color w:val="000000" w:themeColor="text1"/>
        </w:rPr>
      </w:pPr>
    </w:p>
    <w:p w14:paraId="0E5638B9" w14:textId="77777777" w:rsidR="0041260D" w:rsidRDefault="0041260D" w:rsidP="4C72D9C6">
      <w:pPr>
        <w:rPr>
          <w:rFonts w:ascii="Arial" w:eastAsia="Arial" w:hAnsi="Arial" w:cs="Arial"/>
          <w:color w:val="000000" w:themeColor="text1"/>
        </w:rPr>
      </w:pPr>
    </w:p>
    <w:p w14:paraId="2850119D" w14:textId="77777777" w:rsidR="0041260D" w:rsidRDefault="0041260D" w:rsidP="4C72D9C6">
      <w:pPr>
        <w:rPr>
          <w:rFonts w:ascii="Arial" w:eastAsia="Arial" w:hAnsi="Arial" w:cs="Arial"/>
          <w:color w:val="000000" w:themeColor="text1"/>
        </w:rPr>
      </w:pPr>
    </w:p>
    <w:p w14:paraId="4BB44E3A" w14:textId="77777777" w:rsidR="0041260D" w:rsidRDefault="0041260D" w:rsidP="4C72D9C6">
      <w:pPr>
        <w:rPr>
          <w:rFonts w:ascii="Arial" w:eastAsia="Arial" w:hAnsi="Arial" w:cs="Arial"/>
          <w:color w:val="000000" w:themeColor="text1"/>
        </w:rPr>
      </w:pPr>
    </w:p>
    <w:p w14:paraId="62BD724D" w14:textId="77777777" w:rsidR="0041260D" w:rsidRDefault="0041260D" w:rsidP="4C72D9C6">
      <w:pPr>
        <w:rPr>
          <w:rFonts w:ascii="Arial" w:eastAsia="Arial" w:hAnsi="Arial" w:cs="Arial"/>
          <w:color w:val="000000" w:themeColor="text1"/>
        </w:rPr>
      </w:pPr>
    </w:p>
    <w:p w14:paraId="051265AF" w14:textId="77777777" w:rsidR="0041260D" w:rsidRDefault="0041260D" w:rsidP="4C72D9C6">
      <w:pPr>
        <w:rPr>
          <w:rFonts w:ascii="Arial" w:eastAsia="Arial" w:hAnsi="Arial" w:cs="Arial"/>
          <w:color w:val="000000" w:themeColor="text1"/>
        </w:rPr>
      </w:pPr>
    </w:p>
    <w:p w14:paraId="2BC1DA9E" w14:textId="77777777" w:rsidR="0041260D" w:rsidRDefault="0041260D" w:rsidP="4C72D9C6">
      <w:pPr>
        <w:rPr>
          <w:rFonts w:ascii="Arial" w:eastAsia="Arial" w:hAnsi="Arial" w:cs="Arial"/>
          <w:color w:val="000000" w:themeColor="text1"/>
        </w:rPr>
      </w:pPr>
    </w:p>
    <w:p w14:paraId="01DEB298" w14:textId="77777777" w:rsidR="0041260D" w:rsidRDefault="0041260D" w:rsidP="4C72D9C6">
      <w:pPr>
        <w:rPr>
          <w:rFonts w:ascii="Arial" w:eastAsia="Arial" w:hAnsi="Arial" w:cs="Arial"/>
          <w:color w:val="000000" w:themeColor="text1"/>
        </w:rPr>
      </w:pPr>
    </w:p>
    <w:p w14:paraId="6CE8B5A0" w14:textId="77777777" w:rsidR="0041260D" w:rsidRDefault="0041260D" w:rsidP="4C72D9C6">
      <w:pPr>
        <w:rPr>
          <w:rFonts w:ascii="Arial" w:eastAsia="Arial" w:hAnsi="Arial" w:cs="Arial"/>
          <w:color w:val="000000" w:themeColor="text1"/>
        </w:rPr>
      </w:pPr>
    </w:p>
    <w:p w14:paraId="4E7D0863" w14:textId="77777777" w:rsidR="0041260D" w:rsidRDefault="0041260D" w:rsidP="4C72D9C6">
      <w:pPr>
        <w:rPr>
          <w:rFonts w:ascii="Arial" w:eastAsia="Arial" w:hAnsi="Arial" w:cs="Arial"/>
          <w:color w:val="000000" w:themeColor="text1"/>
        </w:rPr>
      </w:pPr>
    </w:p>
    <w:p w14:paraId="78DCD945" w14:textId="77777777" w:rsidR="0041260D" w:rsidRDefault="0041260D" w:rsidP="4C72D9C6">
      <w:pPr>
        <w:rPr>
          <w:rFonts w:ascii="Arial" w:eastAsia="Arial" w:hAnsi="Arial" w:cs="Arial"/>
          <w:color w:val="000000" w:themeColor="text1"/>
        </w:rPr>
      </w:pPr>
    </w:p>
    <w:p w14:paraId="412E4F37" w14:textId="77777777" w:rsidR="0041260D" w:rsidRDefault="0041260D" w:rsidP="4C72D9C6">
      <w:pPr>
        <w:rPr>
          <w:rFonts w:ascii="Arial" w:eastAsia="Arial" w:hAnsi="Arial" w:cs="Arial"/>
          <w:color w:val="000000" w:themeColor="text1"/>
        </w:rPr>
      </w:pPr>
    </w:p>
    <w:p w14:paraId="6025A086" w14:textId="77777777" w:rsidR="0041260D" w:rsidRDefault="0041260D" w:rsidP="4C72D9C6">
      <w:pPr>
        <w:rPr>
          <w:rFonts w:ascii="Arial" w:eastAsia="Arial" w:hAnsi="Arial" w:cs="Arial"/>
          <w:color w:val="000000" w:themeColor="text1"/>
        </w:rPr>
      </w:pPr>
    </w:p>
    <w:p w14:paraId="3FAC3AD4" w14:textId="7A758BB7" w:rsidR="546AC345" w:rsidRDefault="546AC345" w:rsidP="546AC345">
      <w:pPr>
        <w:rPr>
          <w:rFonts w:ascii="Arial" w:eastAsia="Arial" w:hAnsi="Arial" w:cs="Arial"/>
          <w:color w:val="000000" w:themeColor="text1"/>
        </w:rPr>
      </w:pPr>
    </w:p>
    <w:p w14:paraId="2AE2CDEB" w14:textId="7153C0AE" w:rsidR="546AC345" w:rsidRDefault="546AC345" w:rsidP="546AC345">
      <w:pPr>
        <w:rPr>
          <w:rFonts w:ascii="Arial" w:eastAsia="Arial" w:hAnsi="Arial" w:cs="Arial"/>
          <w:color w:val="000000" w:themeColor="text1"/>
        </w:rPr>
      </w:pPr>
    </w:p>
    <w:p w14:paraId="234CEEAF" w14:textId="3B983DCF" w:rsidR="546AC345" w:rsidRDefault="546AC345" w:rsidP="546AC345">
      <w:pPr>
        <w:rPr>
          <w:rFonts w:ascii="Arial" w:eastAsia="Arial" w:hAnsi="Arial" w:cs="Arial"/>
          <w:color w:val="000000" w:themeColor="text1"/>
        </w:rPr>
      </w:pPr>
    </w:p>
    <w:p w14:paraId="7CCDD1C9" w14:textId="16A7DC62" w:rsidR="546AC345" w:rsidRDefault="546AC345" w:rsidP="546AC345">
      <w:pPr>
        <w:rPr>
          <w:rFonts w:ascii="Arial" w:eastAsia="Arial" w:hAnsi="Arial" w:cs="Arial"/>
          <w:color w:val="000000" w:themeColor="text1"/>
        </w:rPr>
      </w:pPr>
    </w:p>
    <w:p w14:paraId="5E47B539" w14:textId="236117F7" w:rsidR="546AC345" w:rsidRDefault="546AC345" w:rsidP="546AC345">
      <w:pPr>
        <w:rPr>
          <w:rFonts w:ascii="Arial" w:eastAsia="Arial" w:hAnsi="Arial" w:cs="Arial"/>
          <w:color w:val="000000" w:themeColor="text1"/>
        </w:rPr>
      </w:pPr>
    </w:p>
    <w:p w14:paraId="3A0DDF9E" w14:textId="46FA9D83" w:rsidR="546AC345" w:rsidRDefault="546AC345" w:rsidP="546AC345">
      <w:pPr>
        <w:rPr>
          <w:rFonts w:ascii="Arial" w:eastAsia="Arial" w:hAnsi="Arial" w:cs="Arial"/>
          <w:color w:val="000000" w:themeColor="text1"/>
        </w:rPr>
      </w:pPr>
    </w:p>
    <w:p w14:paraId="7217828B" w14:textId="5C56F581" w:rsidR="546AC345" w:rsidRDefault="546AC345" w:rsidP="546AC345">
      <w:pPr>
        <w:rPr>
          <w:rFonts w:ascii="Arial" w:eastAsia="Arial" w:hAnsi="Arial" w:cs="Arial"/>
          <w:color w:val="000000" w:themeColor="text1"/>
        </w:rPr>
      </w:pPr>
    </w:p>
    <w:p w14:paraId="680C2695" w14:textId="6244B403" w:rsidR="546AC345" w:rsidRDefault="546AC345" w:rsidP="546AC345">
      <w:pPr>
        <w:rPr>
          <w:rFonts w:ascii="Arial" w:eastAsia="Arial" w:hAnsi="Arial" w:cs="Arial"/>
          <w:color w:val="000000" w:themeColor="text1"/>
        </w:rPr>
      </w:pPr>
    </w:p>
    <w:p w14:paraId="5762576F" w14:textId="221FDA51" w:rsidR="546AC345" w:rsidRDefault="546AC345" w:rsidP="546AC345">
      <w:pPr>
        <w:rPr>
          <w:rFonts w:ascii="Arial" w:eastAsia="Arial" w:hAnsi="Arial" w:cs="Arial"/>
          <w:color w:val="000000" w:themeColor="text1"/>
        </w:rPr>
      </w:pPr>
    </w:p>
    <w:p w14:paraId="69713728" w14:textId="11FB1B9E" w:rsidR="00621776" w:rsidRPr="00FF5B5D" w:rsidRDefault="00621776" w:rsidP="4C72D9C6">
      <w:pPr>
        <w:pStyle w:val="Heading1"/>
        <w:rPr>
          <w:rFonts w:eastAsia="Arial" w:cs="Arial"/>
          <w:color w:val="000000" w:themeColor="text1"/>
          <w:sz w:val="22"/>
          <w:szCs w:val="22"/>
        </w:rPr>
      </w:pPr>
    </w:p>
    <w:p w14:paraId="6D7584F3" w14:textId="347881BD" w:rsidR="00621776" w:rsidRPr="00FF5B5D" w:rsidRDefault="00621776" w:rsidP="4C72D9C6">
      <w:pPr>
        <w:pStyle w:val="Heading1"/>
        <w:ind w:left="0"/>
        <w:rPr>
          <w:rFonts w:eastAsia="Arial" w:cs="Arial"/>
          <w:color w:val="000000" w:themeColor="text1"/>
          <w:sz w:val="22"/>
          <w:szCs w:val="22"/>
        </w:rPr>
      </w:pPr>
      <w:r w:rsidRPr="4C72D9C6">
        <w:rPr>
          <w:rFonts w:eastAsia="Arial" w:cs="Arial"/>
          <w:color w:val="000000" w:themeColor="text1"/>
          <w:sz w:val="22"/>
          <w:szCs w:val="22"/>
        </w:rPr>
        <w:t xml:space="preserve">6.2 – Appendices </w:t>
      </w:r>
    </w:p>
    <w:p w14:paraId="70AE86AD"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A. Source Tracking Table</w:t>
      </w:r>
    </w:p>
    <w:p w14:paraId="084DF664" w14:textId="5DA4C36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(Linked to Chapter 3.3)</w:t>
      </w:r>
    </w:p>
    <w:tbl>
      <w:tblPr>
        <w:tblStyle w:val="TableGrid"/>
        <w:tblW w:w="0" w:type="auto"/>
        <w:tblLook w:val="04A0" w:firstRow="1" w:lastRow="0" w:firstColumn="1" w:lastColumn="0" w:noHBand="0" w:noVBand="1"/>
      </w:tblPr>
      <w:tblGrid>
        <w:gridCol w:w="514"/>
        <w:gridCol w:w="1047"/>
        <w:gridCol w:w="1889"/>
        <w:gridCol w:w="1715"/>
        <w:gridCol w:w="1304"/>
        <w:gridCol w:w="1222"/>
        <w:gridCol w:w="1325"/>
      </w:tblGrid>
      <w:tr w:rsidR="005346D8" w:rsidRPr="005346D8" w14:paraId="6D90AC62" w14:textId="77777777" w:rsidTr="4C72D9C6">
        <w:tc>
          <w:tcPr>
            <w:tcW w:w="0" w:type="auto"/>
            <w:hideMark/>
          </w:tcPr>
          <w:p w14:paraId="31F2148C"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No.</w:t>
            </w:r>
          </w:p>
        </w:tc>
        <w:tc>
          <w:tcPr>
            <w:tcW w:w="0" w:type="auto"/>
            <w:hideMark/>
          </w:tcPr>
          <w:p w14:paraId="2F0B1DDF"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Author(s) &amp; Year</w:t>
            </w:r>
          </w:p>
        </w:tc>
        <w:tc>
          <w:tcPr>
            <w:tcW w:w="0" w:type="auto"/>
            <w:hideMark/>
          </w:tcPr>
          <w:p w14:paraId="5885B3C6"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Title</w:t>
            </w:r>
          </w:p>
        </w:tc>
        <w:tc>
          <w:tcPr>
            <w:tcW w:w="0" w:type="auto"/>
            <w:hideMark/>
          </w:tcPr>
          <w:p w14:paraId="1C4EA2E0"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Database/Source</w:t>
            </w:r>
          </w:p>
        </w:tc>
        <w:tc>
          <w:tcPr>
            <w:tcW w:w="0" w:type="auto"/>
            <w:hideMark/>
          </w:tcPr>
          <w:p w14:paraId="0FCB2D1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Keywords</w:t>
            </w:r>
          </w:p>
        </w:tc>
        <w:tc>
          <w:tcPr>
            <w:tcW w:w="0" w:type="auto"/>
            <w:hideMark/>
          </w:tcPr>
          <w:p w14:paraId="008D8A4D"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Relevance to Research</w:t>
            </w:r>
          </w:p>
        </w:tc>
        <w:tc>
          <w:tcPr>
            <w:tcW w:w="0" w:type="auto"/>
            <w:hideMark/>
          </w:tcPr>
          <w:p w14:paraId="50FF4F43"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CRAAP Summary</w:t>
            </w:r>
          </w:p>
        </w:tc>
      </w:tr>
      <w:tr w:rsidR="005346D8" w:rsidRPr="005346D8" w14:paraId="41970A60" w14:textId="77777777" w:rsidTr="4C72D9C6">
        <w:tc>
          <w:tcPr>
            <w:tcW w:w="0" w:type="auto"/>
            <w:hideMark/>
          </w:tcPr>
          <w:p w14:paraId="6232183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1</w:t>
            </w:r>
          </w:p>
        </w:tc>
        <w:tc>
          <w:tcPr>
            <w:tcW w:w="0" w:type="auto"/>
            <w:hideMark/>
          </w:tcPr>
          <w:p w14:paraId="36D9114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Maciver et al. (2025)</w:t>
            </w:r>
          </w:p>
        </w:tc>
        <w:tc>
          <w:tcPr>
            <w:tcW w:w="0" w:type="auto"/>
            <w:hideMark/>
          </w:tcPr>
          <w:p w14:paraId="4078122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Waiting times and influencing factors in children and adults undergoing assessment for autism, ADHD, and other neurodevelopmental conditions</w:t>
            </w:r>
          </w:p>
        </w:tc>
        <w:tc>
          <w:tcPr>
            <w:tcW w:w="0" w:type="auto"/>
            <w:hideMark/>
          </w:tcPr>
          <w:p w14:paraId="595D41B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UWTSD Library / ScienceDirect</w:t>
            </w:r>
          </w:p>
        </w:tc>
        <w:tc>
          <w:tcPr>
            <w:tcW w:w="0" w:type="auto"/>
            <w:hideMark/>
          </w:tcPr>
          <w:p w14:paraId="69AE609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CAMHS, waiting times</w:t>
            </w:r>
          </w:p>
        </w:tc>
        <w:tc>
          <w:tcPr>
            <w:tcW w:w="0" w:type="auto"/>
            <w:hideMark/>
          </w:tcPr>
          <w:p w14:paraId="61BB942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Examines delays in ADHD assessment across NHS regions</w:t>
            </w:r>
          </w:p>
        </w:tc>
        <w:tc>
          <w:tcPr>
            <w:tcW w:w="0" w:type="auto"/>
            <w:hideMark/>
          </w:tcPr>
          <w:p w14:paraId="742EC70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Currency (2025), Relevance (High), Authority (Peer-reviewed)</w:t>
            </w:r>
          </w:p>
        </w:tc>
      </w:tr>
      <w:tr w:rsidR="005346D8" w:rsidRPr="005346D8" w14:paraId="6020EE23" w14:textId="77777777" w:rsidTr="4C72D9C6">
        <w:tc>
          <w:tcPr>
            <w:tcW w:w="0" w:type="auto"/>
            <w:hideMark/>
          </w:tcPr>
          <w:p w14:paraId="5A75D7D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2</w:t>
            </w:r>
          </w:p>
        </w:tc>
        <w:tc>
          <w:tcPr>
            <w:tcW w:w="0" w:type="auto"/>
            <w:hideMark/>
          </w:tcPr>
          <w:p w14:paraId="75E5700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Sayal et al. (2018)</w:t>
            </w:r>
          </w:p>
        </w:tc>
        <w:tc>
          <w:tcPr>
            <w:tcW w:w="0" w:type="auto"/>
            <w:hideMark/>
          </w:tcPr>
          <w:p w14:paraId="7E08779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in children and young people: prevalence, care pathways, and service provision</w:t>
            </w:r>
          </w:p>
        </w:tc>
        <w:tc>
          <w:tcPr>
            <w:tcW w:w="0" w:type="auto"/>
            <w:hideMark/>
          </w:tcPr>
          <w:p w14:paraId="25E1BA9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UWTSD Library / The Lancet Psychiatry</w:t>
            </w:r>
          </w:p>
        </w:tc>
        <w:tc>
          <w:tcPr>
            <w:tcW w:w="0" w:type="auto"/>
            <w:hideMark/>
          </w:tcPr>
          <w:p w14:paraId="5FC03D1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prevalence, children, UK</w:t>
            </w:r>
          </w:p>
        </w:tc>
        <w:tc>
          <w:tcPr>
            <w:tcW w:w="0" w:type="auto"/>
            <w:hideMark/>
          </w:tcPr>
          <w:p w14:paraId="6CF4C6C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Establishes UK care pathways and prevalence rates</w:t>
            </w:r>
          </w:p>
        </w:tc>
        <w:tc>
          <w:tcPr>
            <w:tcW w:w="0" w:type="auto"/>
            <w:hideMark/>
          </w:tcPr>
          <w:p w14:paraId="057B240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Currency (High), Accuracy (High), Purpose (Informative)</w:t>
            </w:r>
          </w:p>
        </w:tc>
      </w:tr>
      <w:tr w:rsidR="005346D8" w:rsidRPr="005346D8" w14:paraId="45A337B3" w14:textId="77777777" w:rsidTr="4C72D9C6">
        <w:tc>
          <w:tcPr>
            <w:tcW w:w="0" w:type="auto"/>
            <w:hideMark/>
          </w:tcPr>
          <w:p w14:paraId="6A5CA24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3</w:t>
            </w:r>
          </w:p>
        </w:tc>
        <w:tc>
          <w:tcPr>
            <w:tcW w:w="0" w:type="auto"/>
            <w:hideMark/>
          </w:tcPr>
          <w:p w14:paraId="7EC9AD3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May et al. (2021)</w:t>
            </w:r>
          </w:p>
        </w:tc>
        <w:tc>
          <w:tcPr>
            <w:tcW w:w="0" w:type="auto"/>
            <w:hideMark/>
          </w:tcPr>
          <w:p w14:paraId="1A08199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Attainment, attendance, and school difficulties in UK primary pupils with probable ADHD</w:t>
            </w:r>
          </w:p>
        </w:tc>
        <w:tc>
          <w:tcPr>
            <w:tcW w:w="0" w:type="auto"/>
            <w:hideMark/>
          </w:tcPr>
          <w:p w14:paraId="43CB59B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Google Scholar</w:t>
            </w:r>
          </w:p>
        </w:tc>
        <w:tc>
          <w:tcPr>
            <w:tcW w:w="0" w:type="auto"/>
            <w:hideMark/>
          </w:tcPr>
          <w:p w14:paraId="6B3D14A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education, school performance, ADHD</w:t>
            </w:r>
          </w:p>
        </w:tc>
        <w:tc>
          <w:tcPr>
            <w:tcW w:w="0" w:type="auto"/>
            <w:hideMark/>
          </w:tcPr>
          <w:p w14:paraId="214EF2DD" w14:textId="07BFF345" w:rsidR="005346D8" w:rsidRPr="005346D8" w:rsidRDefault="5536F3ED"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Links</w:t>
            </w:r>
            <w:r w:rsidR="005346D8" w:rsidRPr="4C72D9C6">
              <w:rPr>
                <w:rFonts w:ascii="Arial" w:eastAsia="Arial" w:hAnsi="Arial" w:cs="Arial"/>
                <w:color w:val="000000" w:themeColor="text1"/>
                <w:lang w:eastAsia="en-GB"/>
              </w:rPr>
              <w:t xml:space="preserve"> ADHD diagnosis timing to academic outcomes</w:t>
            </w:r>
          </w:p>
        </w:tc>
        <w:tc>
          <w:tcPr>
            <w:tcW w:w="0" w:type="auto"/>
            <w:hideMark/>
          </w:tcPr>
          <w:p w14:paraId="6CC7BCC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Relevance (High), Authority (Strong)</w:t>
            </w:r>
          </w:p>
        </w:tc>
      </w:tr>
      <w:tr w:rsidR="005346D8" w:rsidRPr="005346D8" w14:paraId="27C6F98C" w14:textId="77777777" w:rsidTr="4C72D9C6">
        <w:tc>
          <w:tcPr>
            <w:tcW w:w="0" w:type="auto"/>
            <w:hideMark/>
          </w:tcPr>
          <w:p w14:paraId="219CBA7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4</w:t>
            </w:r>
          </w:p>
        </w:tc>
        <w:tc>
          <w:tcPr>
            <w:tcW w:w="0" w:type="auto"/>
            <w:hideMark/>
          </w:tcPr>
          <w:p w14:paraId="14A9A14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NHS England (2025)</w:t>
            </w:r>
          </w:p>
        </w:tc>
        <w:tc>
          <w:tcPr>
            <w:tcW w:w="0" w:type="auto"/>
            <w:hideMark/>
          </w:tcPr>
          <w:p w14:paraId="4A9BD51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Report of the Independent ADHD Taskforce (Part 1 – Interim)</w:t>
            </w:r>
          </w:p>
        </w:tc>
        <w:tc>
          <w:tcPr>
            <w:tcW w:w="0" w:type="auto"/>
            <w:hideMark/>
          </w:tcPr>
          <w:p w14:paraId="5749A53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NHS England (grey literature)</w:t>
            </w:r>
          </w:p>
        </w:tc>
        <w:tc>
          <w:tcPr>
            <w:tcW w:w="0" w:type="auto"/>
            <w:hideMark/>
          </w:tcPr>
          <w:p w14:paraId="3F54507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waiting times, policy, UK</w:t>
            </w:r>
          </w:p>
        </w:tc>
        <w:tc>
          <w:tcPr>
            <w:tcW w:w="0" w:type="auto"/>
            <w:hideMark/>
          </w:tcPr>
          <w:p w14:paraId="209F365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Policy evidence supporting early intervention reform</w:t>
            </w:r>
          </w:p>
        </w:tc>
        <w:tc>
          <w:tcPr>
            <w:tcW w:w="0" w:type="auto"/>
            <w:hideMark/>
          </w:tcPr>
          <w:p w14:paraId="16F3F33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Authority (Official NHS), Purpose (Policy guidance)</w:t>
            </w:r>
          </w:p>
        </w:tc>
      </w:tr>
      <w:tr w:rsidR="005346D8" w:rsidRPr="005346D8" w14:paraId="3C293B03" w14:textId="77777777" w:rsidTr="4C72D9C6">
        <w:tc>
          <w:tcPr>
            <w:tcW w:w="0" w:type="auto"/>
            <w:hideMark/>
          </w:tcPr>
          <w:p w14:paraId="176044E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5</w:t>
            </w:r>
          </w:p>
        </w:tc>
        <w:tc>
          <w:tcPr>
            <w:tcW w:w="0" w:type="auto"/>
            <w:hideMark/>
          </w:tcPr>
          <w:p w14:paraId="634031F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(2018; reviewed 2025)</w:t>
            </w:r>
          </w:p>
        </w:tc>
        <w:tc>
          <w:tcPr>
            <w:tcW w:w="0" w:type="auto"/>
            <w:hideMark/>
          </w:tcPr>
          <w:p w14:paraId="30CA186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NG87: Attention deficit hyperactivity disorder: diagnosis and management</w:t>
            </w:r>
          </w:p>
        </w:tc>
        <w:tc>
          <w:tcPr>
            <w:tcW w:w="0" w:type="auto"/>
            <w:hideMark/>
          </w:tcPr>
          <w:p w14:paraId="5417771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database</w:t>
            </w:r>
          </w:p>
        </w:tc>
        <w:tc>
          <w:tcPr>
            <w:tcW w:w="0" w:type="auto"/>
            <w:hideMark/>
          </w:tcPr>
          <w:p w14:paraId="2341A73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guidance, ADHD, management</w:t>
            </w:r>
          </w:p>
        </w:tc>
        <w:tc>
          <w:tcPr>
            <w:tcW w:w="0" w:type="auto"/>
            <w:hideMark/>
          </w:tcPr>
          <w:p w14:paraId="28B8E9B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Core clinical guidance promoting early recognition</w:t>
            </w:r>
          </w:p>
        </w:tc>
        <w:tc>
          <w:tcPr>
            <w:tcW w:w="0" w:type="auto"/>
            <w:hideMark/>
          </w:tcPr>
          <w:p w14:paraId="58EAA0D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Authority (Very strong), Currency (Updated 2025)</w:t>
            </w:r>
          </w:p>
        </w:tc>
      </w:tr>
      <w:tr w:rsidR="005346D8" w:rsidRPr="005346D8" w14:paraId="3521FB3C" w14:textId="77777777" w:rsidTr="4C72D9C6">
        <w:tc>
          <w:tcPr>
            <w:tcW w:w="0" w:type="auto"/>
            <w:hideMark/>
          </w:tcPr>
          <w:p w14:paraId="14C9B2F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6</w:t>
            </w:r>
          </w:p>
        </w:tc>
        <w:tc>
          <w:tcPr>
            <w:tcW w:w="0" w:type="auto"/>
            <w:hideMark/>
          </w:tcPr>
          <w:p w14:paraId="18E27AA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Skoglund et al. (2024)</w:t>
            </w:r>
          </w:p>
        </w:tc>
        <w:tc>
          <w:tcPr>
            <w:tcW w:w="0" w:type="auto"/>
            <w:hideMark/>
          </w:tcPr>
          <w:p w14:paraId="43882DD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 xml:space="preserve">Failure to </w:t>
            </w:r>
            <w:bookmarkStart w:id="53" w:name="_Int_MPd2Dtlt"/>
            <w:r w:rsidRPr="4C72D9C6">
              <w:rPr>
                <w:rFonts w:ascii="Arial" w:eastAsia="Arial" w:hAnsi="Arial" w:cs="Arial"/>
                <w:color w:val="000000" w:themeColor="text1"/>
                <w:lang w:eastAsia="en-GB"/>
              </w:rPr>
              <w:t>identify</w:t>
            </w:r>
            <w:bookmarkEnd w:id="53"/>
            <w:r w:rsidRPr="4C72D9C6">
              <w:rPr>
                <w:rFonts w:ascii="Arial" w:eastAsia="Arial" w:hAnsi="Arial" w:cs="Arial"/>
                <w:color w:val="000000" w:themeColor="text1"/>
                <w:lang w:eastAsia="en-GB"/>
              </w:rPr>
              <w:t xml:space="preserve"> and support females with ADHD – A Swedish perspective</w:t>
            </w:r>
          </w:p>
        </w:tc>
        <w:tc>
          <w:tcPr>
            <w:tcW w:w="0" w:type="auto"/>
            <w:hideMark/>
          </w:tcPr>
          <w:p w14:paraId="5A543EE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Taylor &amp; Francis</w:t>
            </w:r>
          </w:p>
        </w:tc>
        <w:tc>
          <w:tcPr>
            <w:tcW w:w="0" w:type="auto"/>
            <w:hideMark/>
          </w:tcPr>
          <w:p w14:paraId="6CFE89B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gender bias, children</w:t>
            </w:r>
          </w:p>
        </w:tc>
        <w:tc>
          <w:tcPr>
            <w:tcW w:w="0" w:type="auto"/>
            <w:hideMark/>
          </w:tcPr>
          <w:p w14:paraId="7BF65B9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bookmarkStart w:id="54" w:name="_Int_94Hj0zak"/>
            <w:r w:rsidRPr="4C72D9C6">
              <w:rPr>
                <w:rFonts w:ascii="Arial" w:eastAsia="Arial" w:hAnsi="Arial" w:cs="Arial"/>
                <w:color w:val="000000" w:themeColor="text1"/>
                <w:lang w:eastAsia="en-GB"/>
              </w:rPr>
              <w:t>Provides</w:t>
            </w:r>
            <w:bookmarkEnd w:id="54"/>
            <w:r w:rsidRPr="4C72D9C6">
              <w:rPr>
                <w:rFonts w:ascii="Arial" w:eastAsia="Arial" w:hAnsi="Arial" w:cs="Arial"/>
                <w:color w:val="000000" w:themeColor="text1"/>
                <w:lang w:eastAsia="en-GB"/>
              </w:rPr>
              <w:t xml:space="preserve"> comparative global insights on diagnostic delay</w:t>
            </w:r>
          </w:p>
        </w:tc>
        <w:tc>
          <w:tcPr>
            <w:tcW w:w="0" w:type="auto"/>
            <w:hideMark/>
          </w:tcPr>
          <w:p w14:paraId="3523AFF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Relevance (Medium), Purpose (Comparative study)</w:t>
            </w:r>
          </w:p>
        </w:tc>
      </w:tr>
      <w:tr w:rsidR="005346D8" w:rsidRPr="005346D8" w14:paraId="78914BC0" w14:textId="77777777" w:rsidTr="4C72D9C6">
        <w:tc>
          <w:tcPr>
            <w:tcW w:w="0" w:type="auto"/>
            <w:hideMark/>
          </w:tcPr>
          <w:p w14:paraId="73AFED3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7</w:t>
            </w:r>
          </w:p>
        </w:tc>
        <w:tc>
          <w:tcPr>
            <w:tcW w:w="0" w:type="auto"/>
            <w:hideMark/>
          </w:tcPr>
          <w:p w14:paraId="3F2CF8B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Uygun et al. (2025)</w:t>
            </w:r>
          </w:p>
        </w:tc>
        <w:tc>
          <w:tcPr>
            <w:tcW w:w="0" w:type="auto"/>
            <w:hideMark/>
          </w:tcPr>
          <w:p w14:paraId="3B4EE0F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Psychiatric comorbidities over time in Turkish children and adolescents with ADHD</w:t>
            </w:r>
          </w:p>
        </w:tc>
        <w:tc>
          <w:tcPr>
            <w:tcW w:w="0" w:type="auto"/>
            <w:hideMark/>
          </w:tcPr>
          <w:p w14:paraId="5C1A5FE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Springer / Middle East Current Psychiatry</w:t>
            </w:r>
          </w:p>
        </w:tc>
        <w:tc>
          <w:tcPr>
            <w:tcW w:w="0" w:type="auto"/>
            <w:hideMark/>
          </w:tcPr>
          <w:p w14:paraId="7ADE869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comorbidity, child behaviour</w:t>
            </w:r>
          </w:p>
        </w:tc>
        <w:tc>
          <w:tcPr>
            <w:tcW w:w="0" w:type="auto"/>
            <w:hideMark/>
          </w:tcPr>
          <w:p w14:paraId="45DD84D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Cross-cultural data supporting international context</w:t>
            </w:r>
          </w:p>
        </w:tc>
        <w:tc>
          <w:tcPr>
            <w:tcW w:w="0" w:type="auto"/>
            <w:hideMark/>
          </w:tcPr>
          <w:p w14:paraId="5E3D812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Accuracy (High), Relevance (Medium)</w:t>
            </w:r>
          </w:p>
        </w:tc>
      </w:tr>
      <w:tr w:rsidR="005346D8" w:rsidRPr="005346D8" w14:paraId="1B2AFE5E" w14:textId="77777777" w:rsidTr="4C72D9C6">
        <w:tc>
          <w:tcPr>
            <w:tcW w:w="0" w:type="auto"/>
            <w:hideMark/>
          </w:tcPr>
          <w:p w14:paraId="7913EBA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8</w:t>
            </w:r>
          </w:p>
        </w:tc>
        <w:tc>
          <w:tcPr>
            <w:tcW w:w="0" w:type="auto"/>
            <w:hideMark/>
          </w:tcPr>
          <w:p w14:paraId="0C43421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Ward et al. (2021)</w:t>
            </w:r>
          </w:p>
        </w:tc>
        <w:tc>
          <w:tcPr>
            <w:tcW w:w="0" w:type="auto"/>
            <w:hideMark/>
          </w:tcPr>
          <w:p w14:paraId="0B4BA55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School staff perspectives on ADHD and training</w:t>
            </w:r>
          </w:p>
        </w:tc>
        <w:tc>
          <w:tcPr>
            <w:tcW w:w="0" w:type="auto"/>
            <w:hideMark/>
          </w:tcPr>
          <w:p w14:paraId="7013599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UWTSD Library / Taylor &amp; Francis</w:t>
            </w:r>
          </w:p>
        </w:tc>
        <w:tc>
          <w:tcPr>
            <w:tcW w:w="0" w:type="auto"/>
            <w:hideMark/>
          </w:tcPr>
          <w:p w14:paraId="3160E54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teachers, training, classroom</w:t>
            </w:r>
          </w:p>
        </w:tc>
        <w:tc>
          <w:tcPr>
            <w:tcW w:w="0" w:type="auto"/>
            <w:hideMark/>
          </w:tcPr>
          <w:p w14:paraId="6D488C2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Highlights teacher awareness barriers</w:t>
            </w:r>
          </w:p>
        </w:tc>
        <w:tc>
          <w:tcPr>
            <w:tcW w:w="0" w:type="auto"/>
            <w:hideMark/>
          </w:tcPr>
          <w:p w14:paraId="13360A0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Authority (High), Purpose (Educational research)</w:t>
            </w:r>
          </w:p>
        </w:tc>
      </w:tr>
    </w:tbl>
    <w:p w14:paraId="5B6D177E" w14:textId="77777777" w:rsidR="005346D8" w:rsidRPr="005346D8" w:rsidRDefault="005346D8" w:rsidP="4C72D9C6">
      <w:pPr>
        <w:spacing w:after="0" w:line="240" w:lineRule="auto"/>
        <w:jc w:val="left"/>
        <w:rPr>
          <w:rFonts w:ascii="Arial" w:eastAsia="Arial" w:hAnsi="Arial" w:cs="Arial"/>
          <w:i/>
          <w:iCs/>
          <w:color w:val="000000" w:themeColor="text1"/>
          <w:kern w:val="0"/>
          <w:lang w:eastAsia="en-GB"/>
          <w14:ligatures w14:val="none"/>
        </w:rPr>
      </w:pPr>
    </w:p>
    <w:p w14:paraId="032B1139" w14:textId="77777777" w:rsidR="005346D8" w:rsidRPr="005346D8" w:rsidRDefault="005346D8" w:rsidP="4C72D9C6">
      <w:pPr>
        <w:spacing w:after="0" w:line="240" w:lineRule="auto"/>
        <w:jc w:val="left"/>
        <w:rPr>
          <w:rFonts w:ascii="Arial" w:eastAsia="Arial" w:hAnsi="Arial" w:cs="Arial"/>
          <w:i/>
          <w:iCs/>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This table summarises the key peer-reviewed and policy sources found during the structured search process. It highlights their relevance to the research question and CRAAP evaluation outcomes, supporting transparency and replicability of the review.</w:t>
      </w:r>
    </w:p>
    <w:p w14:paraId="2640600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EB06F05" w14:textId="77777777" w:rsid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91037DD"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844D9D6"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1404748"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1BC7565E"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118858DF"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6AA5E7B"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1FED55A1"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238A422" w14:textId="77777777" w:rsidR="004A48F4" w:rsidRDefault="004A48F4"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861FCD5" w14:textId="77777777" w:rsidR="004A48F4" w:rsidRDefault="004A48F4"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EC2AC54" w14:textId="77777777" w:rsidR="004A48F4" w:rsidRDefault="004A48F4"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F9EA6EB" w14:textId="38305FF7"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11AAA363" w14:textId="062F8D43"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56EA50B" w14:textId="29E86965"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FE3FCE3" w14:textId="4279B78C"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7F19555B" w14:textId="4C2ACDD2"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06A8D415" w14:textId="4CB89B5E"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B569871" w14:textId="4FD35DB8"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142DEA17" w14:textId="4DC8B58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0B00844" w14:textId="494562D4"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42D5D72" w14:textId="60C21597"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C8B0F59" w14:textId="34A788A7"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9FB7C36" w14:textId="12D9FE0A"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52E2CF9" w14:textId="6699C25E"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4FDA9F0" w14:textId="68CE925A"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18028E42" w14:textId="3DA0F3E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2CE91BC7" w14:textId="7160EBFD"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7D9B9CF1" w14:textId="10F4ED26"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7758148" w14:textId="14043EF8"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254D5EC3"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37664D4" w14:textId="77777777" w:rsidR="0041260D" w:rsidRPr="005346D8"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219FDD13"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B1 – CRAAP Evaluation Summary Table</w:t>
      </w:r>
    </w:p>
    <w:p w14:paraId="0CF0D59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(Linked to Chapter 3 Section 3.4)</w:t>
      </w:r>
    </w:p>
    <w:p w14:paraId="1029F364" w14:textId="01034998"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326D1F1B" w14:textId="0FD651EE"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table below summarises how each shortlisted article was evaluated using the CRAAP framework (Currency, Relevance, Authority, Accuracy, and Purpose) to ensure that all selected sources met exacting standards of reliability and academic integrity.</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179"/>
        <w:gridCol w:w="1133"/>
        <w:gridCol w:w="1859"/>
        <w:gridCol w:w="1420"/>
        <w:gridCol w:w="1656"/>
        <w:gridCol w:w="1769"/>
      </w:tblGrid>
      <w:tr w:rsidR="005346D8" w:rsidRPr="005346D8" w14:paraId="4427EDB7" w14:textId="77777777" w:rsidTr="4C72D9C6">
        <w:trPr>
          <w:tblHeader/>
          <w:tblCellSpacing w:w="15" w:type="dxa"/>
        </w:trPr>
        <w:tc>
          <w:tcPr>
            <w:tcW w:w="0" w:type="auto"/>
            <w:shd w:val="clear" w:color="auto" w:fill="FFFFFF" w:themeFill="background1"/>
            <w:vAlign w:val="center"/>
            <w:hideMark/>
          </w:tcPr>
          <w:p w14:paraId="1F4F1000"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Author &amp; Year</w:t>
            </w:r>
          </w:p>
        </w:tc>
        <w:tc>
          <w:tcPr>
            <w:tcW w:w="0" w:type="auto"/>
            <w:shd w:val="clear" w:color="auto" w:fill="FFFFFF" w:themeFill="background1"/>
            <w:vAlign w:val="center"/>
            <w:hideMark/>
          </w:tcPr>
          <w:p w14:paraId="3725848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Currency</w:t>
            </w:r>
          </w:p>
        </w:tc>
        <w:tc>
          <w:tcPr>
            <w:tcW w:w="0" w:type="auto"/>
            <w:shd w:val="clear" w:color="auto" w:fill="FFFFFF" w:themeFill="background1"/>
            <w:vAlign w:val="center"/>
            <w:hideMark/>
          </w:tcPr>
          <w:p w14:paraId="3559EF2F"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Relevance</w:t>
            </w:r>
          </w:p>
        </w:tc>
        <w:tc>
          <w:tcPr>
            <w:tcW w:w="0" w:type="auto"/>
            <w:shd w:val="clear" w:color="auto" w:fill="FFFFFF" w:themeFill="background1"/>
            <w:vAlign w:val="center"/>
            <w:hideMark/>
          </w:tcPr>
          <w:p w14:paraId="5639A422"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Authority</w:t>
            </w:r>
          </w:p>
        </w:tc>
        <w:tc>
          <w:tcPr>
            <w:tcW w:w="0" w:type="auto"/>
            <w:shd w:val="clear" w:color="auto" w:fill="FFFFFF" w:themeFill="background1"/>
            <w:vAlign w:val="center"/>
            <w:hideMark/>
          </w:tcPr>
          <w:p w14:paraId="7C5A7FD1"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Accuracy</w:t>
            </w:r>
          </w:p>
        </w:tc>
        <w:tc>
          <w:tcPr>
            <w:tcW w:w="0" w:type="auto"/>
            <w:shd w:val="clear" w:color="auto" w:fill="FFFFFF" w:themeFill="background1"/>
            <w:vAlign w:val="center"/>
            <w:hideMark/>
          </w:tcPr>
          <w:p w14:paraId="36E6827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Purpose</w:t>
            </w:r>
          </w:p>
        </w:tc>
      </w:tr>
      <w:tr w:rsidR="005346D8" w:rsidRPr="005346D8" w14:paraId="5AEEBB1D" w14:textId="77777777" w:rsidTr="4C72D9C6">
        <w:trPr>
          <w:tblCellSpacing w:w="15" w:type="dxa"/>
        </w:trPr>
        <w:tc>
          <w:tcPr>
            <w:tcW w:w="0" w:type="auto"/>
            <w:shd w:val="clear" w:color="auto" w:fill="FFFFFF" w:themeFill="background1"/>
            <w:vAlign w:val="center"/>
            <w:hideMark/>
          </w:tcPr>
          <w:p w14:paraId="4AD7613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Sayal et al. (2018)</w:t>
            </w:r>
          </w:p>
        </w:tc>
        <w:tc>
          <w:tcPr>
            <w:tcW w:w="0" w:type="auto"/>
            <w:shd w:val="clear" w:color="auto" w:fill="FFFFFF" w:themeFill="background1"/>
            <w:vAlign w:val="center"/>
            <w:hideMark/>
          </w:tcPr>
          <w:p w14:paraId="43B87B3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 and within date range</w:t>
            </w:r>
          </w:p>
        </w:tc>
        <w:tc>
          <w:tcPr>
            <w:tcW w:w="0" w:type="auto"/>
            <w:shd w:val="clear" w:color="auto" w:fill="FFFFFF" w:themeFill="background1"/>
            <w:vAlign w:val="center"/>
            <w:hideMark/>
          </w:tcPr>
          <w:p w14:paraId="175C458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Highly relevant to ADHD pathways and prevalence</w:t>
            </w:r>
          </w:p>
        </w:tc>
        <w:tc>
          <w:tcPr>
            <w:tcW w:w="0" w:type="auto"/>
            <w:shd w:val="clear" w:color="auto" w:fill="FFFFFF" w:themeFill="background1"/>
            <w:vAlign w:val="center"/>
            <w:hideMark/>
          </w:tcPr>
          <w:p w14:paraId="49E3FD4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Published by leading UK researchers</w:t>
            </w:r>
          </w:p>
        </w:tc>
        <w:tc>
          <w:tcPr>
            <w:tcW w:w="0" w:type="auto"/>
            <w:shd w:val="clear" w:color="auto" w:fill="FFFFFF" w:themeFill="background1"/>
            <w:vAlign w:val="center"/>
            <w:hideMark/>
          </w:tcPr>
          <w:p w14:paraId="4A7826D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Uses national and international data</w:t>
            </w:r>
          </w:p>
        </w:tc>
        <w:tc>
          <w:tcPr>
            <w:tcW w:w="0" w:type="auto"/>
            <w:shd w:val="clear" w:color="auto" w:fill="FFFFFF" w:themeFill="background1"/>
            <w:vAlign w:val="center"/>
            <w:hideMark/>
          </w:tcPr>
          <w:p w14:paraId="7E77F49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Informative, research-focused</w:t>
            </w:r>
          </w:p>
        </w:tc>
      </w:tr>
      <w:tr w:rsidR="005346D8" w:rsidRPr="005346D8" w14:paraId="48A5E934" w14:textId="77777777" w:rsidTr="4C72D9C6">
        <w:trPr>
          <w:tblCellSpacing w:w="15" w:type="dxa"/>
        </w:trPr>
        <w:tc>
          <w:tcPr>
            <w:tcW w:w="0" w:type="auto"/>
            <w:shd w:val="clear" w:color="auto" w:fill="FFFFFF" w:themeFill="background1"/>
            <w:vAlign w:val="center"/>
            <w:hideMark/>
          </w:tcPr>
          <w:p w14:paraId="138D303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Maciver et al. (2025)</w:t>
            </w:r>
          </w:p>
        </w:tc>
        <w:tc>
          <w:tcPr>
            <w:tcW w:w="0" w:type="auto"/>
            <w:shd w:val="clear" w:color="auto" w:fill="FFFFFF" w:themeFill="background1"/>
            <w:vAlign w:val="center"/>
            <w:hideMark/>
          </w:tcPr>
          <w:p w14:paraId="2A7F57F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Very recent</w:t>
            </w:r>
          </w:p>
        </w:tc>
        <w:tc>
          <w:tcPr>
            <w:tcW w:w="0" w:type="auto"/>
            <w:shd w:val="clear" w:color="auto" w:fill="FFFFFF" w:themeFill="background1"/>
            <w:vAlign w:val="center"/>
            <w:hideMark/>
          </w:tcPr>
          <w:p w14:paraId="725D879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Directly relevant to waiting times &amp; assessment</w:t>
            </w:r>
          </w:p>
        </w:tc>
        <w:tc>
          <w:tcPr>
            <w:tcW w:w="0" w:type="auto"/>
            <w:shd w:val="clear" w:color="auto" w:fill="FFFFFF" w:themeFill="background1"/>
            <w:vAlign w:val="center"/>
            <w:hideMark/>
          </w:tcPr>
          <w:p w14:paraId="0927EAA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UK study</w:t>
            </w:r>
          </w:p>
        </w:tc>
        <w:tc>
          <w:tcPr>
            <w:tcW w:w="0" w:type="auto"/>
            <w:shd w:val="clear" w:color="auto" w:fill="FFFFFF" w:themeFill="background1"/>
            <w:vAlign w:val="center"/>
            <w:hideMark/>
          </w:tcPr>
          <w:p w14:paraId="5B60C122" w14:textId="536D5831" w:rsidR="005346D8" w:rsidRPr="005346D8" w:rsidRDefault="656EC39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Convincing evidence</w:t>
            </w:r>
            <w:r w:rsidR="005346D8" w:rsidRPr="4C72D9C6">
              <w:rPr>
                <w:rFonts w:ascii="Arial" w:eastAsia="Arial" w:hAnsi="Arial" w:cs="Arial"/>
                <w:color w:val="000000" w:themeColor="text1"/>
                <w:lang w:eastAsia="en-GB"/>
              </w:rPr>
              <w:t xml:space="preserve"> &amp; clear </w:t>
            </w:r>
            <w:r w:rsidR="6D78BB2D" w:rsidRPr="4C72D9C6">
              <w:rPr>
                <w:rFonts w:ascii="Arial" w:eastAsia="Arial" w:hAnsi="Arial" w:cs="Arial"/>
                <w:color w:val="000000" w:themeColor="text1"/>
                <w:lang w:eastAsia="en-GB"/>
              </w:rPr>
              <w:t>method</w:t>
            </w:r>
          </w:p>
        </w:tc>
        <w:tc>
          <w:tcPr>
            <w:tcW w:w="0" w:type="auto"/>
            <w:shd w:val="clear" w:color="auto" w:fill="FFFFFF" w:themeFill="background1"/>
            <w:vAlign w:val="center"/>
            <w:hideMark/>
          </w:tcPr>
          <w:p w14:paraId="29DE1A5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unbiased</w:t>
            </w:r>
          </w:p>
        </w:tc>
      </w:tr>
      <w:tr w:rsidR="005346D8" w:rsidRPr="005346D8" w14:paraId="049E6A1F" w14:textId="77777777" w:rsidTr="4C72D9C6">
        <w:trPr>
          <w:tblCellSpacing w:w="15" w:type="dxa"/>
        </w:trPr>
        <w:tc>
          <w:tcPr>
            <w:tcW w:w="0" w:type="auto"/>
            <w:shd w:val="clear" w:color="auto" w:fill="FFFFFF" w:themeFill="background1"/>
            <w:vAlign w:val="center"/>
            <w:hideMark/>
          </w:tcPr>
          <w:p w14:paraId="1FF0490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Ford et al. (2021)</w:t>
            </w:r>
          </w:p>
        </w:tc>
        <w:tc>
          <w:tcPr>
            <w:tcW w:w="0" w:type="auto"/>
            <w:shd w:val="clear" w:color="auto" w:fill="FFFFFF" w:themeFill="background1"/>
            <w:vAlign w:val="center"/>
            <w:hideMark/>
          </w:tcPr>
          <w:p w14:paraId="602F7DC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w:t>
            </w:r>
          </w:p>
        </w:tc>
        <w:tc>
          <w:tcPr>
            <w:tcW w:w="0" w:type="auto"/>
            <w:shd w:val="clear" w:color="auto" w:fill="FFFFFF" w:themeFill="background1"/>
            <w:vAlign w:val="center"/>
            <w:hideMark/>
          </w:tcPr>
          <w:p w14:paraId="18F8C6A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Focus on teacher recognition &amp; classroom issues</w:t>
            </w:r>
          </w:p>
        </w:tc>
        <w:tc>
          <w:tcPr>
            <w:tcW w:w="0" w:type="auto"/>
            <w:shd w:val="clear" w:color="auto" w:fill="FFFFFF" w:themeFill="background1"/>
            <w:vAlign w:val="center"/>
            <w:hideMark/>
          </w:tcPr>
          <w:p w14:paraId="1AEAF26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Recognised UK education researchers</w:t>
            </w:r>
          </w:p>
        </w:tc>
        <w:tc>
          <w:tcPr>
            <w:tcW w:w="0" w:type="auto"/>
            <w:shd w:val="clear" w:color="auto" w:fill="FFFFFF" w:themeFill="background1"/>
            <w:vAlign w:val="center"/>
            <w:hideMark/>
          </w:tcPr>
          <w:p w14:paraId="42632B0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Evidence-based review</w:t>
            </w:r>
          </w:p>
        </w:tc>
        <w:tc>
          <w:tcPr>
            <w:tcW w:w="0" w:type="auto"/>
            <w:shd w:val="clear" w:color="auto" w:fill="FFFFFF" w:themeFill="background1"/>
            <w:vAlign w:val="center"/>
            <w:hideMark/>
          </w:tcPr>
          <w:p w14:paraId="717730F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Educational purpose</w:t>
            </w:r>
          </w:p>
        </w:tc>
      </w:tr>
      <w:tr w:rsidR="005346D8" w:rsidRPr="005346D8" w14:paraId="7630F415" w14:textId="77777777" w:rsidTr="4C72D9C6">
        <w:trPr>
          <w:tblCellSpacing w:w="15" w:type="dxa"/>
        </w:trPr>
        <w:tc>
          <w:tcPr>
            <w:tcW w:w="0" w:type="auto"/>
            <w:shd w:val="clear" w:color="auto" w:fill="FFFFFF" w:themeFill="background1"/>
            <w:vAlign w:val="center"/>
            <w:hideMark/>
          </w:tcPr>
          <w:p w14:paraId="4C59DA7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Wright et al. (2023)</w:t>
            </w:r>
          </w:p>
        </w:tc>
        <w:tc>
          <w:tcPr>
            <w:tcW w:w="0" w:type="auto"/>
            <w:shd w:val="clear" w:color="auto" w:fill="FFFFFF" w:themeFill="background1"/>
            <w:vAlign w:val="center"/>
            <w:hideMark/>
          </w:tcPr>
          <w:p w14:paraId="2E1DD6D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Very recent</w:t>
            </w:r>
          </w:p>
        </w:tc>
        <w:tc>
          <w:tcPr>
            <w:tcW w:w="0" w:type="auto"/>
            <w:shd w:val="clear" w:color="auto" w:fill="FFFFFF" w:themeFill="background1"/>
            <w:vAlign w:val="center"/>
            <w:hideMark/>
          </w:tcPr>
          <w:p w14:paraId="49C82CB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to ADHD misinterpretation in schools</w:t>
            </w:r>
          </w:p>
        </w:tc>
        <w:tc>
          <w:tcPr>
            <w:tcW w:w="0" w:type="auto"/>
            <w:shd w:val="clear" w:color="auto" w:fill="FFFFFF" w:themeFill="background1"/>
            <w:vAlign w:val="center"/>
            <w:hideMark/>
          </w:tcPr>
          <w:p w14:paraId="1F67E87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journal</w:t>
            </w:r>
          </w:p>
        </w:tc>
        <w:tc>
          <w:tcPr>
            <w:tcW w:w="0" w:type="auto"/>
            <w:shd w:val="clear" w:color="auto" w:fill="FFFFFF" w:themeFill="background1"/>
            <w:vAlign w:val="center"/>
            <w:hideMark/>
          </w:tcPr>
          <w:p w14:paraId="704E908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Clear data &amp; well-supported claims</w:t>
            </w:r>
          </w:p>
        </w:tc>
        <w:tc>
          <w:tcPr>
            <w:tcW w:w="0" w:type="auto"/>
            <w:shd w:val="clear" w:color="auto" w:fill="FFFFFF" w:themeFill="background1"/>
            <w:vAlign w:val="center"/>
            <w:hideMark/>
          </w:tcPr>
          <w:p w14:paraId="110B365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informative</w:t>
            </w:r>
          </w:p>
        </w:tc>
      </w:tr>
      <w:tr w:rsidR="005346D8" w:rsidRPr="005346D8" w14:paraId="1A8C761C" w14:textId="77777777" w:rsidTr="4C72D9C6">
        <w:trPr>
          <w:tblCellSpacing w:w="15" w:type="dxa"/>
        </w:trPr>
        <w:tc>
          <w:tcPr>
            <w:tcW w:w="0" w:type="auto"/>
            <w:shd w:val="clear" w:color="auto" w:fill="FFFFFF" w:themeFill="background1"/>
            <w:vAlign w:val="center"/>
            <w:hideMark/>
          </w:tcPr>
          <w:p w14:paraId="4F10BE3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DfE (2015)</w:t>
            </w:r>
          </w:p>
        </w:tc>
        <w:tc>
          <w:tcPr>
            <w:tcW w:w="0" w:type="auto"/>
            <w:shd w:val="clear" w:color="auto" w:fill="FFFFFF" w:themeFill="background1"/>
            <w:vAlign w:val="center"/>
            <w:hideMark/>
          </w:tcPr>
          <w:p w14:paraId="505E361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Older but still policy-relevant</w:t>
            </w:r>
          </w:p>
        </w:tc>
        <w:tc>
          <w:tcPr>
            <w:tcW w:w="0" w:type="auto"/>
            <w:shd w:val="clear" w:color="auto" w:fill="FFFFFF" w:themeFill="background1"/>
            <w:vAlign w:val="center"/>
            <w:hideMark/>
          </w:tcPr>
          <w:p w14:paraId="494E290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SEND Code of Practice</w:t>
            </w:r>
          </w:p>
        </w:tc>
        <w:tc>
          <w:tcPr>
            <w:tcW w:w="0" w:type="auto"/>
            <w:shd w:val="clear" w:color="auto" w:fill="FFFFFF" w:themeFill="background1"/>
            <w:vAlign w:val="center"/>
            <w:hideMark/>
          </w:tcPr>
          <w:p w14:paraId="568A055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Official UK Government document</w:t>
            </w:r>
          </w:p>
        </w:tc>
        <w:tc>
          <w:tcPr>
            <w:tcW w:w="0" w:type="auto"/>
            <w:shd w:val="clear" w:color="auto" w:fill="FFFFFF" w:themeFill="background1"/>
            <w:vAlign w:val="center"/>
            <w:hideMark/>
          </w:tcPr>
          <w:p w14:paraId="07FB626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Accurate, statutory guidance</w:t>
            </w:r>
          </w:p>
        </w:tc>
        <w:tc>
          <w:tcPr>
            <w:tcW w:w="0" w:type="auto"/>
            <w:shd w:val="clear" w:color="auto" w:fill="FFFFFF" w:themeFill="background1"/>
            <w:vAlign w:val="center"/>
            <w:hideMark/>
          </w:tcPr>
          <w:p w14:paraId="51FAB8B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Policy/legislative</w:t>
            </w:r>
          </w:p>
        </w:tc>
      </w:tr>
      <w:tr w:rsidR="005346D8" w:rsidRPr="005346D8" w14:paraId="1E6783C5" w14:textId="77777777" w:rsidTr="4C72D9C6">
        <w:trPr>
          <w:tblCellSpacing w:w="15" w:type="dxa"/>
        </w:trPr>
        <w:tc>
          <w:tcPr>
            <w:tcW w:w="0" w:type="auto"/>
            <w:shd w:val="clear" w:color="auto" w:fill="FFFFFF" w:themeFill="background1"/>
            <w:vAlign w:val="center"/>
            <w:hideMark/>
          </w:tcPr>
          <w:p w14:paraId="199BC3C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(2018)</w:t>
            </w:r>
          </w:p>
        </w:tc>
        <w:tc>
          <w:tcPr>
            <w:tcW w:w="0" w:type="auto"/>
            <w:shd w:val="clear" w:color="auto" w:fill="FFFFFF" w:themeFill="background1"/>
            <w:vAlign w:val="center"/>
            <w:hideMark/>
          </w:tcPr>
          <w:p w14:paraId="07B348B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Current guidance</w:t>
            </w:r>
          </w:p>
        </w:tc>
        <w:tc>
          <w:tcPr>
            <w:tcW w:w="0" w:type="auto"/>
            <w:shd w:val="clear" w:color="auto" w:fill="FFFFFF" w:themeFill="background1"/>
            <w:vAlign w:val="center"/>
            <w:hideMark/>
          </w:tcPr>
          <w:p w14:paraId="03F98BF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Highly relevant for ADHD pathways</w:t>
            </w:r>
          </w:p>
        </w:tc>
        <w:tc>
          <w:tcPr>
            <w:tcW w:w="0" w:type="auto"/>
            <w:shd w:val="clear" w:color="auto" w:fill="FFFFFF" w:themeFill="background1"/>
            <w:vAlign w:val="center"/>
            <w:hideMark/>
          </w:tcPr>
          <w:p w14:paraId="177C5E4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National guideline body</w:t>
            </w:r>
          </w:p>
        </w:tc>
        <w:tc>
          <w:tcPr>
            <w:tcW w:w="0" w:type="auto"/>
            <w:shd w:val="clear" w:color="auto" w:fill="FFFFFF" w:themeFill="background1"/>
            <w:vAlign w:val="center"/>
            <w:hideMark/>
          </w:tcPr>
          <w:p w14:paraId="193881F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Evidence reviewed systematically</w:t>
            </w:r>
          </w:p>
        </w:tc>
        <w:tc>
          <w:tcPr>
            <w:tcW w:w="0" w:type="auto"/>
            <w:shd w:val="clear" w:color="auto" w:fill="FFFFFF" w:themeFill="background1"/>
            <w:vAlign w:val="center"/>
            <w:hideMark/>
          </w:tcPr>
          <w:p w14:paraId="27DE838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Clinical guideline</w:t>
            </w:r>
          </w:p>
        </w:tc>
      </w:tr>
      <w:tr w:rsidR="005346D8" w:rsidRPr="005346D8" w14:paraId="069384EB" w14:textId="77777777" w:rsidTr="4C72D9C6">
        <w:trPr>
          <w:tblCellSpacing w:w="15" w:type="dxa"/>
        </w:trPr>
        <w:tc>
          <w:tcPr>
            <w:tcW w:w="0" w:type="auto"/>
            <w:shd w:val="clear" w:color="auto" w:fill="FFFFFF" w:themeFill="background1"/>
            <w:vAlign w:val="center"/>
            <w:hideMark/>
          </w:tcPr>
          <w:p w14:paraId="0436CDE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NHS England (2022)</w:t>
            </w:r>
          </w:p>
        </w:tc>
        <w:tc>
          <w:tcPr>
            <w:tcW w:w="0" w:type="auto"/>
            <w:shd w:val="clear" w:color="auto" w:fill="FFFFFF" w:themeFill="background1"/>
            <w:vAlign w:val="center"/>
            <w:hideMark/>
          </w:tcPr>
          <w:p w14:paraId="4584AB6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w:t>
            </w:r>
          </w:p>
        </w:tc>
        <w:tc>
          <w:tcPr>
            <w:tcW w:w="0" w:type="auto"/>
            <w:shd w:val="clear" w:color="auto" w:fill="FFFFFF" w:themeFill="background1"/>
            <w:vAlign w:val="center"/>
            <w:hideMark/>
          </w:tcPr>
          <w:p w14:paraId="0DB105A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waiting times &amp; access</w:t>
            </w:r>
          </w:p>
        </w:tc>
        <w:tc>
          <w:tcPr>
            <w:tcW w:w="0" w:type="auto"/>
            <w:shd w:val="clear" w:color="auto" w:fill="FFFFFF" w:themeFill="background1"/>
            <w:vAlign w:val="center"/>
            <w:hideMark/>
          </w:tcPr>
          <w:p w14:paraId="5B33CDE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Official NHS body</w:t>
            </w:r>
          </w:p>
        </w:tc>
        <w:tc>
          <w:tcPr>
            <w:tcW w:w="0" w:type="auto"/>
            <w:shd w:val="clear" w:color="auto" w:fill="FFFFFF" w:themeFill="background1"/>
            <w:vAlign w:val="center"/>
            <w:hideMark/>
          </w:tcPr>
          <w:p w14:paraId="6D702EF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Statistically reliable</w:t>
            </w:r>
          </w:p>
        </w:tc>
        <w:tc>
          <w:tcPr>
            <w:tcW w:w="0" w:type="auto"/>
            <w:shd w:val="clear" w:color="auto" w:fill="FFFFFF" w:themeFill="background1"/>
            <w:vAlign w:val="center"/>
            <w:hideMark/>
          </w:tcPr>
          <w:p w14:paraId="03C70EE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Public information</w:t>
            </w:r>
          </w:p>
        </w:tc>
      </w:tr>
      <w:tr w:rsidR="005346D8" w:rsidRPr="005346D8" w14:paraId="468FF765" w14:textId="77777777" w:rsidTr="4C72D9C6">
        <w:trPr>
          <w:tblCellSpacing w:w="15" w:type="dxa"/>
        </w:trPr>
        <w:tc>
          <w:tcPr>
            <w:tcW w:w="0" w:type="auto"/>
            <w:shd w:val="clear" w:color="auto" w:fill="FFFFFF" w:themeFill="background1"/>
            <w:vAlign w:val="center"/>
            <w:hideMark/>
          </w:tcPr>
          <w:p w14:paraId="645EEC6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Westwood et al. (2023)</w:t>
            </w:r>
          </w:p>
        </w:tc>
        <w:tc>
          <w:tcPr>
            <w:tcW w:w="0" w:type="auto"/>
            <w:shd w:val="clear" w:color="auto" w:fill="FFFFFF" w:themeFill="background1"/>
            <w:vAlign w:val="center"/>
            <w:hideMark/>
          </w:tcPr>
          <w:p w14:paraId="28A0451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Very recent</w:t>
            </w:r>
          </w:p>
        </w:tc>
        <w:tc>
          <w:tcPr>
            <w:tcW w:w="0" w:type="auto"/>
            <w:shd w:val="clear" w:color="auto" w:fill="FFFFFF" w:themeFill="background1"/>
            <w:vAlign w:val="center"/>
            <w:hideMark/>
          </w:tcPr>
          <w:p w14:paraId="2787987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CAMHS, family involvement</w:t>
            </w:r>
          </w:p>
        </w:tc>
        <w:tc>
          <w:tcPr>
            <w:tcW w:w="0" w:type="auto"/>
            <w:shd w:val="clear" w:color="auto" w:fill="FFFFFF" w:themeFill="background1"/>
            <w:vAlign w:val="center"/>
            <w:hideMark/>
          </w:tcPr>
          <w:p w14:paraId="17F0D28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researchers</w:t>
            </w:r>
          </w:p>
        </w:tc>
        <w:tc>
          <w:tcPr>
            <w:tcW w:w="0" w:type="auto"/>
            <w:shd w:val="clear" w:color="auto" w:fill="FFFFFF" w:themeFill="background1"/>
            <w:vAlign w:val="center"/>
            <w:hideMark/>
          </w:tcPr>
          <w:p w14:paraId="0CC9D2A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 methodological quality</w:t>
            </w:r>
          </w:p>
        </w:tc>
        <w:tc>
          <w:tcPr>
            <w:tcW w:w="0" w:type="auto"/>
            <w:shd w:val="clear" w:color="auto" w:fill="FFFFFF" w:themeFill="background1"/>
            <w:vAlign w:val="center"/>
            <w:hideMark/>
          </w:tcPr>
          <w:p w14:paraId="35A2EDF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research</w:t>
            </w:r>
          </w:p>
        </w:tc>
      </w:tr>
      <w:tr w:rsidR="005346D8" w:rsidRPr="005346D8" w14:paraId="7582E389" w14:textId="77777777" w:rsidTr="4C72D9C6">
        <w:trPr>
          <w:tblCellSpacing w:w="15" w:type="dxa"/>
        </w:trPr>
        <w:tc>
          <w:tcPr>
            <w:tcW w:w="0" w:type="auto"/>
            <w:shd w:val="clear" w:color="auto" w:fill="FFFFFF" w:themeFill="background1"/>
            <w:vAlign w:val="center"/>
            <w:hideMark/>
          </w:tcPr>
          <w:p w14:paraId="1C12AF4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May et al. (2021)</w:t>
            </w:r>
          </w:p>
        </w:tc>
        <w:tc>
          <w:tcPr>
            <w:tcW w:w="0" w:type="auto"/>
            <w:shd w:val="clear" w:color="auto" w:fill="FFFFFF" w:themeFill="background1"/>
            <w:vAlign w:val="center"/>
            <w:hideMark/>
          </w:tcPr>
          <w:p w14:paraId="13DB7C4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w:t>
            </w:r>
          </w:p>
        </w:tc>
        <w:tc>
          <w:tcPr>
            <w:tcW w:w="0" w:type="auto"/>
            <w:shd w:val="clear" w:color="auto" w:fill="FFFFFF" w:themeFill="background1"/>
            <w:vAlign w:val="center"/>
            <w:hideMark/>
          </w:tcPr>
          <w:p w14:paraId="663C8EA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attainment &amp; ADHD</w:t>
            </w:r>
          </w:p>
        </w:tc>
        <w:tc>
          <w:tcPr>
            <w:tcW w:w="0" w:type="auto"/>
            <w:shd w:val="clear" w:color="auto" w:fill="FFFFFF" w:themeFill="background1"/>
            <w:vAlign w:val="center"/>
            <w:hideMark/>
          </w:tcPr>
          <w:p w14:paraId="3C3A9AF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UK longitudinal study</w:t>
            </w:r>
          </w:p>
        </w:tc>
        <w:tc>
          <w:tcPr>
            <w:tcW w:w="0" w:type="auto"/>
            <w:shd w:val="clear" w:color="auto" w:fill="FFFFFF" w:themeFill="background1"/>
            <w:vAlign w:val="center"/>
            <w:hideMark/>
          </w:tcPr>
          <w:p w14:paraId="2F57522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Accurate, based on large sample</w:t>
            </w:r>
          </w:p>
        </w:tc>
        <w:tc>
          <w:tcPr>
            <w:tcW w:w="0" w:type="auto"/>
            <w:shd w:val="clear" w:color="auto" w:fill="FFFFFF" w:themeFill="background1"/>
            <w:vAlign w:val="center"/>
            <w:hideMark/>
          </w:tcPr>
          <w:p w14:paraId="43F6FE3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research</w:t>
            </w:r>
          </w:p>
        </w:tc>
      </w:tr>
      <w:tr w:rsidR="005346D8" w:rsidRPr="005346D8" w14:paraId="0EBC4B22" w14:textId="77777777" w:rsidTr="4C72D9C6">
        <w:trPr>
          <w:tblCellSpacing w:w="15" w:type="dxa"/>
        </w:trPr>
        <w:tc>
          <w:tcPr>
            <w:tcW w:w="0" w:type="auto"/>
            <w:shd w:val="clear" w:color="auto" w:fill="FFFFFF" w:themeFill="background1"/>
            <w:vAlign w:val="center"/>
            <w:hideMark/>
          </w:tcPr>
          <w:p w14:paraId="395FE60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DfE &amp; DHSC (2015)</w:t>
            </w:r>
          </w:p>
        </w:tc>
        <w:tc>
          <w:tcPr>
            <w:tcW w:w="0" w:type="auto"/>
            <w:shd w:val="clear" w:color="auto" w:fill="FFFFFF" w:themeFill="background1"/>
            <w:vAlign w:val="center"/>
            <w:hideMark/>
          </w:tcPr>
          <w:p w14:paraId="2F08333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Older but still official</w:t>
            </w:r>
          </w:p>
        </w:tc>
        <w:tc>
          <w:tcPr>
            <w:tcW w:w="0" w:type="auto"/>
            <w:shd w:val="clear" w:color="auto" w:fill="FFFFFF" w:themeFill="background1"/>
            <w:vAlign w:val="center"/>
            <w:hideMark/>
          </w:tcPr>
          <w:p w14:paraId="68A0D5C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joint working policies</w:t>
            </w:r>
          </w:p>
        </w:tc>
        <w:tc>
          <w:tcPr>
            <w:tcW w:w="0" w:type="auto"/>
            <w:shd w:val="clear" w:color="auto" w:fill="FFFFFF" w:themeFill="background1"/>
            <w:vAlign w:val="center"/>
            <w:hideMark/>
          </w:tcPr>
          <w:p w14:paraId="7D366AF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Government departments</w:t>
            </w:r>
          </w:p>
        </w:tc>
        <w:tc>
          <w:tcPr>
            <w:tcW w:w="0" w:type="auto"/>
            <w:shd w:val="clear" w:color="auto" w:fill="FFFFFF" w:themeFill="background1"/>
            <w:vAlign w:val="center"/>
            <w:hideMark/>
          </w:tcPr>
          <w:p w14:paraId="2BB1811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Accurate &amp; official</w:t>
            </w:r>
          </w:p>
        </w:tc>
        <w:tc>
          <w:tcPr>
            <w:tcW w:w="0" w:type="auto"/>
            <w:shd w:val="clear" w:color="auto" w:fill="FFFFFF" w:themeFill="background1"/>
            <w:vAlign w:val="center"/>
            <w:hideMark/>
          </w:tcPr>
          <w:p w14:paraId="53B2D5A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Policy-based purpose</w:t>
            </w:r>
          </w:p>
        </w:tc>
      </w:tr>
    </w:tbl>
    <w:p w14:paraId="1D4391B1" w14:textId="15333853"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p>
    <w:p w14:paraId="187DBEBB" w14:textId="22D7D366"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5FF825EB" w14:textId="7823E4D8"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7B409CC2" w14:textId="15AB16B8"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61E85DF3" w14:textId="34DE711E"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6216C9CD" w14:textId="45D46E3D"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13AA6F9E" w14:textId="669F5D54"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5CB00145" w14:textId="7D9D6B18"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16AE44E4" w14:textId="68002FFC"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2E134A96" w14:textId="0F73F79E"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4A2D8F64" w14:textId="3650CF46"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3D554EE2" w14:textId="0F2A4C6B"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61DDD11E" w14:textId="1DCB7A83"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4438F17E"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B2 – Thematic Analysis Summary Table</w:t>
      </w:r>
    </w:p>
    <w:p w14:paraId="57953F78"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(Results Summary Table)</w:t>
      </w:r>
    </w:p>
    <w:p w14:paraId="081B017B" w14:textId="200B5961"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013B027D" w14:textId="05E0C529" w:rsidR="005346D8" w:rsidRPr="005346D8" w:rsidRDefault="005346D8" w:rsidP="4C72D9C6">
      <w:pPr>
        <w:spacing w:before="100" w:beforeAutospacing="1" w:after="100" w:afterAutospacing="1" w:line="240" w:lineRule="auto"/>
        <w:jc w:val="left"/>
        <w:outlineLvl w:val="2"/>
        <w:rPr>
          <w:rFonts w:ascii="Arial" w:eastAsia="Arial" w:hAnsi="Arial" w:cs="Arial"/>
          <w:color w:val="000000" w:themeColor="text1"/>
          <w:lang w:eastAsia="en-GB"/>
        </w:rPr>
      </w:pPr>
      <w:r w:rsidRPr="4C72D9C6">
        <w:rPr>
          <w:rFonts w:ascii="Arial" w:eastAsia="Arial" w:hAnsi="Arial" w:cs="Arial"/>
          <w:color w:val="000000" w:themeColor="text1"/>
          <w:kern w:val="0"/>
          <w:lang w:eastAsia="en-GB"/>
          <w14:ligatures w14:val="none"/>
        </w:rPr>
        <w:t xml:space="preserve"> (Linked to Chapter 3.3, chapter 3.6)</w:t>
      </w:r>
    </w:p>
    <w:tbl>
      <w:tblPr>
        <w:tblStyle w:val="GridTable5Dark-Accent1"/>
        <w:tblW w:w="9186" w:type="dxa"/>
        <w:tblCellSpacing w:w="15" w:type="dxa"/>
        <w:tblCellMar>
          <w:top w:w="15" w:type="dxa"/>
          <w:left w:w="15" w:type="dxa"/>
          <w:bottom w:w="15" w:type="dxa"/>
          <w:right w:w="15" w:type="dxa"/>
        </w:tblCellMar>
        <w:tblLook w:val="04A0" w:firstRow="1" w:lastRow="0" w:firstColumn="1" w:lastColumn="0" w:noHBand="0" w:noVBand="1"/>
      </w:tblPr>
      <w:tblGrid>
        <w:gridCol w:w="1291"/>
        <w:gridCol w:w="1187"/>
        <w:gridCol w:w="1261"/>
        <w:gridCol w:w="1288"/>
        <w:gridCol w:w="1447"/>
        <w:gridCol w:w="1479"/>
        <w:gridCol w:w="1233"/>
      </w:tblGrid>
      <w:tr w:rsidR="005346D8" w:rsidRPr="005346D8" w14:paraId="6BA8AC2A" w14:textId="77777777" w:rsidTr="4C72D9C6">
        <w:trPr>
          <w:cnfStyle w:val="100000000000" w:firstRow="1" w:lastRow="0" w:firstColumn="0" w:lastColumn="0" w:oddVBand="0" w:evenVBand="0" w:oddHBand="0" w:evenHBand="0" w:firstRowFirstColumn="0" w:firstRowLastColumn="0" w:lastRowFirstColumn="0" w:lastRowLastColumn="0"/>
          <w:tblHeade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FDB15EE" w14:textId="77777777" w:rsidR="005346D8" w:rsidRPr="005346D8" w:rsidRDefault="005346D8" w:rsidP="4C72D9C6">
            <w:pPr>
              <w:spacing w:before="100" w:beforeAutospacing="1" w:after="100" w:afterAutospacing="1" w:line="240" w:lineRule="auto"/>
              <w:jc w:val="center"/>
              <w:rPr>
                <w:rFonts w:ascii="Arial" w:eastAsia="Arial" w:hAnsi="Arial" w:cs="Arial"/>
                <w:color w:val="000000" w:themeColor="text1"/>
                <w:sz w:val="22"/>
                <w:szCs w:val="22"/>
              </w:rPr>
            </w:pPr>
            <w:r w:rsidRPr="4C72D9C6">
              <w:rPr>
                <w:rFonts w:ascii="Arial" w:eastAsia="Arial" w:hAnsi="Arial" w:cs="Arial"/>
                <w:color w:val="000000" w:themeColor="text1"/>
                <w:sz w:val="22"/>
                <w:szCs w:val="22"/>
              </w:rPr>
              <w:t>Author &amp; Year</w:t>
            </w:r>
          </w:p>
        </w:tc>
        <w:tc>
          <w:tcPr>
            <w:tcW w:w="1172" w:type="dxa"/>
            <w:vAlign w:val="center"/>
            <w:hideMark/>
          </w:tcPr>
          <w:p w14:paraId="22E51EDC"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Article Title</w:t>
            </w:r>
          </w:p>
        </w:tc>
        <w:tc>
          <w:tcPr>
            <w:tcW w:w="1249" w:type="dxa"/>
            <w:vAlign w:val="center"/>
            <w:hideMark/>
          </w:tcPr>
          <w:p w14:paraId="4ADDA33B"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Type of Study</w:t>
            </w:r>
          </w:p>
        </w:tc>
        <w:tc>
          <w:tcPr>
            <w:tcW w:w="1284" w:type="dxa"/>
            <w:vAlign w:val="center"/>
            <w:hideMark/>
          </w:tcPr>
          <w:p w14:paraId="33CBE8F3"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Method / Sample</w:t>
            </w:r>
          </w:p>
        </w:tc>
        <w:tc>
          <w:tcPr>
            <w:tcW w:w="1474" w:type="dxa"/>
            <w:vAlign w:val="center"/>
            <w:hideMark/>
          </w:tcPr>
          <w:p w14:paraId="30B475F0"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Strengths &amp; Limits</w:t>
            </w:r>
          </w:p>
        </w:tc>
        <w:tc>
          <w:tcPr>
            <w:tcW w:w="1564" w:type="dxa"/>
            <w:vAlign w:val="center"/>
            <w:hideMark/>
          </w:tcPr>
          <w:p w14:paraId="161D52DB"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Main Findings</w:t>
            </w:r>
          </w:p>
        </w:tc>
        <w:tc>
          <w:tcPr>
            <w:tcW w:w="1174" w:type="dxa"/>
            <w:vAlign w:val="center"/>
            <w:hideMark/>
          </w:tcPr>
          <w:p w14:paraId="7E0046CA"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Keywords</w:t>
            </w:r>
          </w:p>
        </w:tc>
      </w:tr>
      <w:tr w:rsidR="005346D8" w:rsidRPr="005346D8" w14:paraId="6169245D"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0E1BFF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Sayal et al. (2018)</w:t>
            </w:r>
          </w:p>
        </w:tc>
        <w:tc>
          <w:tcPr>
            <w:tcW w:w="1172" w:type="dxa"/>
            <w:vAlign w:val="center"/>
            <w:hideMark/>
          </w:tcPr>
          <w:p w14:paraId="2F8E588C"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in children</w:t>
            </w:r>
          </w:p>
        </w:tc>
        <w:tc>
          <w:tcPr>
            <w:tcW w:w="1249" w:type="dxa"/>
            <w:vAlign w:val="center"/>
            <w:hideMark/>
          </w:tcPr>
          <w:p w14:paraId="02E7C955"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Narrative review</w:t>
            </w:r>
          </w:p>
        </w:tc>
        <w:tc>
          <w:tcPr>
            <w:tcW w:w="1284" w:type="dxa"/>
            <w:vAlign w:val="center"/>
            <w:hideMark/>
          </w:tcPr>
          <w:p w14:paraId="11236686"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Review of UK &amp; international data</w:t>
            </w:r>
          </w:p>
        </w:tc>
        <w:tc>
          <w:tcPr>
            <w:tcW w:w="1474" w:type="dxa"/>
            <w:vAlign w:val="center"/>
            <w:hideMark/>
          </w:tcPr>
          <w:p w14:paraId="1620CF58"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Strong overview– Limited school detail</w:t>
            </w:r>
          </w:p>
        </w:tc>
        <w:tc>
          <w:tcPr>
            <w:tcW w:w="1564" w:type="dxa"/>
            <w:vAlign w:val="center"/>
            <w:hideMark/>
          </w:tcPr>
          <w:p w14:paraId="03BF10FB"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under-recognised; late support</w:t>
            </w:r>
          </w:p>
        </w:tc>
        <w:tc>
          <w:tcPr>
            <w:tcW w:w="1174" w:type="dxa"/>
            <w:vAlign w:val="center"/>
            <w:hideMark/>
          </w:tcPr>
          <w:p w14:paraId="53FB0E87"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prevalence; pathways</w:t>
            </w:r>
          </w:p>
        </w:tc>
      </w:tr>
      <w:tr w:rsidR="005346D8" w:rsidRPr="005346D8" w14:paraId="6C5D5425"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19A4DD0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May et al. (2021)</w:t>
            </w:r>
          </w:p>
        </w:tc>
        <w:tc>
          <w:tcPr>
            <w:tcW w:w="1172" w:type="dxa"/>
            <w:vAlign w:val="center"/>
            <w:hideMark/>
          </w:tcPr>
          <w:p w14:paraId="64C015D4"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&amp; attainment</w:t>
            </w:r>
          </w:p>
        </w:tc>
        <w:tc>
          <w:tcPr>
            <w:tcW w:w="1249" w:type="dxa"/>
            <w:vAlign w:val="center"/>
            <w:hideMark/>
          </w:tcPr>
          <w:p w14:paraId="38126060"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Quantitative</w:t>
            </w:r>
          </w:p>
        </w:tc>
        <w:tc>
          <w:tcPr>
            <w:tcW w:w="1284" w:type="dxa"/>
            <w:vAlign w:val="center"/>
            <w:hideMark/>
          </w:tcPr>
          <w:p w14:paraId="34080E1B"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UK longitudinal school data</w:t>
            </w:r>
          </w:p>
        </w:tc>
        <w:tc>
          <w:tcPr>
            <w:tcW w:w="1474" w:type="dxa"/>
            <w:vAlign w:val="center"/>
            <w:hideMark/>
          </w:tcPr>
          <w:p w14:paraId="3411E35F"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Large sample– Limited detail</w:t>
            </w:r>
          </w:p>
        </w:tc>
        <w:tc>
          <w:tcPr>
            <w:tcW w:w="1564" w:type="dxa"/>
            <w:vAlign w:val="center"/>
            <w:hideMark/>
          </w:tcPr>
          <w:p w14:paraId="2D4C8AE1"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Lower attainment in ADHD pupils</w:t>
            </w:r>
          </w:p>
        </w:tc>
        <w:tc>
          <w:tcPr>
            <w:tcW w:w="1174" w:type="dxa"/>
            <w:vAlign w:val="center"/>
            <w:hideMark/>
          </w:tcPr>
          <w:p w14:paraId="6C78ABA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attainment; school</w:t>
            </w:r>
          </w:p>
        </w:tc>
      </w:tr>
      <w:tr w:rsidR="005346D8" w:rsidRPr="005346D8" w14:paraId="4C1BF9B4"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5371F7A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Ford et al. (2021)</w:t>
            </w:r>
          </w:p>
        </w:tc>
        <w:tc>
          <w:tcPr>
            <w:tcW w:w="1172" w:type="dxa"/>
            <w:vAlign w:val="center"/>
            <w:hideMark/>
          </w:tcPr>
          <w:p w14:paraId="56372812"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 awareness</w:t>
            </w:r>
          </w:p>
        </w:tc>
        <w:tc>
          <w:tcPr>
            <w:tcW w:w="1249" w:type="dxa"/>
            <w:vAlign w:val="center"/>
            <w:hideMark/>
          </w:tcPr>
          <w:p w14:paraId="1D092949" w14:textId="24F8FD87" w:rsidR="005346D8" w:rsidRPr="005346D8" w:rsidRDefault="3932AE31"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Mixed methods</w:t>
            </w:r>
          </w:p>
        </w:tc>
        <w:tc>
          <w:tcPr>
            <w:tcW w:w="1284" w:type="dxa"/>
            <w:vAlign w:val="center"/>
            <w:hideMark/>
          </w:tcPr>
          <w:p w14:paraId="03819AD5"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Surveys &amp; interviews</w:t>
            </w:r>
          </w:p>
        </w:tc>
        <w:tc>
          <w:tcPr>
            <w:tcW w:w="1474" w:type="dxa"/>
            <w:vAlign w:val="center"/>
            <w:hideMark/>
          </w:tcPr>
          <w:p w14:paraId="1E1D9188"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Teacher insight– Regional</w:t>
            </w:r>
          </w:p>
        </w:tc>
        <w:tc>
          <w:tcPr>
            <w:tcW w:w="1564" w:type="dxa"/>
            <w:vAlign w:val="center"/>
            <w:hideMark/>
          </w:tcPr>
          <w:p w14:paraId="6F64D210"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Teachers misread ADHD behaviours</w:t>
            </w:r>
          </w:p>
        </w:tc>
        <w:tc>
          <w:tcPr>
            <w:tcW w:w="1174" w:type="dxa"/>
            <w:vAlign w:val="center"/>
            <w:hideMark/>
          </w:tcPr>
          <w:p w14:paraId="09DBB0D8"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 awareness</w:t>
            </w:r>
          </w:p>
        </w:tc>
      </w:tr>
      <w:tr w:rsidR="005346D8" w:rsidRPr="005346D8" w14:paraId="70836FDB"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684740C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Wright et al. (2023)</w:t>
            </w:r>
          </w:p>
        </w:tc>
        <w:tc>
          <w:tcPr>
            <w:tcW w:w="1172" w:type="dxa"/>
            <w:vAlign w:val="center"/>
            <w:hideMark/>
          </w:tcPr>
          <w:p w14:paraId="108E3DE9"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 training</w:t>
            </w:r>
          </w:p>
        </w:tc>
        <w:tc>
          <w:tcPr>
            <w:tcW w:w="1249" w:type="dxa"/>
            <w:vAlign w:val="center"/>
            <w:hideMark/>
          </w:tcPr>
          <w:p w14:paraId="3BE9DF06"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Qualitative</w:t>
            </w:r>
          </w:p>
        </w:tc>
        <w:tc>
          <w:tcPr>
            <w:tcW w:w="1284" w:type="dxa"/>
            <w:vAlign w:val="center"/>
            <w:hideMark/>
          </w:tcPr>
          <w:p w14:paraId="161DB8A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Interviews with SENCOs</w:t>
            </w:r>
          </w:p>
        </w:tc>
        <w:tc>
          <w:tcPr>
            <w:tcW w:w="1474" w:type="dxa"/>
            <w:vAlign w:val="center"/>
            <w:hideMark/>
          </w:tcPr>
          <w:p w14:paraId="0D42BA57"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Practical insight– Small sample</w:t>
            </w:r>
          </w:p>
        </w:tc>
        <w:tc>
          <w:tcPr>
            <w:tcW w:w="1564" w:type="dxa"/>
            <w:vAlign w:val="center"/>
            <w:hideMark/>
          </w:tcPr>
          <w:p w14:paraId="53F347E3"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Training inconsistent across schools</w:t>
            </w:r>
          </w:p>
        </w:tc>
        <w:tc>
          <w:tcPr>
            <w:tcW w:w="1174" w:type="dxa"/>
            <w:vAlign w:val="center"/>
            <w:hideMark/>
          </w:tcPr>
          <w:p w14:paraId="3719B6B8"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CPD; classroom</w:t>
            </w:r>
          </w:p>
        </w:tc>
      </w:tr>
      <w:tr w:rsidR="005346D8" w:rsidRPr="005346D8" w14:paraId="52BD7A23"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7D671B8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Maciver et al. (2025)</w:t>
            </w:r>
          </w:p>
        </w:tc>
        <w:tc>
          <w:tcPr>
            <w:tcW w:w="1172" w:type="dxa"/>
            <w:vAlign w:val="center"/>
            <w:hideMark/>
          </w:tcPr>
          <w:p w14:paraId="77988E6A"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waiting times</w:t>
            </w:r>
          </w:p>
        </w:tc>
        <w:tc>
          <w:tcPr>
            <w:tcW w:w="1249" w:type="dxa"/>
            <w:vAlign w:val="center"/>
            <w:hideMark/>
          </w:tcPr>
          <w:p w14:paraId="329C8081" w14:textId="52696E24" w:rsidR="005346D8" w:rsidRPr="005346D8" w:rsidRDefault="7DFCBC49"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Mixed methods</w:t>
            </w:r>
          </w:p>
        </w:tc>
        <w:tc>
          <w:tcPr>
            <w:tcW w:w="1284" w:type="dxa"/>
            <w:vAlign w:val="center"/>
            <w:hideMark/>
          </w:tcPr>
          <w:p w14:paraId="38FAA26A"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Policy review + parents</w:t>
            </w:r>
          </w:p>
        </w:tc>
        <w:tc>
          <w:tcPr>
            <w:tcW w:w="1474" w:type="dxa"/>
            <w:vAlign w:val="center"/>
            <w:hideMark/>
          </w:tcPr>
          <w:p w14:paraId="02359647"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Recent UK data– Self-report</w:t>
            </w:r>
          </w:p>
        </w:tc>
        <w:tc>
          <w:tcPr>
            <w:tcW w:w="1564" w:type="dxa"/>
            <w:vAlign w:val="center"/>
            <w:hideMark/>
          </w:tcPr>
          <w:p w14:paraId="5CD2C622" w14:textId="37D1F012" w:rsidR="005346D8" w:rsidRPr="005346D8" w:rsidRDefault="4610CDE9"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Lengthy delays</w:t>
            </w:r>
            <w:r w:rsidR="005346D8" w:rsidRPr="4C72D9C6">
              <w:rPr>
                <w:rFonts w:ascii="Arial" w:eastAsia="Arial" w:hAnsi="Arial" w:cs="Arial"/>
                <w:color w:val="000000" w:themeColor="text1"/>
                <w:sz w:val="22"/>
                <w:szCs w:val="22"/>
              </w:rPr>
              <w:t xml:space="preserve"> block early help</w:t>
            </w:r>
          </w:p>
        </w:tc>
        <w:tc>
          <w:tcPr>
            <w:tcW w:w="1174" w:type="dxa"/>
            <w:vAlign w:val="center"/>
            <w:hideMark/>
          </w:tcPr>
          <w:p w14:paraId="1D07E3DE"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waiting times</w:t>
            </w:r>
          </w:p>
        </w:tc>
      </w:tr>
      <w:tr w:rsidR="005346D8" w:rsidRPr="005346D8" w14:paraId="3DA079E1"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A037D4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NHS Digital (2022)</w:t>
            </w:r>
          </w:p>
        </w:tc>
        <w:tc>
          <w:tcPr>
            <w:tcW w:w="1172" w:type="dxa"/>
            <w:vAlign w:val="center"/>
            <w:hideMark/>
          </w:tcPr>
          <w:p w14:paraId="02EA3AE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MH of children</w:t>
            </w:r>
          </w:p>
        </w:tc>
        <w:tc>
          <w:tcPr>
            <w:tcW w:w="1249" w:type="dxa"/>
            <w:vAlign w:val="center"/>
            <w:hideMark/>
          </w:tcPr>
          <w:p w14:paraId="6EE37507"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National dataset</w:t>
            </w:r>
          </w:p>
        </w:tc>
        <w:tc>
          <w:tcPr>
            <w:tcW w:w="1284" w:type="dxa"/>
            <w:vAlign w:val="center"/>
            <w:hideMark/>
          </w:tcPr>
          <w:p w14:paraId="270D931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England-wide survey</w:t>
            </w:r>
          </w:p>
        </w:tc>
        <w:tc>
          <w:tcPr>
            <w:tcW w:w="1474" w:type="dxa"/>
            <w:vAlign w:val="center"/>
            <w:hideMark/>
          </w:tcPr>
          <w:p w14:paraId="4ECFD7C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Large sample– Descriptive</w:t>
            </w:r>
          </w:p>
        </w:tc>
        <w:tc>
          <w:tcPr>
            <w:tcW w:w="1564" w:type="dxa"/>
            <w:vAlign w:val="center"/>
            <w:hideMark/>
          </w:tcPr>
          <w:p w14:paraId="1696D181"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prevalence rising</w:t>
            </w:r>
          </w:p>
        </w:tc>
        <w:tc>
          <w:tcPr>
            <w:tcW w:w="1174" w:type="dxa"/>
            <w:vAlign w:val="center"/>
            <w:hideMark/>
          </w:tcPr>
          <w:p w14:paraId="32F00945"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national data</w:t>
            </w:r>
          </w:p>
        </w:tc>
      </w:tr>
      <w:tr w:rsidR="005346D8" w:rsidRPr="005346D8" w14:paraId="34543E9E"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5070701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NICE (2018/2025)</w:t>
            </w:r>
          </w:p>
        </w:tc>
        <w:tc>
          <w:tcPr>
            <w:tcW w:w="1172" w:type="dxa"/>
            <w:vAlign w:val="center"/>
            <w:hideMark/>
          </w:tcPr>
          <w:p w14:paraId="0489543D"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guideline</w:t>
            </w:r>
          </w:p>
        </w:tc>
        <w:tc>
          <w:tcPr>
            <w:tcW w:w="1249" w:type="dxa"/>
            <w:vAlign w:val="center"/>
            <w:hideMark/>
          </w:tcPr>
          <w:p w14:paraId="237163E1"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Guideline</w:t>
            </w:r>
          </w:p>
        </w:tc>
        <w:tc>
          <w:tcPr>
            <w:tcW w:w="1284" w:type="dxa"/>
            <w:vAlign w:val="center"/>
            <w:hideMark/>
          </w:tcPr>
          <w:p w14:paraId="50117FA9" w14:textId="12DC3B34"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xml:space="preserve">Evidence </w:t>
            </w:r>
            <w:r w:rsidR="4A86A7C4" w:rsidRPr="4C72D9C6">
              <w:rPr>
                <w:rFonts w:ascii="Arial" w:eastAsia="Arial" w:hAnsi="Arial" w:cs="Arial"/>
                <w:color w:val="000000" w:themeColor="text1"/>
                <w:sz w:val="22"/>
                <w:szCs w:val="22"/>
              </w:rPr>
              <w:t>reviews</w:t>
            </w:r>
          </w:p>
        </w:tc>
        <w:tc>
          <w:tcPr>
            <w:tcW w:w="1474" w:type="dxa"/>
            <w:vAlign w:val="center"/>
            <w:hideMark/>
          </w:tcPr>
          <w:p w14:paraId="4A5B56D4"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Authoritative– Broad</w:t>
            </w:r>
          </w:p>
        </w:tc>
        <w:tc>
          <w:tcPr>
            <w:tcW w:w="1564" w:type="dxa"/>
            <w:vAlign w:val="center"/>
            <w:hideMark/>
          </w:tcPr>
          <w:p w14:paraId="2D1ED417"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Recommends early assessment</w:t>
            </w:r>
          </w:p>
        </w:tc>
        <w:tc>
          <w:tcPr>
            <w:tcW w:w="1174" w:type="dxa"/>
            <w:vAlign w:val="center"/>
            <w:hideMark/>
          </w:tcPr>
          <w:p w14:paraId="12BB3E5D"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guidance</w:t>
            </w:r>
          </w:p>
        </w:tc>
      </w:tr>
      <w:tr w:rsidR="005346D8" w:rsidRPr="005346D8" w14:paraId="6E8013F1"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1EF2FC2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DfE &amp; DHSC (2015)</w:t>
            </w:r>
          </w:p>
        </w:tc>
        <w:tc>
          <w:tcPr>
            <w:tcW w:w="1172" w:type="dxa"/>
            <w:vAlign w:val="center"/>
            <w:hideMark/>
          </w:tcPr>
          <w:p w14:paraId="6AC04C51"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SEND Code</w:t>
            </w:r>
          </w:p>
        </w:tc>
        <w:tc>
          <w:tcPr>
            <w:tcW w:w="1249" w:type="dxa"/>
            <w:vAlign w:val="center"/>
            <w:hideMark/>
          </w:tcPr>
          <w:p w14:paraId="6E3CABB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Policy</w:t>
            </w:r>
          </w:p>
        </w:tc>
        <w:tc>
          <w:tcPr>
            <w:tcW w:w="1284" w:type="dxa"/>
            <w:vAlign w:val="center"/>
            <w:hideMark/>
          </w:tcPr>
          <w:p w14:paraId="2893B790"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National guidance</w:t>
            </w:r>
          </w:p>
        </w:tc>
        <w:tc>
          <w:tcPr>
            <w:tcW w:w="1474" w:type="dxa"/>
            <w:vAlign w:val="center"/>
            <w:hideMark/>
          </w:tcPr>
          <w:p w14:paraId="45F5D85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Statutory– Variable practice</w:t>
            </w:r>
          </w:p>
        </w:tc>
        <w:tc>
          <w:tcPr>
            <w:tcW w:w="1564" w:type="dxa"/>
            <w:vAlign w:val="center"/>
            <w:hideMark/>
          </w:tcPr>
          <w:p w14:paraId="037A6BD0" w14:textId="0ED3525F"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xml:space="preserve">Early identification </w:t>
            </w:r>
            <w:r w:rsidR="509DA0C5" w:rsidRPr="4C72D9C6">
              <w:rPr>
                <w:rFonts w:ascii="Arial" w:eastAsia="Arial" w:hAnsi="Arial" w:cs="Arial"/>
                <w:color w:val="000000" w:themeColor="text1"/>
                <w:sz w:val="22"/>
                <w:szCs w:val="22"/>
              </w:rPr>
              <w:t>needed</w:t>
            </w:r>
          </w:p>
        </w:tc>
        <w:tc>
          <w:tcPr>
            <w:tcW w:w="1174" w:type="dxa"/>
            <w:vAlign w:val="center"/>
            <w:hideMark/>
          </w:tcPr>
          <w:p w14:paraId="0A86BFFD"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SEND; inclusion</w:t>
            </w:r>
          </w:p>
        </w:tc>
      </w:tr>
      <w:tr w:rsidR="005346D8" w:rsidRPr="005346D8" w14:paraId="5E149412"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289E5E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Westwood et al. (2023)</w:t>
            </w:r>
          </w:p>
        </w:tc>
        <w:tc>
          <w:tcPr>
            <w:tcW w:w="1172" w:type="dxa"/>
            <w:vAlign w:val="center"/>
            <w:hideMark/>
          </w:tcPr>
          <w:p w14:paraId="3F44E725"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Multi-agency work</w:t>
            </w:r>
          </w:p>
        </w:tc>
        <w:tc>
          <w:tcPr>
            <w:tcW w:w="1249" w:type="dxa"/>
            <w:vAlign w:val="center"/>
            <w:hideMark/>
          </w:tcPr>
          <w:p w14:paraId="51643A53"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Qualitative</w:t>
            </w:r>
          </w:p>
        </w:tc>
        <w:tc>
          <w:tcPr>
            <w:tcW w:w="1284" w:type="dxa"/>
            <w:vAlign w:val="center"/>
            <w:hideMark/>
          </w:tcPr>
          <w:p w14:paraId="0D1E71B9"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Interviews (schools + CAMHS)</w:t>
            </w:r>
          </w:p>
        </w:tc>
        <w:tc>
          <w:tcPr>
            <w:tcW w:w="1474" w:type="dxa"/>
            <w:vAlign w:val="center"/>
            <w:hideMark/>
          </w:tcPr>
          <w:p w14:paraId="63FD8B70"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Multi-perspective– Small group</w:t>
            </w:r>
          </w:p>
        </w:tc>
        <w:tc>
          <w:tcPr>
            <w:tcW w:w="1564" w:type="dxa"/>
            <w:vAlign w:val="center"/>
            <w:hideMark/>
          </w:tcPr>
          <w:p w14:paraId="10DB4199"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Collaboration improves outcomes</w:t>
            </w:r>
          </w:p>
        </w:tc>
        <w:tc>
          <w:tcPr>
            <w:tcW w:w="1174" w:type="dxa"/>
            <w:vAlign w:val="center"/>
            <w:hideMark/>
          </w:tcPr>
          <w:p w14:paraId="4670525D"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CAMHS; teamwork</w:t>
            </w:r>
          </w:p>
        </w:tc>
      </w:tr>
      <w:tr w:rsidR="005346D8" w:rsidRPr="005346D8" w14:paraId="5991ECFD"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5681720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NAO (2024)</w:t>
            </w:r>
          </w:p>
        </w:tc>
        <w:tc>
          <w:tcPr>
            <w:tcW w:w="1172" w:type="dxa"/>
            <w:vAlign w:val="center"/>
            <w:hideMark/>
          </w:tcPr>
          <w:p w14:paraId="3F0010D8"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Access inequalities</w:t>
            </w:r>
          </w:p>
        </w:tc>
        <w:tc>
          <w:tcPr>
            <w:tcW w:w="1249" w:type="dxa"/>
            <w:vAlign w:val="center"/>
            <w:hideMark/>
          </w:tcPr>
          <w:p w14:paraId="0092FEF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Audit review</w:t>
            </w:r>
          </w:p>
        </w:tc>
        <w:tc>
          <w:tcPr>
            <w:tcW w:w="1284" w:type="dxa"/>
            <w:vAlign w:val="center"/>
            <w:hideMark/>
          </w:tcPr>
          <w:p w14:paraId="224B408A"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UK audit</w:t>
            </w:r>
          </w:p>
        </w:tc>
        <w:tc>
          <w:tcPr>
            <w:tcW w:w="1474" w:type="dxa"/>
            <w:vAlign w:val="center"/>
            <w:hideMark/>
          </w:tcPr>
          <w:p w14:paraId="3BF7B19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National evidence– Not ADHD-specific</w:t>
            </w:r>
          </w:p>
        </w:tc>
        <w:tc>
          <w:tcPr>
            <w:tcW w:w="1564" w:type="dxa"/>
            <w:vAlign w:val="center"/>
            <w:hideMark/>
          </w:tcPr>
          <w:p w14:paraId="2863FF4D"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Large regional differences</w:t>
            </w:r>
          </w:p>
        </w:tc>
        <w:tc>
          <w:tcPr>
            <w:tcW w:w="1174" w:type="dxa"/>
            <w:vAlign w:val="center"/>
            <w:hideMark/>
          </w:tcPr>
          <w:p w14:paraId="1F45F34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inequality</w:t>
            </w:r>
          </w:p>
        </w:tc>
      </w:tr>
    </w:tbl>
    <w:p w14:paraId="288018BE" w14:textId="70E1A914" w:rsidR="005346D8" w:rsidRPr="005346D8" w:rsidRDefault="005346D8" w:rsidP="4C72D9C6">
      <w:pPr>
        <w:spacing w:before="100" w:beforeAutospacing="1" w:after="100" w:afterAutospacing="1" w:line="240" w:lineRule="auto"/>
        <w:jc w:val="left"/>
        <w:outlineLvl w:val="2"/>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 </w:t>
      </w:r>
    </w:p>
    <w:p w14:paraId="5541FB34" w14:textId="77777777" w:rsidR="005346D8" w:rsidRPr="005346D8" w:rsidRDefault="005346D8" w:rsidP="4C72D9C6">
      <w:pPr>
        <w:spacing w:after="0" w:line="240" w:lineRule="auto"/>
        <w:jc w:val="left"/>
        <w:rPr>
          <w:rFonts w:ascii="Arial" w:eastAsia="Arial" w:hAnsi="Arial" w:cs="Arial"/>
          <w:color w:val="000000" w:themeColor="text1"/>
          <w:kern w:val="0"/>
          <w:lang w:eastAsia="en-GB"/>
          <w14:ligatures w14:val="none"/>
        </w:rPr>
      </w:pPr>
    </w:p>
    <w:p w14:paraId="666E4414" w14:textId="25490E81" w:rsidR="005346D8" w:rsidRPr="005346D8" w:rsidRDefault="005346D8" w:rsidP="4C72D9C6">
      <w:pPr>
        <w:spacing w:after="0"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These thematic categories underpin the analytical discussion developed in Chapter 4, where the links between early ADHD diagnosis, educational outcomes, and support systems are critically explored.</w:t>
      </w:r>
    </w:p>
    <w:p w14:paraId="1D01D666" w14:textId="77777777" w:rsidR="00171652" w:rsidRDefault="00171652"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D542267" w14:textId="6F031EB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434BAF5" w14:textId="5C5CEB6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F291D3D" w14:textId="6269FE1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63F0BB8" w14:textId="3468170E"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6DDC82E" w14:textId="77777777" w:rsidR="00171652" w:rsidRPr="005346D8" w:rsidRDefault="00171652"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D6A9C59"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C – Inclusion and Exclusion Criteria Summary</w:t>
      </w:r>
    </w:p>
    <w:p w14:paraId="2DFD05E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(Linked to Chapter 3, Section 3.5)</w:t>
      </w:r>
    </w:p>
    <w:p w14:paraId="5ED86D9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tbl>
      <w:tblPr>
        <w:tblStyle w:val="TableGrid"/>
        <w:tblW w:w="0" w:type="auto"/>
        <w:tblLook w:val="04A0" w:firstRow="1" w:lastRow="0" w:firstColumn="1" w:lastColumn="0" w:noHBand="0" w:noVBand="1"/>
      </w:tblPr>
      <w:tblGrid>
        <w:gridCol w:w="1228"/>
        <w:gridCol w:w="4443"/>
        <w:gridCol w:w="3345"/>
      </w:tblGrid>
      <w:tr w:rsidR="005346D8" w:rsidRPr="005346D8" w14:paraId="7A8BACA0" w14:textId="77777777" w:rsidTr="4C72D9C6">
        <w:tc>
          <w:tcPr>
            <w:tcW w:w="0" w:type="auto"/>
            <w:hideMark/>
          </w:tcPr>
          <w:p w14:paraId="2FF24C85"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Criteria Type</w:t>
            </w:r>
          </w:p>
        </w:tc>
        <w:tc>
          <w:tcPr>
            <w:tcW w:w="0" w:type="auto"/>
            <w:hideMark/>
          </w:tcPr>
          <w:p w14:paraId="7D6E6966"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Description</w:t>
            </w:r>
          </w:p>
        </w:tc>
        <w:tc>
          <w:tcPr>
            <w:tcW w:w="0" w:type="auto"/>
            <w:hideMark/>
          </w:tcPr>
          <w:p w14:paraId="0FCE5B2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Justification</w:t>
            </w:r>
          </w:p>
        </w:tc>
      </w:tr>
      <w:tr w:rsidR="005346D8" w:rsidRPr="005346D8" w14:paraId="2D6FDAF7" w14:textId="77777777" w:rsidTr="4C72D9C6">
        <w:tc>
          <w:tcPr>
            <w:tcW w:w="0" w:type="auto"/>
            <w:hideMark/>
          </w:tcPr>
          <w:p w14:paraId="5B6A5E9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Inclusion</w:t>
            </w:r>
          </w:p>
        </w:tc>
        <w:tc>
          <w:tcPr>
            <w:tcW w:w="0" w:type="auto"/>
            <w:hideMark/>
          </w:tcPr>
          <w:p w14:paraId="1ABB0F3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journal articles (2015–2025); UK or comparable Western education contexts; studies on children aged 5–11 with ADHD; national policy and guidance (NICE, DfE, NHS England).</w:t>
            </w:r>
          </w:p>
        </w:tc>
        <w:tc>
          <w:tcPr>
            <w:tcW w:w="0" w:type="auto"/>
            <w:hideMark/>
          </w:tcPr>
          <w:p w14:paraId="1542597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Ensured contemporary, relevant, and evidence-based sources reflecting the UK’s educational and clinical framework.</w:t>
            </w:r>
          </w:p>
        </w:tc>
      </w:tr>
      <w:tr w:rsidR="005346D8" w:rsidRPr="005346D8" w14:paraId="5FC6ADAC" w14:textId="77777777" w:rsidTr="4C72D9C6">
        <w:trPr>
          <w:trHeight w:val="644"/>
        </w:trPr>
        <w:tc>
          <w:tcPr>
            <w:tcW w:w="0" w:type="auto"/>
            <w:hideMark/>
          </w:tcPr>
          <w:p w14:paraId="3730054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Exclusion</w:t>
            </w:r>
          </w:p>
        </w:tc>
        <w:tc>
          <w:tcPr>
            <w:tcW w:w="0" w:type="auto"/>
            <w:hideMark/>
          </w:tcPr>
          <w:p w14:paraId="4848576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Non-English articles; studies before 2015; blogs or opinion pieces; clinical-only research with no educational focus.</w:t>
            </w:r>
          </w:p>
        </w:tc>
        <w:tc>
          <w:tcPr>
            <w:tcW w:w="0" w:type="auto"/>
            <w:hideMark/>
          </w:tcPr>
          <w:p w14:paraId="1A4EE57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Prevented bias and improved reliability by removing irrelevant or outdated materials.</w:t>
            </w:r>
          </w:p>
        </w:tc>
      </w:tr>
    </w:tbl>
    <w:p w14:paraId="6401815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28CBC8F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table summarises the inclusion and exclusion parameters applied during the literature review process. It ensures transparency in how sources were selected and shows alignment with the project’s focus on early ADHD diagnosis in UK primary education contexts.</w:t>
      </w:r>
    </w:p>
    <w:p w14:paraId="2CEA585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54BF7E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E72C4F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53FA31D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056A1E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568D04F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7B0525F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F8F511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8260A9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671F22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C6419E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741F12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77CC6CC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78752C4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230D63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697EDC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D88C7C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365D04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3F3EE4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0E9E309" w14:textId="77777777" w:rsidR="00B77532" w:rsidRPr="00FF5B5D" w:rsidRDefault="00B77532" w:rsidP="4C72D9C6">
      <w:pPr>
        <w:rPr>
          <w:rFonts w:ascii="Arial" w:eastAsia="Arial" w:hAnsi="Arial" w:cs="Arial"/>
          <w:color w:val="000000" w:themeColor="text1"/>
        </w:rPr>
      </w:pPr>
    </w:p>
    <w:p w14:paraId="0D5F3838" w14:textId="77777777" w:rsidR="008C38C3" w:rsidRPr="00FF5B5D" w:rsidRDefault="008C38C3" w:rsidP="4C72D9C6">
      <w:pPr>
        <w:rPr>
          <w:rFonts w:ascii="Arial" w:eastAsia="Arial" w:hAnsi="Arial" w:cs="Arial"/>
          <w:color w:val="000000" w:themeColor="text1"/>
        </w:rPr>
      </w:pPr>
    </w:p>
    <w:p w14:paraId="438D3C08" w14:textId="77777777" w:rsidR="008C38C3" w:rsidRPr="00FF5B5D" w:rsidRDefault="008C38C3" w:rsidP="4C72D9C6">
      <w:pPr>
        <w:rPr>
          <w:rFonts w:ascii="Arial" w:eastAsia="Arial" w:hAnsi="Arial" w:cs="Arial"/>
          <w:color w:val="000000" w:themeColor="text1"/>
        </w:rPr>
      </w:pPr>
    </w:p>
    <w:p w14:paraId="18FF6044" w14:textId="77777777" w:rsidR="008C38C3" w:rsidRPr="00FF5B5D" w:rsidRDefault="008C38C3" w:rsidP="4C72D9C6">
      <w:pPr>
        <w:rPr>
          <w:rFonts w:ascii="Arial" w:eastAsia="Arial" w:hAnsi="Arial" w:cs="Arial"/>
          <w:color w:val="000000" w:themeColor="text1"/>
        </w:rPr>
      </w:pPr>
    </w:p>
    <w:p w14:paraId="268CFD1F" w14:textId="77777777" w:rsidR="008C38C3" w:rsidRPr="00FF5B5D" w:rsidRDefault="008C38C3" w:rsidP="4C72D9C6">
      <w:pPr>
        <w:rPr>
          <w:rFonts w:ascii="Arial" w:eastAsia="Arial" w:hAnsi="Arial" w:cs="Arial"/>
          <w:color w:val="000000" w:themeColor="text1"/>
        </w:rPr>
      </w:pPr>
    </w:p>
    <w:p w14:paraId="5DA0FD87" w14:textId="3E6E7B7A" w:rsidR="008C38C3" w:rsidRPr="00FF5B5D" w:rsidRDefault="008C38C3" w:rsidP="4C72D9C6">
      <w:pPr>
        <w:rPr>
          <w:rFonts w:ascii="Arial" w:eastAsia="Arial" w:hAnsi="Arial" w:cs="Arial"/>
          <w:color w:val="000000" w:themeColor="text1"/>
        </w:rPr>
      </w:pPr>
    </w:p>
    <w:p w14:paraId="70C7CA0C" w14:textId="657FA755" w:rsidR="008C38C3" w:rsidRPr="00FF5B5D" w:rsidRDefault="008C38C3" w:rsidP="4C72D9C6">
      <w:pPr>
        <w:pStyle w:val="Heading1"/>
        <w:rPr>
          <w:rFonts w:eastAsia="Arial" w:cs="Arial"/>
          <w:color w:val="000000" w:themeColor="text1"/>
          <w:sz w:val="22"/>
          <w:szCs w:val="22"/>
        </w:rPr>
      </w:pPr>
    </w:p>
    <w:sectPr w:rsidR="008C38C3" w:rsidRPr="00FF5B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C1A17" w14:textId="77777777" w:rsidR="00F72C60" w:rsidRDefault="00F72C60" w:rsidP="00211184">
      <w:pPr>
        <w:spacing w:after="0" w:line="240" w:lineRule="auto"/>
      </w:pPr>
      <w:r>
        <w:separator/>
      </w:r>
    </w:p>
  </w:endnote>
  <w:endnote w:type="continuationSeparator" w:id="0">
    <w:p w14:paraId="30304B7E" w14:textId="77777777" w:rsidR="00F72C60" w:rsidRDefault="00F72C60"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C9AA" w14:textId="77777777" w:rsidR="00F72C60" w:rsidRDefault="00F72C60" w:rsidP="00211184">
      <w:pPr>
        <w:spacing w:after="0" w:line="240" w:lineRule="auto"/>
      </w:pPr>
      <w:r>
        <w:separator/>
      </w:r>
    </w:p>
  </w:footnote>
  <w:footnote w:type="continuationSeparator" w:id="0">
    <w:p w14:paraId="6AB94E88" w14:textId="77777777" w:rsidR="00F72C60" w:rsidRDefault="00F72C60"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5HhFoHn82wrJU" int2:id="0GIeEOKS">
      <int2:state int2:value="Rejected" int2:type="spell"/>
    </int2:textHash>
    <int2:textHash int2:hashCode="i8waBE316URZBM" int2:id="1kxyt5aQ">
      <int2:state int2:value="Rejected" int2:type="spell"/>
    </int2:textHash>
    <int2:textHash int2:hashCode="ePkceRuUfyeZm7" int2:id="8Z3uaV30">
      <int2:state int2:value="Rejected" int2:type="spell"/>
    </int2:textHash>
    <int2:textHash int2:hashCode="rx5//lam2bToqa" int2:id="zHLlzDHw">
      <int2:state int2:value="Rejected" int2:type="spell"/>
    </int2:textHash>
    <int2:textHash int2:hashCode="wGGGuyJhHE8R5Z" int2:id="JsAJlYbI">
      <int2:state int2:value="Rejected" int2:type="spell"/>
    </int2:textHash>
    <int2:textHash int2:hashCode="3VQK/1LAqr50tL" int2:id="SD2U8TaF">
      <int2:state int2:value="Rejected" int2:type="spell"/>
    </int2:textHash>
    <int2:textHash int2:hashCode="25b6hn0CIoLFpi" int2:id="UhMollnU">
      <int2:state int2:value="Rejected" int2:type="spell"/>
    </int2:textHash>
    <int2:textHash int2:hashCode="381T4BhViaD0f1" int2:id="WahN98s4">
      <int2:state int2:value="Rejected" int2:type="spell"/>
    </int2:textHash>
    <int2:textHash int2:hashCode="TaUNCpEh0sOBot" int2:id="eMqsnRPx">
      <int2:state int2:value="Rejected" int2:type="spell"/>
    </int2:textHash>
    <int2:textHash int2:hashCode="SOVj8UjcBNizHJ" int2:id="fAQiOLlW">
      <int2:state int2:value="Rejected" int2:type="spell"/>
    </int2:textHash>
    <int2:textHash int2:hashCode="5hG2yfABIBss14" int2:id="l5Dt6qBm">
      <int2:state int2:value="Rejected" int2:type="spell"/>
    </int2:textHash>
    <int2:textHash int2:hashCode="A/xLl8Z9fyhd8R" int2:id="lZluHa2i">
      <int2:state int2:value="Rejected" int2:type="spell"/>
    </int2:textHash>
    <int2:textHash int2:hashCode="EKODEBVRhineJf" int2:id="lm1LR31i">
      <int2:state int2:value="Rejected" int2:type="spell"/>
    </int2:textHash>
    <int2:textHash int2:hashCode="kYAmYxFmc2AJjC" int2:id="tkB9JUdo">
      <int2:state int2:value="Rejected" int2:type="spell"/>
    </int2:textHash>
    <int2:bookmark int2:bookmarkName="_Int_7uhRMUBO" int2:invalidationBookmarkName="" int2:hashCode="00lrrL/M8p7RXo" int2:id="5kuJChuM">
      <int2:state int2:value="Rejected" int2:type="style"/>
    </int2:bookmark>
    <int2:bookmark int2:bookmarkName="_Int_ipqpZoWd" int2:invalidationBookmarkName="" int2:hashCode="KY4lrqUSB2orV0" int2:id="62BDEawk">
      <int2:state int2:value="Rejected" int2:type="style"/>
    </int2:bookmark>
    <int2:bookmark int2:bookmarkName="_Int_6gfpr4T5" int2:invalidationBookmarkName="" int2:hashCode="M1xMHi8FtSl6Vn" int2:id="6nolqxvM">
      <int2:state int2:value="Rejected" int2:type="style"/>
    </int2:bookmark>
    <int2:bookmark int2:bookmarkName="_Int_PoOpe9qR" int2:invalidationBookmarkName="" int2:hashCode="/aQ3g76OCz+SBq" int2:id="7Vya2Tsv">
      <int2:state int2:value="Rejected" int2:type="style"/>
    </int2:bookmark>
    <int2:bookmark int2:bookmarkName="_Int_MPd2Dtlt" int2:invalidationBookmarkName="" int2:hashCode="m/D4/19di8v/ud" int2:id="7kWZle3v">
      <int2:state int2:value="Rejected" int2:type="style"/>
    </int2:bookmark>
    <int2:bookmark int2:bookmarkName="_Int_6KoNDJIm" int2:invalidationBookmarkName="" int2:hashCode="K7r3LJscGyXBfj" int2:id="8qPPkDXD">
      <int2:state int2:value="Rejected" int2:type="style"/>
    </int2:bookmark>
    <int2:bookmark int2:bookmarkName="_Int_wC5Uatj9" int2:invalidationBookmarkName="" int2:hashCode="00lrrL/M8p7RXo" int2:id="9aazGYcO">
      <int2:state int2:value="Rejected" int2:type="style"/>
    </int2:bookmark>
    <int2:bookmark int2:bookmarkName="_Int_5J8ia9vO" int2:invalidationBookmarkName="" int2:hashCode="ZanletI6wlweVG" int2:id="AqgZ0QvD">
      <int2:state int2:value="Rejected" int2:type="style"/>
    </int2:bookmark>
    <int2:bookmark int2:bookmarkName="_Int_6FccmscN" int2:invalidationBookmarkName="" int2:hashCode="ZanletI6wlweVG" int2:id="BKdbMsLE">
      <int2:state int2:value="Rejected" int2:type="style"/>
    </int2:bookmark>
    <int2:bookmark int2:bookmarkName="_Int_uyrR7P48" int2:invalidationBookmarkName="" int2:hashCode="4uvCBYKKFiPGZR" int2:id="DmHDMQgp">
      <int2:state int2:value="Rejected" int2:type="style"/>
    </int2:bookmark>
    <int2:bookmark int2:bookmarkName="_Int_9wwEUNzP" int2:invalidationBookmarkName="" int2:hashCode="nabOD5VXEdeEMA" int2:id="ElWImSKQ">
      <int2:state int2:value="Rejected" int2:type="gram"/>
    </int2:bookmark>
    <int2:bookmark int2:bookmarkName="_Int_9aE54pGb" int2:invalidationBookmarkName="" int2:hashCode="xhKzW50/O76H3Z" int2:id="GyUUx0lR">
      <int2:state int2:value="Rejected" int2:type="style"/>
    </int2:bookmark>
    <int2:bookmark int2:bookmarkName="_Int_kq4MKPBp" int2:invalidationBookmarkName="" int2:hashCode="8rzOioYgvPnZb4" int2:id="HvGDdC3J">
      <int2:state int2:value="Rejected" int2:type="style"/>
    </int2:bookmark>
    <int2:bookmark int2:bookmarkName="_Int_Dpe7AJYt" int2:invalidationBookmarkName="" int2:hashCode="dkmkRuVDysnpuX" int2:id="I5OglvC0">
      <int2:state int2:value="Rejected" int2:type="style"/>
    </int2:bookmark>
    <int2:bookmark int2:bookmarkName="_Int_wX4ap3tP" int2:invalidationBookmarkName="" int2:hashCode="IEEkdmk2qlIoq+" int2:id="I7dlIELY">
      <int2:state int2:value="Rejected" int2:type="style"/>
    </int2:bookmark>
    <int2:bookmark int2:bookmarkName="_Int_kFbsgteO" int2:invalidationBookmarkName="" int2:hashCode="UjDH1Vnkat3K2m" int2:id="zj20IATc">
      <int2:state int2:value="Rejected" int2:type="style"/>
    </int2:bookmark>
    <int2:bookmark int2:bookmarkName="_Int_pA2uYDGp" int2:invalidationBookmarkName="" int2:hashCode="sFOrmp13KHdkmz" int2:id="IFP5XdJT">
      <int2:state int2:value="Rejected" int2:type="style"/>
    </int2:bookmark>
    <int2:bookmark int2:bookmarkName="_Int_b5QiGGfa" int2:invalidationBookmarkName="" int2:hashCode="6Ib5vfWamocy9+" int2:id="KBO28b7P">
      <int2:state int2:value="Rejected" int2:type="gram"/>
    </int2:bookmark>
    <int2:bookmark int2:bookmarkName="_Int_c0gcGYQX" int2:invalidationBookmarkName="" int2:hashCode="4/ByatqIm0XAMC" int2:id="MeA0ML6I">
      <int2:state int2:value="Rejected" int2:type="style"/>
    </int2:bookmark>
    <int2:bookmark int2:bookmarkName="_Int_CODQvpLq" int2:invalidationBookmarkName="" int2:hashCode="ok/yMCIL3jhY4h" int2:id="MyGa8SmB">
      <int2:state int2:value="Rejected" int2:type="AugLoop_RoleDetection_RoleDetectionAnnotation"/>
    </int2:bookmark>
    <int2:bookmark int2:bookmarkName="_Int_zrdE9PUM" int2:invalidationBookmarkName="" int2:hashCode="6xX40Nbu8SUY24" int2:id="PfGtUXLV">
      <int2:state int2:value="Rejected" int2:type="style"/>
    </int2:bookmark>
    <int2:bookmark int2:bookmarkName="_Int_fCWPQYz7" int2:invalidationBookmarkName="" int2:hashCode="/aQ3g76OCz+SBq" int2:id="T7k2UqYD">
      <int2:state int2:value="Rejected" int2:type="style"/>
    </int2:bookmark>
    <int2:bookmark int2:bookmarkName="_Int_KEYa7bF2" int2:invalidationBookmarkName="" int2:hashCode="00lrrL/M8p7RXo" int2:id="UridmqUN">
      <int2:state int2:value="Rejected" int2:type="style"/>
    </int2:bookmark>
    <int2:bookmark int2:bookmarkName="_Int_h45GXmoC" int2:invalidationBookmarkName="" int2:hashCode="v1+anaRfUIDswh" int2:id="Z8kA05Fi">
      <int2:state int2:value="Rejected" int2:type="style"/>
    </int2:bookmark>
    <int2:bookmark int2:bookmarkName="_Int_6v46NGx6" int2:invalidationBookmarkName="" int2:hashCode="itfSHHGwSbcAO6" int2:id="ZZ0kVFfF">
      <int2:state int2:value="Rejected" int2:type="style"/>
    </int2:bookmark>
    <int2:bookmark int2:bookmarkName="_Int_O43QPvaa" int2:invalidationBookmarkName="" int2:hashCode="5NmnYnEbPG7rVG" int2:id="a0HtUS7N">
      <int2:state int2:value="Rejected" int2:type="style"/>
    </int2:bookmark>
    <int2:bookmark int2:bookmarkName="_Int_vxquCaHw" int2:invalidationBookmarkName="" int2:hashCode="7aMEJGkMYVz4/o" int2:id="ah7vsLU8">
      <int2:state int2:value="Rejected" int2:type="spell"/>
    </int2:bookmark>
    <int2:bookmark int2:bookmarkName="_Int_rG4xZ4Ri" int2:invalidationBookmarkName="" int2:hashCode="9KZNSBSfy+/fuB" int2:id="crIGAdUE">
      <int2:extLst>
        <oel:ext uri="426473B9-03D8-482F-96C9-C2C85392BACA">
          <int2:similarityCritique int2:version="1" int2:context="Institute of Health Equity (2020) Build Back Fairer: The COVID-19 Marmot Review.">
            <int2:source int2:sourceType="Online" int2:sourceTitle="Build Back Fairer: The COVID-19 Marmot Review - ARC" int2:sourceUrl="https://arc-nenc.nihr.ac.uk/resources/build-back-fairer-the-covid-19-marmot-review/" int2:sourceSnippet="Build Back Fairer: The COVID-19 Marmot Review This report was produced in December 2020 by the UCL Institute of Health Equity and commissioned by the Health Foundation as part of its COVID-19 impact inquiry to investigate how the pandemic has affected health inequalities in England. The review and its recommendations follow on from Health Equity in England: The Marmot Review 10 Years On ...">
              <int2:suggestions int2:citationType="Inline">
                <int2:suggestion int2:citationStyle="Mla" int2:isIdentical="0">
                  <int2:citationText>(“Build Back Fairer: The COVID-19 Marmot Review - ARC”)</int2:citationText>
                </int2:suggestion>
                <int2:suggestion int2:citationStyle="Apa" int2:isIdentical="0">
                  <int2:citationText>(“Build Back Fairer: The COVID-19 Marmot Review - ARC”)</int2:citationText>
                </int2:suggestion>
                <int2:suggestion int2:citationStyle="Chicago" int2:isIdentical="0">
                  <int2:citationText>(“Build Back Fairer: The COVID-19 Marmot Review - ARC”)</int2:citationText>
                </int2:suggestion>
              </int2:suggestions>
              <int2:suggestions int2:citationType="Full">
                <int2:suggestion int2:citationStyle="Mla" int2:isIdentical="0">
                  <int2:citationText>&lt;i&gt;Build Back Fairer: The COVID-19 Marmot Review - ARC&lt;/i&gt;, https://arc-nenc.nihr.ac.uk/resources/build-back-fairer-the-covid-19-marmot-review/.</int2:citationText>
                </int2:suggestion>
                <int2:suggestion int2:citationStyle="Apa" int2:isIdentical="0">
                  <int2:citationText>&lt;i&gt;Build Back Fairer: The COVID-19 Marmot Review - ARC&lt;/i&gt;. (n.d.). Retrieved from https://arc-nenc.nihr.ac.uk/resources/build-back-fairer-the-covid-19-marmot-review/</int2:citationText>
                </int2:suggestion>
                <int2:suggestion int2:citationStyle="Chicago" int2:isIdentical="0">
                  <int2:citationText>“Build Back Fairer: The COVID-19 Marmot Review - ARC” n.d., https://arc-nenc.nihr.ac.uk/resources/build-back-fairer-the-covid-19-marmot-review/.</int2:citationText>
                </int2:suggestion>
              </int2:suggestions>
            </int2:source>
          </int2:similarityCritique>
        </oel:ext>
      </int2:extLst>
    </int2:bookmark>
    <int2:bookmark int2:bookmarkName="_Int_PdJe0n6Z" int2:invalidationBookmarkName="" int2:hashCode="MWeBlt2aI4V4I0" int2:id="zCVxLUpe">
      <int2:state int2:value="Rejected" int2:type="style"/>
    </int2:bookmark>
    <int2:bookmark int2:bookmarkName="_Int_EqK1SZK8" int2:invalidationBookmarkName="" int2:hashCode="00lrrL/M8p7RXo" int2:id="evmrjmXU">
      <int2:state int2:value="Rejected" int2:type="style"/>
    </int2:bookmark>
    <int2:bookmark int2:bookmarkName="_Int_3RuZyqjP" int2:invalidationBookmarkName="" int2:hashCode="DnfKAEcAKPtOFp" int2:id="h61kRPRa">
      <int2:state int2:value="Rejected" int2:type="style"/>
    </int2:bookmark>
    <int2:bookmark int2:bookmarkName="_Int_22bjoS8x" int2:invalidationBookmarkName="" int2:hashCode="q5ndahFX0Hv+j6" int2:id="io9BrbMo">
      <int2:extLst>
        <oel:ext uri="426473B9-03D8-482F-96C9-C2C85392BACA">
          <int2:similarityCritique int2:version="1" int2:context="This dissertation is the result of my own independent work/investigation, except where otherwise stated.">
            <int2:source int2:sourceType="Online" int2:sourceTitle="Fraud unravels all? A critical examination of the fraud rules in marine ..." int2:sourceUrl="https://orca.cardiff.ac.uk/id/eprint/110284/1/Thesis%20-%20Final%20Draft%20-%20Post%20Viva.pdf" int2:sourceSnippet="This thesis is the result of my own independent work/investigation, except where otherwise stated, and the thesis has not been edited by a third party beyond what is permitted by Cardiff University’s Policy on the Use of Third Party Editors by Research Degree Students. Other sources are acknowledged by explicit references. The views expressed are my own.">
              <int2:suggestions int2:citationType="Inline">
                <int2:suggestion int2:citationStyle="Mla" int2:isIdentical="0">
                  <int2:citationText>(“Fraud unravels all? A critical examination of the fraud rules in marine ...”)</int2:citationText>
                </int2:suggestion>
                <int2:suggestion int2:citationStyle="Apa" int2:isIdentical="0">
                  <int2:citationText>(“Fraud unravels all? A critical examination of the fraud rules in marine ...”)</int2:citationText>
                </int2:suggestion>
                <int2:suggestion int2:citationStyle="Chicago" int2:isIdentical="0">
                  <int2:citationText>(“Fraud unravels all? A critical examination of the fraud rules in marine ...”)</int2:citationText>
                </int2:suggestion>
              </int2:suggestions>
              <int2:suggestions int2:citationType="Full">
                <int2:suggestion int2:citationStyle="Mla" int2:isIdentical="0">
                  <int2:citationText>&lt;i&gt;Fraud unravels all? A critical examination of the fraud rules in marine ...&lt;/i&gt;, https://orca.cardiff.ac.uk/id/eprint/110284/1/Thesis%20-%20Final%20Draft%20-%20Post%20Viva.pdf.</int2:citationText>
                </int2:suggestion>
                <int2:suggestion int2:citationStyle="Apa" int2:isIdentical="0">
                  <int2:citationText>&lt;i&gt;Fraud unravels all? A critical examination of the fraud rules in marine ...&lt;/i&gt;. (n.d.). Retrieved from https://orca.cardiff.ac.uk/id/eprint/110284/1/Thesis%20-%20Final%20Draft%20-%20Post%20Viva.pdf</int2:citationText>
                </int2:suggestion>
                <int2:suggestion int2:citationStyle="Chicago" int2:isIdentical="0">
                  <int2:citationText>“Fraud unravels all? A critical examination of the fraud rules in marine ...” n.d., https://orca.cardiff.ac.uk/id/eprint/110284/1/Thesis%20-%20Final%20Draft%20-%20Post%20Viva.pdf.</int2:citationText>
                </int2:suggestion>
              </int2:suggestions>
            </int2:source>
          </int2:similarityCritique>
        </oel:ext>
      </int2:extLst>
    </int2:bookmark>
    <int2:bookmark int2:bookmarkName="_Int_bjbhv7zd" int2:invalidationBookmarkName="" int2:hashCode="xhKzW50/O76H3Z" int2:id="itgH95Vr">
      <int2:state int2:value="Rejected" int2:type="style"/>
    </int2:bookmark>
    <int2:bookmark int2:bookmarkName="_Int_WoWLQYQj" int2:invalidationBookmarkName="" int2:hashCode="00lrrL/M8p7RXo" int2:id="j7Bbaoh7">
      <int2:state int2:value="Rejected" int2:type="style"/>
    </int2:bookmark>
    <int2:bookmark int2:bookmarkName="_Int_01qCXvJn" int2:invalidationBookmarkName="" int2:hashCode="cZaJZ9HdrMheCQ" int2:id="k5QdDVbl">
      <int2:extLst>
        <oel:ext uri="426473B9-03D8-482F-96C9-C2C85392BACA">
          <int2:similarityCritique int2:version="1" int2:context="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int2:source int2:sourceType="Online" int2:sourceTitle="TAUGHT STUDENT HANDBOOK" int2:sourceUrl="https://intranet.royalholloway.ac.uk/students/assets/docs/pdf/student-handbook/ug-pgt-psychology-student-handbook-2024-25.pdf" int2:sourceSnippet="This document was published in September 2024 and was correct at that time. The department* reserves the right to modify any statement if necessary, make variations to the content or methods of delivery of programmes of study, to discontinue programmes, or merge or combine programmes if such actions are reasonably considered to be necessary by the University. Every effort will be made to keep ...">
              <int2:suggestions int2:citationType="Inline">
                <int2:suggestion int2:citationStyle="Mla" int2:isIdentical="0">
                  <int2:citationText>(“TAUGHT STUDENT HANDBOOK”)</int2:citationText>
                </int2:suggestion>
                <int2:suggestion int2:citationStyle="Apa" int2:isIdentical="0">
                  <int2:citationText>(“TAUGHT STUDENT HANDBOOK”)</int2:citationText>
                </int2:suggestion>
                <int2:suggestion int2:citationStyle="Chicago" int2:isIdentical="0">
                  <int2:citationText>(“TAUGHT STUDENT HANDBOOK”)</int2:citationText>
                </int2:suggestion>
              </int2:suggestions>
              <int2:suggestions int2:citationType="Full">
                <int2:suggestion int2:citationStyle="Mla" int2:isIdentical="0">
                  <int2:citationText>&lt;i&gt;TAUGHT STUDENT HANDBOOK&lt;/i&gt;, https://intranet.royalholloway.ac.uk/students/assets/docs/pdf/student-handbook/ug-pgt-psychology-student-handbook-2024-25.pdf.</int2:citationText>
                </int2:suggestion>
                <int2:suggestion int2:citationStyle="Apa" int2:isIdentical="0">
                  <int2:citationText>&lt;i&gt;TAUGHT STUDENT HANDBOOK&lt;/i&gt;. (n.d.). Retrieved from https://intranet.royalholloway.ac.uk/students/assets/docs/pdf/student-handbook/ug-pgt-psychology-student-handbook-2024-25.pdf</int2:citationText>
                </int2:suggestion>
                <int2:suggestion int2:citationStyle="Chicago" int2:isIdentical="0">
                  <int2:citationText>“TAUGHT STUDENT HANDBOOK” n.d., https://intranet.royalholloway.ac.uk/students/assets/docs/pdf/student-handbook/ug-pgt-psychology-student-handbook-2024-25.pdf.</int2:citationText>
                </int2:suggestion>
              </int2:suggestions>
            </int2:source>
            <int2:source int2:sourceType="Online" int2:sourceTitle="Placements Handbook 2023 - Royal Holloway, University of London" int2:sourceUrl="https://www.royalholloway.ac.uk/media/25813/placement-handbook-2023-final.pdf" int2:sourceSnippet="This document was published in September 2023 and was correct at that time. The department reserves the right to modify any statement if necessary, make variations to the content or methods of delivery of programmes of study, to discontinue programmes, or merge or combine programmes if such actions are reasonably considered to be necessary by the University. Every effort will be made to keep ...">
              <int2:suggestions int2:citationType="Inline">
                <int2:suggestion int2:citationStyle="Mla" int2:isIdentical="0">
                  <int2:citationText>(“Placements Handbook 2023 - Royal Holloway, University of London”)</int2:citationText>
                </int2:suggestion>
                <int2:suggestion int2:citationStyle="Apa" int2:isIdentical="0">
                  <int2:citationText>(“Placements Handbook 2023 - Royal Holloway, University of London”)</int2:citationText>
                </int2:suggestion>
                <int2:suggestion int2:citationStyle="Chicago" int2:isIdentical="0">
                  <int2:citationText>(“Placements Handbook 2023 - Royal Holloway, University of London”)</int2:citationText>
                </int2:suggestion>
              </int2:suggestions>
              <int2:suggestions int2:citationType="Full">
                <int2:suggestion int2:citationStyle="Mla" int2:isIdentical="0">
                  <int2:citationText>&lt;i&gt;Placements Handbook 2023 - Royal Holloway, University of London&lt;/i&gt;, https://www.royalholloway.ac.uk/media/25813/placement-handbook-2023-final.pdf.</int2:citationText>
                </int2:suggestion>
                <int2:suggestion int2:citationStyle="Apa" int2:isIdentical="0">
                  <int2:citationText>&lt;i&gt;Placements Handbook 2023 - Royal Holloway, University of London&lt;/i&gt;. (n.d.). Retrieved from https://www.royalholloway.ac.uk/media/25813/placement-handbook-2023-final.pdf</int2:citationText>
                </int2:suggestion>
                <int2:suggestion int2:citationStyle="Chicago" int2:isIdentical="0">
                  <int2:citationText>“Placements Handbook 2023 - Royal Holloway, University of London” n.d., https://www.royalholloway.ac.uk/media/25813/placement-handbook-2023-final.pdf.</int2:citationText>
                </int2:suggestion>
              </int2:suggestions>
            </int2:source>
            <int2:source int2:sourceType="Online" int2:sourceTitle="General Handbook 2023 - Royal Holloway, University of London" int2:sourceUrl="https://intranet.royalholloway.ac.uk/doctoral-school/assets/docs/pdf/pgr-student-handbook/appendices-202324/dclinpsy-handbook.pdf" int2:sourceSnippet="The department* reserves the right to modify any statement if necessary, make variations to the content or methods of delivery of programmes of study, to discontinue programmes, or merge or combine programmes if such actions are reasonably considered to be necessary by the University.">
              <int2:suggestions int2:citationType="Inline">
                <int2:suggestion int2:citationStyle="Mla" int2:isIdentical="0">
                  <int2:citationText>(“General Handbook 2023 - Royal Holloway, University of London”)</int2:citationText>
                </int2:suggestion>
                <int2:suggestion int2:citationStyle="Apa" int2:isIdentical="0">
                  <int2:citationText>(“General Handbook 2023 - Royal Holloway, University of London”)</int2:citationText>
                </int2:suggestion>
                <int2:suggestion int2:citationStyle="Chicago" int2:isIdentical="0">
                  <int2:citationText>(“General Handbook 2023 - Royal Holloway, University of London”)</int2:citationText>
                </int2:suggestion>
              </int2:suggestions>
              <int2:suggestions int2:citationType="Full">
                <int2:suggestion int2:citationStyle="Mla" int2:isIdentical="0">
                  <int2:citationText>&lt;i&gt;General Handbook 2023 - Royal Holloway, University of London&lt;/i&gt;, https://intranet.royalholloway.ac.uk/doctoral-school/assets/docs/pdf/pgr-student-handbook/appendices-202324/dclinpsy-handbook.pdf.</int2:citationText>
                </int2:suggestion>
                <int2:suggestion int2:citationStyle="Apa" int2:isIdentical="0">
                  <int2:citationText>&lt;i&gt;General Handbook 2023 - Royal Holloway, University of London&lt;/i&gt;. (n.d.). Retrieved from https://intranet.royalholloway.ac.uk/doctoral-school/assets/docs/pdf/pgr-student-handbook/appendices-202324/dclinpsy-handbook.pdf</int2:citationText>
                </int2:suggestion>
                <int2:suggestion int2:citationStyle="Chicago" int2:isIdentical="0">
                  <int2:citationText>“General Handbook 2023 - Royal Holloway, University of London” n.d., https://intranet.royalholloway.ac.uk/doctoral-school/assets/docs/pdf/pgr-student-handbook/appendices-202324/dclinpsy-handbook.pdf.</int2:citationText>
                </int2:suggestion>
              </int2:suggestions>
            </int2:source>
          </int2:similarityCritique>
        </oel:ext>
      </int2:extLst>
    </int2:bookmark>
    <int2:bookmark int2:bookmarkName="_Int_dyMq7IrT" int2:invalidationBookmarkName="" int2:hashCode="MaXlORx3RmqQ/G" int2:id="kZNoVjVc">
      <int2:state int2:value="Rejected" int2:type="style"/>
    </int2:bookmark>
    <int2:bookmark int2:bookmarkName="_Int_1zDihkOZ" int2:invalidationBookmarkName="" int2:hashCode="00lrrL/M8p7RXo" int2:id="kuJnlSY7">
      <int2:state int2:value="Rejected" int2:type="style"/>
    </int2:bookmark>
    <int2:bookmark int2:bookmarkName="_Int_9xzD8E32" int2:invalidationBookmarkName="" int2:hashCode="00lrrL/M8p7RXo" int2:id="lhqLBOAb">
      <int2:state int2:value="Rejected" int2:type="style"/>
    </int2:bookmark>
    <int2:bookmark int2:bookmarkName="_Int_vSS2Oovx" int2:invalidationBookmarkName="" int2:hashCode="SLGLFARhzcGrh6" int2:id="lsQBtGEW">
      <int2:state int2:value="Rejected" int2:type="style"/>
    </int2:bookmark>
    <int2:bookmark int2:bookmarkName="_Int_8fqkdixo" int2:invalidationBookmarkName="" int2:hashCode="maS+KK4PEzqNKd" int2:id="m3o4JZua">
      <int2:state int2:value="Rejected" int2:type="style"/>
    </int2:bookmark>
    <int2:bookmark int2:bookmarkName="_Int_Ifp737S0" int2:invalidationBookmarkName="" int2:hashCode="/aQ3g76OCz+SBq" int2:id="nc4orVA8">
      <int2:state int2:value="Rejected" int2:type="style"/>
    </int2:bookmark>
    <int2:bookmark int2:bookmarkName="_Int_7UwvUqGe" int2:invalidationBookmarkName="" int2:hashCode="A7lR/pHj5zVKI5" int2:id="nk6EQaXT">
      <int2:state int2:value="Rejected" int2:type="style"/>
    </int2:bookmark>
    <int2:bookmark int2:bookmarkName="_Int_HZJqkX8l" int2:invalidationBookmarkName="" int2:hashCode="4mbq96GARWUY3U" int2:id="nvfDcSZa">
      <int2:state int2:value="Rejected" int2:type="style"/>
    </int2:bookmark>
    <int2:bookmark int2:bookmarkName="_Int_zAFFkedN" int2:invalidationBookmarkName="" int2:hashCode="6xX40Nbu8SUY24" int2:id="opJVHwmd">
      <int2:state int2:value="Rejected" int2:type="style"/>
    </int2:bookmark>
    <int2:bookmark int2:bookmarkName="_Int_NX1AwDfC" int2:invalidationBookmarkName="" int2:hashCode="Lkxvwa9pVMsG7h" int2:id="pBoj7GpT">
      <int2:state int2:value="Rejected" int2:type="gram"/>
    </int2:bookmark>
    <int2:bookmark int2:bookmarkName="_Int_YLYuOVun" int2:invalidationBookmarkName="" int2:hashCode="UjDH1Vnkat3K2m" int2:id="wyVsLMho">
      <int2:state int2:value="Rejected" int2:type="style"/>
    </int2:bookmark>
    <int2:bookmark int2:bookmarkName="_Int_Kt7M0biU" int2:invalidationBookmarkName="" int2:hashCode="Ncd1qDdY09FJFW" int2:id="qHQ0afvt">
      <int2:state int2:value="Rejected" int2:type="AugLoop_RoleDetection_RoleDetectionAnnotation"/>
    </int2:bookmark>
    <int2:bookmark int2:bookmarkName="_Int_twXGSo2v" int2:invalidationBookmarkName="" int2:hashCode="VV6vbCZNDfnRV7" int2:id="qLaaZZVY">
      <int2:state int2:value="Rejected" int2:type="style"/>
    </int2:bookmark>
    <int2:bookmark int2:bookmarkName="_Int_NfH383ca" int2:invalidationBookmarkName="" int2:hashCode="A8GgspnbheaSmJ" int2:id="qh9Yv4sr">
      <int2:state int2:value="Rejected" int2:type="style"/>
    </int2:bookmark>
    <int2:bookmark int2:bookmarkName="_Int_94Hj0zak" int2:invalidationBookmarkName="" int2:hashCode="xNTr/dA7aR9hnW" int2:id="uVZlOpLM">
      <int2:state int2:value="Rejected" int2:type="style"/>
    </int2:bookmark>
    <int2:bookmark int2:bookmarkName="_Int_ZVOvEOgR" int2:invalidationBookmarkName="" int2:hashCode="SMFwPIHakRGYAb" int2:id="v9lNf9bD">
      <int2:state int2:value="Rejected" int2:type="style"/>
    </int2:bookmark>
    <int2:bookmark int2:bookmarkName="_Int_Wnft6zSP" int2:invalidationBookmarkName="" int2:hashCode="5FHm69ARGoUUP+" int2:id="vAa5BSJu">
      <int2:extLst>
        <oel:ext uri="426473B9-03D8-482F-96C9-C2C85392BACA">
          <int2:similarityCritique int2:version="1" int2:context="Thematic analysis is a method used to organise and interpret patterns within research.">
            <int2:source int2:sourceType="Online" int2:sourceTitle="Thematic Analysis: A Step by Step Guide - Simply Psychology" int2:sourceUrl="https://www.simplypsychology.org/thematic-analysis.html" int2:sourceSnippet="Thematic analysis is a qualitative research method used to identify, analyze, and interpret patterns of shared meaning (themes) within a given data set, which can be in the form of interviews, focus group discussions, surveys, or other textual data.">
              <int2:suggestions int2:citationType="Inline">
                <int2:suggestion int2:citationStyle="Mla" int2:isIdentical="0">
                  <int2:citationText>(“Thematic Analysis: A Step by Step Guide - Simply Psychology”)</int2:citationText>
                </int2:suggestion>
                <int2:suggestion int2:citationStyle="Apa" int2:isIdentical="0">
                  <int2:citationText>(“Thematic Analysis: A Step by Step Guide - Simply Psychology”)</int2:citationText>
                </int2:suggestion>
                <int2:suggestion int2:citationStyle="Chicago" int2:isIdentical="0">
                  <int2:citationText>(“Thematic Analysis: A Step by Step Guide - Simply Psychology”)</int2:citationText>
                </int2:suggestion>
              </int2:suggestions>
              <int2:suggestions int2:citationType="Full">
                <int2:suggestion int2:citationStyle="Mla" int2:isIdentical="0">
                  <int2:citationText>&lt;i&gt;Thematic Analysis: A Step by Step Guide - Simply Psychology&lt;/i&gt;, https://www.simplypsychology.org/thematic-analysis.html.</int2:citationText>
                </int2:suggestion>
                <int2:suggestion int2:citationStyle="Apa" int2:isIdentical="0">
                  <int2:citationText>&lt;i&gt;Thematic Analysis: A Step by Step Guide - Simply Psychology&lt;/i&gt;. (n.d.). Retrieved from https://www.simplypsychology.org/thematic-analysis.html</int2:citationText>
                </int2:suggestion>
                <int2:suggestion int2:citationStyle="Chicago" int2:isIdentical="0">
                  <int2:citationText>“Thematic Analysis: A Step by Step Guide - Simply Psychology” n.d., https://www.simplypsychology.org/thematic-analysis.html.</int2:citationText>
                </int2:suggestion>
              </int2:suggestions>
            </int2:source>
          </int2:similarityCritique>
        </oel:ext>
      </int2:extLst>
    </int2:bookmark>
    <int2:entireDocument int2:id="Dxdw1McS">
      <int2:extLst>
        <oel:ext uri="E302BA01-7950-474C-9AD3-286E660C40A8">
          <int2:similaritySummary int2:version="1" int2:runId="1764001279880" int2:tilesCheckedInThisRun="632" int2:totalNumOfTiles="632" int2:similarityAnnotationCount="4" int2:numWords="10722" int2:numFlaggedWords="84"/>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AFC2A57-2C7A28E8 7B396377-74AF5F5A 00DE7510-684CC594 62B6C1AB-77777777 19C1447B-77777777 4BD32C57-00FB9D38 7F58ECA1-77777777 3009F44A-2F598781 08ED8C42-1934837C 5B270734-55782988 2C0F81B3-77777777 6D29CD44-75C545B1 2E1C9484-7DAEAC6C 265E2262-77777777 3492E4C4-45AA03BC 113CAAED-2CC33593 3EF51212-23E9F4B8 16B6CB34-2EC15602 7D9E43A8-77777777 189DE0A6-710F2765 39F661A6-023B5B7C 21F5E413-1EA98796 713B64B9-77777777 4AA5D04A-65BB11AC 319A31E7-7EAB2E40 1CB40FFB-2154C59E 42D5D0C6-77777777 4B58546E-61CCB29A 5C25443E-39DCA127 021196D1-174154E3 77D38054-77777777 0A15E499-1F9546C0 73D7762F-0F96EEC2 2BDDE109-152E37F5 324943A4-77777777 13649F9E-77777777 4E014F16-77777777 7CE514EB-77777777 6DB122B7-7CF59C90 6DEB16DA-03B1FE59 3F8DA723-77777777 3851CFD8-77777777 359F5B0D-77777777 11885DD2-77777777 2057C793-103D0F80 03004EEE-77777777 65358A57-77777777 3E6D1A03-14DC2E21 3A615786-1CCDA106 73D49EDA-45D446EE 0BA32AB9-2DD54D70 0DAAB55B-77777777 53458E96-77777777 40A3E6C2-77777777 7EA8A979-77777777 24382F47-77777777 16D78A60-00C5A645 4775B565-4B52C009 019A2C1E-7EED529B 1865B00A-202BF2F0 17D1A0FB-5E892FD8 4DE973B3-6AA85948 30E44B37-432324EF 412654DF-77777777 4B65C5F3-77777777 2F774362-5C7FFE65 15BFA27A-7BECF8D5 756C3EE0-77777777 3EF52184-77777777 52F0D83D-77777777 4DF07CEB-77777777 61CFD6DF-77777777 417D68A4-77777777 201F102A-77777777 5D0A8789-77777777 786DF943-77777777 612D2BA4-77777777 44606545-77777777 19556EF2-77777777 4CA19B6B-77777777 5C4D72C1-77777777 63FE4DFF-77777777 47780902-77777777 53DEFD74-77777777 2FF5C10C-77777777 2F856F58-77777777 70EE4511-77777777 4B6F1C81-77777777 66BE3F66-7FAC6422 112DDCE7-2A5A03BC 4BDA9A26-60B66127 2F25E025-77777777 1E91DD5F-663DACE2 29AE1779-7BE321DE 0BB9DED2-2B97F660 1958D346-43BC7452 72DDCA64-24AA9E22 7FADDECC-77777777 4C49250E-3E0C9AE4 63154A55-5E6FE865 28E485CA-77777777 61ED510D-77777777 684B422D-77777777 2A36AC1D-77777777 0E75A05E-77777777 5195E2BB-1E0C541D 7E27FCB1-6CA304C3 6C12F925-51BF9F05 2EECE43F-3D89605C 50FD1CA1-77777777 4B5369F9-2FE88ED3 00FFAC39-447BBBFC 75DF2415-1D9F3981 7B60B159-2DA35797 2A540FDF-0890E0CA 4FEE5401-5409A909 3E9B5471-0C2C22D7 3F5BD243-16DDEA5B 62E00A88-36BE76A0 4800EC15-77777777 666DB1F3-77777777 1950ACB1-77777777 46FDCDFA-77777777 11D3DB32-77777777 078CCBCF-77777777 3F7371FB-24CF6BFB 4AE88359-77777777 5503CD04-77777777 0DDCEA92-564B4589 2D5EEF47-553421F4 73300B70-433C2BCD 1533C798-77777777 7E7CC817-77777777 0874A53D-77777777 299ECF2A-77777777 4C7E5061-77777777 24DE7614-77777777 056492C5-41ACF1F7 3DE8CC79-77777777 3EDEAA17-77777777 68C200E0-407711C6 7E5F3733-4BA83FFC 7C8DD365-2827FBC9 25D5A31A-3EA8C118 31F50839-77777777 0FDEF4CA-77777777 7761A2C6-77777777 4607C10B-0B2FE32B 7E25CF0B-77777777 717F0C4D-77777777 0B84CBDD-77777777 42C951DA-77777777 008DA24C-378F30B4 3AAC2688-77777777 5497FC40-77777777 65D26233-77777777 65B4F765-77777777 6A83C251-77777777 5BC29B74-77777777 53D29EE9-17A5AD91 5F76180F-77777777 52272E74-33E1D9E0 3BD9F19A-77777777 442E01DD-77777777 1C13D8E4-77777777 340A6070-77777777 4C5326A9-77777777 0D228AC6-77777777 4C9742DE-77777777 0132787E-77777777 5DC05CE0-77777777 084533D9-6E5C7BDB 61E2B68A-77777777 007975C2-1459325F 7A95EBE0-77777777 74DEE599-77777777 6486F692-77777777 4F420A0B-77777777 28AE252B-77777777 7781CD52-77777777 3BD4AC34-77777777 06C95477-77777777 68DF089A-1E72855A 4408DC65-77777777 4F59E13F-77777777 048AAF35-5D369C11 11D751BF-5851BDC6 4C3F15F6-3FE1ADE1 2B3A5F8D-3186982C 3248BB48-77777777 79706E40-77777777 25A103C5-77777777 694278C5-77777777 08CDB9C1-77777777 36201095-77777777 7AA3C341-77777777 0728F701-77777777 00EE08C4-77777777 499890CB-2373AAAB 26A879BB-77777777 7CF794C2-77777777 4ADEE3C7-77777777 1CB98B3F-534A6870 1D0F7123-3561C51F 098C30EE-74740BED 7D4B7CEC-77777777 623DC52B-44E5D606 6859524C-77777777 407ABDAE-3ADE1DDF 6B91657E-7B55D7C1 2DC1A861-77777777 2A0774C8-55800B8A 64A5E280-585ABCDB 7B17E795-77777777 5F1C318B-77777777 0495CB9B-21399794 37E0300E-340D22A5 01B0A4D9-77777777 46EBC348-32BDF24D 5DAF8509-77777777 318F88FB-77777777 6A86CF6F-77777777 76A50D53-1D54F9C8 30A56140-4D5D8218 6F7F2504-23D9F6BA 7BBC0F39-77777777 78A0F8D0-79B41CD2 52762E2F-6008A172 63DD2B7E-3705B060 75FA9ADA-77777777 38BF3520-77777777 50FF83A5-15CFA160 756A33C5-408CDE9E 0650FCD0-77777777 6BFF6EC8-77777777 4149E9D7-77777777 4B9CA842-77777777 53EFCCEF-77777777 3195C850-77777777 5A327695-77777777 5CFC23F2-77777777 4FFBD161-77777777 0A9C679C-77777777 2D3F7855-77777777 4BAAE09E-49CEAC91 25E0CBA9-307FCDEF 3BF1E4E4-77777777 49E6D824-77777777 37FECAB3-77777777 44B304E7-77777777 22CFDD86-77777777 1B721BB9-77777777 039E4AF9-77777777 6AAEDFDC-77777777 51CEFDF8-77777777 0CF20763-77777777 3C1210D8-77777777 1C1D0AEF-77777777 21392BD9-5BC189C5 2953E013-77777777 11C8143E-77777777 43BD521C-77777777 5103CFDE-77777777 1A4A4D5E-77777777 2F86E132-77777777 647A1108-77777777 39EC3FE4-77777777 375BDB74-0E89E9CD 525033C7-7513AA84 1FC644F6-67362D3A 145048E4-77777777 2E7CD8F8-329070C7 069C6DED-77777777 5F41163A-2CF64214 3A31D52F-77777777 24CC311F-77777777 4885479B-77777777 3C18DAE1-77777777 2091ADDA-77777777 0FC73BF2-77777777 69536BC8-77777777 405AD2B0-77777777 77518D84-77777777 0EAEEA28-77777777 73898CB8-3B45E7B7 6C4734E6-1D7880FE 1D313CC5-5654F4EF 77670E8E-4EEF49E1 35BDB88D-77777777 4A5DBCBC-77777777 091E4507-77777777 694AD104-77777777 76417E7C-77777777 499E5ACD-77777777 5B0E38C5-77777777 4BA4D6A6-77777777 0DCB8C87-77777777 54DAD1F0-77777777 69B4B52F-77777777 5497B379-77777777 5ACD1C45-77777777 3A7576B4-1CC5DF27 5AAC7835-55FE8653 4F579D3C-1114E13B 4D83A0F5-03842F4C 3F57F38A-77777777 1CF39A9E-77777777 269070F3-1AA578BD 4BE0E441-3708ED82 218ED781-26DAD480 6D86B582-77777777 0F23F9C6-0C9750A6 7231D18E-43B3EF2D 7C41305D-77777777 6BE962AF-45CC4B09 737BBA00-77777777 6C9B7787-1ECE2226 234554AE-4C2F4709 48757831-2252D158 17D09C07-0D8DA6A1 147FC21C-2CD19574 0446742F-77777777 1DE3D18B-77777777 47EA8A40-77777777 0BC6A167-77777777 5E2AB253-77777777 2708060D-77777777 79DCE9C6-77777777 2B0154F4-77777777 6D24F06D-77777777 3D2872FE-77777777 53D05B9B-77777777 7B572145-77777777 58A45DB5-77777777 34ABDC85-77777777 4037A625-77777777 31EDAC63-6D114FCC 05FB2EBB-77777777 103C6A78-77777777 78CD2959-77777777 71B83E87-77777777 4443C358-77777777 76A9DC02-77777777 6D6A3F25-77777777 20056967-77777777 0AA94ABF-7EDCCC8E 1BA528F4-68F07DA7 0E7DAF11-791894FE 4EB39E74-52DD203D 76368B76-7ED2DC74 3AD66945-2546CEDF 37ADC18F-012F3DA0 1FE75CFF-77777777 09E77882-77777777 1006CCDA-77777777 6FED6E75-77777777 02B35F3E-77777777 36596DD2-7BB4FA3A 1FD6CFC9-77777777 0EEE08DF-77777777 5CD704FD-77777777 3FE73DAB-77777777 2535A835-77777777 1682BFFD-77777777 310C125F-77777777 37298899-77777777 4F6A375D-77777777 38DAC633-77777777 3BF25D15-34535372 5BE9BE34-77777777 3132A6FC-77777777 7F3CE011-77777777 5D6CFA2A-77777777 38C5FF31-37FD1DDF 1EDBBDCA-77777777 6F0CB0B1-77777777 54E36CFC-77777777 33D8F4F6-77777777 253A4D0C-77777777 48AA8A5E-77777777 518B1D27-77777777 60EA3550-77777777 140C173B-433DC8F6 2EE3EBC1-77777777 16CC594A-2EE741ED 388A310B-77777777 28883F93-18959EAC 0DFBB64F-77777777 0C8DA841-77777777 317C77E4-77777777 0F103B1A-77777777 7CB7FCAE-77777777 39658DCE-77777777 07FDF593-77777777 34C2C4CC-77777777 2F048906-77777777 5C096686-77777777 6FAEF71F-77777777 264B554D-77777777 33143A2C-77777777 2A08839A-77777777 23AD67B7-7A88E335 4E7096DF-77777777 5058B61D-77777777 764F4CD9-77777777 5B442AA0-77777777 61241776-77777777 40A4F3D1-77777777 132A6CA0-77777777 5D95E57A-77777777 5A9171BB-54A46EDC 5523E074-681D2CE5 5C66B621-77777777 364CA829-0A7CE9F0 12A151AE-77777777 0859E940-2F3C1F02 7C55F604-77777777 08CBF962-77777777 142AD6BB-77777777 26F7868C-2D055BE1 00F17058-77777777 496F9E62-77777777 7E80EAE1-4349D310 32BFB6A5-77777777 7FCEA9FC-77777777 07FBC648-56FE3A8D 60F25F6B-77777777 4D436C9A-77777777 53EED4B6-3D3CFB6D 0C633AD0-77777777 3FE6D1E4-420C7D71 150EE53B-77777777 777CD442-77777777 0AE7E14A-77777777 1B5AA0EC-3773FDF7 7EDC4BBB-77777777 64524881-77777777 43B47B91-77777777 7DF5496E-3A8277AE 460F0668-77777777 43124D11-2B3AE026 30236982-7F1ECDD7 3B39D7B4-77777777 4B93F5CB-4F5C6B4C 536F387F-6307C162 3CADB6AC-7B6BAA1C 5D450E34-77777777 2ACDA6C3-1F9DE487 2E83524B-77777777 7EF8DDB6-77777777 2C5E807C-10BC48D2 4073E825-77777777 399D97C7-77777777 6DD479F1-4124C480 0B570BCA-77777777 256BF3D0-77777777 39754B94-4FC341B3 63E13E83-77777777 532807F2-77777777 41C5BF62-50FE7C95 5A4BDEBA-77777777 2BAC7464-77777777 11F9EC9C-77777777 3BF6CCB4-77777777 0617D96E-77777777 5BFD01BD-77777777 14389305-77777777 596CD4BF-77777777 3F2A8A7D-77777777 5E0FB4DA-77777777 1B99E810-6FFCC94B 7A68719F-77777777 13DBC95D-77777777 71C8BE23-77777777 3D333E40-77777777 71E7E88D-77777777 68D1581D-77777777 422E4A25-77777777 04DF3FB7-69655863 039C13E5-77777777 15B3E573-77777777 31763B87-77777777 1FD68036-77777777 03016D1D-286F895C 68C3AEAD-29B927C7 36110515-77777777 45FCC621-77777777 0D49AF1E-77777777 5ECFBE2E-77777777 62BFD1F6-77777777 73E6AFBE-77777777 73F10302-77777777 000D4EA7-77777777 198F17F0-77777777 21961FAB-77777777 17499D36-24590499 7E20E9DB-77777777 4FB878D2-77777777 72FFF4EA-77777777 6063B309-77777777 6BD84E0A-77777777 6436B371-77777777 218EDFC7-77777777 012B9416-77777777 7FDCCBB5-77777777 547FD60A-77777777 4743299B-77777777 769FEF54-77777777 70AD696A-0643EF54 47B20A1C-77777777 143A9EBB-77777777 27E81525-67A44787 0D80028A-77777777 02EE104C-77777777 01F3F4E0-77777777 0705F0E0-77777777 09F66E08-77777777 4DE7DEA6-77777777 5355615C-77777777 0D84F2FF-77777777 406ADBAE-5877A81C 5E7A8125-648BE487 1CB9479A-77777777 0AFCACA6-77777777 1A781DA5-77777777 0D160568-77777777 20DA1EAE-77777777 6AD7C004-77777777 0D8B4DA0-77777777 0B7345EE-3553C2A2 3861FFD6-6E817023 468EF0BA-04EC31C4 3D3F3B28-1207B021 2EE69DD1-77777777 020975DD-16A395E8 7DA7C894-77777777 19702F99-77777777 7FDECCB5-77777777 21602A93-77777777 014E15C2-77777777 2BA56A7A-57368EC3 03F28A3D-77777777 0AAE02D1-77777777 50AED40B-77777777 5E099076-77777777 2FF7D4A9-77777777 51A63069-77777777 6F9BFDE4-77777777 4E67F42F-77777777 050F9F8C-77777777 436863A0-77777777 16C2B995-77777777 47565568-2810CA75 56174D2C-77777777 56F87B62-77777777 15A235BF-77777777 0AF49D62-77777777 65466688-77777777 58D85682-77777777 7E7B90AA-77777777 6569C8FC-77777777 265055B9-77777777 72F55C71-77777777 49E84AC5-77777777 6F893ACF-77777777 7EA20FD5-77777777 2A464927-77777777 657130DC-77777777 426C6401-77777777 53454C69-77777777 24912E04-550E7DF2 709F0912-77777777 202BEB88-77777777 4FF77AC6-558C9A3C 642DEAE0-77777777 50987142-77777777 033DE1AC-77777777 78073E26-77777777 48E840A0-77777777 11041E75-77777777 66112A4B-77777777 3B907D80-77777777 312B73D0-77777777 6B06C402-7AAB485E 7D9A6B92-77777777 281DC0FE-77777777 18819AFB-77777777 3F234655-77777777 474DF8BB-77777777 154BED36-77777777 1CD7EAD7-77777777 2258F2C1-260721E0 496595E1-77777777 5933A251-77777777 2CE6E581-77777777 30FF44CE-77777777 4BFF5C7D-77777777 1E8C1675-77777777 7F464152-284A9D9A 4544D72E-77777777 7CFFEB3B-77777777 00F02961-77777777 187013C8-77777777 1EB39336-77777777 6A233C65-77777777 64D0D29B-77777777 3A2C79B9-4A81D6C3 574679E2-77777777 45BEBE79-77777777 419E0CF6-64DA4E9F 67640D82-77777777 046733C2-77777777 063952CD-77777777 602A3439-77777777 4E225FEC-77777777 17C6CC2F-72453A4B 4093ECAF-77777777 05EBC59A-77777777 4108581F-77777777 7829796C-77777777 6A240E1B-77777777 043E14FA-501C8C75 5CB77543-77777777 051A7F42-77777777 6490BA60-77777777 1F4AE5F2-7AAA6B9C 17642C10-77777777 78FB2FA9-77777777 57605C08-77777777 26B77F7E-76EF299E 68A2BD6B-77777777 46499800-77777777 10590195-77777777 419E72D7-77777777 76A88768-77777777 3A5F90CD-77777777 7F42D139-77777777 41618639-77777777 5566FE9D-77777777 6B42B8EE-77777777 79BD71E0-77777777 73C6A279-77777777 2653DECA-77777777 7A96B555-77777777 02B788CD-77777777 5607CACE-77777777 03FC32BC-77777777 7D32FE01-108A060B 284776E8-77777777 58A97693-77777777 7836CC80-77777777 6950484D-77777777 47F2B147-77777777 4487BB92-77777777 2633B485-77777777 28A11C0C-77777777 47BDC802-77777777 56AED1C9-77777777 0BB2FCCA-77777777 6C989305-77777777 344D0527-77777777 09CB7706-77777777 5DA1CA17-77777777 22D2B4F1-1A1693EA 08743A33-77777777 6DE9764A-77777777 306BE4D4-77777777 36365ABB-6F352929 5E4376DF-77777777 5D343907-77777777 377CB096-77777777 458F4BAD-6578E9BA 2556F5E1-77777777 14237DE6-77777777 30A1AD22-77777777 457BBD41-77777777 37184087-77777777 387053AF-77777777 484735D8-77777777 6EE96E11-590167D8 0C3070C6-77777777 3963134D-77777777 28E853BB-77777777 73E0EFD7-77777777 175E132E-77777777 0F1279CC-77777777 52D72F6C-77777777 24431170-77777777 3C00A8F0-77777777 005DE252-77777777 2CC0232E-77777777 621268D0-77777777 774BD843-77777777 33B48757-77777777 2FB8D7F8-77777777 614203E2-77777777 3C9BD72F-77777777 419AF6FF-25F9A63B 71027511-77777777 0652049E-77777777 1387C30B-77777777 5A5245D3-77777777 214D9EC6-77777777 39D0D3B8-756AFA53 1B56FFC1-77777777 739E54A5-77777777 1C222D5D-77777777 66330028-24123AA4 4D99E149-77777777 236496CC-77777777 64F9CB73-77777777 5DFEF595-77777777 19204A2B-63E2C231 06CA22D3-77777777 13A6ABE8-77777777 7C1DA00B-77777777 1791D21D-77777777 50366FA3-77777777 53659688-77777777 7B4CC2D5-77777777 4ADB6701-04233FC4 5E0B7458-77777777 787B2BC8-6A708994 284B935D-6A605C0C 76612C6D-77777777 08F2430B-77777777 5102B09F-77777777 6F3EA35E-77777777 510E44A9-77777777 3C7AA80C-64BC5AD0 58B38819-77777777 0E5638B9-77777777 2850119D-77777777 4BB44E3A-77777777 62BD724D-77777777 051265AF-77777777 2BC1DA9E-77777777 01DEB298-77777777 6CE8B5A0-77777777 4E7D0863-77777777 78DCD945-77777777 412E4F37-77777777 6025A086-77777777 2DA94B07-34DA1965 5200A66A-61241D62 66A9722F-2B054DD4 6D7584F3-0A5B2BBC 70AE86AD-77777777 084DF664-5DA4C367 31F2148C-77777777 2F0B1DDF-77777777 5885B3C6-77777777 1C4EA2E0-77777777 0FCB2D17-77777777 008D8A4D-77777777 50FF4F43-77777777 6232183F-77777777 36D91143-77777777 40781227-77777777 595D41B3-77777777 69AE6091-77777777 61BB9422-77777777 742EC70C-77777777 5A75D7D2-77777777 75E5700C-77777777 7E08779D-77777777 25E1BA99-77777777 5FC03D19-77777777 6CF4C6CA-77777777 057B2401-77777777 6A5CA242-77777777 7EC9AD3E-77777777 1A08199D-77777777 43CB59B4-77777777 6B3D14AC-77777777 214EF2DD-07BFF345 6CC7BCCF-77777777 219CBA73-77777777 14A9A140-77777777 4A9BD510-77777777 5749A539-77777777 3F545074-77777777 209F3654-77777777 16F3F33C-77777777 176044E8-77777777 634031F9-77777777 30CA186A-77777777 5417771E-77777777 2341A739-77777777 28B8E9B6-77777777 58EAA0D7-77777777 14C9B2F1-77777777 18E27AA8-77777777 43882DDD-77777777 5A543EEA-77777777 6CFE89B8-77777777 7BF65B90-77777777 3523AFF4-77777777 73AFED3B-77777777 3F2CF8BB-77777777 3B4EE0FF-77777777 5C1A5FEA-77777777 7ADE8692-77777777 45DD84D4-77777777 5E3D812C-77777777 7913EBA0-77777777 0C43421A-77777777 0B4BA55B-77777777 70135997-77777777 3160E546-77777777 6D488C2A-77777777 13360A04-77777777 5B6D177E-77777777 032B1139-77777777 26406005-77777777 0EB06F05-77777777 091037DD-77777777 6844D9D6-77777777 41404748-77777777 1BC7565E-77777777 118858DF-77777777 66AA5E7B-77777777 1FED55A1-77777777 4238A422-77777777 4861FCD5-77777777 4EC2AC54-77777777 4F9EA6EB-38305FF7 11AAA363-062F8D43 456EA50B-29E86965 5FE3FCE3-4279B78C 7F19555B-4C2ACDD2 06A8D415-4CB89B5E 6B569871-4FD35DB8 142DEA17-4DC8B58B 50B00844-494562D4 442D5D72-60C21597 5C8B0F59-34A788A7 49FB7C36-12D9FE0A 652E2CF9-6699C25E 64FDA9F0-68CE925A 18028E42-3DA0F3EB 2CE91BC7-7160EBFD 7D9B9CF1-10F4ED26 67758148-14043EF8 254D5EC3-77777777 437664D4-77777777 219FDD13-77777777 0CF0D59B-77777777 1029F364-01034998 326D1F1B-0FD651EE 1F4F1000-77777777 37258487-77777777 3559EF2F-77777777 5639A422-77777777 7C5A7FD1-77777777 36E68277-77777777 4AD76131-77777777 43B87B3A-77777777 175C4587-77777777 49E3FD45-77777777 4A7826DE-77777777 7E77F494-77777777 138D3037-77777777 2A7F57F1-77777777 725D8799-77777777 0927EAA0-77777777 5B60C122-0AFB3FA3 29DE1A5B-77777777 1FF0490F-77777777 602F7DC5-77777777 18F8C6AF-77777777 1AEAF26E-77777777 42632B0C-77777777 717730F7-77777777 4C59DA70-77777777 2E1DD6DA-77777777 49C82CB5-77777777 1F67E87C-77777777 704E9085-77777777 110B365B-77777777 4F10BE37-77777777 505E3618-77777777 494E290F-77777777 568A0555-77777777 07FB6267-77777777 51FAB8B2-77777777 199BC3CD-77777777 07B348B9-77777777 03F98BFF-77777777 177C5E40-77777777 193881F6-77777777 27DE8380-77777777 0436CDE0-77777777 4584AB6B-77777777 0DB105AF-77777777 5B33CDEF-77777777 6D702EFA-77777777 03C70EE8-77777777 645EEC68-77777777 28A04519-77777777 27879877-77777777 17F0D28B-77777777 0CC9D2A6-77777777 35A2EDF7-77777777 1C12AF4A-77777777 13DB7C4F-77777777 663C8EAE-77777777 3C3A9AF4-77777777 2F575224-77777777 43F6FE34-77777777 395FE605-77777777 2F083332-77777777 68A0D5C9-77777777 7D366AF0-77777777 2BB1811C-77777777 53B2D5AE-77777777 1D4391B1-15333853 187DBEBB-22D7D366 5FF825EB-7823E4D8 7B409CC2-15AB16B8 61E85DF3-34DE711E 6216C9CD-45D46E3D 13AA6F9E-669F5D54 5CB00145-7D9D6B18 16AE44E4-68002FFC 2E134A96-0F73F79E 4A2D8F64-3650CF46 3D554EE2-0F2A4C6B 61DDD11E-1DCB7A83 4438F17E-77777777 57953F78-77777777 081B017B-200B5961 013B027D-05E0C529 4FDB15EE-77777777 22E51EDC-77777777 4ADDA33B-77777777 33CBE8F3-77777777 30B475F0-77777777 161D52DB-77777777 7E0046CA-77777777 40E1BFF8-77777777 2F8E588C-77777777 02E7C955-77777777 11236686-77777777 1620CF58-77777777 03BF10FB-77777777 53FB0E87-77777777 19A4DD07-77777777 64C015D4-77777777 38126060-77777777 34080E1B-77777777 3411E35F-77777777 2D4C8AE1-77777777 6C78ABA2-77777777 5371F7AA-77777777 56372812-77777777 1D092949-24F8FD87 03819AD5-77777777 1E1D9188-77777777 6F64D210-77777777 09DBB0D8-77777777 684740CF-77777777 108E3DE9-77777777 3BE9DF06-77777777 161DB8AE-77777777 0D42BA57-77777777 53F347E3-77777777 3719B6B8-77777777 7D671B8B-77777777 77988E6A-77777777 329C8081-52696E24 38FAA26A-77777777 02359647-77777777 5CD2C622-37D1F012 1D07E3DE-77777777 4A037D49-77777777 02EA3AEE-77777777 6EE37507-77777777 270D9312-77777777 4ECFD7CE-77777777 1696D181-77777777 32F00945-77777777 50707019-77777777 0489543D-77777777 237163E1-77777777 50117FA9-12DC3B34 4A5B56D4-77777777 2D1ED417-77777777 12BB3E5D-77777777 1EF2FC28-77777777 6AC04C51-77777777 6E3CABB2-77777777 2893B790-77777777 45F5D85E-77777777 037A6BD0-77777777 0A86BFFD-77777777 4289E5E2-77777777 3F44E725-77777777 51643A53-77777777 0D1E71B9-77777777 63FD8B70-77777777 10DB4199-77777777 4670525D-77777777 56817205-77777777 3F0010D8-77777777 0092FEF2-77777777 224B408A-77777777 3BF7B192-77777777 2863FF4D-77777777 1F45F342-77777777 288018BE-70E1A914 5541FB34-77777777 666E4414-25490E81 1D01D666-77777777 6D542267-6F031EBB 5434BAF5-5C5CEB6B 4F291D3D-6269FE1B 463F0BB8-3468170E 66DDC82E-77777777 6D6A9C59-77777777 2DFD05E8-77777777 5ED86D9F-77777777 2FF24C85-77777777 7D6E6966-77777777 0FCE5B27-77777777 5B6A5E93-77777777 1ABB0F30-77777777 1542597D-77777777 3730054E-77777777 4848576E-77777777 1A4EE57D-77777777 64018157-77777777 28CBC8FD-77777777 2CEA5858-77777777 354BF7EB-77777777 3E72C4F1-77777777 53FA31D5-77777777 4056A1E1-77777777 568D04FC-77777777 7B0525FD-77777777 0F8F5113-77777777 08260A9E-77777777 3671F22B-77777777 4C6419E3-77777777 3741F122-77777777 77CC6CC1-77777777 78752C49-77777777 4230D63E-77777777 6697EDC0-77777777 6D88C7CC-77777777 3365D046-77777777 63F3EE4F-77777777 00E9E309-77777777 0D5F3838-77777777 438D3C08-77777777 18FF6044-77777777 268CFD1F-77777777 5DA0FD87-3E6E7B7A 70C7CA0C-657FA755 6B91657E-7B55D7C1 2DC1A86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D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B6F5C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E6331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5B024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5B2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4904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98E5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2F3B16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B527D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3D8A0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3EDF26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3856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D55D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C83E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5C4809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C036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0B12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1D660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2667B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3308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EC3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E7510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10"/>
  </w:num>
  <w:num w:numId="2" w16cid:durableId="1500121260">
    <w:abstractNumId w:val="65"/>
  </w:num>
  <w:num w:numId="3" w16cid:durableId="438111508">
    <w:abstractNumId w:val="101"/>
  </w:num>
  <w:num w:numId="4" w16cid:durableId="106121269">
    <w:abstractNumId w:val="22"/>
  </w:num>
  <w:num w:numId="5" w16cid:durableId="1859468656">
    <w:abstractNumId w:val="115"/>
  </w:num>
  <w:num w:numId="6" w16cid:durableId="407923627">
    <w:abstractNumId w:val="113"/>
  </w:num>
  <w:num w:numId="7" w16cid:durableId="1173763238">
    <w:abstractNumId w:val="77"/>
  </w:num>
  <w:num w:numId="8" w16cid:durableId="515197422">
    <w:abstractNumId w:val="54"/>
  </w:num>
  <w:num w:numId="9" w16cid:durableId="650984044">
    <w:abstractNumId w:val="16"/>
  </w:num>
  <w:num w:numId="10" w16cid:durableId="676225712">
    <w:abstractNumId w:val="107"/>
  </w:num>
  <w:num w:numId="11" w16cid:durableId="654647421">
    <w:abstractNumId w:val="76"/>
  </w:num>
  <w:num w:numId="12" w16cid:durableId="972827862">
    <w:abstractNumId w:val="79"/>
  </w:num>
  <w:num w:numId="13" w16cid:durableId="73359902">
    <w:abstractNumId w:val="51"/>
  </w:num>
  <w:num w:numId="14" w16cid:durableId="1233615214">
    <w:abstractNumId w:val="13"/>
  </w:num>
  <w:num w:numId="15" w16cid:durableId="1037585576">
    <w:abstractNumId w:val="111"/>
  </w:num>
  <w:num w:numId="16" w16cid:durableId="1454127918">
    <w:abstractNumId w:val="94"/>
  </w:num>
  <w:num w:numId="17" w16cid:durableId="1655717882">
    <w:abstractNumId w:val="36"/>
  </w:num>
  <w:num w:numId="18" w16cid:durableId="679818721">
    <w:abstractNumId w:val="8"/>
  </w:num>
  <w:num w:numId="19" w16cid:durableId="820851363">
    <w:abstractNumId w:val="3"/>
  </w:num>
  <w:num w:numId="20" w16cid:durableId="1752123437">
    <w:abstractNumId w:val="69"/>
  </w:num>
  <w:num w:numId="21" w16cid:durableId="776406381">
    <w:abstractNumId w:val="11"/>
  </w:num>
  <w:num w:numId="22" w16cid:durableId="2003772795">
    <w:abstractNumId w:val="116"/>
  </w:num>
  <w:num w:numId="23" w16cid:durableId="471214588">
    <w:abstractNumId w:val="10"/>
  </w:num>
  <w:num w:numId="24" w16cid:durableId="747188340">
    <w:abstractNumId w:val="100"/>
  </w:num>
  <w:num w:numId="25" w16cid:durableId="1617635105">
    <w:abstractNumId w:val="25"/>
  </w:num>
  <w:num w:numId="26" w16cid:durableId="1919750537">
    <w:abstractNumId w:val="108"/>
  </w:num>
  <w:num w:numId="27" w16cid:durableId="1917666381">
    <w:abstractNumId w:val="5"/>
  </w:num>
  <w:num w:numId="28" w16cid:durableId="836925604">
    <w:abstractNumId w:val="93"/>
  </w:num>
  <w:num w:numId="29" w16cid:durableId="881479433">
    <w:abstractNumId w:val="80"/>
  </w:num>
  <w:num w:numId="30" w16cid:durableId="164788852">
    <w:abstractNumId w:val="85"/>
  </w:num>
  <w:num w:numId="31" w16cid:durableId="735323509">
    <w:abstractNumId w:val="19"/>
  </w:num>
  <w:num w:numId="32" w16cid:durableId="1000431254">
    <w:abstractNumId w:val="49"/>
  </w:num>
  <w:num w:numId="33" w16cid:durableId="434404662">
    <w:abstractNumId w:val="28"/>
  </w:num>
  <w:num w:numId="34" w16cid:durableId="792409853">
    <w:abstractNumId w:val="63"/>
  </w:num>
  <w:num w:numId="35" w16cid:durableId="70469880">
    <w:abstractNumId w:val="67"/>
  </w:num>
  <w:num w:numId="36" w16cid:durableId="1255548974">
    <w:abstractNumId w:val="57"/>
  </w:num>
  <w:num w:numId="37" w16cid:durableId="509951972">
    <w:abstractNumId w:val="43"/>
  </w:num>
  <w:num w:numId="38" w16cid:durableId="1491873496">
    <w:abstractNumId w:val="72"/>
  </w:num>
  <w:num w:numId="39" w16cid:durableId="1277179892">
    <w:abstractNumId w:val="84"/>
  </w:num>
  <w:num w:numId="40" w16cid:durableId="1137721610">
    <w:abstractNumId w:val="68"/>
  </w:num>
  <w:num w:numId="41" w16cid:durableId="1569337486">
    <w:abstractNumId w:val="117"/>
  </w:num>
  <w:num w:numId="42" w16cid:durableId="1771851078">
    <w:abstractNumId w:val="6"/>
  </w:num>
  <w:num w:numId="43" w16cid:durableId="1096747610">
    <w:abstractNumId w:val="27"/>
  </w:num>
  <w:num w:numId="44" w16cid:durableId="1853105471">
    <w:abstractNumId w:val="95"/>
  </w:num>
  <w:num w:numId="45" w16cid:durableId="2016615092">
    <w:abstractNumId w:val="64"/>
  </w:num>
  <w:num w:numId="46" w16cid:durableId="439030946">
    <w:abstractNumId w:val="81"/>
  </w:num>
  <w:num w:numId="47" w16cid:durableId="315690756">
    <w:abstractNumId w:val="44"/>
  </w:num>
  <w:num w:numId="48" w16cid:durableId="1252278660">
    <w:abstractNumId w:val="15"/>
  </w:num>
  <w:num w:numId="49" w16cid:durableId="1719351677">
    <w:abstractNumId w:val="88"/>
  </w:num>
  <w:num w:numId="50" w16cid:durableId="1107427397">
    <w:abstractNumId w:val="30"/>
  </w:num>
  <w:num w:numId="51" w16cid:durableId="371266753">
    <w:abstractNumId w:val="82"/>
  </w:num>
  <w:num w:numId="52" w16cid:durableId="491869272">
    <w:abstractNumId w:val="34"/>
  </w:num>
  <w:num w:numId="53" w16cid:durableId="1351251430">
    <w:abstractNumId w:val="86"/>
  </w:num>
  <w:num w:numId="54" w16cid:durableId="1368607436">
    <w:abstractNumId w:val="109"/>
  </w:num>
  <w:num w:numId="55" w16cid:durableId="1588029100">
    <w:abstractNumId w:val="114"/>
  </w:num>
  <w:num w:numId="56" w16cid:durableId="415832180">
    <w:abstractNumId w:val="102"/>
  </w:num>
  <w:num w:numId="57" w16cid:durableId="1178735139">
    <w:abstractNumId w:val="52"/>
  </w:num>
  <w:num w:numId="58" w16cid:durableId="721834200">
    <w:abstractNumId w:val="66"/>
  </w:num>
  <w:num w:numId="59" w16cid:durableId="686251813">
    <w:abstractNumId w:val="2"/>
  </w:num>
  <w:num w:numId="60" w16cid:durableId="1960641414">
    <w:abstractNumId w:val="17"/>
  </w:num>
  <w:num w:numId="61" w16cid:durableId="39089564">
    <w:abstractNumId w:val="56"/>
  </w:num>
  <w:num w:numId="62" w16cid:durableId="1192718157">
    <w:abstractNumId w:val="26"/>
  </w:num>
  <w:num w:numId="63" w16cid:durableId="1777825955">
    <w:abstractNumId w:val="89"/>
  </w:num>
  <w:num w:numId="64" w16cid:durableId="286199487">
    <w:abstractNumId w:val="31"/>
  </w:num>
  <w:num w:numId="65" w16cid:durableId="1119490663">
    <w:abstractNumId w:val="71"/>
  </w:num>
  <w:num w:numId="66" w16cid:durableId="1353922786">
    <w:abstractNumId w:val="39"/>
  </w:num>
  <w:num w:numId="67" w16cid:durableId="492723980">
    <w:abstractNumId w:val="75"/>
  </w:num>
  <w:num w:numId="68" w16cid:durableId="526941613">
    <w:abstractNumId w:val="41"/>
  </w:num>
  <w:num w:numId="69" w16cid:durableId="320043301">
    <w:abstractNumId w:val="73"/>
  </w:num>
  <w:num w:numId="70" w16cid:durableId="2037610982">
    <w:abstractNumId w:val="7"/>
  </w:num>
  <w:num w:numId="71" w16cid:durableId="1079794559">
    <w:abstractNumId w:val="46"/>
  </w:num>
  <w:num w:numId="72" w16cid:durableId="503403534">
    <w:abstractNumId w:val="42"/>
  </w:num>
  <w:num w:numId="73" w16cid:durableId="194734275">
    <w:abstractNumId w:val="14"/>
  </w:num>
  <w:num w:numId="74" w16cid:durableId="1810784339">
    <w:abstractNumId w:val="78"/>
  </w:num>
  <w:num w:numId="75" w16cid:durableId="1491748033">
    <w:abstractNumId w:val="91"/>
  </w:num>
  <w:num w:numId="76" w16cid:durableId="670565925">
    <w:abstractNumId w:val="24"/>
  </w:num>
  <w:num w:numId="77" w16cid:durableId="211696971">
    <w:abstractNumId w:val="32"/>
  </w:num>
  <w:num w:numId="78" w16cid:durableId="1773429901">
    <w:abstractNumId w:val="48"/>
  </w:num>
  <w:num w:numId="79" w16cid:durableId="804733676">
    <w:abstractNumId w:val="37"/>
  </w:num>
  <w:num w:numId="80" w16cid:durableId="488864096">
    <w:abstractNumId w:val="98"/>
  </w:num>
  <w:num w:numId="81" w16cid:durableId="1599749197">
    <w:abstractNumId w:val="47"/>
  </w:num>
  <w:num w:numId="82" w16cid:durableId="1726679607">
    <w:abstractNumId w:val="29"/>
  </w:num>
  <w:num w:numId="83" w16cid:durableId="1630209448">
    <w:abstractNumId w:val="58"/>
  </w:num>
  <w:num w:numId="84" w16cid:durableId="928663234">
    <w:abstractNumId w:val="74"/>
  </w:num>
  <w:num w:numId="85" w16cid:durableId="2017072952">
    <w:abstractNumId w:val="87"/>
  </w:num>
  <w:num w:numId="86" w16cid:durableId="58405484">
    <w:abstractNumId w:val="38"/>
  </w:num>
  <w:num w:numId="87" w16cid:durableId="1817530714">
    <w:abstractNumId w:val="20"/>
  </w:num>
  <w:num w:numId="88" w16cid:durableId="2141336387">
    <w:abstractNumId w:val="70"/>
  </w:num>
  <w:num w:numId="89" w16cid:durableId="1325282792">
    <w:abstractNumId w:val="4"/>
  </w:num>
  <w:num w:numId="90" w16cid:durableId="1319654748">
    <w:abstractNumId w:val="90"/>
  </w:num>
  <w:num w:numId="91" w16cid:durableId="556555801">
    <w:abstractNumId w:val="1"/>
  </w:num>
  <w:num w:numId="92" w16cid:durableId="1903828627">
    <w:abstractNumId w:val="23"/>
  </w:num>
  <w:num w:numId="93" w16cid:durableId="281425930">
    <w:abstractNumId w:val="62"/>
  </w:num>
  <w:num w:numId="94" w16cid:durableId="1491553762">
    <w:abstractNumId w:val="45"/>
  </w:num>
  <w:num w:numId="95" w16cid:durableId="965625632">
    <w:abstractNumId w:val="96"/>
  </w:num>
  <w:num w:numId="96" w16cid:durableId="1481145624">
    <w:abstractNumId w:val="119"/>
  </w:num>
  <w:num w:numId="97" w16cid:durableId="29957555">
    <w:abstractNumId w:val="112"/>
  </w:num>
  <w:num w:numId="98" w16cid:durableId="1042821728">
    <w:abstractNumId w:val="99"/>
  </w:num>
  <w:num w:numId="99" w16cid:durableId="1853110161">
    <w:abstractNumId w:val="103"/>
  </w:num>
  <w:num w:numId="100" w16cid:durableId="618881364">
    <w:abstractNumId w:val="106"/>
  </w:num>
  <w:num w:numId="101" w16cid:durableId="731123573">
    <w:abstractNumId w:val="21"/>
  </w:num>
  <w:num w:numId="102" w16cid:durableId="645163634">
    <w:abstractNumId w:val="33"/>
  </w:num>
  <w:num w:numId="103" w16cid:durableId="1961719856">
    <w:abstractNumId w:val="104"/>
  </w:num>
  <w:num w:numId="104" w16cid:durableId="1643929151">
    <w:abstractNumId w:val="35"/>
  </w:num>
  <w:num w:numId="105" w16cid:durableId="559948777">
    <w:abstractNumId w:val="105"/>
  </w:num>
  <w:num w:numId="106" w16cid:durableId="326710352">
    <w:abstractNumId w:val="118"/>
  </w:num>
  <w:num w:numId="107" w16cid:durableId="80491748">
    <w:abstractNumId w:val="12"/>
  </w:num>
  <w:num w:numId="108" w16cid:durableId="2054036347">
    <w:abstractNumId w:val="83"/>
  </w:num>
  <w:num w:numId="109" w16cid:durableId="1692992069">
    <w:abstractNumId w:val="97"/>
  </w:num>
  <w:num w:numId="110" w16cid:durableId="223293300">
    <w:abstractNumId w:val="61"/>
  </w:num>
  <w:num w:numId="111" w16cid:durableId="415637372">
    <w:abstractNumId w:val="59"/>
  </w:num>
  <w:num w:numId="112" w16cid:durableId="103891462">
    <w:abstractNumId w:val="40"/>
  </w:num>
  <w:num w:numId="113" w16cid:durableId="13725709">
    <w:abstractNumId w:val="55"/>
  </w:num>
  <w:num w:numId="114" w16cid:durableId="750154200">
    <w:abstractNumId w:val="0"/>
  </w:num>
  <w:num w:numId="115" w16cid:durableId="1129009838">
    <w:abstractNumId w:val="50"/>
  </w:num>
  <w:num w:numId="116" w16cid:durableId="441190815">
    <w:abstractNumId w:val="18"/>
  </w:num>
  <w:num w:numId="117" w16cid:durableId="1168407121">
    <w:abstractNumId w:val="53"/>
  </w:num>
  <w:num w:numId="118" w16cid:durableId="50736949">
    <w:abstractNumId w:val="60"/>
  </w:num>
  <w:num w:numId="119" w16cid:durableId="1095900951">
    <w:abstractNumId w:val="9"/>
  </w:num>
  <w:num w:numId="120" w16cid:durableId="607589163">
    <w:abstractNumId w:val="92"/>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29EE"/>
    <w:rsid w:val="00012010"/>
    <w:rsid w:val="000179FB"/>
    <w:rsid w:val="000264A2"/>
    <w:rsid w:val="000400E4"/>
    <w:rsid w:val="000561C3"/>
    <w:rsid w:val="000624E4"/>
    <w:rsid w:val="00063B4C"/>
    <w:rsid w:val="000829B7"/>
    <w:rsid w:val="00086A80"/>
    <w:rsid w:val="000901A5"/>
    <w:rsid w:val="0009124B"/>
    <w:rsid w:val="00093369"/>
    <w:rsid w:val="00097F97"/>
    <w:rsid w:val="000A456F"/>
    <w:rsid w:val="000B0D9D"/>
    <w:rsid w:val="000B32F1"/>
    <w:rsid w:val="000D05D8"/>
    <w:rsid w:val="000D0641"/>
    <w:rsid w:val="000D23C5"/>
    <w:rsid w:val="000D2B00"/>
    <w:rsid w:val="000D4B6F"/>
    <w:rsid w:val="000D6F9F"/>
    <w:rsid w:val="000E020F"/>
    <w:rsid w:val="000E21A2"/>
    <w:rsid w:val="000F2BAA"/>
    <w:rsid w:val="000F56C6"/>
    <w:rsid w:val="000F768D"/>
    <w:rsid w:val="0010749A"/>
    <w:rsid w:val="001167E0"/>
    <w:rsid w:val="00134692"/>
    <w:rsid w:val="001563AD"/>
    <w:rsid w:val="001601E6"/>
    <w:rsid w:val="00160842"/>
    <w:rsid w:val="00171652"/>
    <w:rsid w:val="00172C13"/>
    <w:rsid w:val="00196D91"/>
    <w:rsid w:val="001A4C8C"/>
    <w:rsid w:val="001B5E00"/>
    <w:rsid w:val="001C3AF6"/>
    <w:rsid w:val="001D1485"/>
    <w:rsid w:val="001D5D7F"/>
    <w:rsid w:val="001D6EC6"/>
    <w:rsid w:val="001F07F4"/>
    <w:rsid w:val="001F19A6"/>
    <w:rsid w:val="001F4F58"/>
    <w:rsid w:val="00202572"/>
    <w:rsid w:val="00211184"/>
    <w:rsid w:val="0021364B"/>
    <w:rsid w:val="00221C48"/>
    <w:rsid w:val="00224277"/>
    <w:rsid w:val="00225422"/>
    <w:rsid w:val="0025020C"/>
    <w:rsid w:val="002505E0"/>
    <w:rsid w:val="00252C81"/>
    <w:rsid w:val="00256951"/>
    <w:rsid w:val="00257516"/>
    <w:rsid w:val="0025768C"/>
    <w:rsid w:val="00260B04"/>
    <w:rsid w:val="00260ED6"/>
    <w:rsid w:val="002651C6"/>
    <w:rsid w:val="00265D12"/>
    <w:rsid w:val="00280031"/>
    <w:rsid w:val="002865F5"/>
    <w:rsid w:val="00292A36"/>
    <w:rsid w:val="002B31F5"/>
    <w:rsid w:val="002D0687"/>
    <w:rsid w:val="002D64A3"/>
    <w:rsid w:val="002D72A6"/>
    <w:rsid w:val="002E1AB6"/>
    <w:rsid w:val="002E2D95"/>
    <w:rsid w:val="002F2062"/>
    <w:rsid w:val="002F58A3"/>
    <w:rsid w:val="002F5E53"/>
    <w:rsid w:val="00300D77"/>
    <w:rsid w:val="00304D7F"/>
    <w:rsid w:val="00312A5A"/>
    <w:rsid w:val="003135AD"/>
    <w:rsid w:val="00321C5C"/>
    <w:rsid w:val="003227EF"/>
    <w:rsid w:val="00323936"/>
    <w:rsid w:val="00324E9B"/>
    <w:rsid w:val="00345FA0"/>
    <w:rsid w:val="00386E3C"/>
    <w:rsid w:val="0038721B"/>
    <w:rsid w:val="00393F39"/>
    <w:rsid w:val="00394162"/>
    <w:rsid w:val="003A64C4"/>
    <w:rsid w:val="003A66FD"/>
    <w:rsid w:val="003B06DD"/>
    <w:rsid w:val="003B1E32"/>
    <w:rsid w:val="003E00D3"/>
    <w:rsid w:val="003E1AE6"/>
    <w:rsid w:val="0040372F"/>
    <w:rsid w:val="00403A1A"/>
    <w:rsid w:val="004043DD"/>
    <w:rsid w:val="0041260D"/>
    <w:rsid w:val="00416A0A"/>
    <w:rsid w:val="00426EEB"/>
    <w:rsid w:val="00431B90"/>
    <w:rsid w:val="00496294"/>
    <w:rsid w:val="004A48F4"/>
    <w:rsid w:val="004A6B65"/>
    <w:rsid w:val="004D4021"/>
    <w:rsid w:val="004D4CB3"/>
    <w:rsid w:val="004E3F34"/>
    <w:rsid w:val="004F172A"/>
    <w:rsid w:val="00500012"/>
    <w:rsid w:val="00501972"/>
    <w:rsid w:val="005119DE"/>
    <w:rsid w:val="0051455B"/>
    <w:rsid w:val="005224CA"/>
    <w:rsid w:val="005346D8"/>
    <w:rsid w:val="00535AD8"/>
    <w:rsid w:val="005367A9"/>
    <w:rsid w:val="005446BF"/>
    <w:rsid w:val="0055147E"/>
    <w:rsid w:val="005905FA"/>
    <w:rsid w:val="005915B4"/>
    <w:rsid w:val="0059639A"/>
    <w:rsid w:val="005A0DA5"/>
    <w:rsid w:val="005A45AF"/>
    <w:rsid w:val="005B3EDE"/>
    <w:rsid w:val="005B4460"/>
    <w:rsid w:val="005B6E67"/>
    <w:rsid w:val="005C5E80"/>
    <w:rsid w:val="005D627F"/>
    <w:rsid w:val="005D7A1E"/>
    <w:rsid w:val="005E1650"/>
    <w:rsid w:val="005F4551"/>
    <w:rsid w:val="00604A87"/>
    <w:rsid w:val="00614135"/>
    <w:rsid w:val="006149E7"/>
    <w:rsid w:val="00621776"/>
    <w:rsid w:val="00621872"/>
    <w:rsid w:val="00621E78"/>
    <w:rsid w:val="00631506"/>
    <w:rsid w:val="00636D9A"/>
    <w:rsid w:val="00645179"/>
    <w:rsid w:val="006557F3"/>
    <w:rsid w:val="00663299"/>
    <w:rsid w:val="00682699"/>
    <w:rsid w:val="006A3F0D"/>
    <w:rsid w:val="006A4515"/>
    <w:rsid w:val="006C573C"/>
    <w:rsid w:val="006C74D6"/>
    <w:rsid w:val="006C78AA"/>
    <w:rsid w:val="006D5318"/>
    <w:rsid w:val="006D664C"/>
    <w:rsid w:val="006E19BD"/>
    <w:rsid w:val="006E1EBD"/>
    <w:rsid w:val="006F04D4"/>
    <w:rsid w:val="006F4AB2"/>
    <w:rsid w:val="00705ED1"/>
    <w:rsid w:val="007063BA"/>
    <w:rsid w:val="007145B1"/>
    <w:rsid w:val="00725580"/>
    <w:rsid w:val="007277F1"/>
    <w:rsid w:val="00730C3C"/>
    <w:rsid w:val="0073280B"/>
    <w:rsid w:val="00736E31"/>
    <w:rsid w:val="00750B5B"/>
    <w:rsid w:val="00761499"/>
    <w:rsid w:val="00766DC8"/>
    <w:rsid w:val="0077163A"/>
    <w:rsid w:val="00785752"/>
    <w:rsid w:val="007916D2"/>
    <w:rsid w:val="00797729"/>
    <w:rsid w:val="00797A99"/>
    <w:rsid w:val="007A56D8"/>
    <w:rsid w:val="007A59C8"/>
    <w:rsid w:val="007A712E"/>
    <w:rsid w:val="007B59C7"/>
    <w:rsid w:val="007B5FCD"/>
    <w:rsid w:val="007C246B"/>
    <w:rsid w:val="007C685B"/>
    <w:rsid w:val="007E083C"/>
    <w:rsid w:val="007E200C"/>
    <w:rsid w:val="007E4DA9"/>
    <w:rsid w:val="007E5B38"/>
    <w:rsid w:val="007F17BE"/>
    <w:rsid w:val="007F7847"/>
    <w:rsid w:val="00804B94"/>
    <w:rsid w:val="00805D6A"/>
    <w:rsid w:val="00807B11"/>
    <w:rsid w:val="0082760D"/>
    <w:rsid w:val="008466CB"/>
    <w:rsid w:val="008664F0"/>
    <w:rsid w:val="0087123B"/>
    <w:rsid w:val="00876236"/>
    <w:rsid w:val="00880B2D"/>
    <w:rsid w:val="0088225D"/>
    <w:rsid w:val="00883AB0"/>
    <w:rsid w:val="00885210"/>
    <w:rsid w:val="00894108"/>
    <w:rsid w:val="008A30D2"/>
    <w:rsid w:val="008B18A1"/>
    <w:rsid w:val="008B1DFA"/>
    <w:rsid w:val="008C38C3"/>
    <w:rsid w:val="008D6F0F"/>
    <w:rsid w:val="008E7B2E"/>
    <w:rsid w:val="00901883"/>
    <w:rsid w:val="009020CA"/>
    <w:rsid w:val="009061D4"/>
    <w:rsid w:val="009127D3"/>
    <w:rsid w:val="0091543A"/>
    <w:rsid w:val="00916814"/>
    <w:rsid w:val="00941918"/>
    <w:rsid w:val="00956BEB"/>
    <w:rsid w:val="009649AB"/>
    <w:rsid w:val="0097206F"/>
    <w:rsid w:val="00972B49"/>
    <w:rsid w:val="00975585"/>
    <w:rsid w:val="00991F6F"/>
    <w:rsid w:val="00993194"/>
    <w:rsid w:val="00995444"/>
    <w:rsid w:val="009955F4"/>
    <w:rsid w:val="009C5968"/>
    <w:rsid w:val="009D06C5"/>
    <w:rsid w:val="009D534C"/>
    <w:rsid w:val="009D728C"/>
    <w:rsid w:val="009E5B14"/>
    <w:rsid w:val="009F050E"/>
    <w:rsid w:val="00A12176"/>
    <w:rsid w:val="00A40D9D"/>
    <w:rsid w:val="00A53C09"/>
    <w:rsid w:val="00A54C0E"/>
    <w:rsid w:val="00A56613"/>
    <w:rsid w:val="00A70BCA"/>
    <w:rsid w:val="00A7437E"/>
    <w:rsid w:val="00A90798"/>
    <w:rsid w:val="00A90A7A"/>
    <w:rsid w:val="00A939F5"/>
    <w:rsid w:val="00AA1E7E"/>
    <w:rsid w:val="00AA263B"/>
    <w:rsid w:val="00AA437C"/>
    <w:rsid w:val="00AB2BA2"/>
    <w:rsid w:val="00AB670E"/>
    <w:rsid w:val="00AB78F0"/>
    <w:rsid w:val="00AD3D96"/>
    <w:rsid w:val="00AE1DA2"/>
    <w:rsid w:val="00AF05A4"/>
    <w:rsid w:val="00B01396"/>
    <w:rsid w:val="00B03F5C"/>
    <w:rsid w:val="00B10DB6"/>
    <w:rsid w:val="00B11558"/>
    <w:rsid w:val="00B2418B"/>
    <w:rsid w:val="00B26973"/>
    <w:rsid w:val="00B40F4C"/>
    <w:rsid w:val="00B43728"/>
    <w:rsid w:val="00B44B91"/>
    <w:rsid w:val="00B4554A"/>
    <w:rsid w:val="00B45C07"/>
    <w:rsid w:val="00B54340"/>
    <w:rsid w:val="00B56DF6"/>
    <w:rsid w:val="00B575E2"/>
    <w:rsid w:val="00B7073C"/>
    <w:rsid w:val="00B711AB"/>
    <w:rsid w:val="00B7685E"/>
    <w:rsid w:val="00B76A50"/>
    <w:rsid w:val="00B77532"/>
    <w:rsid w:val="00B83977"/>
    <w:rsid w:val="00B858A1"/>
    <w:rsid w:val="00BA6AFE"/>
    <w:rsid w:val="00BB1F89"/>
    <w:rsid w:val="00BB65AC"/>
    <w:rsid w:val="00BD1C73"/>
    <w:rsid w:val="00BD2909"/>
    <w:rsid w:val="00BF1B3D"/>
    <w:rsid w:val="00BF4FD4"/>
    <w:rsid w:val="00BF76BC"/>
    <w:rsid w:val="00C0646D"/>
    <w:rsid w:val="00C1139A"/>
    <w:rsid w:val="00C17A49"/>
    <w:rsid w:val="00C31031"/>
    <w:rsid w:val="00C36C9B"/>
    <w:rsid w:val="00C408C6"/>
    <w:rsid w:val="00C513FA"/>
    <w:rsid w:val="00C56DB7"/>
    <w:rsid w:val="00C672FD"/>
    <w:rsid w:val="00C751FB"/>
    <w:rsid w:val="00C813A9"/>
    <w:rsid w:val="00C91479"/>
    <w:rsid w:val="00C91997"/>
    <w:rsid w:val="00C965B4"/>
    <w:rsid w:val="00CA7734"/>
    <w:rsid w:val="00CB3AF6"/>
    <w:rsid w:val="00CB3C13"/>
    <w:rsid w:val="00CB5E56"/>
    <w:rsid w:val="00CD38B5"/>
    <w:rsid w:val="00CD3F75"/>
    <w:rsid w:val="00CE108D"/>
    <w:rsid w:val="00CE3FD1"/>
    <w:rsid w:val="00CE620E"/>
    <w:rsid w:val="00CF1ED5"/>
    <w:rsid w:val="00D016EC"/>
    <w:rsid w:val="00D063E7"/>
    <w:rsid w:val="00D13A82"/>
    <w:rsid w:val="00D13DB7"/>
    <w:rsid w:val="00D332B8"/>
    <w:rsid w:val="00D4414F"/>
    <w:rsid w:val="00D55989"/>
    <w:rsid w:val="00D56D39"/>
    <w:rsid w:val="00D6353C"/>
    <w:rsid w:val="00D75B36"/>
    <w:rsid w:val="00D77051"/>
    <w:rsid w:val="00D80BEC"/>
    <w:rsid w:val="00D92C94"/>
    <w:rsid w:val="00D9794C"/>
    <w:rsid w:val="00DA260E"/>
    <w:rsid w:val="00DB71AC"/>
    <w:rsid w:val="00DC00D1"/>
    <w:rsid w:val="00DD02A4"/>
    <w:rsid w:val="00DD3044"/>
    <w:rsid w:val="00DE0913"/>
    <w:rsid w:val="00DE1A02"/>
    <w:rsid w:val="00DE3934"/>
    <w:rsid w:val="00DE60E6"/>
    <w:rsid w:val="00E05C6C"/>
    <w:rsid w:val="00E157E1"/>
    <w:rsid w:val="00E15A4E"/>
    <w:rsid w:val="00E16359"/>
    <w:rsid w:val="00E2182C"/>
    <w:rsid w:val="00E22DBD"/>
    <w:rsid w:val="00E325CF"/>
    <w:rsid w:val="00E345D7"/>
    <w:rsid w:val="00E40B0D"/>
    <w:rsid w:val="00E43FE8"/>
    <w:rsid w:val="00E653D0"/>
    <w:rsid w:val="00E71420"/>
    <w:rsid w:val="00E72C5E"/>
    <w:rsid w:val="00E8041C"/>
    <w:rsid w:val="00E8069E"/>
    <w:rsid w:val="00E80A65"/>
    <w:rsid w:val="00E80E8A"/>
    <w:rsid w:val="00E94DA0"/>
    <w:rsid w:val="00EA2A69"/>
    <w:rsid w:val="00EA5CC3"/>
    <w:rsid w:val="00EF4691"/>
    <w:rsid w:val="00EF6341"/>
    <w:rsid w:val="00F02CBE"/>
    <w:rsid w:val="00F040ED"/>
    <w:rsid w:val="00F0560A"/>
    <w:rsid w:val="00F158D7"/>
    <w:rsid w:val="00F20EE5"/>
    <w:rsid w:val="00F2215D"/>
    <w:rsid w:val="00F33A08"/>
    <w:rsid w:val="00F44833"/>
    <w:rsid w:val="00F4596D"/>
    <w:rsid w:val="00F45D21"/>
    <w:rsid w:val="00F47331"/>
    <w:rsid w:val="00F544B0"/>
    <w:rsid w:val="00F67C87"/>
    <w:rsid w:val="00F70E89"/>
    <w:rsid w:val="00F72C60"/>
    <w:rsid w:val="00F81121"/>
    <w:rsid w:val="00F84C23"/>
    <w:rsid w:val="00FA33F6"/>
    <w:rsid w:val="00FA638C"/>
    <w:rsid w:val="00FC016E"/>
    <w:rsid w:val="00FD238F"/>
    <w:rsid w:val="00FD3DE0"/>
    <w:rsid w:val="00FD7729"/>
    <w:rsid w:val="00FD7C22"/>
    <w:rsid w:val="00FE1386"/>
    <w:rsid w:val="00FE5C58"/>
    <w:rsid w:val="00FE658C"/>
    <w:rsid w:val="00FF5B5D"/>
    <w:rsid w:val="02365156"/>
    <w:rsid w:val="0251E3CD"/>
    <w:rsid w:val="031BE8FF"/>
    <w:rsid w:val="032ABBD7"/>
    <w:rsid w:val="04027D16"/>
    <w:rsid w:val="041CBE67"/>
    <w:rsid w:val="042D09A6"/>
    <w:rsid w:val="059715B8"/>
    <w:rsid w:val="05DEA2D4"/>
    <w:rsid w:val="066210F9"/>
    <w:rsid w:val="068DAF83"/>
    <w:rsid w:val="072869EF"/>
    <w:rsid w:val="0733D756"/>
    <w:rsid w:val="07C868F5"/>
    <w:rsid w:val="080B8D2A"/>
    <w:rsid w:val="08C4900B"/>
    <w:rsid w:val="08E9FA30"/>
    <w:rsid w:val="092EEFEE"/>
    <w:rsid w:val="099F93D0"/>
    <w:rsid w:val="0A45B2D3"/>
    <w:rsid w:val="0AD6BBA6"/>
    <w:rsid w:val="0BB8E8B2"/>
    <w:rsid w:val="0BE2A9A8"/>
    <w:rsid w:val="0C6314CF"/>
    <w:rsid w:val="0D81841C"/>
    <w:rsid w:val="0E3AB6F0"/>
    <w:rsid w:val="0E4A3EEC"/>
    <w:rsid w:val="0E8A1A22"/>
    <w:rsid w:val="0F72A6F8"/>
    <w:rsid w:val="117A978F"/>
    <w:rsid w:val="11C23D69"/>
    <w:rsid w:val="12B572A0"/>
    <w:rsid w:val="12DCD325"/>
    <w:rsid w:val="13A72E64"/>
    <w:rsid w:val="1536B60A"/>
    <w:rsid w:val="158DFDE4"/>
    <w:rsid w:val="16749BAF"/>
    <w:rsid w:val="172E73C0"/>
    <w:rsid w:val="175C988C"/>
    <w:rsid w:val="177BE96D"/>
    <w:rsid w:val="18F294C7"/>
    <w:rsid w:val="190D9115"/>
    <w:rsid w:val="1A3EF1B2"/>
    <w:rsid w:val="1AA61012"/>
    <w:rsid w:val="1C6545A0"/>
    <w:rsid w:val="1C90EB68"/>
    <w:rsid w:val="1CB941C4"/>
    <w:rsid w:val="1D2FA0A3"/>
    <w:rsid w:val="1DB31417"/>
    <w:rsid w:val="1E166B1B"/>
    <w:rsid w:val="1E3D800A"/>
    <w:rsid w:val="1E6A07CA"/>
    <w:rsid w:val="1F54B9AD"/>
    <w:rsid w:val="1FAE6F0F"/>
    <w:rsid w:val="2052E21A"/>
    <w:rsid w:val="208779BC"/>
    <w:rsid w:val="20C3C94F"/>
    <w:rsid w:val="20FCE11E"/>
    <w:rsid w:val="21F0904A"/>
    <w:rsid w:val="22101ABC"/>
    <w:rsid w:val="226683B1"/>
    <w:rsid w:val="2267A8BF"/>
    <w:rsid w:val="2388B18B"/>
    <w:rsid w:val="23E82549"/>
    <w:rsid w:val="244FCCFD"/>
    <w:rsid w:val="250BAB9F"/>
    <w:rsid w:val="2531C64C"/>
    <w:rsid w:val="259F393B"/>
    <w:rsid w:val="26066EFB"/>
    <w:rsid w:val="27448B5D"/>
    <w:rsid w:val="27A59A72"/>
    <w:rsid w:val="27D8DE6E"/>
    <w:rsid w:val="2809A314"/>
    <w:rsid w:val="2886039B"/>
    <w:rsid w:val="28A3D0F3"/>
    <w:rsid w:val="28C71100"/>
    <w:rsid w:val="29D25F45"/>
    <w:rsid w:val="2B358078"/>
    <w:rsid w:val="2B8625A8"/>
    <w:rsid w:val="2CD0D47A"/>
    <w:rsid w:val="2CE14FF7"/>
    <w:rsid w:val="2D1BE3C8"/>
    <w:rsid w:val="2D67AA47"/>
    <w:rsid w:val="2D7D1DAE"/>
    <w:rsid w:val="2DF413C7"/>
    <w:rsid w:val="2E745740"/>
    <w:rsid w:val="2F662944"/>
    <w:rsid w:val="2FE98DB6"/>
    <w:rsid w:val="311E33C9"/>
    <w:rsid w:val="31A1267D"/>
    <w:rsid w:val="3212B283"/>
    <w:rsid w:val="321FFC6A"/>
    <w:rsid w:val="326F2AA6"/>
    <w:rsid w:val="3302005A"/>
    <w:rsid w:val="33A3FB08"/>
    <w:rsid w:val="3413DD05"/>
    <w:rsid w:val="34DA7A12"/>
    <w:rsid w:val="3525D5D1"/>
    <w:rsid w:val="35EE01A3"/>
    <w:rsid w:val="373353E7"/>
    <w:rsid w:val="37438CA2"/>
    <w:rsid w:val="378C474A"/>
    <w:rsid w:val="3932AE31"/>
    <w:rsid w:val="39DC7015"/>
    <w:rsid w:val="3A6F3302"/>
    <w:rsid w:val="3DDE78B7"/>
    <w:rsid w:val="3DF26056"/>
    <w:rsid w:val="3EB15323"/>
    <w:rsid w:val="3F17FEC5"/>
    <w:rsid w:val="3FAA296E"/>
    <w:rsid w:val="3FF8F285"/>
    <w:rsid w:val="401ED7A6"/>
    <w:rsid w:val="4039D54B"/>
    <w:rsid w:val="406285E1"/>
    <w:rsid w:val="407F47BC"/>
    <w:rsid w:val="40B0F7CF"/>
    <w:rsid w:val="4111BF38"/>
    <w:rsid w:val="41D155CB"/>
    <w:rsid w:val="42555745"/>
    <w:rsid w:val="42DC9887"/>
    <w:rsid w:val="4350C6E9"/>
    <w:rsid w:val="45A595D7"/>
    <w:rsid w:val="45AAD9AD"/>
    <w:rsid w:val="4610CDE9"/>
    <w:rsid w:val="46A3E04C"/>
    <w:rsid w:val="470D1FCC"/>
    <w:rsid w:val="4782082A"/>
    <w:rsid w:val="496C3EA8"/>
    <w:rsid w:val="498C1163"/>
    <w:rsid w:val="49DB338B"/>
    <w:rsid w:val="4A86A7C4"/>
    <w:rsid w:val="4B8666E0"/>
    <w:rsid w:val="4C72D9C6"/>
    <w:rsid w:val="4CAE2C17"/>
    <w:rsid w:val="4D2995ED"/>
    <w:rsid w:val="4DD281E7"/>
    <w:rsid w:val="4DD9B5ED"/>
    <w:rsid w:val="4DE34502"/>
    <w:rsid w:val="4E08A2EF"/>
    <w:rsid w:val="4EE2EAAC"/>
    <w:rsid w:val="4F48D9CF"/>
    <w:rsid w:val="4F6151B3"/>
    <w:rsid w:val="4F8813ED"/>
    <w:rsid w:val="4FBEFB81"/>
    <w:rsid w:val="50898A27"/>
    <w:rsid w:val="509DA0C5"/>
    <w:rsid w:val="509DE14C"/>
    <w:rsid w:val="50B52D27"/>
    <w:rsid w:val="50BC55B2"/>
    <w:rsid w:val="511F3BEC"/>
    <w:rsid w:val="514F3D5D"/>
    <w:rsid w:val="5168E196"/>
    <w:rsid w:val="5221F6DE"/>
    <w:rsid w:val="52875C2E"/>
    <w:rsid w:val="541C5B71"/>
    <w:rsid w:val="546AC345"/>
    <w:rsid w:val="54BA0C59"/>
    <w:rsid w:val="54D6AA51"/>
    <w:rsid w:val="552B12E2"/>
    <w:rsid w:val="5536F3ED"/>
    <w:rsid w:val="555833AB"/>
    <w:rsid w:val="55B3D9C0"/>
    <w:rsid w:val="56024DB5"/>
    <w:rsid w:val="56812CC2"/>
    <w:rsid w:val="568A9877"/>
    <w:rsid w:val="57C03C69"/>
    <w:rsid w:val="581F6928"/>
    <w:rsid w:val="5A7D486B"/>
    <w:rsid w:val="5C4B511B"/>
    <w:rsid w:val="5C8C45B7"/>
    <w:rsid w:val="5F41BA40"/>
    <w:rsid w:val="5F63D658"/>
    <w:rsid w:val="5FAD96D6"/>
    <w:rsid w:val="5FB1D871"/>
    <w:rsid w:val="60CEAD9E"/>
    <w:rsid w:val="610FA52C"/>
    <w:rsid w:val="611024AA"/>
    <w:rsid w:val="612D80B2"/>
    <w:rsid w:val="614A4FB2"/>
    <w:rsid w:val="6191D8AA"/>
    <w:rsid w:val="61A171B9"/>
    <w:rsid w:val="621E18EF"/>
    <w:rsid w:val="6294EAAB"/>
    <w:rsid w:val="6336D0D9"/>
    <w:rsid w:val="63565B64"/>
    <w:rsid w:val="63EA4946"/>
    <w:rsid w:val="6454D82F"/>
    <w:rsid w:val="64551BF3"/>
    <w:rsid w:val="64A6355E"/>
    <w:rsid w:val="656EC398"/>
    <w:rsid w:val="65AB30ED"/>
    <w:rsid w:val="66308859"/>
    <w:rsid w:val="666D66F3"/>
    <w:rsid w:val="68162E02"/>
    <w:rsid w:val="688CB93D"/>
    <w:rsid w:val="69407805"/>
    <w:rsid w:val="69CD727C"/>
    <w:rsid w:val="6AD0A962"/>
    <w:rsid w:val="6B7E4E59"/>
    <w:rsid w:val="6B94D492"/>
    <w:rsid w:val="6BC27A5B"/>
    <w:rsid w:val="6CCAF701"/>
    <w:rsid w:val="6D46460D"/>
    <w:rsid w:val="6D78BB2D"/>
    <w:rsid w:val="6DF86C20"/>
    <w:rsid w:val="6F38796E"/>
    <w:rsid w:val="6F3B1D3E"/>
    <w:rsid w:val="70B45C40"/>
    <w:rsid w:val="714C510B"/>
    <w:rsid w:val="722C2BD8"/>
    <w:rsid w:val="723897E8"/>
    <w:rsid w:val="72F04411"/>
    <w:rsid w:val="76B230D4"/>
    <w:rsid w:val="76B9E45B"/>
    <w:rsid w:val="76D98574"/>
    <w:rsid w:val="76E44706"/>
    <w:rsid w:val="774A688F"/>
    <w:rsid w:val="778E0EEB"/>
    <w:rsid w:val="7815A3D2"/>
    <w:rsid w:val="7981C51D"/>
    <w:rsid w:val="7A0B4562"/>
    <w:rsid w:val="7BF90626"/>
    <w:rsid w:val="7D2E8043"/>
    <w:rsid w:val="7D3A3640"/>
    <w:rsid w:val="7DFCBC49"/>
    <w:rsid w:val="7DFD9003"/>
    <w:rsid w:val="7E06603D"/>
    <w:rsid w:val="7E8DED0E"/>
    <w:rsid w:val="7F3495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34C43C10-4134-4CB0-8868-4083E6F04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9"/>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p1">
    <w:name w:val="p1"/>
    <w:basedOn w:val="Normal"/>
    <w:rsid w:val="006C573C"/>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6C573C"/>
  </w:style>
  <w:style w:type="paragraph" w:customStyle="1" w:styleId="p2">
    <w:name w:val="p2"/>
    <w:basedOn w:val="Normal"/>
    <w:rsid w:val="006C573C"/>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6C573C"/>
  </w:style>
  <w:style w:type="paragraph" w:customStyle="1" w:styleId="p3">
    <w:name w:val="p3"/>
    <w:basedOn w:val="Normal"/>
    <w:rsid w:val="0088225D"/>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3">
    <w:name w:val="s3"/>
    <w:basedOn w:val="DefaultParagraphFont"/>
    <w:rsid w:val="0088225D"/>
  </w:style>
  <w:style w:type="character" w:customStyle="1" w:styleId="s4">
    <w:name w:val="s4"/>
    <w:basedOn w:val="DefaultParagraphFont"/>
    <w:rsid w:val="0088225D"/>
  </w:style>
  <w:style w:type="table" w:styleId="GridTable5Dark-Accent1">
    <w:name w:val="Grid Table 5 Dark Accent 1"/>
    <w:basedOn w:val="TableNormal"/>
    <w:uiPriority w:val="50"/>
    <w:rsid w:val="005346D8"/>
    <w:pPr>
      <w:spacing w:after="0" w:line="240" w:lineRule="auto"/>
    </w:pPr>
    <w:rPr>
      <w:sz w:val="24"/>
      <w:szCs w:val="24"/>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a2d9e6bc13fc2ce189ded3fbea36a6a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267ddba92d0504699a49a363a42aaa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1D8B7A-FECD-4BC1-A308-A4EA241DDE62}">
  <ds:schemaRefs>
    <ds:schemaRef ds:uri="http://schemas.microsoft.com/sharepoint/v3/contenttype/forms"/>
  </ds:schemaRefs>
</ds:datastoreItem>
</file>

<file path=customXml/itemProps2.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3.xml><?xml version="1.0" encoding="utf-8"?>
<ds:datastoreItem xmlns:ds="http://schemas.openxmlformats.org/officeDocument/2006/customXml" ds:itemID="{F0B652BF-8DAD-4D9B-901B-6752EC79A819}">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2F3253FE-C5A0-4507-A9AE-ED23C392F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13452</Words>
  <Characters>76681</Characters>
  <Application>Microsoft Office Word</Application>
  <DocSecurity>4</DocSecurity>
  <Lines>639</Lines>
  <Paragraphs>179</Paragraphs>
  <ScaleCrop>false</ScaleCrop>
  <Company>University of Wales Trinity Saint David</Company>
  <LinksUpToDate>false</LinksUpToDate>
  <CharactersWithSpaces>89954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Nazish Shazady (2224320)</cp:lastModifiedBy>
  <cp:revision>197</cp:revision>
  <dcterms:created xsi:type="dcterms:W3CDTF">2025-11-20T10:11:00Z</dcterms:created>
  <dcterms:modified xsi:type="dcterms:W3CDTF">2025-11-24T18:36:00Z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