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52"/>
          <w:szCs w:val="52"/>
        </w:rPr>
      </w:pPr>
      <w:r w:rsidDel="00000000" w:rsidR="00000000" w:rsidRPr="00000000">
        <w:rPr>
          <w:sz w:val="52"/>
          <w:szCs w:val="52"/>
          <w:rtl w:val="0"/>
        </w:rPr>
        <w:t xml:space="preserve">Atiyah Haseen</w:t>
      </w:r>
    </w:p>
    <w:p w:rsidR="00000000" w:rsidDel="00000000" w:rsidP="00000000" w:rsidRDefault="00000000" w:rsidRPr="00000000" w14:paraId="00000002">
      <w:pPr>
        <w:rPr>
          <w:sz w:val="52"/>
          <w:szCs w:val="52"/>
        </w:rPr>
      </w:pPr>
      <w:r w:rsidDel="00000000" w:rsidR="00000000" w:rsidRPr="00000000">
        <w:rPr>
          <w:rtl w:val="0"/>
        </w:rPr>
      </w:r>
    </w:p>
    <w:p w:rsidR="00000000" w:rsidDel="00000000" w:rsidP="00000000" w:rsidRDefault="00000000" w:rsidRPr="00000000" w14:paraId="00000003">
      <w:pPr>
        <w:rPr>
          <w:sz w:val="52"/>
          <w:szCs w:val="52"/>
        </w:rPr>
      </w:pPr>
      <w:r w:rsidDel="00000000" w:rsidR="00000000" w:rsidRPr="00000000">
        <w:rPr>
          <w:sz w:val="52"/>
          <w:szCs w:val="52"/>
          <w:rtl w:val="0"/>
        </w:rPr>
        <w:t xml:space="preserve">2506896</w:t>
      </w:r>
    </w:p>
    <w:p w:rsidR="00000000" w:rsidDel="00000000" w:rsidP="00000000" w:rsidRDefault="00000000" w:rsidRPr="00000000" w14:paraId="00000004">
      <w:pPr>
        <w:rPr>
          <w:sz w:val="52"/>
          <w:szCs w:val="52"/>
        </w:rPr>
      </w:pPr>
      <w:r w:rsidDel="00000000" w:rsidR="00000000" w:rsidRPr="00000000">
        <w:rPr>
          <w:rtl w:val="0"/>
        </w:rPr>
      </w:r>
    </w:p>
    <w:p w:rsidR="00000000" w:rsidDel="00000000" w:rsidP="00000000" w:rsidRDefault="00000000" w:rsidRPr="00000000" w14:paraId="00000005">
      <w:pPr>
        <w:rPr>
          <w:sz w:val="52"/>
          <w:szCs w:val="52"/>
        </w:rPr>
      </w:pPr>
      <w:r w:rsidDel="00000000" w:rsidR="00000000" w:rsidRPr="00000000">
        <w:rPr>
          <w:sz w:val="52"/>
          <w:szCs w:val="52"/>
          <w:rtl w:val="0"/>
        </w:rPr>
        <w:t xml:space="preserve">Introduction to Health and Social Care</w:t>
      </w:r>
    </w:p>
    <w:p w:rsidR="00000000" w:rsidDel="00000000" w:rsidP="00000000" w:rsidRDefault="00000000" w:rsidRPr="00000000" w14:paraId="00000006">
      <w:pPr>
        <w:rPr>
          <w:sz w:val="52"/>
          <w:szCs w:val="52"/>
        </w:rPr>
      </w:pPr>
      <w:r w:rsidDel="00000000" w:rsidR="00000000" w:rsidRPr="00000000">
        <w:rPr>
          <w:rtl w:val="0"/>
        </w:rPr>
      </w:r>
    </w:p>
    <w:p w:rsidR="00000000" w:rsidDel="00000000" w:rsidP="00000000" w:rsidRDefault="00000000" w:rsidRPr="00000000" w14:paraId="00000007">
      <w:pPr>
        <w:rPr>
          <w:sz w:val="52"/>
          <w:szCs w:val="52"/>
        </w:rPr>
      </w:pPr>
      <w:r w:rsidDel="00000000" w:rsidR="00000000" w:rsidRPr="00000000">
        <w:rPr>
          <w:sz w:val="52"/>
          <w:szCs w:val="52"/>
          <w:rtl w:val="0"/>
        </w:rPr>
        <w:t xml:space="preserve">LCHS4003</w:t>
      </w:r>
    </w:p>
    <w:p w:rsidR="00000000" w:rsidDel="00000000" w:rsidP="00000000" w:rsidRDefault="00000000" w:rsidRPr="00000000" w14:paraId="00000008">
      <w:pPr>
        <w:rPr>
          <w:sz w:val="52"/>
          <w:szCs w:val="52"/>
        </w:rPr>
      </w:pPr>
      <w:r w:rsidDel="00000000" w:rsidR="00000000" w:rsidRPr="00000000">
        <w:rPr>
          <w:rtl w:val="0"/>
        </w:rPr>
      </w:r>
    </w:p>
    <w:p w:rsidR="00000000" w:rsidDel="00000000" w:rsidP="00000000" w:rsidRDefault="00000000" w:rsidRPr="00000000" w14:paraId="00000009">
      <w:pPr>
        <w:rPr>
          <w:sz w:val="52"/>
          <w:szCs w:val="52"/>
        </w:rPr>
      </w:pPr>
      <w:r w:rsidDel="00000000" w:rsidR="00000000" w:rsidRPr="00000000">
        <w:rPr>
          <w:sz w:val="52"/>
          <w:szCs w:val="52"/>
          <w:rtl w:val="0"/>
        </w:rPr>
        <w:t xml:space="preserve">Mumtaz Goolam</w:t>
      </w:r>
    </w:p>
    <w:p w:rsidR="00000000" w:rsidDel="00000000" w:rsidP="00000000" w:rsidRDefault="00000000" w:rsidRPr="00000000" w14:paraId="0000000A">
      <w:pPr>
        <w:rPr>
          <w:sz w:val="52"/>
          <w:szCs w:val="52"/>
        </w:rPr>
      </w:pPr>
      <w:r w:rsidDel="00000000" w:rsidR="00000000" w:rsidRPr="00000000">
        <w:rPr>
          <w:rtl w:val="0"/>
        </w:rPr>
      </w:r>
    </w:p>
    <w:p w:rsidR="00000000" w:rsidDel="00000000" w:rsidP="00000000" w:rsidRDefault="00000000" w:rsidRPr="00000000" w14:paraId="0000000B">
      <w:pPr>
        <w:rPr>
          <w:sz w:val="52"/>
          <w:szCs w:val="52"/>
        </w:rPr>
      </w:pPr>
      <w:r w:rsidDel="00000000" w:rsidR="00000000" w:rsidRPr="00000000">
        <w:rPr>
          <w:sz w:val="52"/>
          <w:szCs w:val="52"/>
          <w:rtl w:val="0"/>
        </w:rPr>
        <w:t xml:space="preserve">Written Assignment</w:t>
      </w:r>
    </w:p>
    <w:p w:rsidR="00000000" w:rsidDel="00000000" w:rsidP="00000000" w:rsidRDefault="00000000" w:rsidRPr="00000000" w14:paraId="0000000C">
      <w:pPr>
        <w:rPr>
          <w:sz w:val="52"/>
          <w:szCs w:val="52"/>
        </w:rPr>
      </w:pPr>
      <w:r w:rsidDel="00000000" w:rsidR="00000000" w:rsidRPr="00000000">
        <w:rPr>
          <w:rtl w:val="0"/>
        </w:rPr>
      </w:r>
    </w:p>
    <w:p w:rsidR="00000000" w:rsidDel="00000000" w:rsidP="00000000" w:rsidRDefault="00000000" w:rsidRPr="00000000" w14:paraId="0000000D">
      <w:pPr>
        <w:rPr>
          <w:sz w:val="52"/>
          <w:szCs w:val="52"/>
        </w:rPr>
      </w:pPr>
      <w:r w:rsidDel="00000000" w:rsidR="00000000" w:rsidRPr="00000000">
        <w:rPr>
          <w:rtl w:val="0"/>
        </w:rPr>
      </w:r>
    </w:p>
    <w:p w:rsidR="00000000" w:rsidDel="00000000" w:rsidP="00000000" w:rsidRDefault="00000000" w:rsidRPr="00000000" w14:paraId="0000000E">
      <w:pPr>
        <w:rPr>
          <w:sz w:val="52"/>
          <w:szCs w:val="52"/>
        </w:rPr>
      </w:pPr>
      <w:r w:rsidDel="00000000" w:rsidR="00000000" w:rsidRPr="00000000">
        <w:rPr>
          <w:rtl w:val="0"/>
        </w:rPr>
      </w:r>
    </w:p>
    <w:p w:rsidR="00000000" w:rsidDel="00000000" w:rsidP="00000000" w:rsidRDefault="00000000" w:rsidRPr="00000000" w14:paraId="0000000F">
      <w:pPr>
        <w:rPr>
          <w:sz w:val="52"/>
          <w:szCs w:val="52"/>
        </w:rPr>
      </w:pPr>
      <w:r w:rsidDel="00000000" w:rsidR="00000000" w:rsidRPr="00000000">
        <w:rPr>
          <w:rtl w:val="0"/>
        </w:rPr>
      </w:r>
    </w:p>
    <w:p w:rsidR="00000000" w:rsidDel="00000000" w:rsidP="00000000" w:rsidRDefault="00000000" w:rsidRPr="00000000" w14:paraId="00000010">
      <w:pPr>
        <w:rPr>
          <w:sz w:val="52"/>
          <w:szCs w:val="52"/>
        </w:rPr>
      </w:pPr>
      <w:r w:rsidDel="00000000" w:rsidR="00000000" w:rsidRPr="00000000">
        <w:rPr>
          <w:rtl w:val="0"/>
        </w:rPr>
      </w:r>
    </w:p>
    <w:p w:rsidR="00000000" w:rsidDel="00000000" w:rsidP="00000000" w:rsidRDefault="00000000" w:rsidRPr="00000000" w14:paraId="00000011">
      <w:pPr>
        <w:rPr>
          <w:sz w:val="52"/>
          <w:szCs w:val="52"/>
        </w:rPr>
      </w:pPr>
      <w:r w:rsidDel="00000000" w:rsidR="00000000" w:rsidRPr="00000000">
        <w:rPr>
          <w:rtl w:val="0"/>
        </w:rPr>
      </w:r>
    </w:p>
    <w:p w:rsidR="00000000" w:rsidDel="00000000" w:rsidP="00000000" w:rsidRDefault="00000000" w:rsidRPr="00000000" w14:paraId="00000012">
      <w:pPr>
        <w:rPr>
          <w:sz w:val="52"/>
          <w:szCs w:val="52"/>
        </w:rPr>
      </w:pPr>
      <w:r w:rsidDel="00000000" w:rsidR="00000000" w:rsidRPr="00000000">
        <w:rPr>
          <w:rtl w:val="0"/>
        </w:rPr>
      </w:r>
    </w:p>
    <w:p w:rsidR="00000000" w:rsidDel="00000000" w:rsidP="00000000" w:rsidRDefault="00000000" w:rsidRPr="00000000" w14:paraId="00000013">
      <w:pPr>
        <w:rPr>
          <w:sz w:val="52"/>
          <w:szCs w:val="52"/>
        </w:rPr>
      </w:pPr>
      <w:r w:rsidDel="00000000" w:rsidR="00000000" w:rsidRPr="00000000">
        <w:rPr>
          <w:rtl w:val="0"/>
        </w:rPr>
      </w:r>
    </w:p>
    <w:p w:rsidR="00000000" w:rsidDel="00000000" w:rsidP="00000000" w:rsidRDefault="00000000" w:rsidRPr="00000000" w14:paraId="00000014">
      <w:pPr>
        <w:rPr>
          <w:sz w:val="52"/>
          <w:szCs w:val="52"/>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This report examines the care needs of Mr Ahmed, a 68 year old man recovering from a stroke, who receives support from a multidisciplinary team while living at home. The case highlights key issues in health and social care practice, including communication barriers, administrative responsibilities and the importance of collaborative working. Mr Ahmed’s limited English vocabulary, reliance on his wife for communication and recent missed care visit demonstrate the risks associated with ineffective communication and poor coordination. The report will first explore the importance of effective communication in delivering person-centered care, referencing relevant legislation and a recognised communication model. It will then analyse the role of administrative skills, particularly record keeping and data protection, in ensuring safe and consistent care delivery. Finally, it will discuss collaborative working among professionals involved in Mr Ahmed’s care, identifying strategies to overcome common challenges. The report aims to demonstrate how high-quality practice can improve outcomes and prevent incidents.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Effective communication is essential in ensuring safe, person-centered care for Mr Ahmed. Due to his stroke, he experiences communication difficulties and as a Bengali speaker with limited English, he faces additional barriers. These challenges increase the risk of misunderstanding, missed care and reduced involvement in decision-making. Therefore, adapting communication methods is critical to meeting his needs. The principles of the Equality Act 2012 emphasise that individuals must not be discriminated against due to language, disability or cultural background. (</w:t>
      </w:r>
      <w:r w:rsidDel="00000000" w:rsidR="00000000" w:rsidRPr="00000000">
        <w:rPr>
          <w:i w:val="1"/>
          <w:iCs w:val="1"/>
          <w:rtl w:val="0"/>
        </w:rPr>
        <w:t xml:space="preserve">Equality Act 2010: guidance</w:t>
      </w:r>
      <w:r w:rsidDel="00000000" w:rsidR="00000000" w:rsidRPr="00000000">
        <w:rPr>
          <w:rtl w:val="0"/>
        </w:rPr>
        <w:t xml:space="preserve">, 2015) In Mr Ahmed’s case, reasonable adjustments must b e made, such as providing translation services, using simple language and involving culturally appropriate communication methods. Relying solely on his wife to interpret may compromise accuracy and confidentiality. Therefore, professional interpreters should be used where necessary. A useful framework to understand in this context is the Shannon and Weaver Model of Communication. This model highlights key elements: sender, message, channel, receiver and barriers. (</w:t>
      </w:r>
      <w:r w:rsidDel="00000000" w:rsidR="00000000" w:rsidRPr="00000000">
        <w:rPr>
          <w:i w:val="1"/>
          <w:iCs w:val="1"/>
          <w:rtl w:val="0"/>
        </w:rPr>
        <w:t xml:space="preserve">Admin and Admin, 2014</w:t>
      </w:r>
      <w:r w:rsidDel="00000000" w:rsidR="00000000" w:rsidRPr="00000000">
        <w:rPr>
          <w:rtl w:val="0"/>
        </w:rPr>
        <w:t xml:space="preserve">) In Mr Ahmed’s care, barriers include language differences, cognitive impairment following stroke and emotional stress. Care professionals must reduce these barriers by speaking clearly, using visual aids and confirming understanding through feedback. Active listening is also vital. Care workers should observe non-verbal cues such as facial expressions or gestures, especially since stroke patients may have difficulty expressing themselves verbally. Techniques such as repeating information, asking open-ended questions and allowing extra time for response can enhance understanding. Involving Mr Ahmed’s wife appropriately is also important, as she plays a key role in his support system. However, professionals must ensure that Mr Ahmed remains central to communication and decision-making, promoting autonomy and dignity. This aligns with person-centered care principles. Effective communication also ensures continuity of care among professionals. For example, clear handovers between domiciliary care workers and nurses can prevent issues such as missed medication. The recent incident of a missed visit suggests a breakdown in communication, which could have serious consequences for Mr Ahmedd’s health. In summary, adapting communication methods, applying legal principles and using structured models like Shannon and Weaver can significantly improve care quality. Effective communication not only enhances safety but also supports Mr Ahmed’s independence, dignity and overall wellbeing.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Good administrative skills are essential in ensuring safe and effective care for Mr Ahmed. Accurate record keeping enables all members of the multidisciplinary team to access consistent and up to date information. Supporting continuity of care. In this case, missed home visits suggests a failure in administrative processes, such as scheduling, communication or documentation. The Data Protection Act 2018 outlines how personal data  must be handled, ensuring it is processed lawfully, securely and confidentially. (</w:t>
      </w:r>
      <w:r w:rsidDel="00000000" w:rsidR="00000000" w:rsidRPr="00000000">
        <w:rPr>
          <w:i w:val="1"/>
          <w:iCs w:val="1"/>
          <w:rtl w:val="0"/>
        </w:rPr>
        <w:t xml:space="preserve">Government Digital Service, 2025</w:t>
      </w:r>
      <w:r w:rsidDel="00000000" w:rsidR="00000000" w:rsidRPr="00000000">
        <w:rPr>
          <w:rtl w:val="0"/>
        </w:rPr>
        <w:t xml:space="preserve">) In Mr Ahmed’s care, sensitive information - including medical history, medication and personal details - must be protected and only accessed by authorised individuals. Failure to follow these principles could lead to breaches of confidentiality and harm to the service user. Accurate record keeping involves documenting all aspects of care. Including visits, medication administration, observations and any changes in condition. For example, if a care worker misses a visit, this must be recorded and reported immediately. Proper documentation allows for accountability and helps identify areas for improvement. Timeliness is also crucial. Records should be completed immediately after care is delivered to ensure accuracy. Delayed or incomplete records increase the risk of miscommunication and errors. In Mr Ahmed’s situation, timely recording of care visits and medication schedules could have prevented the missed dose. Confidentiality must always be maintained. Care workers should follow organisational policies to ensure that Mr Ahmed’s information is not shared inappropriately. This includes avoiding discussion in public places and ensuring that records are stored securely, whether digitally or on paper. The use of digital systems can improve administrative efficiency. Electronic care plans allow real-time updates, alerts for missed visits and better coordination between professionals. Implementing such systems could reduce the likelihood of incidents like the one described in the case study. Additionally, regulatory  frameworks, such as those set by the Care Quality Commission, emphasise the importance of safe, effective and well-led services. (</w:t>
      </w:r>
      <w:r w:rsidDel="00000000" w:rsidR="00000000" w:rsidRPr="00000000">
        <w:rPr>
          <w:i w:val="1"/>
          <w:iCs w:val="1"/>
          <w:rtl w:val="0"/>
        </w:rPr>
        <w:t xml:space="preserve">Well-Led - care Quality commission</w:t>
      </w:r>
      <w:r w:rsidDel="00000000" w:rsidR="00000000" w:rsidRPr="00000000">
        <w:rPr>
          <w:rtl w:val="0"/>
        </w:rPr>
        <w:t xml:space="preserve">, no date) Adhering to these standards ensures that organisations maintain high levels of accountability and quality care.</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Collaborative working is essential in meeting the complex needs of Mr Ahmed. His care involves multiple professionals, including his GP, district nurse, domiciliary care workers and speech and language therapist. Each professional contributes specialised knowledge, ensuring that all aspects of this health and wellbeing are addressed. One key approach to effective collaboration is regular communication and information sharing. (</w:t>
      </w:r>
      <w:r w:rsidDel="00000000" w:rsidR="00000000" w:rsidRPr="00000000">
        <w:rPr>
          <w:i w:val="1"/>
          <w:iCs w:val="1"/>
          <w:rtl w:val="0"/>
        </w:rPr>
        <w:t xml:space="preserve">Social Care Institute for Excellence (SCIE), 2025</w:t>
      </w:r>
      <w:r w:rsidDel="00000000" w:rsidR="00000000" w:rsidRPr="00000000">
        <w:rPr>
          <w:rtl w:val="0"/>
        </w:rPr>
        <w:t xml:space="preserve">) Multidisciplinary team meetings allow professionals to discuss Mr Ahmed’s progress, identify concerns and coordinate care plans. Clear definition ensures that each professional understands their responsibilities, reducing duplication and confusion. Person-centered care is also central to collaborative working. Involving Mr Ahmed and his wife in decision-making ensures that care is tailored to his preferences, cultural background and individual needs. This approach promotes dignity, independence and better outcomes. However, challenges in multi-agency working can arise, such as communication breakdowns, differences in professional priorities and organisational barriers. (</w:t>
      </w:r>
      <w:r w:rsidDel="00000000" w:rsidR="00000000" w:rsidRPr="00000000">
        <w:rPr>
          <w:i w:val="1"/>
          <w:iCs w:val="1"/>
          <w:rtl w:val="0"/>
        </w:rPr>
        <w:t xml:space="preserve">Fact Sheet: Challenges of Multi-Agency Working - Key Barriers and obstacles to Effective collaboration</w:t>
      </w:r>
      <w:r w:rsidDel="00000000" w:rsidR="00000000" w:rsidRPr="00000000">
        <w:rPr>
          <w:rtl w:val="0"/>
        </w:rPr>
        <w:t xml:space="preserve">, no date) The missed care visit suggests a lack of coordination between services. To address these challenges, clear communication systems, shared records and strong leadership are required. Strategies such as integrated care systems and digital communication tools can improve coordination by allowing professionals to access shared information. Training in teamwork and communication can also enhance collaboration.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This report has examined the care of Mr Ahmed, focusing on communication, administrative skills and collaborative working. Effective communication is essential in overcoming language and health-related barriers, with the Shannon and Weaver model providing a useful framework for adapting communication to meet individual needs. Applying legal principles ensures that care is inclusive and person-centered. Administered skills, particularly accurate record keeping and compliance with the Data Protection Act 2018, are vital in maintaining safety, confidentiality and continuity of care. The missed visit incident highlights the risks associated with poor administration. Collaboration working among professionals ensures a coordinated and holistic approach to care. By improving communication, strengthening administrative systems and enhancing teamwork, better outcomes can be achieved. Overall, high-quality care for Mr Ahmed depends on the effective integration of these key aspects to promote safety, dignity and wellbeing.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sz w:val="32"/>
          <w:szCs w:val="32"/>
        </w:rPr>
      </w:pPr>
      <w:r w:rsidDel="00000000" w:rsidR="00000000" w:rsidRPr="00000000">
        <w:rPr>
          <w:sz w:val="32"/>
          <w:szCs w:val="32"/>
          <w:rtl w:val="0"/>
        </w:rPr>
        <w:t xml:space="preserve">References:</w:t>
      </w:r>
    </w:p>
    <w:p w:rsidR="00000000" w:rsidDel="00000000" w:rsidP="00000000" w:rsidRDefault="00000000" w:rsidRPr="00000000" w14:paraId="00000021">
      <w:pPr>
        <w:numPr>
          <w:ilvl w:val="0"/>
          <w:numId w:val="1"/>
        </w:numPr>
        <w:spacing w:line="480" w:lineRule="auto"/>
        <w:ind w:left="720" w:hanging="360"/>
        <w:rPr/>
      </w:pPr>
      <w:r w:rsidDel="00000000" w:rsidR="00000000" w:rsidRPr="00000000">
        <w:rPr>
          <w:i w:val="1"/>
          <w:iCs w:val="1"/>
          <w:rtl w:val="0"/>
        </w:rPr>
        <w:t xml:space="preserve">Equality Act 2010: guidance</w:t>
      </w:r>
      <w:r w:rsidDel="00000000" w:rsidR="00000000" w:rsidRPr="00000000">
        <w:rPr>
          <w:rtl w:val="0"/>
        </w:rPr>
        <w:t xml:space="preserve"> (2015). </w:t>
      </w:r>
      <w:hyperlink r:id="rId6">
        <w:r w:rsidDel="00000000" w:rsidR="00000000" w:rsidRPr="00000000">
          <w:rPr>
            <w:color w:val="1155cc"/>
            <w:u w:val="single"/>
            <w:rtl w:val="0"/>
          </w:rPr>
          <w:t xml:space="preserve">https://www.gov.uk/guidance/equality-act-2010-guidance</w:t>
        </w:r>
      </w:hyperlink>
      <w:r w:rsidDel="00000000" w:rsidR="00000000" w:rsidRPr="00000000">
        <w:rPr>
          <w:rtl w:val="0"/>
        </w:rPr>
        <w:t xml:space="preserve">. (Accessed on 22nd March, 2026)</w:t>
      </w:r>
    </w:p>
    <w:p w:rsidR="00000000" w:rsidDel="00000000" w:rsidP="00000000" w:rsidRDefault="00000000" w:rsidRPr="00000000" w14:paraId="00000022">
      <w:pPr>
        <w:numPr>
          <w:ilvl w:val="0"/>
          <w:numId w:val="1"/>
        </w:numPr>
        <w:spacing w:line="480" w:lineRule="auto"/>
        <w:ind w:left="720" w:hanging="360"/>
        <w:rPr/>
      </w:pPr>
      <w:r w:rsidDel="00000000" w:rsidR="00000000" w:rsidRPr="00000000">
        <w:rPr>
          <w:rtl w:val="0"/>
        </w:rPr>
        <w:t xml:space="preserve">Admin and Admin (2014) </w:t>
      </w:r>
      <w:r w:rsidDel="00000000" w:rsidR="00000000" w:rsidRPr="00000000">
        <w:rPr>
          <w:i w:val="1"/>
          <w:iCs w:val="1"/>
          <w:rtl w:val="0"/>
        </w:rPr>
        <w:t xml:space="preserve">Shannon and Weaver model of communication</w:t>
      </w:r>
      <w:r w:rsidDel="00000000" w:rsidR="00000000" w:rsidRPr="00000000">
        <w:rPr>
          <w:rtl w:val="0"/>
        </w:rPr>
        <w:t xml:space="preserve">. </w:t>
      </w:r>
      <w:hyperlink r:id="rId7">
        <w:r w:rsidDel="00000000" w:rsidR="00000000" w:rsidRPr="00000000">
          <w:rPr>
            <w:color w:val="1155cc"/>
            <w:u w:val="single"/>
            <w:rtl w:val="0"/>
          </w:rPr>
          <w:t xml:space="preserve">https://www.communicationtheory.org/shannon-and-weaver-model-of-communication/</w:t>
        </w:r>
      </w:hyperlink>
      <w:r w:rsidDel="00000000" w:rsidR="00000000" w:rsidRPr="00000000">
        <w:rPr>
          <w:rtl w:val="0"/>
        </w:rPr>
        <w:t xml:space="preserve">. (Accessed on 22nd March, 2026)</w:t>
      </w:r>
    </w:p>
    <w:p w:rsidR="00000000" w:rsidDel="00000000" w:rsidP="00000000" w:rsidRDefault="00000000" w:rsidRPr="00000000" w14:paraId="00000023">
      <w:pPr>
        <w:numPr>
          <w:ilvl w:val="0"/>
          <w:numId w:val="1"/>
        </w:numPr>
        <w:spacing w:line="480" w:lineRule="auto"/>
        <w:ind w:left="720" w:hanging="360"/>
        <w:rPr/>
      </w:pPr>
      <w:r w:rsidDel="00000000" w:rsidR="00000000" w:rsidRPr="00000000">
        <w:rPr>
          <w:rtl w:val="0"/>
        </w:rPr>
        <w:t xml:space="preserve">Government Digital Service (2025) </w:t>
      </w:r>
      <w:r w:rsidDel="00000000" w:rsidR="00000000" w:rsidRPr="00000000">
        <w:rPr>
          <w:i w:val="1"/>
          <w:iCs w:val="1"/>
          <w:rtl w:val="0"/>
        </w:rPr>
        <w:t xml:space="preserve">Data protection</w:t>
      </w:r>
      <w:r w:rsidDel="00000000" w:rsidR="00000000" w:rsidRPr="00000000">
        <w:rPr>
          <w:rtl w:val="0"/>
        </w:rPr>
        <w:t xml:space="preserve">. </w:t>
      </w:r>
      <w:hyperlink r:id="rId8">
        <w:r w:rsidDel="00000000" w:rsidR="00000000" w:rsidRPr="00000000">
          <w:rPr>
            <w:color w:val="1155cc"/>
            <w:u w:val="single"/>
            <w:rtl w:val="0"/>
          </w:rPr>
          <w:t xml:space="preserve">https://www.gov.uk/data-protection</w:t>
        </w:r>
      </w:hyperlink>
      <w:r w:rsidDel="00000000" w:rsidR="00000000" w:rsidRPr="00000000">
        <w:rPr>
          <w:rtl w:val="0"/>
        </w:rPr>
        <w:t xml:space="preserve">. (Accessed on 22nd March, 2026)</w:t>
      </w:r>
    </w:p>
    <w:p w:rsidR="00000000" w:rsidDel="00000000" w:rsidP="00000000" w:rsidRDefault="00000000" w:rsidRPr="00000000" w14:paraId="00000024">
      <w:pPr>
        <w:numPr>
          <w:ilvl w:val="0"/>
          <w:numId w:val="1"/>
        </w:numPr>
        <w:spacing w:line="480" w:lineRule="auto"/>
        <w:ind w:left="720" w:hanging="360"/>
        <w:rPr/>
      </w:pPr>
      <w:r w:rsidDel="00000000" w:rsidR="00000000" w:rsidRPr="00000000">
        <w:rPr>
          <w:i w:val="1"/>
          <w:iCs w:val="1"/>
          <w:rtl w:val="0"/>
        </w:rPr>
        <w:t xml:space="preserve">Well-Led - care Quality commission</w:t>
      </w:r>
      <w:r w:rsidDel="00000000" w:rsidR="00000000" w:rsidRPr="00000000">
        <w:rPr>
          <w:rtl w:val="0"/>
        </w:rPr>
        <w:t xml:space="preserve"> (no date). </w:t>
      </w:r>
      <w:hyperlink r:id="rId9">
        <w:r w:rsidDel="00000000" w:rsidR="00000000" w:rsidRPr="00000000">
          <w:rPr>
            <w:color w:val="1155cc"/>
            <w:u w:val="single"/>
            <w:rtl w:val="0"/>
          </w:rPr>
          <w:t xml:space="preserve">https://www.cqc.org.uk/guidance-regulation/providers/assessment/single-assessment-framework/well-led</w:t>
        </w:r>
      </w:hyperlink>
      <w:r w:rsidDel="00000000" w:rsidR="00000000" w:rsidRPr="00000000">
        <w:rPr>
          <w:rtl w:val="0"/>
        </w:rPr>
        <w:t xml:space="preserve">. (Accessed on 22nd March, 2026)</w:t>
      </w:r>
    </w:p>
    <w:p w:rsidR="00000000" w:rsidDel="00000000" w:rsidP="00000000" w:rsidRDefault="00000000" w:rsidRPr="00000000" w14:paraId="00000025">
      <w:pPr>
        <w:numPr>
          <w:ilvl w:val="0"/>
          <w:numId w:val="1"/>
        </w:numPr>
        <w:spacing w:line="480" w:lineRule="auto"/>
        <w:ind w:left="720" w:hanging="360"/>
        <w:rPr/>
      </w:pPr>
      <w:r w:rsidDel="00000000" w:rsidR="00000000" w:rsidRPr="00000000">
        <w:rPr>
          <w:rtl w:val="0"/>
        </w:rPr>
        <w:t xml:space="preserve">Social Care Institute for Excellence (SCIE) (2025) </w:t>
      </w:r>
      <w:r w:rsidDel="00000000" w:rsidR="00000000" w:rsidRPr="00000000">
        <w:rPr>
          <w:i w:val="1"/>
          <w:iCs w:val="1"/>
          <w:rtl w:val="0"/>
        </w:rPr>
        <w:t xml:space="preserve">Multidisciplinary teams working for integrated care - SCIE</w:t>
      </w:r>
      <w:r w:rsidDel="00000000" w:rsidR="00000000" w:rsidRPr="00000000">
        <w:rPr>
          <w:rtl w:val="0"/>
        </w:rPr>
        <w:t xml:space="preserve">. </w:t>
      </w:r>
      <w:hyperlink r:id="rId10">
        <w:r w:rsidDel="00000000" w:rsidR="00000000" w:rsidRPr="00000000">
          <w:rPr>
            <w:color w:val="1155cc"/>
            <w:u w:val="single"/>
            <w:rtl w:val="0"/>
          </w:rPr>
          <w:t xml:space="preserve">https://www.scie.org.uk/integrated-care/research-practice/activities/multidisciplinary-teams/</w:t>
        </w:r>
      </w:hyperlink>
      <w:r w:rsidDel="00000000" w:rsidR="00000000" w:rsidRPr="00000000">
        <w:rPr>
          <w:rtl w:val="0"/>
        </w:rPr>
        <w:t xml:space="preserve">. (Accessed on 22nd March, 2026)</w:t>
      </w:r>
    </w:p>
    <w:p w:rsidR="00000000" w:rsidDel="00000000" w:rsidP="00000000" w:rsidRDefault="00000000" w:rsidRPr="00000000" w14:paraId="00000026">
      <w:pPr>
        <w:numPr>
          <w:ilvl w:val="0"/>
          <w:numId w:val="1"/>
        </w:numPr>
        <w:spacing w:line="480" w:lineRule="auto"/>
        <w:ind w:left="720" w:hanging="360"/>
        <w:rPr/>
      </w:pPr>
      <w:r w:rsidDel="00000000" w:rsidR="00000000" w:rsidRPr="00000000">
        <w:rPr>
          <w:i w:val="1"/>
          <w:iCs w:val="1"/>
          <w:rtl w:val="0"/>
        </w:rPr>
        <w:t xml:space="preserve">Fact Sheet: Challenges of Multi-Agency Working - Key Barriers and obstacles to Effective collaboration</w:t>
      </w:r>
      <w:r w:rsidDel="00000000" w:rsidR="00000000" w:rsidRPr="00000000">
        <w:rPr>
          <w:rtl w:val="0"/>
        </w:rPr>
        <w:t xml:space="preserve"> (no date). </w:t>
      </w:r>
      <w:hyperlink r:id="rId11">
        <w:r w:rsidDel="00000000" w:rsidR="00000000" w:rsidRPr="00000000">
          <w:rPr>
            <w:color w:val="1155cc"/>
            <w:u w:val="single"/>
            <w:rtl w:val="0"/>
          </w:rPr>
          <w:t xml:space="preserve">https://jillwebbtraining.co.uk/wp-content/uploads/2025/10/Fact-Sheet-Challenges-of-Multi-Agency-Working.pdf</w:t>
        </w:r>
      </w:hyperlink>
      <w:r w:rsidDel="00000000" w:rsidR="00000000" w:rsidRPr="00000000">
        <w:rPr>
          <w:rtl w:val="0"/>
        </w:rPr>
        <w:t xml:space="preserve">. (Accessed on 22nd March, 2026)</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jillwebbtraining.co.uk/wp-content/uploads/2025/10/Fact-Sheet-Challenges-of-Multi-Agency-Working.pdf" TargetMode="External"/><Relationship Id="rId10" Type="http://schemas.openxmlformats.org/officeDocument/2006/relationships/hyperlink" Target="https://www.scie.org.uk/integrated-care/research-practice/activities/multidisciplinary-teams/" TargetMode="External"/><Relationship Id="rId9" Type="http://schemas.openxmlformats.org/officeDocument/2006/relationships/hyperlink" Target="https://www.cqc.org.uk/guidance-regulation/providers/assessment/single-assessment-framework/well-led" TargetMode="External"/><Relationship Id="rId5" Type="http://schemas.openxmlformats.org/officeDocument/2006/relationships/styles" Target="styles.xml"/><Relationship Id="rId6" Type="http://schemas.openxmlformats.org/officeDocument/2006/relationships/hyperlink" Target="https://www.gov.uk/guidance/equality-act-2010-guidance" TargetMode="External"/><Relationship Id="rId7" Type="http://schemas.openxmlformats.org/officeDocument/2006/relationships/hyperlink" Target="https://www.communicationtheory.org/shannon-and-weaver-model-of-communication/" TargetMode="External"/><Relationship Id="rId8" Type="http://schemas.openxmlformats.org/officeDocument/2006/relationships/hyperlink" Target="https://www.gov.uk/data-prot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