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6D1C8" w14:textId="531CF253" w:rsidR="005A2660" w:rsidRDefault="004A254E">
      <w:r>
        <w:t>5.1 Introduction.</w:t>
      </w:r>
    </w:p>
    <w:p w14:paraId="01DD6B83" w14:textId="42601502" w:rsidR="004A254E" w:rsidRDefault="00CB3D44">
      <w:r>
        <w:t>Th</w:t>
      </w:r>
      <w:r w:rsidR="00FE4DBE">
        <w:t>is chapter delves into the f</w:t>
      </w:r>
      <w:r w:rsidR="004A254E">
        <w:t xml:space="preserve">indings of the study </w:t>
      </w:r>
      <w:r w:rsidR="00FE4DBE">
        <w:t>and</w:t>
      </w:r>
      <w:r w:rsidR="004A254E">
        <w:t xml:space="preserve"> draws together the quantitative and qualitative findings presented in Chapter 4 and situates them within the context of the existing literature explored in Chapter 2. Additionally, it considered the implications of the findings for policing practice and organisational mental welfare provision, before outlining the limitations of the study and suggesting recommendations for necessary further research. </w:t>
      </w:r>
    </w:p>
    <w:p w14:paraId="63BA404F" w14:textId="77777777" w:rsidR="004A254E" w:rsidRDefault="004A254E"/>
    <w:p w14:paraId="2F10F501" w14:textId="399C95FB" w:rsidR="004A254E" w:rsidRDefault="004A254E">
      <w:r>
        <w:t>5.2 Impact</w:t>
      </w:r>
      <w:r w:rsidR="00BB0313">
        <w:t>s</w:t>
      </w:r>
      <w:r>
        <w:t xml:space="preserve"> of Traumatic Exposure</w:t>
      </w:r>
      <w:r w:rsidR="00BB0313">
        <w:t>.</w:t>
      </w:r>
    </w:p>
    <w:p w14:paraId="3B159F9E" w14:textId="5F0BE55D" w:rsidR="004A254E" w:rsidRDefault="004A254E">
      <w:r>
        <w:t xml:space="preserve">The findings demonstrate that exposure to traumatic incidents is a routine and highly frequent aspect of operational policing within Gwent Police The majority of participants reported being exposed to traumatic incident either frequently or very frequently, supporting existing research which identifies policing as a profession characterised by repeated exposures to violence, death and distress (Brewin et al., 2020). This reinforces the notion that trauma within policing should be recognised as an occupational hazard as opposed to an exceptional occurrence. </w:t>
      </w:r>
    </w:p>
    <w:p w14:paraId="1056D23D" w14:textId="77777777" w:rsidR="004A254E" w:rsidRDefault="004A254E"/>
    <w:p w14:paraId="41AD29D9" w14:textId="50264A1C" w:rsidR="004B4124" w:rsidRDefault="004B4124">
      <w:r>
        <w:t>Participants</w:t>
      </w:r>
      <w:r w:rsidR="004A254E">
        <w:t xml:space="preserve"> report</w:t>
      </w:r>
      <w:r>
        <w:t>ed</w:t>
      </w:r>
      <w:r w:rsidR="004A254E">
        <w:t xml:space="preserve"> exposures to a wide range of traumatic incidents, such as domestic abuse, sudden and or violent deaths, fatal road traffic collisions, suicide, child </w:t>
      </w:r>
      <w:r w:rsidR="000237B9">
        <w:t>abuse,</w:t>
      </w:r>
      <w:r w:rsidR="004A254E">
        <w:t xml:space="preserve"> and exposure to graphic material. These findings closely align with national and international studies that identify similar incident types as particularly </w:t>
      </w:r>
      <w:r>
        <w:t>distressing</w:t>
      </w:r>
      <w:r w:rsidR="004A254E">
        <w:t xml:space="preserve"> and </w:t>
      </w:r>
      <w:r>
        <w:t>psychologically</w:t>
      </w:r>
      <w:r w:rsidR="004A254E">
        <w:t xml:space="preserve"> harmful for police officers (Brewin et al., 2022; Purba and Demou, 2019). The breadth of exposure highlighted in this study emphasises the cumulative nature of trauma, whereby </w:t>
      </w:r>
      <w:r>
        <w:t>officers</w:t>
      </w:r>
      <w:r w:rsidR="004A254E">
        <w:t xml:space="preserve"> are not affected by a single critical incident but </w:t>
      </w:r>
      <w:r>
        <w:t>repeated</w:t>
      </w:r>
      <w:r w:rsidR="004A254E">
        <w:t xml:space="preserve"> exposures over their </w:t>
      </w:r>
      <w:r>
        <w:t>day-to-day duty.</w:t>
      </w:r>
    </w:p>
    <w:p w14:paraId="088FA543" w14:textId="77777777" w:rsidR="004B4124" w:rsidRDefault="004B4124"/>
    <w:p w14:paraId="34B726D9" w14:textId="108C7DDE" w:rsidR="004B4124" w:rsidRDefault="004B4124">
      <w:r>
        <w:t xml:space="preserve">The emotional impact of these incidents was evidence, with over two thirds of participants reporting that their experiences were moderately to extremely distressing. This supports previous research indicating elevated levels of psychological strain among police officers, including symptoms associated with stress, </w:t>
      </w:r>
      <w:r w:rsidR="000237B9">
        <w:t>anxiety,</w:t>
      </w:r>
      <w:r>
        <w:t xml:space="preserve"> and post traumatic stress disorder (Miller et al., 2018). Although some officers may develop adaptive coping mechanising’s over time, the studies findings emphasises that emotional distress remains prevalent and persistent particularly where exposure is repeated and unmanaged.</w:t>
      </w:r>
    </w:p>
    <w:p w14:paraId="231173DA" w14:textId="77777777" w:rsidR="004B4124" w:rsidRDefault="004B4124"/>
    <w:p w14:paraId="6F553BF6" w14:textId="26943C73" w:rsidR="004B4124" w:rsidRDefault="004B4124">
      <w:r>
        <w:t>5.3 Coping Strategies</w:t>
      </w:r>
      <w:r w:rsidR="00BB0313">
        <w:t>.</w:t>
      </w:r>
    </w:p>
    <w:p w14:paraId="540741CF" w14:textId="6F316073" w:rsidR="004B4124" w:rsidRDefault="004B4124">
      <w:r>
        <w:lastRenderedPageBreak/>
        <w:t xml:space="preserve">This study highlighted that officers </w:t>
      </w:r>
      <w:r w:rsidR="000237B9">
        <w:t>rely</w:t>
      </w:r>
      <w:r>
        <w:t xml:space="preserve"> on informal coping strategies, particularly peer support. Talking to colleagues was the </w:t>
      </w:r>
      <w:r w:rsidR="000237B9">
        <w:t>most reported</w:t>
      </w:r>
      <w:r>
        <w:t xml:space="preserve"> coping mechanism, highlighting the importance of sharing understanding and occupational camaraderie within policing culture. The </w:t>
      </w:r>
      <w:r w:rsidR="000237B9">
        <w:t>findings</w:t>
      </w:r>
      <w:r>
        <w:t xml:space="preserve"> </w:t>
      </w:r>
      <w:r w:rsidR="000237B9">
        <w:t>reflect</w:t>
      </w:r>
      <w:r>
        <w:t xml:space="preserve"> existing literature which suggests that peer support is often perceives as more accessible and less </w:t>
      </w:r>
      <w:r w:rsidR="000237B9">
        <w:t>stigmatising</w:t>
      </w:r>
      <w:r>
        <w:t xml:space="preserve"> than formal psychological interventions (Papazoglou and Bulmber, 2020)/.</w:t>
      </w:r>
    </w:p>
    <w:p w14:paraId="795A39BA" w14:textId="77777777" w:rsidR="004B4124" w:rsidRDefault="004B4124"/>
    <w:p w14:paraId="71436D21" w14:textId="15639A09" w:rsidR="004B4124" w:rsidRDefault="004B4124">
      <w:r>
        <w:t xml:space="preserve">However, the findings also revealed the use of potentially </w:t>
      </w:r>
      <w:r w:rsidR="000237B9">
        <w:t>maladaptive</w:t>
      </w:r>
      <w:r>
        <w:t xml:space="preserve"> coping strategies, including emotional suppression, avoidance, </w:t>
      </w:r>
      <w:r w:rsidR="000237B9">
        <w:t>humour,</w:t>
      </w:r>
      <w:r>
        <w:t xml:space="preserve"> and excessive alcohol </w:t>
      </w:r>
      <w:r w:rsidR="000237B9">
        <w:t>consumption</w:t>
      </w:r>
      <w:r>
        <w:t xml:space="preserve">. </w:t>
      </w:r>
      <w:r w:rsidR="000237B9">
        <w:t>Half</w:t>
      </w:r>
      <w:r>
        <w:t xml:space="preserve"> of the </w:t>
      </w:r>
      <w:r w:rsidR="000237B9">
        <w:t>respondents</w:t>
      </w:r>
      <w:r>
        <w:t xml:space="preserve"> reported avoidance or emotional </w:t>
      </w:r>
      <w:r w:rsidR="000237B9">
        <w:t>suppression</w:t>
      </w:r>
      <w:r>
        <w:t xml:space="preserve">, which aligns with research suggesting that emotional detachment is a common response to trauma in </w:t>
      </w:r>
      <w:r w:rsidR="000237B9">
        <w:t>policing</w:t>
      </w:r>
      <w:r>
        <w:t xml:space="preserve"> but may exacerbate long-term </w:t>
      </w:r>
      <w:r w:rsidR="000237B9">
        <w:t>psychological</w:t>
      </w:r>
      <w:r>
        <w:t xml:space="preserve"> harm (Arble and Arntex, 2016). The reported use of alcohol as a coping mechanism further reflects concerns raised in the literature re</w:t>
      </w:r>
      <w:r w:rsidR="000237B9">
        <w:t xml:space="preserve">garding </w:t>
      </w:r>
      <w:r>
        <w:t>unhealthy behavioural responses to occupational stressors (Violanti et al., 2018).</w:t>
      </w:r>
    </w:p>
    <w:p w14:paraId="0177D6CB" w14:textId="77777777" w:rsidR="004B4124" w:rsidRDefault="004B4124"/>
    <w:p w14:paraId="7319EC97" w14:textId="2F9DA328" w:rsidR="00C31B3D" w:rsidRDefault="000237B9">
      <w:r>
        <w:t>Engagement</w:t>
      </w:r>
      <w:r w:rsidR="004B4124">
        <w:t xml:space="preserve"> with formal support </w:t>
      </w:r>
      <w:r>
        <w:t>mechanisms</w:t>
      </w:r>
      <w:r w:rsidR="004B4124">
        <w:t xml:space="preserve"> such as counselling or mindfulness-based interventions was </w:t>
      </w:r>
      <w:r>
        <w:t>comparatively</w:t>
      </w:r>
      <w:r w:rsidR="004B4124">
        <w:t xml:space="preserve"> low. This supports previous findings that police officers are often reluctant to access professional mental health services, despite experiences significant trauma and distress (Mind, 2020). The limited uptake of formal support suggest that </w:t>
      </w:r>
      <w:r w:rsidR="00C31B3D">
        <w:t xml:space="preserve">availability alone is insufficient and that </w:t>
      </w:r>
      <w:r>
        <w:t>cultural</w:t>
      </w:r>
      <w:r w:rsidR="00C31B3D">
        <w:t xml:space="preserve"> and organisational barriers continue to influence officers help-seeking </w:t>
      </w:r>
      <w:r>
        <w:t>behaviour</w:t>
      </w:r>
      <w:r w:rsidR="00C31B3D">
        <w:t>.</w:t>
      </w:r>
    </w:p>
    <w:p w14:paraId="394920C4" w14:textId="77777777" w:rsidR="00C31B3D" w:rsidRDefault="00C31B3D"/>
    <w:p w14:paraId="16919967" w14:textId="092CBAF7" w:rsidR="00C31B3D" w:rsidRDefault="00C31B3D">
      <w:r>
        <w:t xml:space="preserve">5.4 Awareness of </w:t>
      </w:r>
      <w:r w:rsidR="000237B9">
        <w:t>Perceived</w:t>
      </w:r>
      <w:r>
        <w:t xml:space="preserve"> </w:t>
      </w:r>
      <w:r w:rsidR="000237B9">
        <w:t>Effectiveness</w:t>
      </w:r>
      <w:r>
        <w:t xml:space="preserve"> of Organisational Support.</w:t>
      </w:r>
    </w:p>
    <w:p w14:paraId="7669190E" w14:textId="4F7C458A" w:rsidR="00C31B3D" w:rsidRDefault="00C31B3D">
      <w:r>
        <w:t xml:space="preserve">Awareness of available mental health and wellbeing support varied considerable among the </w:t>
      </w:r>
      <w:r w:rsidR="000237B9">
        <w:t>respondents</w:t>
      </w:r>
      <w:r>
        <w:t xml:space="preserve">, with a </w:t>
      </w:r>
      <w:r w:rsidR="000237B9">
        <w:t>substantial</w:t>
      </w:r>
      <w:r>
        <w:t xml:space="preserve"> proportion reporting low levels of awareness. This indicates a disconnect between organisational provision and frontline understanding, supporting previous research which highlights communication failures surrounding wellbeing services within police forces (Craddock, 2021).</w:t>
      </w:r>
    </w:p>
    <w:p w14:paraId="7935FACE" w14:textId="77777777" w:rsidR="00C31B3D" w:rsidRDefault="00C31B3D"/>
    <w:p w14:paraId="06DDCC0A" w14:textId="1F5D1DA4" w:rsidR="00C31B3D" w:rsidRDefault="00C31B3D">
      <w:r>
        <w:t xml:space="preserve">Participants also expressed dissatisfaction with the </w:t>
      </w:r>
      <w:r w:rsidR="000237B9">
        <w:t>effectiveness</w:t>
      </w:r>
      <w:r>
        <w:t xml:space="preserve"> of </w:t>
      </w:r>
      <w:r w:rsidR="000237B9">
        <w:t>current</w:t>
      </w:r>
      <w:r>
        <w:t xml:space="preserve"> support systems. Over half rated organisational support as ineffective, which mirrors findings from national surveys indicating that many officers perceive wellbeing interventions as superficial or a “tick box exercise” (Elliott-Davies, 2021). </w:t>
      </w:r>
      <w:r w:rsidR="000237B9">
        <w:t>Qualitative</w:t>
      </w:r>
      <w:r>
        <w:t xml:space="preserve"> </w:t>
      </w:r>
      <w:r w:rsidR="000237B9">
        <w:t>responses</w:t>
      </w:r>
      <w:r>
        <w:t xml:space="preserve"> further </w:t>
      </w:r>
      <w:r w:rsidR="000237B9">
        <w:t>reinforce</w:t>
      </w:r>
      <w:r>
        <w:t xml:space="preserve"> this perception, with many officers expressing concerns regarding confidentially, stigma and the potential impact of accessing support on career progression. </w:t>
      </w:r>
    </w:p>
    <w:p w14:paraId="637D3D54" w14:textId="77777777" w:rsidR="00C31B3D" w:rsidRDefault="00C31B3D"/>
    <w:p w14:paraId="53278945" w14:textId="1B3AF733" w:rsidR="00C31B3D" w:rsidRDefault="00C31B3D">
      <w:r>
        <w:t>Furthermore, concerns about confidentiality and stigma were particularly reoccurring and closely reflect existing research that identifies a persistent “macho” culture within policing that discourages vulnerability and openness (Mind, 2019). Officers’ dears that seeking support may negatively affect career progression or specialist posting represent a significant organisational barrier and undermine the intended purpose of wellbeing initiatives.</w:t>
      </w:r>
    </w:p>
    <w:p w14:paraId="28DD2266" w14:textId="77777777" w:rsidR="00C31B3D" w:rsidRDefault="00C31B3D"/>
    <w:p w14:paraId="55EB3D59" w14:textId="797007FA" w:rsidR="00C31B3D" w:rsidRDefault="00C31B3D">
      <w:r>
        <w:t xml:space="preserve">5.5 </w:t>
      </w:r>
      <w:r w:rsidR="000237B9">
        <w:t>Implications</w:t>
      </w:r>
      <w:r>
        <w:t xml:space="preserve"> for </w:t>
      </w:r>
      <w:r w:rsidR="000237B9">
        <w:t>Policing</w:t>
      </w:r>
      <w:r>
        <w:t xml:space="preserve"> Practice. </w:t>
      </w:r>
    </w:p>
    <w:p w14:paraId="27ADA51D" w14:textId="4E02881D" w:rsidR="00C31B3D" w:rsidRDefault="00C31B3D">
      <w:r>
        <w:t xml:space="preserve">The findings of this study highlight several important implications for the </w:t>
      </w:r>
      <w:r w:rsidR="000237B9">
        <w:t>policing</w:t>
      </w:r>
      <w:r>
        <w:t xml:space="preserve"> </w:t>
      </w:r>
      <w:r w:rsidR="000237B9">
        <w:t>practices</w:t>
      </w:r>
      <w:r>
        <w:t xml:space="preserve">. Firstly, there is a clear necessity for more </w:t>
      </w:r>
      <w:r w:rsidR="000237B9">
        <w:t>initiative-taking</w:t>
      </w:r>
      <w:r>
        <w:t xml:space="preserve"> and preventative approaches to trauma support, rather than reactive measures readily available only following critical </w:t>
      </w:r>
      <w:r w:rsidR="000237B9">
        <w:t>incidents</w:t>
      </w:r>
      <w:r>
        <w:t xml:space="preserve">. Routine check-ins and normalised conversations surrounding </w:t>
      </w:r>
      <w:r w:rsidR="000237B9">
        <w:t>wellbeing</w:t>
      </w:r>
      <w:r>
        <w:t xml:space="preserve"> may help to reduce stigma and </w:t>
      </w:r>
      <w:r w:rsidR="000237B9">
        <w:t>identify</w:t>
      </w:r>
      <w:r>
        <w:t xml:space="preserve"> emerging issues earlier.</w:t>
      </w:r>
    </w:p>
    <w:p w14:paraId="75CFB347" w14:textId="77777777" w:rsidR="00C31B3D" w:rsidRDefault="00C31B3D"/>
    <w:p w14:paraId="560B2EDA" w14:textId="586AF47C" w:rsidR="00C31B3D" w:rsidRDefault="00C31B3D">
      <w:r>
        <w:t xml:space="preserve">Secondly, improved communication and </w:t>
      </w:r>
      <w:r w:rsidR="000237B9">
        <w:t>awareness</w:t>
      </w:r>
      <w:r>
        <w:t xml:space="preserve"> surrounding the available support services is essential. Officers cannot access support that they are </w:t>
      </w:r>
      <w:r w:rsidR="000237B9">
        <w:t>unaware</w:t>
      </w:r>
      <w:r>
        <w:t xml:space="preserve"> of, and </w:t>
      </w:r>
      <w:r w:rsidR="000237B9">
        <w:t>clear</w:t>
      </w:r>
      <w:r>
        <w:t xml:space="preserve"> signposting may improve </w:t>
      </w:r>
      <w:r w:rsidR="000237B9">
        <w:t>officers’</w:t>
      </w:r>
      <w:r>
        <w:t xml:space="preserve"> </w:t>
      </w:r>
      <w:r w:rsidR="000237B9">
        <w:t>engagement</w:t>
      </w:r>
      <w:r>
        <w:t xml:space="preserve"> with existing resources. Thirdly concerns around </w:t>
      </w:r>
      <w:r w:rsidR="000237B9">
        <w:t>confidentiality</w:t>
      </w:r>
      <w:r>
        <w:t xml:space="preserve"> must be addresses through the expansion of independent or external support options, which may be </w:t>
      </w:r>
      <w:r w:rsidR="000237B9">
        <w:t>perceived</w:t>
      </w:r>
      <w:r>
        <w:t xml:space="preserve"> as more trustworthy by officers.</w:t>
      </w:r>
    </w:p>
    <w:p w14:paraId="207ECBF1" w14:textId="77777777" w:rsidR="00C31B3D" w:rsidRDefault="00C31B3D"/>
    <w:p w14:paraId="50C31CA0" w14:textId="138B517A" w:rsidR="00C31B3D" w:rsidRDefault="00B375FC">
      <w:r>
        <w:t>Furthermore</w:t>
      </w:r>
      <w:r w:rsidR="00C31B3D">
        <w:t xml:space="preserve">, the </w:t>
      </w:r>
      <w:r>
        <w:t>findings</w:t>
      </w:r>
      <w:r w:rsidR="00C31B3D">
        <w:t xml:space="preserve"> suggest that </w:t>
      </w:r>
      <w:r>
        <w:t>supervisors</w:t>
      </w:r>
      <w:r w:rsidR="00C31B3D">
        <w:t xml:space="preserve"> and managers play a crucial role in shaping the wellbeing </w:t>
      </w:r>
      <w:r>
        <w:t>culture</w:t>
      </w:r>
      <w:r w:rsidR="00C31B3D">
        <w:t xml:space="preserve">. </w:t>
      </w:r>
      <w:r>
        <w:t>Enhanced</w:t>
      </w:r>
      <w:r w:rsidR="00C31B3D">
        <w:t xml:space="preserve"> training for supervisors to recognise signs of trauma and </w:t>
      </w:r>
      <w:r>
        <w:t>respond appropriately</w:t>
      </w:r>
      <w:r w:rsidR="00C31B3D">
        <w:t xml:space="preserve"> may </w:t>
      </w:r>
      <w:r>
        <w:t>contribute</w:t>
      </w:r>
      <w:r w:rsidR="00C31B3D">
        <w:t xml:space="preserve"> to a more supportive and psychologically informed working environment.</w:t>
      </w:r>
    </w:p>
    <w:p w14:paraId="22D7E8F4" w14:textId="77777777" w:rsidR="00C31B3D" w:rsidRDefault="00C31B3D"/>
    <w:p w14:paraId="26777117" w14:textId="23657F93" w:rsidR="00C31B3D" w:rsidRDefault="00C31B3D">
      <w:r>
        <w:t xml:space="preserve">5.6 </w:t>
      </w:r>
      <w:r w:rsidR="00B375FC">
        <w:t>Limitations</w:t>
      </w:r>
      <w:r w:rsidR="00BB0313">
        <w:t>.</w:t>
      </w:r>
    </w:p>
    <w:p w14:paraId="185B2C48" w14:textId="1AA1C76C" w:rsidR="00B375FC" w:rsidRDefault="00B375FC">
      <w:r>
        <w:t xml:space="preserve">While the study provided valuable insights into </w:t>
      </w:r>
      <w:r w:rsidR="000237B9">
        <w:t>officer’s</w:t>
      </w:r>
      <w:r>
        <w:t xml:space="preserve"> individual </w:t>
      </w:r>
      <w:r w:rsidR="000237B9">
        <w:t>experiences</w:t>
      </w:r>
      <w:r>
        <w:t xml:space="preserve">, several limitations must be addressed. The use of a small, convenience sample limited the generalisability of the </w:t>
      </w:r>
      <w:r w:rsidR="000237B9">
        <w:t>study’s</w:t>
      </w:r>
      <w:r>
        <w:t xml:space="preserve"> findings beyond Gwent Police. Additional, reliance on </w:t>
      </w:r>
      <w:r w:rsidR="000237B9">
        <w:t>self-reported</w:t>
      </w:r>
      <w:r>
        <w:t xml:space="preserve"> data may be </w:t>
      </w:r>
      <w:r w:rsidR="000237B9">
        <w:t>influenced</w:t>
      </w:r>
      <w:r>
        <w:t xml:space="preserve"> by recall bias or social desirability </w:t>
      </w:r>
      <w:r w:rsidR="000237B9">
        <w:t>bias</w:t>
      </w:r>
      <w:r>
        <w:t>, despite the anonymity of the questionnaire.</w:t>
      </w:r>
    </w:p>
    <w:p w14:paraId="2464D6B5" w14:textId="28C97F01" w:rsidR="00B375FC" w:rsidRDefault="00B375FC">
      <w:r>
        <w:t xml:space="preserve">The cross-sectional nature of the study also limits the ability to assess long-term </w:t>
      </w:r>
      <w:r w:rsidR="000237B9">
        <w:t>psychological</w:t>
      </w:r>
      <w:r>
        <w:t xml:space="preserve"> outcomes or ch</w:t>
      </w:r>
      <w:r w:rsidR="000237B9">
        <w:t>anges</w:t>
      </w:r>
      <w:r>
        <w:t xml:space="preserve"> in an </w:t>
      </w:r>
      <w:r w:rsidR="000237B9">
        <w:t>officer’s</w:t>
      </w:r>
      <w:r>
        <w:t xml:space="preserve"> wellbeing over a period f time. Future </w:t>
      </w:r>
      <w:r>
        <w:lastRenderedPageBreak/>
        <w:t xml:space="preserve">research could benefit from </w:t>
      </w:r>
      <w:r w:rsidR="000237B9">
        <w:t>longitudinal</w:t>
      </w:r>
      <w:r>
        <w:t xml:space="preserve"> designs to explore how trauma exposure and coping evolve across </w:t>
      </w:r>
      <w:r w:rsidR="000237B9">
        <w:t>officers’</w:t>
      </w:r>
      <w:r>
        <w:t xml:space="preserve"> careers.</w:t>
      </w:r>
    </w:p>
    <w:p w14:paraId="5E459611" w14:textId="77777777" w:rsidR="00B375FC" w:rsidRDefault="00B375FC"/>
    <w:p w14:paraId="078BFABB" w14:textId="12A9BE53" w:rsidR="00B375FC" w:rsidRDefault="00B375FC">
      <w:r>
        <w:t>5.7 Recommendations</w:t>
      </w:r>
      <w:r w:rsidR="00BB0313">
        <w:t>.</w:t>
      </w:r>
    </w:p>
    <w:p w14:paraId="3D38A679" w14:textId="64D6E9CE" w:rsidR="00B375FC" w:rsidRDefault="00B375FC">
      <w:r>
        <w:t xml:space="preserve">Further </w:t>
      </w:r>
      <w:r w:rsidR="000237B9">
        <w:t>research</w:t>
      </w:r>
      <w:r>
        <w:t xml:space="preserve"> is necessary to explore trauma and </w:t>
      </w:r>
      <w:r w:rsidR="000237B9">
        <w:t>wellbeing</w:t>
      </w:r>
      <w:r>
        <w:t xml:space="preserve"> across a broader range of UK Police forces to have the ability to identify </w:t>
      </w:r>
      <w:r w:rsidR="000237B9">
        <w:t>regional</w:t>
      </w:r>
      <w:r>
        <w:t xml:space="preserve"> or organisational differences. </w:t>
      </w:r>
      <w:r w:rsidR="000237B9">
        <w:t>Qualitative</w:t>
      </w:r>
      <w:r>
        <w:t xml:space="preserve"> interviews could </w:t>
      </w:r>
      <w:r w:rsidR="000237B9">
        <w:t>provide</w:t>
      </w:r>
      <w:r>
        <w:t xml:space="preserve"> a deeper insight into </w:t>
      </w:r>
      <w:r w:rsidR="000237B9">
        <w:t>officers</w:t>
      </w:r>
      <w:r>
        <w:t xml:space="preserve"> lived experiences and nuanced barrier to help-seeking. Additionally, future </w:t>
      </w:r>
      <w:r w:rsidR="000237B9">
        <w:t>studies</w:t>
      </w:r>
      <w:r>
        <w:t xml:space="preserve"> should evaluate the </w:t>
      </w:r>
      <w:r w:rsidR="000237B9">
        <w:t>effectiveness</w:t>
      </w:r>
      <w:r>
        <w:t xml:space="preserve"> of specific </w:t>
      </w:r>
      <w:r w:rsidR="000237B9">
        <w:t>interventions</w:t>
      </w:r>
      <w:r>
        <w:t xml:space="preserve"> such as the TRiM proves or external </w:t>
      </w:r>
      <w:r w:rsidR="000237B9">
        <w:t>counselling</w:t>
      </w:r>
      <w:r>
        <w:t xml:space="preserve"> services, to determine which approaches provides the best mental health support for officers.</w:t>
      </w:r>
    </w:p>
    <w:p w14:paraId="3A178892" w14:textId="77777777" w:rsidR="00B375FC" w:rsidRDefault="00B375FC"/>
    <w:p w14:paraId="1366769C" w14:textId="18E77D84" w:rsidR="00B375FC" w:rsidRDefault="00B375FC">
      <w:r>
        <w:t>5.8 Conclusion.</w:t>
      </w:r>
    </w:p>
    <w:p w14:paraId="7FCEA649" w14:textId="0B4444B0" w:rsidR="00B375FC" w:rsidRDefault="00B375FC">
      <w:r>
        <w:t xml:space="preserve">To conclude, this study demonstrates that police officers within Gwent Police experience frequent and varies exposure to traumatic and distressing incidents, which often result in significant emotional distress. While officers </w:t>
      </w:r>
      <w:r w:rsidR="000237B9">
        <w:t>rely</w:t>
      </w:r>
      <w:r>
        <w:t xml:space="preserve"> on the informal support, these are not always effective in mitigating the </w:t>
      </w:r>
      <w:r w:rsidR="000237B9">
        <w:t>cumulative</w:t>
      </w:r>
      <w:r>
        <w:t xml:space="preserve"> impacts of trauma. Awareness and perceived effectiveness of organisational support </w:t>
      </w:r>
      <w:r w:rsidR="000237B9">
        <w:t>systems</w:t>
      </w:r>
      <w:r>
        <w:t xml:space="preserve"> remain inconsistent, with stigma and confidentiality concerns presenting </w:t>
      </w:r>
      <w:r w:rsidR="000237B9">
        <w:t>substation</w:t>
      </w:r>
      <w:r>
        <w:t xml:space="preserve"> barriers to engagement.</w:t>
      </w:r>
    </w:p>
    <w:p w14:paraId="5D9CF65A" w14:textId="77777777" w:rsidR="00B375FC" w:rsidRDefault="00B375FC"/>
    <w:p w14:paraId="6BD656B2" w14:textId="77777777" w:rsidR="00BB0313" w:rsidRDefault="00B375FC">
      <w:r>
        <w:t xml:space="preserve">The </w:t>
      </w:r>
      <w:r w:rsidR="000237B9">
        <w:t>findings</w:t>
      </w:r>
      <w:r>
        <w:t xml:space="preserve"> reinforce existing literature which argues that trauma should be recognised as an inherent occupational risk within </w:t>
      </w:r>
      <w:r w:rsidR="000237B9">
        <w:t>policing</w:t>
      </w:r>
      <w:r>
        <w:t xml:space="preserve">, </w:t>
      </w:r>
      <w:r w:rsidR="000237B9">
        <w:t>which</w:t>
      </w:r>
      <w:r>
        <w:t xml:space="preserve"> requests </w:t>
      </w:r>
      <w:r w:rsidR="000237B9">
        <w:t>robust</w:t>
      </w:r>
      <w:r>
        <w:t xml:space="preserve">, </w:t>
      </w:r>
      <w:r w:rsidR="000237B9">
        <w:t>accessible,</w:t>
      </w:r>
      <w:r>
        <w:t xml:space="preserve"> and </w:t>
      </w:r>
      <w:r w:rsidR="000237B9">
        <w:t>culturally</w:t>
      </w:r>
      <w:r>
        <w:t xml:space="preserve"> sensitive support systems. Addressing these challenges is essential nor only for </w:t>
      </w:r>
      <w:r w:rsidR="000237B9">
        <w:t>officers’</w:t>
      </w:r>
      <w:r>
        <w:t xml:space="preserve"> wellbeing but also for organisational effectiveness and ethical policing practice. By amplifying </w:t>
      </w:r>
      <w:r w:rsidR="000237B9">
        <w:t>officers’</w:t>
      </w:r>
      <w:r>
        <w:t xml:space="preserve"> voices and experiences, this study contri</w:t>
      </w:r>
      <w:r w:rsidR="000237B9">
        <w:t>butes to the growing evidence base advocating for improved mental health support within UK policing.</w:t>
      </w:r>
    </w:p>
    <w:p w14:paraId="6F0C76A3" w14:textId="77777777" w:rsidR="00BB0313" w:rsidRDefault="00BB0313"/>
    <w:p w14:paraId="40E8542C" w14:textId="7EF9715A" w:rsidR="00B375FC" w:rsidRPr="00530FC4" w:rsidRDefault="00530FC4">
      <w:pPr>
        <w:rPr>
          <w:b/>
          <w:bCs/>
        </w:rPr>
      </w:pPr>
      <w:r w:rsidRPr="00530FC4">
        <w:rPr>
          <w:b/>
          <w:bCs/>
        </w:rPr>
        <w:t>WORD COUNT 1176</w:t>
      </w:r>
      <w:r w:rsidR="000237B9" w:rsidRPr="00530FC4">
        <w:rPr>
          <w:b/>
          <w:bCs/>
        </w:rPr>
        <w:t xml:space="preserve"> </w:t>
      </w:r>
    </w:p>
    <w:sectPr w:rsidR="00B375FC" w:rsidRPr="00530F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54E"/>
    <w:rsid w:val="000237B9"/>
    <w:rsid w:val="00045745"/>
    <w:rsid w:val="001775E0"/>
    <w:rsid w:val="002050E4"/>
    <w:rsid w:val="004A254E"/>
    <w:rsid w:val="004B4124"/>
    <w:rsid w:val="00530FC4"/>
    <w:rsid w:val="005A2660"/>
    <w:rsid w:val="007E280A"/>
    <w:rsid w:val="00837BE4"/>
    <w:rsid w:val="00B375FC"/>
    <w:rsid w:val="00BB0313"/>
    <w:rsid w:val="00C31B3D"/>
    <w:rsid w:val="00CB3D44"/>
    <w:rsid w:val="00FE4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B2A73"/>
  <w15:chartTrackingRefBased/>
  <w15:docId w15:val="{210327F3-310B-4C30-9891-DC9CA0F0A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25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25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25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25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25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25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25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25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25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25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25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25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25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25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25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25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25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254E"/>
    <w:rPr>
      <w:rFonts w:eastAsiaTheme="majorEastAsia" w:cstheme="majorBidi"/>
      <w:color w:val="272727" w:themeColor="text1" w:themeTint="D8"/>
    </w:rPr>
  </w:style>
  <w:style w:type="paragraph" w:styleId="Title">
    <w:name w:val="Title"/>
    <w:basedOn w:val="Normal"/>
    <w:next w:val="Normal"/>
    <w:link w:val="TitleChar"/>
    <w:uiPriority w:val="10"/>
    <w:qFormat/>
    <w:rsid w:val="004A25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25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25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25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254E"/>
    <w:pPr>
      <w:spacing w:before="160"/>
      <w:jc w:val="center"/>
    </w:pPr>
    <w:rPr>
      <w:i/>
      <w:iCs/>
      <w:color w:val="404040" w:themeColor="text1" w:themeTint="BF"/>
    </w:rPr>
  </w:style>
  <w:style w:type="character" w:customStyle="1" w:styleId="QuoteChar">
    <w:name w:val="Quote Char"/>
    <w:basedOn w:val="DefaultParagraphFont"/>
    <w:link w:val="Quote"/>
    <w:uiPriority w:val="29"/>
    <w:rsid w:val="004A254E"/>
    <w:rPr>
      <w:i/>
      <w:iCs/>
      <w:color w:val="404040" w:themeColor="text1" w:themeTint="BF"/>
    </w:rPr>
  </w:style>
  <w:style w:type="paragraph" w:styleId="ListParagraph">
    <w:name w:val="List Paragraph"/>
    <w:basedOn w:val="Normal"/>
    <w:uiPriority w:val="34"/>
    <w:qFormat/>
    <w:rsid w:val="004A254E"/>
    <w:pPr>
      <w:ind w:left="720"/>
      <w:contextualSpacing/>
    </w:pPr>
  </w:style>
  <w:style w:type="character" w:styleId="IntenseEmphasis">
    <w:name w:val="Intense Emphasis"/>
    <w:basedOn w:val="DefaultParagraphFont"/>
    <w:uiPriority w:val="21"/>
    <w:qFormat/>
    <w:rsid w:val="004A254E"/>
    <w:rPr>
      <w:i/>
      <w:iCs/>
      <w:color w:val="0F4761" w:themeColor="accent1" w:themeShade="BF"/>
    </w:rPr>
  </w:style>
  <w:style w:type="paragraph" w:styleId="IntenseQuote">
    <w:name w:val="Intense Quote"/>
    <w:basedOn w:val="Normal"/>
    <w:next w:val="Normal"/>
    <w:link w:val="IntenseQuoteChar"/>
    <w:uiPriority w:val="30"/>
    <w:qFormat/>
    <w:rsid w:val="004A25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254E"/>
    <w:rPr>
      <w:i/>
      <w:iCs/>
      <w:color w:val="0F4761" w:themeColor="accent1" w:themeShade="BF"/>
    </w:rPr>
  </w:style>
  <w:style w:type="character" w:styleId="IntenseReference">
    <w:name w:val="Intense Reference"/>
    <w:basedOn w:val="DefaultParagraphFont"/>
    <w:uiPriority w:val="32"/>
    <w:qFormat/>
    <w:rsid w:val="004A254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60</TotalTime>
  <Pages>4</Pages>
  <Words>1186</Words>
  <Characters>7711</Characters>
  <Application>Microsoft Office Word</Application>
  <DocSecurity>0</DocSecurity>
  <Lines>135</Lines>
  <Paragraphs>29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Witcombe, Sophie</dc:creator>
  <cp:keywords/>
  <dc:description/>
  <cp:lastModifiedBy>Witcombe, Sophie</cp:lastModifiedBy>
  <cp:revision>8</cp:revision>
  <dcterms:created xsi:type="dcterms:W3CDTF">2026-02-03T21:19:00Z</dcterms:created>
  <dcterms:modified xsi:type="dcterms:W3CDTF">2026-02-06T22:11:00Z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2026-02-03T22:13:04Z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002cb9ee-7c07-4800-9d93-30046c54ad7f</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