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3132C" w:rsidRDefault="0093132C">
      <w:pPr>
        <w:rPr>
          <w:b/>
          <w:sz w:val="48"/>
          <w:szCs w:val="48"/>
          <w:lang w:val="en-GB"/>
        </w:rPr>
      </w:pPr>
      <w:r w:rsidRPr="0093132C">
        <w:rPr>
          <w:b/>
          <w:sz w:val="48"/>
          <w:szCs w:val="48"/>
          <w:lang w:val="en-GB"/>
        </w:rPr>
        <w:t xml:space="preserve">                                        </w:t>
      </w:r>
      <w:r>
        <w:rPr>
          <w:b/>
          <w:sz w:val="48"/>
          <w:szCs w:val="48"/>
          <w:lang w:val="en-GB"/>
        </w:rPr>
        <w:t xml:space="preserve">                 </w:t>
      </w:r>
      <w:r w:rsidRPr="0093132C">
        <w:rPr>
          <w:b/>
          <w:sz w:val="48"/>
          <w:szCs w:val="48"/>
          <w:lang w:val="en-GB"/>
        </w:rPr>
        <w:t xml:space="preserve"> BA BUSINESS MANAGEMENT</w:t>
      </w:r>
      <w:r>
        <w:rPr>
          <w:b/>
          <w:sz w:val="48"/>
          <w:szCs w:val="48"/>
          <w:lang w:val="en-GB"/>
        </w:rPr>
        <w:t xml:space="preserve"> </w:t>
      </w:r>
    </w:p>
    <w:p w:rsidR="0093132C" w:rsidRDefault="0093132C">
      <w:pPr>
        <w:rPr>
          <w:b/>
          <w:sz w:val="48"/>
          <w:szCs w:val="48"/>
          <w:lang w:val="en-GB"/>
        </w:rPr>
      </w:pPr>
      <w:r>
        <w:rPr>
          <w:b/>
          <w:sz w:val="48"/>
          <w:szCs w:val="48"/>
          <w:lang w:val="en-GB"/>
        </w:rPr>
        <w:t xml:space="preserve">                                                                 ASSIGNMENT 1</w:t>
      </w:r>
    </w:p>
    <w:p w:rsidR="0093132C" w:rsidRDefault="0093132C">
      <w:pPr>
        <w:rPr>
          <w:b/>
          <w:sz w:val="48"/>
          <w:szCs w:val="48"/>
          <w:lang w:val="en-GB"/>
        </w:rPr>
      </w:pPr>
      <w:r>
        <w:rPr>
          <w:b/>
          <w:sz w:val="48"/>
          <w:szCs w:val="48"/>
          <w:lang w:val="en-GB"/>
        </w:rPr>
        <w:t xml:space="preserve">                                                                         ESSAY</w:t>
      </w:r>
    </w:p>
    <w:p w:rsidR="0093132C" w:rsidRDefault="0093132C">
      <w:pPr>
        <w:rPr>
          <w:b/>
          <w:sz w:val="48"/>
          <w:szCs w:val="48"/>
          <w:lang w:val="en-GB"/>
        </w:rPr>
      </w:pPr>
    </w:p>
    <w:p w:rsidR="0093132C" w:rsidRPr="00A54246" w:rsidRDefault="0093132C">
      <w:pPr>
        <w:rPr>
          <w:b/>
          <w:sz w:val="44"/>
          <w:szCs w:val="44"/>
          <w:lang w:val="en-GB"/>
        </w:rPr>
      </w:pPr>
      <w:r w:rsidRPr="00A54246">
        <w:rPr>
          <w:b/>
          <w:sz w:val="44"/>
          <w:szCs w:val="44"/>
          <w:lang w:val="en-GB"/>
        </w:rPr>
        <w:t xml:space="preserve">MODULE: </w:t>
      </w:r>
      <w:r w:rsidRPr="00A54246">
        <w:rPr>
          <w:sz w:val="44"/>
          <w:szCs w:val="44"/>
          <w:lang w:val="en-GB"/>
        </w:rPr>
        <w:t>International Business Communications</w:t>
      </w:r>
    </w:p>
    <w:p w:rsidR="0093132C" w:rsidRPr="00A54246" w:rsidRDefault="0093132C">
      <w:pPr>
        <w:rPr>
          <w:b/>
          <w:sz w:val="44"/>
          <w:szCs w:val="44"/>
          <w:lang w:val="en-GB"/>
        </w:rPr>
      </w:pPr>
      <w:r w:rsidRPr="00A54246">
        <w:rPr>
          <w:b/>
          <w:sz w:val="44"/>
          <w:szCs w:val="44"/>
          <w:lang w:val="en-GB"/>
        </w:rPr>
        <w:t>CODE: LCBB6001</w:t>
      </w:r>
    </w:p>
    <w:p w:rsidR="0093132C" w:rsidRPr="00A54246" w:rsidRDefault="0093132C">
      <w:pPr>
        <w:rPr>
          <w:b/>
          <w:sz w:val="44"/>
          <w:szCs w:val="44"/>
          <w:lang w:val="en-GB"/>
        </w:rPr>
      </w:pPr>
      <w:r w:rsidRPr="00A54246">
        <w:rPr>
          <w:b/>
          <w:sz w:val="44"/>
          <w:szCs w:val="44"/>
          <w:lang w:val="en-GB"/>
        </w:rPr>
        <w:t xml:space="preserve">LECTURER NAME: </w:t>
      </w:r>
      <w:r w:rsidRPr="00A54246">
        <w:rPr>
          <w:sz w:val="44"/>
          <w:szCs w:val="44"/>
          <w:lang w:val="en-GB"/>
        </w:rPr>
        <w:t xml:space="preserve">Dr. </w:t>
      </w:r>
      <w:proofErr w:type="spellStart"/>
      <w:r w:rsidRPr="00A54246">
        <w:rPr>
          <w:sz w:val="44"/>
          <w:szCs w:val="44"/>
          <w:lang w:val="en-GB"/>
        </w:rPr>
        <w:t>Laila</w:t>
      </w:r>
      <w:proofErr w:type="spellEnd"/>
      <w:r w:rsidRPr="00A54246">
        <w:rPr>
          <w:sz w:val="44"/>
          <w:szCs w:val="44"/>
          <w:lang w:val="en-GB"/>
        </w:rPr>
        <w:t xml:space="preserve"> </w:t>
      </w:r>
      <w:proofErr w:type="spellStart"/>
      <w:r w:rsidRPr="00A54246">
        <w:rPr>
          <w:sz w:val="44"/>
          <w:szCs w:val="44"/>
          <w:lang w:val="en-GB"/>
        </w:rPr>
        <w:t>Maazouz</w:t>
      </w:r>
      <w:proofErr w:type="spellEnd"/>
    </w:p>
    <w:p w:rsidR="00A54246" w:rsidRPr="00A54246" w:rsidRDefault="0093132C">
      <w:pPr>
        <w:rPr>
          <w:b/>
          <w:sz w:val="44"/>
          <w:szCs w:val="44"/>
          <w:lang w:val="en-GB"/>
        </w:rPr>
      </w:pPr>
      <w:r w:rsidRPr="00A54246">
        <w:rPr>
          <w:b/>
          <w:sz w:val="44"/>
          <w:szCs w:val="44"/>
          <w:lang w:val="en-GB"/>
        </w:rPr>
        <w:t>STUDENT NAME</w:t>
      </w:r>
      <w:r w:rsidR="00A54246" w:rsidRPr="00A54246">
        <w:rPr>
          <w:b/>
          <w:sz w:val="44"/>
          <w:szCs w:val="44"/>
          <w:lang w:val="en-GB"/>
        </w:rPr>
        <w:t xml:space="preserve">: </w:t>
      </w:r>
      <w:proofErr w:type="spellStart"/>
      <w:r w:rsidR="00A54246" w:rsidRPr="00A54246">
        <w:rPr>
          <w:sz w:val="44"/>
          <w:szCs w:val="44"/>
          <w:lang w:val="en-GB"/>
        </w:rPr>
        <w:t>Evelina</w:t>
      </w:r>
      <w:proofErr w:type="spellEnd"/>
      <w:r w:rsidR="00A54246" w:rsidRPr="00A54246">
        <w:rPr>
          <w:sz w:val="44"/>
          <w:szCs w:val="44"/>
          <w:lang w:val="en-GB"/>
        </w:rPr>
        <w:t xml:space="preserve"> </w:t>
      </w:r>
      <w:proofErr w:type="spellStart"/>
      <w:r w:rsidR="00A54246" w:rsidRPr="00A54246">
        <w:rPr>
          <w:sz w:val="44"/>
          <w:szCs w:val="44"/>
          <w:lang w:val="en-GB"/>
        </w:rPr>
        <w:t>Koleva</w:t>
      </w:r>
      <w:proofErr w:type="spellEnd"/>
    </w:p>
    <w:p w:rsidR="00A54246" w:rsidRDefault="00A54246">
      <w:pPr>
        <w:rPr>
          <w:sz w:val="44"/>
          <w:szCs w:val="44"/>
          <w:lang w:val="en-GB"/>
        </w:rPr>
      </w:pPr>
      <w:r w:rsidRPr="00A54246">
        <w:rPr>
          <w:b/>
          <w:sz w:val="44"/>
          <w:szCs w:val="44"/>
          <w:lang w:val="en-GB"/>
        </w:rPr>
        <w:t>STUDENT ID:</w:t>
      </w:r>
      <w:r w:rsidRPr="00A54246">
        <w:rPr>
          <w:sz w:val="44"/>
          <w:szCs w:val="44"/>
          <w:lang w:val="en-GB"/>
        </w:rPr>
        <w:t xml:space="preserve"> 2131127</w:t>
      </w:r>
      <w:r>
        <w:rPr>
          <w:sz w:val="44"/>
          <w:szCs w:val="44"/>
          <w:lang w:val="en-GB"/>
        </w:rPr>
        <w:t xml:space="preserve">  </w:t>
      </w:r>
    </w:p>
    <w:p w:rsidR="00A54246" w:rsidRDefault="00A54246">
      <w:pPr>
        <w:rPr>
          <w:sz w:val="44"/>
          <w:szCs w:val="44"/>
          <w:lang w:val="en-GB"/>
        </w:rPr>
      </w:pPr>
    </w:p>
    <w:p w:rsidR="00A54246" w:rsidRDefault="00A54246">
      <w:pPr>
        <w:rPr>
          <w:sz w:val="44"/>
          <w:szCs w:val="44"/>
          <w:lang w:val="en-GB"/>
        </w:rPr>
      </w:pPr>
    </w:p>
    <w:p w:rsidR="004B7CD3" w:rsidRDefault="00A54246">
      <w:pPr>
        <w:rPr>
          <w:b/>
          <w:sz w:val="44"/>
          <w:szCs w:val="44"/>
          <w:lang w:val="en-GB"/>
        </w:rPr>
      </w:pPr>
      <w:r>
        <w:rPr>
          <w:sz w:val="44"/>
          <w:szCs w:val="44"/>
          <w:lang w:val="en-GB"/>
        </w:rPr>
        <w:t xml:space="preserve">                                     </w:t>
      </w:r>
      <w:r w:rsidR="0071167A">
        <w:rPr>
          <w:sz w:val="44"/>
          <w:szCs w:val="44"/>
          <w:lang w:val="en-GB"/>
        </w:rPr>
        <w:t xml:space="preserve">                              </w:t>
      </w:r>
      <w:r>
        <w:rPr>
          <w:sz w:val="44"/>
          <w:szCs w:val="44"/>
          <w:lang w:val="en-GB"/>
        </w:rPr>
        <w:t xml:space="preserve">  </w:t>
      </w:r>
      <w:r w:rsidRPr="00A54246">
        <w:rPr>
          <w:b/>
          <w:sz w:val="44"/>
          <w:szCs w:val="44"/>
          <w:lang w:val="en-GB"/>
        </w:rPr>
        <w:t xml:space="preserve">SUBMITTED </w:t>
      </w:r>
      <w:proofErr w:type="gramStart"/>
      <w:r w:rsidRPr="00A54246">
        <w:rPr>
          <w:b/>
          <w:sz w:val="44"/>
          <w:szCs w:val="44"/>
          <w:lang w:val="en-GB"/>
        </w:rPr>
        <w:t xml:space="preserve">ON  </w:t>
      </w:r>
      <w:r w:rsidR="0071167A">
        <w:rPr>
          <w:b/>
          <w:sz w:val="44"/>
          <w:szCs w:val="44"/>
          <w:lang w:val="en-GB"/>
        </w:rPr>
        <w:t>21</w:t>
      </w:r>
      <w:r w:rsidR="0071167A" w:rsidRPr="0071167A">
        <w:rPr>
          <w:b/>
          <w:sz w:val="44"/>
          <w:szCs w:val="44"/>
          <w:vertAlign w:val="superscript"/>
          <w:lang w:val="en-GB"/>
        </w:rPr>
        <w:t>st</w:t>
      </w:r>
      <w:proofErr w:type="gramEnd"/>
      <w:r w:rsidR="0071167A">
        <w:rPr>
          <w:b/>
          <w:sz w:val="44"/>
          <w:szCs w:val="44"/>
          <w:lang w:val="en-GB"/>
        </w:rPr>
        <w:t xml:space="preserve"> OF AUGUST 2024 </w:t>
      </w:r>
    </w:p>
    <w:p w:rsidR="004B7CD3" w:rsidRDefault="004B7CD3">
      <w:pPr>
        <w:rPr>
          <w:b/>
          <w:sz w:val="44"/>
          <w:szCs w:val="44"/>
          <w:lang w:val="en-GB"/>
        </w:rPr>
      </w:pPr>
    </w:p>
    <w:p w:rsidR="004B7CD3" w:rsidRDefault="004B7CD3">
      <w:pPr>
        <w:rPr>
          <w:b/>
          <w:sz w:val="44"/>
          <w:szCs w:val="44"/>
          <w:lang w:val="en-GB"/>
        </w:rPr>
      </w:pPr>
    </w:p>
    <w:p w:rsidR="004B7CD3" w:rsidRDefault="004B7CD3">
      <w:pPr>
        <w:rPr>
          <w:b/>
          <w:sz w:val="44"/>
          <w:szCs w:val="44"/>
          <w:lang w:val="en-GB"/>
        </w:rPr>
      </w:pPr>
    </w:p>
    <w:p w:rsidR="004B7CD3" w:rsidRDefault="004B7CD3">
      <w:pPr>
        <w:rPr>
          <w:b/>
          <w:sz w:val="44"/>
          <w:szCs w:val="44"/>
          <w:lang w:val="en-GB"/>
        </w:rPr>
      </w:pPr>
    </w:p>
    <w:p w:rsidR="004B7CD3" w:rsidRPr="00424A52" w:rsidRDefault="004B7CD3">
      <w:pPr>
        <w:rPr>
          <w:sz w:val="24"/>
          <w:szCs w:val="24"/>
          <w:lang w:val="en-GB"/>
        </w:rPr>
      </w:pPr>
      <w:r w:rsidRPr="00424A52">
        <w:rPr>
          <w:sz w:val="24"/>
          <w:szCs w:val="24"/>
        </w:rPr>
        <w:t xml:space="preserve">This essay demonstrates that business communications have been dynamic in the United Kingdom to fit the contemporary international market and a culturally diverse society. Mainly, as every day more and more large corporations cover the international market and deal with people and cultures from different countries, communication has become one of the principal factors that determine vital business accomplishments. This shift is because to communicate with stakeholders from around the world, survive in different environments, and express multicultural tolerance. Business interaction has been revolutionised even more by the introduction of digital communication technologies to the extent that members of a team can be on different continents and work as if they are in a common room. Currently, British companies pay special attention to the questions of cultural influence, careful listening, and flexibility in the sphere of communication with global counterparts and markets. Therefore, business communication in British companies is not only about converting information it encompasses relationship development and conflict management in multicultural teams as well as negotiation in a global environment (Beniers and Hundt, 2020). </w:t>
      </w:r>
      <w:r w:rsidRPr="00424A52">
        <w:rPr>
          <w:sz w:val="24"/>
          <w:szCs w:val="24"/>
          <w:lang w:val="en-GB"/>
        </w:rPr>
        <w:t xml:space="preserve"> </w:t>
      </w:r>
    </w:p>
    <w:p w:rsidR="00A54246" w:rsidRPr="00424A52" w:rsidRDefault="00A54246" w:rsidP="00A12883">
      <w:pPr>
        <w:pStyle w:val="Default"/>
        <w:rPr>
          <w:color w:val="auto"/>
          <w:lang w:val="en-GB"/>
        </w:rPr>
      </w:pPr>
      <w:r w:rsidRPr="00424A52">
        <w:rPr>
          <w:b/>
          <w:lang w:val="en-GB"/>
        </w:rPr>
        <w:t xml:space="preserve"> </w:t>
      </w:r>
      <w:r w:rsidR="004B7CD3" w:rsidRPr="00424A52">
        <w:t xml:space="preserve">BP is globally known as one of the prominent internationally integrated oil and gas companies, which reflects the results of over a century of constant evolution, development, and transformation into a modern powerful company. This company was established in 1909 as the Anglo-Persian Oil Company and is now among the largest world’s integrated oil companies that encompasses all the segments to explore, produce, refine, and market different petroleum products. Throughout the years BP has successfully maneuvered in the environment of the oil industry from the finding of the giant Iran reserves to the diversification into natural gas and other renewable sources of energy. Presently, BP is present in over 70 nations, a human capital focused on providing energy solutions that underpin economies and enhance the living standards of people (Hagen, 2020). In general, these strategies are achieved through the promotion and development of technologies that are less dependent on carbon, funding of renewable energy, improvement of energy efficiency of its business processes, etc. It demonstrates BP’s focus on deep accounting by providing numerous examples of its investments-based transition to endorse renewable energy and its business diversification by investing in wind, solar, and bioenergy, as well as developing hydrogen and carbon capture, and storage projects. It is also a goal of the company to become a ‘net-zero’ company and achieve the status by 2050 at the latest or earlier. To achieve this, BP has been reinventing its strategies, or in other words, restructuring its business from just an oil and gas company to an energy company that provides all sorts of energy products. This </w:t>
      </w:r>
      <w:r w:rsidR="00A12883" w:rsidRPr="00424A52">
        <w:t>change is spearheaded through</w:t>
      </w:r>
      <w:r w:rsidR="00A12883" w:rsidRPr="00424A52">
        <w:rPr>
          <w:lang w:val="en-GB"/>
        </w:rPr>
        <w:t xml:space="preserve"> </w:t>
      </w:r>
      <w:r w:rsidR="004B7CD3" w:rsidRPr="00424A52">
        <w:rPr>
          <w:color w:val="auto"/>
        </w:rPr>
        <w:t>the sustainability strategy depicted at BP that emphasises on lowering GHG emissions, enhancing people’s livelihood, and conserving the environment (de Freitas, 2024). BP is a part of many renewable energy projects and invests in renewable energy sources cooperating with governments and other stakeholders in achieving the goals of the low-carbon economy transition. Hence, it could be postulated that the company’s model of business operations is primarily based on the principles of innovation, effectiveness, and adaptiveness. BP also focuses on expenditure on research and development activities, and it tries to incorporate technological innovations to enhance its operations’ effectiveness and minimise its environmental effects (Merriam-Webster, 2020).</w:t>
      </w:r>
      <w:r w:rsidR="00A12883" w:rsidRPr="00424A52">
        <w:rPr>
          <w:color w:val="auto"/>
          <w:lang w:val="en-GB"/>
        </w:rPr>
        <w:t xml:space="preserve"> </w:t>
      </w:r>
    </w:p>
    <w:p w:rsidR="00A12883" w:rsidRPr="00424A52" w:rsidRDefault="00A12883" w:rsidP="00A12883">
      <w:pPr>
        <w:pStyle w:val="Default"/>
        <w:rPr>
          <w:color w:val="auto"/>
          <w:lang w:val="en-GB"/>
        </w:rPr>
      </w:pPr>
    </w:p>
    <w:p w:rsidR="00A12883" w:rsidRPr="00424A52" w:rsidRDefault="00A12883" w:rsidP="00A12883">
      <w:pPr>
        <w:pStyle w:val="Default"/>
        <w:rPr>
          <w:color w:val="auto"/>
          <w:lang w:val="en-GB"/>
        </w:rPr>
      </w:pPr>
    </w:p>
    <w:p w:rsidR="00A12883" w:rsidRPr="00424A52" w:rsidRDefault="00A12883" w:rsidP="00A12883">
      <w:pPr>
        <w:pStyle w:val="Default"/>
        <w:rPr>
          <w:lang w:val="en-GB"/>
        </w:rPr>
      </w:pPr>
      <w:r w:rsidRPr="00424A52">
        <w:t xml:space="preserve">Germany is in the middle of Europe and has a strong and growing economy, is leading in technology, and is rather powerful within the EU. It is the most populated EU member state; the current population of the country is over eighty-three million. The cultural characteristics that define the current psychological climate of business in Germany include a hard-working population, a penchant for detail, and timeliness Coupled with a formal approach to communication. The social environment defies timeliness, order, and obedience and these have been witnessed in family and business organisations. The official language is German, but English is also frequently used which is especially true when doing business. Although to deal at a more profound level and also to have a better interaction with the local people, it is indeed helpful to know the German language. Potential threats that may be experienced in Germany are; the German Babelsberg bureaucracy, high cost of labour, and high regulatory standards. In that sense, the conflict can be identified between the cultural self-orientation that does not break the framework of formal communication procedures and the freedom of informal negotiations. The labour market in Germany remains cordial through an internationally skilled workforce with the help of vocational training and continuing education (Li, Zhu, and Lu, 2014). </w:t>
      </w:r>
    </w:p>
    <w:p w:rsidR="00A12883" w:rsidRPr="00424A52" w:rsidRDefault="00A12883" w:rsidP="00A12883">
      <w:pPr>
        <w:pStyle w:val="Default"/>
        <w:rPr>
          <w:lang w:val="en-GB"/>
        </w:rPr>
      </w:pPr>
    </w:p>
    <w:p w:rsidR="00A12883" w:rsidRPr="00424A52" w:rsidRDefault="00A12883" w:rsidP="00A12883">
      <w:pPr>
        <w:pStyle w:val="Default"/>
        <w:rPr>
          <w:color w:val="auto"/>
          <w:lang w:val="en-GB"/>
        </w:rPr>
      </w:pPr>
      <w:r w:rsidRPr="00424A52">
        <w:t xml:space="preserve">Overall, Comparing Germany with the cultural dimensions by Hofstede’s inventory it can be noted that Germans appreciate clear rules in uncertainty avoiding way and observe individualism. This may affect the business operation since from a cultural perspective German employees prefer their roles and responsibilities in an organisation to be well stated, unlike other nations that do not have a problem embracing changes that come with uncertainty. The other factor that can influence the communication process is the career civil hierarchy often </w:t>
      </w:r>
      <w:r w:rsidRPr="00424A52">
        <w:rPr>
          <w:color w:val="auto"/>
        </w:rPr>
        <w:t>associated with German organisations, where decisions are made at the highest level and then disseminated at the subordinate levels. It is therefore important to seise how such dynamics of culture influence organisational management and work relationships in a German environment (Munger, 2020).</w:t>
      </w:r>
    </w:p>
    <w:p w:rsidR="00A12883" w:rsidRPr="00424A52" w:rsidRDefault="00A12883" w:rsidP="00A12883">
      <w:pPr>
        <w:pStyle w:val="Default"/>
        <w:rPr>
          <w:color w:val="auto"/>
          <w:lang w:val="en-GB"/>
        </w:rPr>
      </w:pPr>
    </w:p>
    <w:p w:rsidR="00A12883" w:rsidRPr="00424A52" w:rsidRDefault="00A12883" w:rsidP="00A12883">
      <w:pPr>
        <w:pStyle w:val="Default"/>
        <w:rPr>
          <w:color w:val="auto"/>
          <w:lang w:val="en-GB"/>
        </w:rPr>
      </w:pPr>
    </w:p>
    <w:p w:rsidR="00A12883" w:rsidRPr="00424A52" w:rsidRDefault="00A12883" w:rsidP="00A12883">
      <w:pPr>
        <w:pStyle w:val="Default"/>
        <w:rPr>
          <w:lang w:val="en-GB"/>
        </w:rPr>
      </w:pPr>
      <w:r w:rsidRPr="00424A52">
        <w:t xml:space="preserve">The Netherlands is a country of approximately 17 million people the society is tolerant and liberal, with a strategic geographical location and highly developed logistics potential. Dutch culture is characterised by informality, assertiveness, a sense of predictability and order, and a highly developed capacity for compromising, which is ideal when it comes to business communication. The official language is Dutch fluently spoken in the business context, but English, spoken by many locals and all the business partners, is more comfortable for a multinational team. The overall business culture of the Netherlands is based on equality, work-life balance, and creativity, which produces a harmonious supporting cast for enterprises. Further a possibility of having higher taxes, extensive regulations, and bureaucracy, and that decision-making may be relatively slow because of the policy-making conventions. However, these risks are partially compensated by the mentioned advantages such as a high legal equivalent, stable political situation, and adherence to the principles of sustainable development (Palmer-Silveira et al., 2020). </w:t>
      </w:r>
    </w:p>
    <w:p w:rsidR="00A12883" w:rsidRPr="00424A52" w:rsidRDefault="00A12883" w:rsidP="00A12883">
      <w:pPr>
        <w:pStyle w:val="Default"/>
        <w:rPr>
          <w:lang w:val="en-GB"/>
        </w:rPr>
      </w:pPr>
    </w:p>
    <w:p w:rsidR="00A12883" w:rsidRPr="00424A52" w:rsidRDefault="00A12883" w:rsidP="00A12883">
      <w:pPr>
        <w:pStyle w:val="Default"/>
        <w:rPr>
          <w:color w:val="auto"/>
          <w:lang w:val="en-GB"/>
        </w:rPr>
      </w:pPr>
      <w:r w:rsidRPr="00424A52">
        <w:t xml:space="preserve">Furthermore, In the case of the Netherlands, the factor relating to the labour market includes a quality educated gender-sensitive, and diverse force that gives preference to equality and diversity. presenting a high ranking on various indexes such as innovation and standard of living, the Netherlands can be regarded as a country of opportunities for any organisation that is looking forward to tapping into a good pool of human capital that is willing and able to produce quality output. Thus, the issue of full diversity in leadership positions still stays topical, as in many other developed countries. Based on Hofstede’s cultural dimensions the Dutch culture can be described as individualism and power distance. The weakness, on the other hand, is the fact that such a cultural orientation promotes free speech and discussions, which should form part of solving business issues (Bennett, 2021). The primary way of communication in the Netherlands that may be considered rather disadvantageous is the straight-talking manner that tends to give voice to all the ideas, inclining to narrow and deepen the issue without any sugar-coating. Also, the requirement yes, but might slow down the decision-making process which can be a facility for taking action and responding to the fast-changing business context (Scott, 2018). To address these challenges, a clear indication suggests BP would have to </w:t>
      </w:r>
      <w:r w:rsidRPr="00424A52">
        <w:rPr>
          <w:color w:val="auto"/>
        </w:rPr>
        <w:t>swallow the bitter Danish cultural practice of openness despite compromise and wade through the Quixotic employees’ courtesy and sensitivity and model a principle that reflects politeness to every employee regardless of their ranking. Organisational development could be through, coming up with cultural training programs, encouraging bilingualism in the workplace, and ensuring that feedback from all the stakeholders is obtained (Rönnbäck, 2016).</w:t>
      </w:r>
    </w:p>
    <w:p w:rsidR="00A12883" w:rsidRPr="00424A52" w:rsidRDefault="00A12883" w:rsidP="00A12883">
      <w:pPr>
        <w:pStyle w:val="Default"/>
        <w:rPr>
          <w:color w:val="auto"/>
          <w:lang w:val="en-GB"/>
        </w:rPr>
      </w:pPr>
    </w:p>
    <w:p w:rsidR="00A12883" w:rsidRPr="00424A52" w:rsidRDefault="00A12883" w:rsidP="00A12883">
      <w:pPr>
        <w:pStyle w:val="Default"/>
        <w:rPr>
          <w:lang w:val="en-GB"/>
        </w:rPr>
      </w:pPr>
      <w:r w:rsidRPr="00424A52">
        <w:t>It is well known that going international, especially to Germany offers several communication obstacles to a British organisation such as BP. This is evident in that the German culture to a larger extent is formal than the British culture and they have fixed standards hence making the communication style more formal than that of the British (Zarach, 2020). In general, German professionals are rather straightforward, and their communicative patterns are characterised by business-like, unembellished, brief, and formal communicative styles preferring written rather than oral communication. This can be a problem for Britain’s managers and its employees used to the way their colleagues speak in between or in informal settings. Also, the authoritative character of German organisation structures indicates that decisions are made universally, and then instructions are sent below (Scott, 2019). Also, Language can be a major factor that affects the embrace of technology solutions in an organisation. Although the primary language of business globally is English, speaking the local language, in this case German, can go a long way especially in sealing business deals in Germany and adapting to the business culture of the country. Certain unclarities may arise if the literal meanings of the words and cultural differences are not understood, resulting in conflicts or inefficiencies. Moreover, Germans are known to have a clear division between their business and their private life, which may suggest that methods of building relationships and contacts, as British workers may use to ease their business meetings, will not prove as fruitful in Germany. Unlike the Anglo-Saxon culture, where conflicts are resolved professionally, this cultural attribute can negatively impact the formation of good interpersonal relations which are vital for business organisations hood (Scott, 2020).</w:t>
      </w:r>
      <w:r w:rsidRPr="00424A52">
        <w:rPr>
          <w:lang w:val="en-GB"/>
        </w:rPr>
        <w:t xml:space="preserve"> </w:t>
      </w:r>
    </w:p>
    <w:p w:rsidR="00A12883" w:rsidRPr="00424A52" w:rsidRDefault="00A12883" w:rsidP="00A12883">
      <w:pPr>
        <w:pStyle w:val="Default"/>
        <w:rPr>
          <w:lang w:val="en-GB"/>
        </w:rPr>
      </w:pPr>
    </w:p>
    <w:p w:rsidR="00A12883" w:rsidRPr="00424A52" w:rsidRDefault="00A12883" w:rsidP="00A12883">
      <w:pPr>
        <w:pStyle w:val="Default"/>
        <w:rPr>
          <w:color w:val="auto"/>
          <w:lang w:val="en-GB"/>
        </w:rPr>
      </w:pPr>
      <w:r w:rsidRPr="00424A52">
        <w:t xml:space="preserve">Although the Netherlands is geographically and culturally closer to the UK in certain ways, the country can be also regarded as one with peculiarities of communication within the context of the microcosm created by BP. The primary aspect of the Dutch people’s conventional behaviour involves the fact that the Dutch are very straightforward and devoid of philosophy in communications. The openness of the Dutch is also noticed several times, as they have no </w:t>
      </w:r>
      <w:r w:rsidRPr="00424A52">
        <w:rPr>
          <w:color w:val="auto"/>
        </w:rPr>
        <w:t>hesitation if they have to express their opinion which can be seen as rude for a British person who is used to having a more roundabout way of speaking. Such direct communication may be perceived as aggression or confrontation by the British managers and employees, primarily because the latter was less confrontational and more indirect. Another conflict that might act as a barrier to the Dutch model is the business culture’s focus on developing compromises (Sridhar, 2020). Moreover, Language is still thus a factor though not as pronounced in the Netherlands because a large majority of people speak English. While interacting with the Dutch, one is most likely to hear English being spoken due to the proficiency of Dutch people, but still, there are some differences in the communication manner that can cause some confusion. For instance, the Dutch culture might cost them the gestural aspect of the English language, and as such, the English might see them as rude when they are just direct, thus creating conflicts. To overcome these barriers, BP should ensure it undertakes culture-friendly training, elaborating on the fact that in Dutch nations people prefer to speak directly with their subordinates. Others are that everyone within the organisation should be free to communicate with one another and share a common working culture as a technique to reduce the gap between the two styles (Stallings and Case, 2021).</w:t>
      </w:r>
      <w:r w:rsidRPr="00424A52">
        <w:rPr>
          <w:color w:val="auto"/>
          <w:lang w:val="en-GB"/>
        </w:rPr>
        <w:t xml:space="preserve"> </w:t>
      </w:r>
    </w:p>
    <w:p w:rsidR="00A12883" w:rsidRPr="00424A52" w:rsidRDefault="00A12883" w:rsidP="00A12883">
      <w:pPr>
        <w:pStyle w:val="Default"/>
        <w:rPr>
          <w:color w:val="auto"/>
          <w:lang w:val="en-GB"/>
        </w:rPr>
      </w:pPr>
    </w:p>
    <w:p w:rsidR="00A12883" w:rsidRPr="00424A52" w:rsidRDefault="00A12883" w:rsidP="00A12883">
      <w:pPr>
        <w:pStyle w:val="Default"/>
        <w:rPr>
          <w:lang w:val="en-GB"/>
        </w:rPr>
      </w:pPr>
      <w:r w:rsidRPr="00424A52">
        <w:t>Going by the findings about Germany and the Netherlands the latter is most appropriate for BP to expand into. This recommendation is founded on several key factors: geographical and cultural compatibility, language factors, perceived business conditions, and organisational fit with BP’s vision. Thus, the Dutch environment is liberal, progressive, and rather open to innovation, which correlates with BP’s vision of improving energy management and increasing sustainability. Dutch business ethos of professionalism, tolerance for risks, and incorporation of the new paradigms fit well with BP’s aim to cut greenhouse emissions and develop low-carbon business solutions. Moreover, it is agreed that Dutch people are highly proficient in English, which would help overcome the communicational challenges of the British staff and managers to become easily integrated in this country (Tumanov, 2020).</w:t>
      </w:r>
      <w:r w:rsidRPr="00424A52">
        <w:rPr>
          <w:lang w:val="en-GB"/>
        </w:rPr>
        <w:t xml:space="preserve"> </w:t>
      </w:r>
    </w:p>
    <w:p w:rsidR="00A12883" w:rsidRPr="00424A52" w:rsidRDefault="00A12883" w:rsidP="00A12883">
      <w:pPr>
        <w:pStyle w:val="Default"/>
        <w:rPr>
          <w:lang w:val="en-GB"/>
        </w:rPr>
      </w:pPr>
    </w:p>
    <w:p w:rsidR="00A12883" w:rsidRPr="00424A52" w:rsidRDefault="00424A52" w:rsidP="00424A52">
      <w:pPr>
        <w:pStyle w:val="Default"/>
        <w:rPr>
          <w:color w:val="auto"/>
          <w:lang w:val="en-GB"/>
        </w:rPr>
      </w:pPr>
      <w:r w:rsidRPr="00424A52">
        <w:t xml:space="preserve">However, to make the planned expansion successful, and to make sure all employees are happy with the change, BP has to establish several possible pitfalls to the process of communicating with a new partner and prevent them from occurring. Firstly, cultural awareness training for both British managers and other company employees must be conducted exhaustively. Some of the areas that should feature in this training include the Dutch way of communicating, social  </w:t>
      </w:r>
      <w:r w:rsidRPr="00424A52">
        <w:rPr>
          <w:color w:val="auto"/>
        </w:rPr>
        <w:t>behaviours, and business manners. Stress on the subject will enable the British employees to have an improved approach and understanding of Dutch communication style and methods hence avoiding unnecessary conflicts and thus acknowledging the Dutch style. Learning cultural dimensions and specifically, low power distance preference for direct communication will help BP’s employees in future business-related interactions. Although English is also used extensively in the Netherlands, it can help to promote employees’ orientation and recognition of Dutch culture if they are encouraged to take some Dutch lessons at the base level (Wilson, 2019). Moreover, the communication structure that should be adopted at BP should be characterised by openness, transparency, and everyone’s participation in the process. Triad members should consider having frequent feedback sessions and talks for this will address the issue of cultural divide in the workplace. To encourage the process of elderly people’s integration into cooperation instances, it is crucial to introduce necessary tools and platforms that would include collaboration communication, for example, daily team meetings, and interactive workshops. The development of a good communication policy enables workers with these characteristics to become productive and create a single and successful company. It is crucial to comprehend and adopt the Dutch concepts of social consensus, which represent the main idea. BP should educate the managers on effective engagement in and contributions to the decision-making process in organisations (Yongsheng, 2021).</w:t>
      </w:r>
      <w:r w:rsidRPr="00424A52">
        <w:rPr>
          <w:color w:val="auto"/>
          <w:lang w:val="en-GB"/>
        </w:rPr>
        <w:t xml:space="preserve"> </w:t>
      </w:r>
    </w:p>
    <w:p w:rsidR="00424A52" w:rsidRPr="00424A52" w:rsidRDefault="00424A52" w:rsidP="00424A52">
      <w:pPr>
        <w:pStyle w:val="Default"/>
        <w:rPr>
          <w:color w:val="auto"/>
          <w:lang w:val="en-GB"/>
        </w:rPr>
      </w:pPr>
    </w:p>
    <w:p w:rsidR="00424A52" w:rsidRPr="00424A52" w:rsidRDefault="00424A52" w:rsidP="00424A52">
      <w:pPr>
        <w:pStyle w:val="Default"/>
        <w:rPr>
          <w:color w:val="auto"/>
          <w:lang w:val="en-GB"/>
        </w:rPr>
      </w:pPr>
    </w:p>
    <w:p w:rsidR="00424A52" w:rsidRPr="00424A52" w:rsidRDefault="00424A52" w:rsidP="00424A52">
      <w:pPr>
        <w:pStyle w:val="Default"/>
        <w:rPr>
          <w:color w:val="auto"/>
          <w:lang w:val="en-GB"/>
        </w:rPr>
      </w:pPr>
      <w:r w:rsidRPr="00424A52">
        <w:t xml:space="preserve">In conclusion, the Netherlands has a pristine environment in terms of business factors that can facilitate BP’s growth within EU countries in terms of sustainability, novelty, and inclusiveness. The organisational culture of the Germans such as pragmatism, directness, and consensus help BP blend into the country’s organisational culture to effectively penetrate the market. Through addressing the communication issues through effective cultural awareness that involves an extensive program of cultural training, language assistance, and developing the communication culture, BP will be able to reduce the physiological and psychological discomfort and maximise the level of comfort to allow effective production-based on the consensus decision-making style. Values exemplified in the leadership complemented by a system of constant feedback shall strengthen BP’s actions taken in the frame of the Dutch business environment. Therefore, adopting this approach is not only helping its operation success but also ensuring that BP’s stance on tolerance, inclusion, and respect for workers from </w:t>
      </w:r>
      <w:r w:rsidRPr="00424A52">
        <w:rPr>
          <w:color w:val="auto"/>
        </w:rPr>
        <w:t>all over the world is well-implemented. It is for this reason that expanding strategically into the Netherlands will help BP to lead in the energy transition, as well as the community as a whole.</w:t>
      </w:r>
      <w:r w:rsidRPr="00424A52">
        <w:rPr>
          <w:color w:val="auto"/>
          <w:lang w:val="en-GB"/>
        </w:rPr>
        <w:t xml:space="preserve"> </w:t>
      </w:r>
    </w:p>
    <w:p w:rsidR="00424A52" w:rsidRPr="00424A52" w:rsidRDefault="00424A52" w:rsidP="00424A52">
      <w:pPr>
        <w:pStyle w:val="Default"/>
        <w:rPr>
          <w:color w:val="auto"/>
          <w:lang w:val="en-GB"/>
        </w:rPr>
      </w:pPr>
    </w:p>
    <w:p w:rsidR="00424A52" w:rsidRPr="00424A52" w:rsidRDefault="00424A52" w:rsidP="00424A52">
      <w:pPr>
        <w:pStyle w:val="Default"/>
        <w:rPr>
          <w:color w:val="auto"/>
          <w:lang w:val="en-GB"/>
        </w:rPr>
      </w:pPr>
    </w:p>
    <w:p w:rsidR="00424A52" w:rsidRPr="00424A52" w:rsidRDefault="00424A52" w:rsidP="00424A52">
      <w:pPr>
        <w:pStyle w:val="Default"/>
        <w:rPr>
          <w:color w:val="auto"/>
          <w:lang w:val="en-GB"/>
        </w:rPr>
      </w:pPr>
    </w:p>
    <w:p w:rsidR="00424A52" w:rsidRPr="00424A52" w:rsidRDefault="00424A52" w:rsidP="00424A52">
      <w:pPr>
        <w:pStyle w:val="Default"/>
        <w:rPr>
          <w:color w:val="auto"/>
          <w:lang w:val="en-GB"/>
        </w:rPr>
      </w:pPr>
    </w:p>
    <w:p w:rsidR="00424A52" w:rsidRPr="00424A52" w:rsidRDefault="00424A52" w:rsidP="00424A52">
      <w:pPr>
        <w:pStyle w:val="Default"/>
        <w:rPr>
          <w:color w:val="auto"/>
          <w:lang w:val="en-GB"/>
        </w:rPr>
      </w:pPr>
    </w:p>
    <w:p w:rsidR="00424A52" w:rsidRPr="00424A52" w:rsidRDefault="00424A52" w:rsidP="00424A52">
      <w:pPr>
        <w:pStyle w:val="Default"/>
        <w:rPr>
          <w:color w:val="auto"/>
          <w:lang w:val="en-GB"/>
        </w:rPr>
      </w:pPr>
    </w:p>
    <w:p w:rsidR="00424A52" w:rsidRDefault="00424A52" w:rsidP="00424A52">
      <w:pPr>
        <w:pStyle w:val="Default"/>
        <w:rPr>
          <w:color w:val="auto"/>
          <w:sz w:val="23"/>
          <w:szCs w:val="23"/>
          <w:lang w:val="en-GB"/>
        </w:rPr>
      </w:pPr>
    </w:p>
    <w:p w:rsidR="00424A52" w:rsidRDefault="00424A52" w:rsidP="00424A52">
      <w:pPr>
        <w:pStyle w:val="Default"/>
        <w:rPr>
          <w:color w:val="auto"/>
          <w:sz w:val="23"/>
          <w:szCs w:val="23"/>
          <w:lang w:val="en-GB"/>
        </w:rPr>
      </w:pPr>
    </w:p>
    <w:p w:rsidR="00424A52" w:rsidRPr="00424A52" w:rsidRDefault="00424A52" w:rsidP="00424A52">
      <w:pPr>
        <w:pStyle w:val="Default"/>
        <w:rPr>
          <w:b/>
          <w:bCs/>
          <w:sz w:val="36"/>
          <w:szCs w:val="36"/>
          <w:lang w:val="en-GB"/>
        </w:rPr>
      </w:pPr>
      <w:r w:rsidRPr="00424A52">
        <w:rPr>
          <w:b/>
          <w:bCs/>
          <w:sz w:val="36"/>
          <w:szCs w:val="36"/>
        </w:rPr>
        <w:t>References</w:t>
      </w:r>
    </w:p>
    <w:p w:rsidR="00424A52" w:rsidRDefault="00424A52" w:rsidP="00424A52">
      <w:pPr>
        <w:pStyle w:val="Default"/>
        <w:rPr>
          <w:sz w:val="32"/>
          <w:szCs w:val="32"/>
        </w:rPr>
      </w:pPr>
      <w:r>
        <w:rPr>
          <w:b/>
          <w:bCs/>
          <w:sz w:val="32"/>
          <w:szCs w:val="32"/>
        </w:rPr>
        <w:t xml:space="preserve"> </w:t>
      </w:r>
    </w:p>
    <w:p w:rsidR="00424A52" w:rsidRDefault="00424A52" w:rsidP="00424A52">
      <w:pPr>
        <w:pStyle w:val="Default"/>
        <w:rPr>
          <w:sz w:val="23"/>
          <w:szCs w:val="23"/>
        </w:rPr>
      </w:pPr>
      <w:r>
        <w:rPr>
          <w:sz w:val="23"/>
          <w:szCs w:val="23"/>
        </w:rPr>
        <w:t xml:space="preserve">Beniers, C. J. M. and Hundt, I. (2020) </w:t>
      </w:r>
      <w:r>
        <w:rPr>
          <w:i/>
          <w:iCs/>
          <w:sz w:val="23"/>
          <w:szCs w:val="23"/>
        </w:rPr>
        <w:t>International business communications for industrial engineers: Bridging the cultural gap</w:t>
      </w:r>
      <w:r>
        <w:rPr>
          <w:sz w:val="23"/>
          <w:szCs w:val="23"/>
        </w:rPr>
        <w:t xml:space="preserve">. Munich, Germany: Hanser. </w:t>
      </w:r>
    </w:p>
    <w:p w:rsidR="00424A52" w:rsidRDefault="00424A52" w:rsidP="00424A52">
      <w:pPr>
        <w:pStyle w:val="Default"/>
        <w:rPr>
          <w:sz w:val="23"/>
          <w:szCs w:val="23"/>
        </w:rPr>
      </w:pPr>
      <w:r>
        <w:rPr>
          <w:sz w:val="23"/>
          <w:szCs w:val="23"/>
        </w:rPr>
        <w:t xml:space="preserve">Bennett, R. (2021) “Using the World Wide Web for International Marketing: Internet use and perceptions of export barriers among German and British Businesses,” </w:t>
      </w:r>
      <w:r>
        <w:rPr>
          <w:i/>
          <w:iCs/>
          <w:sz w:val="23"/>
          <w:szCs w:val="23"/>
        </w:rPr>
        <w:t>Journal of Marketing Communications</w:t>
      </w:r>
      <w:r>
        <w:rPr>
          <w:sz w:val="23"/>
          <w:szCs w:val="23"/>
        </w:rPr>
        <w:t xml:space="preserve">, 4(1), pp. 27–43. doi: 10.1080/135272698345861. </w:t>
      </w:r>
    </w:p>
    <w:p w:rsidR="00424A52" w:rsidRDefault="00424A52" w:rsidP="00424A52">
      <w:pPr>
        <w:pStyle w:val="Default"/>
        <w:rPr>
          <w:sz w:val="23"/>
          <w:szCs w:val="23"/>
        </w:rPr>
      </w:pPr>
      <w:r>
        <w:rPr>
          <w:sz w:val="23"/>
          <w:szCs w:val="23"/>
        </w:rPr>
        <w:t xml:space="preserve">de Freitas, M. R. (2024) “Musical activity, show business and post-colonial politics in socialist Maputo, or ‘the multiple sides of a full circle’ (1975–1994),” </w:t>
      </w:r>
      <w:r>
        <w:rPr>
          <w:i/>
          <w:iCs/>
          <w:sz w:val="23"/>
          <w:szCs w:val="23"/>
        </w:rPr>
        <w:t>Journal of Eastern African Studies: the Journal of the British Institute in Eastern Africa</w:t>
      </w:r>
      <w:r>
        <w:rPr>
          <w:sz w:val="23"/>
          <w:szCs w:val="23"/>
        </w:rPr>
        <w:t xml:space="preserve">, pp. 1–23. doi: 10.1080/17531055.2024.2379548. </w:t>
      </w:r>
    </w:p>
    <w:p w:rsidR="00424A52" w:rsidRDefault="00424A52" w:rsidP="00424A52">
      <w:pPr>
        <w:pStyle w:val="Default"/>
        <w:rPr>
          <w:sz w:val="23"/>
          <w:szCs w:val="23"/>
        </w:rPr>
      </w:pPr>
      <w:r>
        <w:rPr>
          <w:sz w:val="23"/>
          <w:szCs w:val="23"/>
        </w:rPr>
        <w:t xml:space="preserve">Hagen, S. (2020) </w:t>
      </w:r>
      <w:r>
        <w:rPr>
          <w:i/>
          <w:iCs/>
          <w:sz w:val="23"/>
          <w:szCs w:val="23"/>
        </w:rPr>
        <w:t>Languages in British business: An analysis of current needs</w:t>
      </w:r>
      <w:r>
        <w:rPr>
          <w:sz w:val="23"/>
          <w:szCs w:val="23"/>
        </w:rPr>
        <w:t xml:space="preserve">. London, England: CILT, the National Centre for Languages. </w:t>
      </w:r>
    </w:p>
    <w:p w:rsidR="00424A52" w:rsidRDefault="00424A52" w:rsidP="00424A52">
      <w:pPr>
        <w:pStyle w:val="Default"/>
        <w:rPr>
          <w:sz w:val="23"/>
          <w:szCs w:val="23"/>
        </w:rPr>
      </w:pPr>
      <w:r>
        <w:rPr>
          <w:sz w:val="23"/>
          <w:szCs w:val="23"/>
        </w:rPr>
        <w:t xml:space="preserve">Li, S., Zhu, J. and Lu, K. (2014) “A case study in strategic sustainability: British Petroleum (BP) Company,” in </w:t>
      </w:r>
      <w:r>
        <w:rPr>
          <w:i/>
          <w:iCs/>
          <w:sz w:val="23"/>
          <w:szCs w:val="23"/>
        </w:rPr>
        <w:t>Proceedings of the 2014 International Conference on Information, Business and Education Technology</w:t>
      </w:r>
      <w:r>
        <w:rPr>
          <w:sz w:val="23"/>
          <w:szCs w:val="23"/>
        </w:rPr>
        <w:t xml:space="preserve">. Paris, France: Atlantis Press. </w:t>
      </w:r>
    </w:p>
    <w:p w:rsidR="00424A52" w:rsidRDefault="00424A52" w:rsidP="00424A52">
      <w:pPr>
        <w:pStyle w:val="Default"/>
        <w:rPr>
          <w:sz w:val="23"/>
          <w:szCs w:val="23"/>
        </w:rPr>
      </w:pPr>
      <w:r>
        <w:rPr>
          <w:sz w:val="23"/>
          <w:szCs w:val="23"/>
        </w:rPr>
        <w:t xml:space="preserve">Merriam-Webster (2020) </w:t>
      </w:r>
      <w:r>
        <w:rPr>
          <w:i/>
          <w:iCs/>
          <w:sz w:val="23"/>
          <w:szCs w:val="23"/>
        </w:rPr>
        <w:t>Merriam-Webster’s guide to international business communications</w:t>
      </w:r>
      <w:r>
        <w:rPr>
          <w:sz w:val="23"/>
          <w:szCs w:val="23"/>
        </w:rPr>
        <w:t xml:space="preserve">. Springfield, MO: Merriam Webster. </w:t>
      </w:r>
    </w:p>
    <w:p w:rsidR="00424A52" w:rsidRDefault="00424A52" w:rsidP="00424A52">
      <w:pPr>
        <w:pStyle w:val="Default"/>
        <w:rPr>
          <w:sz w:val="23"/>
          <w:szCs w:val="23"/>
        </w:rPr>
      </w:pPr>
      <w:r>
        <w:rPr>
          <w:sz w:val="23"/>
          <w:szCs w:val="23"/>
        </w:rPr>
        <w:t xml:space="preserve">Munger, S. H. (2020) </w:t>
      </w:r>
      <w:r>
        <w:rPr>
          <w:i/>
          <w:iCs/>
          <w:sz w:val="23"/>
          <w:szCs w:val="23"/>
        </w:rPr>
        <w:t>International Business Communications: Desk Reference</w:t>
      </w:r>
      <w:r>
        <w:rPr>
          <w:sz w:val="23"/>
          <w:szCs w:val="23"/>
        </w:rPr>
        <w:t xml:space="preserve">. New York, NY: Amacom. </w:t>
      </w:r>
    </w:p>
    <w:p w:rsidR="00424A52" w:rsidRDefault="00424A52" w:rsidP="00424A52">
      <w:pPr>
        <w:pStyle w:val="Default"/>
        <w:rPr>
          <w:sz w:val="23"/>
          <w:szCs w:val="23"/>
        </w:rPr>
      </w:pPr>
      <w:r>
        <w:rPr>
          <w:sz w:val="23"/>
          <w:szCs w:val="23"/>
        </w:rPr>
        <w:t xml:space="preserve">Palmer-Silveira, J. C. </w:t>
      </w:r>
      <w:r>
        <w:rPr>
          <w:i/>
          <w:iCs/>
          <w:sz w:val="23"/>
          <w:szCs w:val="23"/>
        </w:rPr>
        <w:t xml:space="preserve">et al. </w:t>
      </w:r>
      <w:r>
        <w:rPr>
          <w:sz w:val="23"/>
          <w:szCs w:val="23"/>
        </w:rPr>
        <w:t xml:space="preserve">(2020) </w:t>
      </w:r>
      <w:r>
        <w:rPr>
          <w:i/>
          <w:iCs/>
          <w:sz w:val="23"/>
          <w:szCs w:val="23"/>
        </w:rPr>
        <w:t>Intercultural and international business communications: Theory, research and teaching</w:t>
      </w:r>
      <w:r>
        <w:rPr>
          <w:sz w:val="23"/>
          <w:szCs w:val="23"/>
        </w:rPr>
        <w:t xml:space="preserve">. Peter Lang Publishing. </w:t>
      </w:r>
    </w:p>
    <w:p w:rsidR="00424A52" w:rsidRDefault="00424A52" w:rsidP="00424A52">
      <w:pPr>
        <w:pStyle w:val="Default"/>
        <w:rPr>
          <w:sz w:val="23"/>
          <w:szCs w:val="23"/>
        </w:rPr>
      </w:pPr>
      <w:r>
        <w:rPr>
          <w:sz w:val="23"/>
          <w:szCs w:val="23"/>
        </w:rPr>
        <w:t xml:space="preserve">Rönnbäck, K. (2016) “Transaction costs of the early modern multinational enterprise: measuring the transatlantic information lag of the British Royal African Company and its successor, 1680–1818,” </w:t>
      </w:r>
      <w:r>
        <w:rPr>
          <w:i/>
          <w:iCs/>
          <w:sz w:val="23"/>
          <w:szCs w:val="23"/>
        </w:rPr>
        <w:t>Business History</w:t>
      </w:r>
      <w:r>
        <w:rPr>
          <w:sz w:val="23"/>
          <w:szCs w:val="23"/>
        </w:rPr>
        <w:t xml:space="preserve">, 58(8), pp. 1147–1163. doi: 10.1080/00076791.2016.1156087. </w:t>
      </w:r>
    </w:p>
    <w:p w:rsidR="00424A52" w:rsidRDefault="00424A52" w:rsidP="00424A52">
      <w:pPr>
        <w:pStyle w:val="Default"/>
        <w:rPr>
          <w:sz w:val="23"/>
          <w:szCs w:val="23"/>
        </w:rPr>
      </w:pPr>
      <w:r>
        <w:rPr>
          <w:sz w:val="23"/>
          <w:szCs w:val="23"/>
        </w:rPr>
        <w:t xml:space="preserve">Scott, J. C. (2018) “American and British business-related spelling differences,” </w:t>
      </w:r>
      <w:r>
        <w:rPr>
          <w:i/>
          <w:iCs/>
          <w:sz w:val="23"/>
          <w:szCs w:val="23"/>
        </w:rPr>
        <w:t>Business Communication Quarterly</w:t>
      </w:r>
      <w:r>
        <w:rPr>
          <w:sz w:val="23"/>
          <w:szCs w:val="23"/>
        </w:rPr>
        <w:t xml:space="preserve">, 67(2), pp. 153–167. doi: 10.1177/1080569904265424. 10 </w:t>
      </w:r>
    </w:p>
    <w:p w:rsidR="00424A52" w:rsidRDefault="00424A52" w:rsidP="00424A52">
      <w:pPr>
        <w:pStyle w:val="Default"/>
        <w:rPr>
          <w:color w:val="auto"/>
        </w:rPr>
      </w:pPr>
    </w:p>
    <w:p w:rsidR="00424A52" w:rsidRDefault="00424A52" w:rsidP="00424A52">
      <w:pPr>
        <w:pStyle w:val="Default"/>
        <w:pageBreakBefore/>
        <w:rPr>
          <w:color w:val="auto"/>
          <w:sz w:val="23"/>
          <w:szCs w:val="23"/>
        </w:rPr>
      </w:pPr>
      <w:r>
        <w:rPr>
          <w:color w:val="auto"/>
          <w:sz w:val="23"/>
          <w:szCs w:val="23"/>
        </w:rPr>
        <w:t xml:space="preserve">Scott, J. C. (2019) “The rising tide of Estuary English: The changing nature of oral British business communication,” </w:t>
      </w:r>
      <w:r>
        <w:rPr>
          <w:i/>
          <w:iCs/>
          <w:color w:val="auto"/>
          <w:sz w:val="23"/>
          <w:szCs w:val="23"/>
        </w:rPr>
        <w:t>Business Communication Quarterly</w:t>
      </w:r>
      <w:r>
        <w:rPr>
          <w:color w:val="auto"/>
          <w:sz w:val="23"/>
          <w:szCs w:val="23"/>
        </w:rPr>
        <w:t xml:space="preserve">, 58(2), pp. 40–46. doi: 10.1177/108056999505800208. </w:t>
      </w:r>
    </w:p>
    <w:p w:rsidR="00424A52" w:rsidRDefault="00424A52" w:rsidP="00424A52">
      <w:pPr>
        <w:pStyle w:val="Default"/>
        <w:rPr>
          <w:color w:val="auto"/>
          <w:sz w:val="23"/>
          <w:szCs w:val="23"/>
        </w:rPr>
      </w:pPr>
      <w:r>
        <w:rPr>
          <w:color w:val="auto"/>
          <w:sz w:val="23"/>
          <w:szCs w:val="23"/>
        </w:rPr>
        <w:t xml:space="preserve">Scott, J. C. (2020) “Preparing business correspondence the British way,” </w:t>
      </w:r>
      <w:r>
        <w:rPr>
          <w:i/>
          <w:iCs/>
          <w:color w:val="auto"/>
          <w:sz w:val="23"/>
          <w:szCs w:val="23"/>
        </w:rPr>
        <w:t>The Bulletin of the Association for Business Communication</w:t>
      </w:r>
      <w:r>
        <w:rPr>
          <w:color w:val="auto"/>
          <w:sz w:val="23"/>
          <w:szCs w:val="23"/>
        </w:rPr>
        <w:t xml:space="preserve">, 56(2), pp. 10–17. doi: 10.1177/108056999305600203. </w:t>
      </w:r>
    </w:p>
    <w:p w:rsidR="00424A52" w:rsidRDefault="00424A52" w:rsidP="00424A52">
      <w:pPr>
        <w:pStyle w:val="Default"/>
        <w:rPr>
          <w:color w:val="auto"/>
          <w:sz w:val="23"/>
          <w:szCs w:val="23"/>
        </w:rPr>
      </w:pPr>
      <w:r>
        <w:rPr>
          <w:color w:val="auto"/>
          <w:sz w:val="23"/>
          <w:szCs w:val="23"/>
        </w:rPr>
        <w:t xml:space="preserve">Sridhar (2020) </w:t>
      </w:r>
      <w:r>
        <w:rPr>
          <w:i/>
          <w:iCs/>
          <w:color w:val="auto"/>
          <w:sz w:val="23"/>
          <w:szCs w:val="23"/>
        </w:rPr>
        <w:t>International Journal of Business Data Communications and Networking, Vol 8 ISS 3</w:t>
      </w:r>
      <w:r>
        <w:rPr>
          <w:color w:val="auto"/>
          <w:sz w:val="23"/>
          <w:szCs w:val="23"/>
        </w:rPr>
        <w:t xml:space="preserve">. IGI Publishing. </w:t>
      </w:r>
    </w:p>
    <w:p w:rsidR="00424A52" w:rsidRDefault="00424A52" w:rsidP="00424A52">
      <w:pPr>
        <w:pStyle w:val="Default"/>
        <w:rPr>
          <w:color w:val="auto"/>
          <w:sz w:val="23"/>
          <w:szCs w:val="23"/>
        </w:rPr>
      </w:pPr>
      <w:r>
        <w:rPr>
          <w:color w:val="auto"/>
          <w:sz w:val="23"/>
          <w:szCs w:val="23"/>
        </w:rPr>
        <w:t xml:space="preserve">Stallings, W. and Case, T. L. (2021) </w:t>
      </w:r>
      <w:r>
        <w:rPr>
          <w:i/>
          <w:iCs/>
          <w:color w:val="auto"/>
          <w:sz w:val="23"/>
          <w:szCs w:val="23"/>
        </w:rPr>
        <w:t>Business Data Communications: International Edition</w:t>
      </w:r>
      <w:r>
        <w:rPr>
          <w:color w:val="auto"/>
          <w:sz w:val="23"/>
          <w:szCs w:val="23"/>
        </w:rPr>
        <w:t xml:space="preserve">. 7th ed. Pearson. </w:t>
      </w:r>
    </w:p>
    <w:p w:rsidR="00424A52" w:rsidRDefault="00424A52" w:rsidP="00424A52">
      <w:pPr>
        <w:pStyle w:val="Default"/>
        <w:rPr>
          <w:color w:val="auto"/>
          <w:sz w:val="23"/>
          <w:szCs w:val="23"/>
        </w:rPr>
      </w:pPr>
      <w:r>
        <w:rPr>
          <w:color w:val="auto"/>
          <w:sz w:val="23"/>
          <w:szCs w:val="23"/>
        </w:rPr>
        <w:t xml:space="preserve">Tumanov, Y. (2020) “The analysis of financial stability and profitability of British Petroleum (BP) for the period 2014–2019,” </w:t>
      </w:r>
      <w:r>
        <w:rPr>
          <w:i/>
          <w:iCs/>
          <w:color w:val="auto"/>
          <w:sz w:val="23"/>
          <w:szCs w:val="23"/>
        </w:rPr>
        <w:t>Review of Business and Economics Studies</w:t>
      </w:r>
      <w:r>
        <w:rPr>
          <w:color w:val="auto"/>
          <w:sz w:val="23"/>
          <w:szCs w:val="23"/>
        </w:rPr>
        <w:t xml:space="preserve">, 8(1), pp. 27–33. doi: 10.26794/2308-944x-2020-8-1-27-33. </w:t>
      </w:r>
    </w:p>
    <w:p w:rsidR="00424A52" w:rsidRDefault="00424A52" w:rsidP="00424A52">
      <w:pPr>
        <w:pStyle w:val="Default"/>
        <w:rPr>
          <w:color w:val="auto"/>
          <w:sz w:val="23"/>
          <w:szCs w:val="23"/>
        </w:rPr>
      </w:pPr>
      <w:r>
        <w:rPr>
          <w:color w:val="auto"/>
          <w:sz w:val="23"/>
          <w:szCs w:val="23"/>
        </w:rPr>
        <w:t xml:space="preserve">Wilson, J. F. (2019) </w:t>
      </w:r>
      <w:r>
        <w:rPr>
          <w:i/>
          <w:iCs/>
          <w:color w:val="auto"/>
          <w:sz w:val="23"/>
          <w:szCs w:val="23"/>
        </w:rPr>
        <w:t>British Business History, 1720-1994</w:t>
      </w:r>
      <w:r>
        <w:rPr>
          <w:color w:val="auto"/>
          <w:sz w:val="23"/>
          <w:szCs w:val="23"/>
        </w:rPr>
        <w:t xml:space="preserve">. Manchester, England: Manchester University Press. </w:t>
      </w:r>
    </w:p>
    <w:p w:rsidR="00424A52" w:rsidRDefault="00424A52" w:rsidP="00424A52">
      <w:pPr>
        <w:pStyle w:val="Default"/>
        <w:rPr>
          <w:color w:val="auto"/>
          <w:sz w:val="23"/>
          <w:szCs w:val="23"/>
        </w:rPr>
      </w:pPr>
      <w:r>
        <w:rPr>
          <w:color w:val="auto"/>
          <w:sz w:val="23"/>
          <w:szCs w:val="23"/>
        </w:rPr>
        <w:t xml:space="preserve">Yongsheng, C. (2021) </w:t>
      </w:r>
      <w:r>
        <w:rPr>
          <w:i/>
          <w:iCs/>
          <w:color w:val="auto"/>
          <w:sz w:val="23"/>
          <w:szCs w:val="23"/>
        </w:rPr>
        <w:t>International Business Communications and Contracts</w:t>
      </w:r>
      <w:r>
        <w:rPr>
          <w:color w:val="auto"/>
          <w:sz w:val="23"/>
          <w:szCs w:val="23"/>
        </w:rPr>
        <w:t xml:space="preserve">. Beijing, China: Sinolingua. </w:t>
      </w:r>
    </w:p>
    <w:p w:rsidR="00424A52" w:rsidRPr="00424A52" w:rsidRDefault="00424A52" w:rsidP="00424A52">
      <w:pPr>
        <w:pStyle w:val="Default"/>
        <w:rPr>
          <w:rFonts w:asciiTheme="minorHAnsi" w:hAnsiTheme="minorHAnsi" w:cstheme="minorHAnsi"/>
          <w:lang w:val="en-GB"/>
        </w:rPr>
      </w:pPr>
      <w:r>
        <w:rPr>
          <w:color w:val="auto"/>
          <w:sz w:val="23"/>
          <w:szCs w:val="23"/>
        </w:rPr>
        <w:t xml:space="preserve">Zarach, S. (2020) </w:t>
      </w:r>
      <w:r>
        <w:rPr>
          <w:i/>
          <w:iCs/>
          <w:color w:val="auto"/>
          <w:sz w:val="23"/>
          <w:szCs w:val="23"/>
        </w:rPr>
        <w:t>British business history: A bibliography</w:t>
      </w:r>
      <w:r>
        <w:rPr>
          <w:color w:val="auto"/>
          <w:sz w:val="23"/>
          <w:szCs w:val="23"/>
        </w:rPr>
        <w:t>. 2nd ed. Basingstoke, England: Palgrave Macmillan.</w:t>
      </w:r>
      <w:r>
        <w:rPr>
          <w:color w:val="auto"/>
          <w:sz w:val="23"/>
          <w:szCs w:val="23"/>
          <w:lang w:val="en-GB"/>
        </w:rPr>
        <w:t xml:space="preserve"> </w:t>
      </w:r>
    </w:p>
    <w:p w:rsidR="00A12883" w:rsidRPr="00A12883" w:rsidRDefault="00A12883" w:rsidP="00A12883">
      <w:pPr>
        <w:pStyle w:val="Default"/>
        <w:rPr>
          <w:sz w:val="23"/>
          <w:szCs w:val="23"/>
          <w:lang w:val="en-GB"/>
        </w:rPr>
      </w:pPr>
    </w:p>
    <w:p w:rsidR="00C150DD" w:rsidRDefault="00C150DD">
      <w:pPr>
        <w:rPr>
          <w:b/>
          <w:sz w:val="44"/>
          <w:szCs w:val="44"/>
          <w:lang w:val="en-GB"/>
        </w:rPr>
      </w:pPr>
    </w:p>
    <w:p w:rsidR="00C150DD" w:rsidRDefault="00C150DD">
      <w:pPr>
        <w:rPr>
          <w:b/>
          <w:sz w:val="44"/>
          <w:szCs w:val="44"/>
          <w:lang w:val="en-GB"/>
        </w:rPr>
      </w:pPr>
    </w:p>
    <w:p w:rsidR="00C150DD" w:rsidRDefault="00C150DD">
      <w:pPr>
        <w:rPr>
          <w:b/>
          <w:sz w:val="48"/>
          <w:szCs w:val="48"/>
          <w:lang w:val="en-GB"/>
        </w:rPr>
      </w:pPr>
    </w:p>
    <w:p w:rsidR="00C150DD" w:rsidRDefault="00C150DD">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A54246" w:rsidRDefault="00A54246">
      <w:pPr>
        <w:rPr>
          <w:b/>
          <w:sz w:val="48"/>
          <w:szCs w:val="48"/>
          <w:lang w:val="en-GB"/>
        </w:rPr>
      </w:pPr>
    </w:p>
    <w:p w:rsidR="0093132C" w:rsidRPr="00A54246" w:rsidRDefault="0093132C">
      <w:pPr>
        <w:rPr>
          <w:b/>
          <w:sz w:val="48"/>
          <w:szCs w:val="48"/>
        </w:rPr>
      </w:pPr>
      <w:r w:rsidRPr="00A54246">
        <w:rPr>
          <w:b/>
          <w:sz w:val="48"/>
          <w:szCs w:val="48"/>
        </w:rPr>
        <w:br w:type="page"/>
      </w:r>
    </w:p>
    <w:p w:rsidR="0093132C" w:rsidRDefault="0093132C">
      <w:r>
        <w:br w:type="page"/>
      </w:r>
    </w:p>
    <w:p w:rsidR="0093132C" w:rsidRDefault="0093132C"/>
    <w:p w:rsidR="0093132C" w:rsidRDefault="0093132C">
      <w:pPr>
        <w:rPr>
          <w:lang w:val="en-GB"/>
        </w:rPr>
      </w:pPr>
      <w:r>
        <w:br w:type="page"/>
      </w: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Default="00A54246">
      <w:pPr>
        <w:rPr>
          <w:lang w:val="en-GB"/>
        </w:rPr>
      </w:pPr>
    </w:p>
    <w:p w:rsidR="00A54246" w:rsidRPr="00A54246" w:rsidRDefault="00A54246">
      <w:pPr>
        <w:rPr>
          <w:lang w:val="en-GB"/>
        </w:rPr>
      </w:pPr>
    </w:p>
    <w:p w:rsidR="00852C1E" w:rsidRDefault="00852C1E"/>
    <w:sectPr w:rsidR="00852C1E" w:rsidSect="00852C1E">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web"/>
  <w:zoom w:percent="100"/>
  <w:proofState w:spelling="clean" w:grammar="clean"/>
  <w:defaultTabStop w:val="708"/>
  <w:hyphenationZone w:val="425"/>
  <w:characterSpacingControl w:val="doNotCompress"/>
  <w:compat/>
  <w:rsids>
    <w:rsidRoot w:val="0093132C"/>
    <w:rsid w:val="00231BB2"/>
    <w:rsid w:val="00424A52"/>
    <w:rsid w:val="004B7CD3"/>
    <w:rsid w:val="00525445"/>
    <w:rsid w:val="0071167A"/>
    <w:rsid w:val="00852C1E"/>
    <w:rsid w:val="0093132C"/>
    <w:rsid w:val="00A12883"/>
    <w:rsid w:val="00A54246"/>
    <w:rsid w:val="00C150DD"/>
    <w:rsid w:val="00E37DB0"/>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2C1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150DD"/>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64</TotalTime>
  <Pages>8</Pages>
  <Words>3089</Words>
  <Characters>17608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2024-08-12T19:15:00Z</dcterms:created>
  <dcterms:modified xsi:type="dcterms:W3CDTF">2024-08-21T19:34:00Z</dcterms:modified>
</cp:coreProperties>
</file>